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2B894" w14:textId="7E7507F1" w:rsidR="00F34391" w:rsidRPr="0061150A" w:rsidRDefault="00663854" w:rsidP="00663854">
      <w:pPr>
        <w:pStyle w:val="Pagedecouverture"/>
      </w:pPr>
      <w:bookmarkStart w:id="0" w:name="LW_BM_COVERPAGE"/>
      <w:r>
        <w:pict w14:anchorId="4258B1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CF821629-2698-4127-AF52-07C5B05C9D47" style="width:455pt;height:359.5pt">
            <v:imagedata r:id="rId14" o:title=""/>
          </v:shape>
        </w:pict>
      </w:r>
    </w:p>
    <w:bookmarkEnd w:id="0"/>
    <w:p w14:paraId="0A0C27F5" w14:textId="77777777" w:rsidR="008C3E58" w:rsidRPr="0061150A" w:rsidRDefault="008C3E58">
      <w:pPr>
        <w:sectPr w:rsidR="008C3E58" w:rsidRPr="0061150A" w:rsidSect="00663854">
          <w:headerReference w:type="even" r:id="rId15"/>
          <w:headerReference w:type="default" r:id="rId16"/>
          <w:footerReference w:type="even" r:id="rId17"/>
          <w:footerReference w:type="default" r:id="rId18"/>
          <w:headerReference w:type="first" r:id="rId19"/>
          <w:footerReference w:type="first" r:id="rId20"/>
          <w:endnotePr>
            <w:pos w:val="sectEnd"/>
            <w:numFmt w:val="lowerLetter"/>
          </w:endnotePr>
          <w:pgSz w:w="11907" w:h="16839" w:code="9"/>
          <w:pgMar w:top="1134" w:right="1417" w:bottom="1134" w:left="1417" w:header="709" w:footer="709" w:gutter="0"/>
          <w:pgNumType w:start="0"/>
          <w:cols w:space="720"/>
          <w:docGrid w:linePitch="326"/>
        </w:sectPr>
      </w:pPr>
    </w:p>
    <w:p w14:paraId="016FB460" w14:textId="77777777" w:rsidR="00F34391" w:rsidRPr="003E29CF" w:rsidRDefault="00F34391">
      <w:pPr>
        <w:rPr>
          <w:highlight w:val="lightGray"/>
        </w:rPr>
        <w:sectPr w:rsidR="00F34391" w:rsidRPr="003E29CF" w:rsidSect="00593227">
          <w:headerReference w:type="even" r:id="rId21"/>
          <w:headerReference w:type="default" r:id="rId22"/>
          <w:footerReference w:type="even" r:id="rId23"/>
          <w:footerReference w:type="default" r:id="rId24"/>
          <w:headerReference w:type="first" r:id="rId25"/>
          <w:footerReference w:type="first" r:id="rId26"/>
          <w:endnotePr>
            <w:pos w:val="sectEnd"/>
            <w:numFmt w:val="lowerLetter"/>
          </w:endnotePr>
          <w:pgSz w:w="11907" w:h="16839" w:code="9"/>
          <w:pgMar w:top="1134" w:right="1417" w:bottom="1134" w:left="1417" w:header="709" w:footer="709" w:gutter="0"/>
          <w:cols w:space="720"/>
          <w:docGrid w:linePitch="326"/>
        </w:sectPr>
      </w:pPr>
    </w:p>
    <w:p w14:paraId="36250681" w14:textId="77777777" w:rsidR="000D7D9F" w:rsidRPr="001E6792" w:rsidRDefault="000D7D9F" w:rsidP="000D7D9F">
      <w:pPr>
        <w:pStyle w:val="H1-AboutEU"/>
        <w:rPr>
          <w:rFonts w:ascii="EC Square Sans Pro" w:hAnsi="EC Square Sans Pro"/>
          <w:shd w:val="clear" w:color="auto" w:fill="E6E6E6"/>
        </w:rPr>
      </w:pPr>
      <w:bookmarkStart w:id="1" w:name="_Toc166086033"/>
      <w:bookmarkStart w:id="2" w:name="_Toc169163034"/>
      <w:bookmarkStart w:id="3" w:name="_Toc168585651"/>
      <w:bookmarkStart w:id="4" w:name="_Toc196895476"/>
      <w:bookmarkStart w:id="5" w:name="_Toc200995466"/>
      <w:bookmarkStart w:id="6" w:name="_Toc200995499"/>
      <w:bookmarkStart w:id="7" w:name="_Toc224821915"/>
      <w:bookmarkStart w:id="8" w:name="_Toc231480352"/>
      <w:bookmarkStart w:id="9" w:name="_Toc231486607"/>
      <w:r w:rsidRPr="00305890">
        <w:rPr>
          <w:rFonts w:ascii="EC Square Sans Pro" w:hAnsi="EC Square Sans Pro"/>
        </w:rPr>
        <w:lastRenderedPageBreak/>
        <w:t>Contents</w:t>
      </w:r>
      <w:bookmarkEnd w:id="1"/>
      <w:bookmarkEnd w:id="2"/>
      <w:bookmarkEnd w:id="3"/>
      <w:bookmarkEnd w:id="4"/>
      <w:bookmarkEnd w:id="5"/>
      <w:bookmarkEnd w:id="6"/>
      <w:bookmarkEnd w:id="7"/>
      <w:bookmarkEnd w:id="8"/>
      <w:bookmarkEnd w:id="9"/>
    </w:p>
    <w:p w14:paraId="1E7BA3AD" w14:textId="5B72C35F" w:rsidR="003D69F2" w:rsidRDefault="000D7D9F">
      <w:pPr>
        <w:pStyle w:val="TOC1"/>
        <w:rPr>
          <w:rFonts w:asciiTheme="minorHAnsi" w:eastAsiaTheme="minorEastAsia" w:hAnsiTheme="minorHAnsi"/>
          <w:b w:val="0"/>
          <w:caps w:val="0"/>
          <w:noProof/>
          <w:kern w:val="2"/>
          <w:sz w:val="24"/>
          <w:szCs w:val="24"/>
          <w:lang w:val="en-IE" w:eastAsia="en-IE"/>
          <w14:ligatures w14:val="standardContextual"/>
        </w:rPr>
      </w:pPr>
      <w:r w:rsidRPr="001E6792">
        <w:rPr>
          <w:noProof/>
          <w:color w:val="2B579A"/>
          <w:shd w:val="clear" w:color="auto" w:fill="E6E6E6"/>
        </w:rPr>
        <w:fldChar w:fldCharType="begin"/>
      </w:r>
      <w:r w:rsidRPr="001E6792">
        <w:rPr>
          <w:noProof/>
        </w:rPr>
        <w:instrText xml:space="preserve"> TOC \o "1-2" \h \z \u </w:instrText>
      </w:r>
      <w:r w:rsidRPr="001E6792">
        <w:rPr>
          <w:noProof/>
          <w:color w:val="2B579A"/>
          <w:shd w:val="clear" w:color="auto" w:fill="E6E6E6"/>
        </w:rPr>
        <w:fldChar w:fldCharType="separate"/>
      </w:r>
      <w:hyperlink w:anchor="_Toc231480353" w:history="1">
        <w:r w:rsidR="003D69F2" w:rsidRPr="00D5149A">
          <w:rPr>
            <w:rStyle w:val="Hyperlink"/>
            <w:noProof/>
          </w:rPr>
          <w:t>Annex</w:t>
        </w:r>
        <w:r w:rsidR="003D69F2" w:rsidRPr="00D5149A">
          <w:rPr>
            <w:rStyle w:val="Hyperlink"/>
            <w:rFonts w:ascii="Calibri" w:hAnsi="Calibri" w:cs="Calibri"/>
            <w:noProof/>
          </w:rPr>
          <w:t> </w:t>
        </w:r>
        <w:r w:rsidR="003D69F2" w:rsidRPr="00D5149A">
          <w:rPr>
            <w:rStyle w:val="Hyperlink"/>
            <w:noProof/>
          </w:rPr>
          <w:t>1</w:t>
        </w:r>
        <w:r w:rsidR="003D69F2" w:rsidRPr="00D5149A">
          <w:rPr>
            <w:rStyle w:val="Hyperlink"/>
            <w:rFonts w:ascii="Calibri" w:hAnsi="Calibri" w:cs="Calibri"/>
            <w:noProof/>
          </w:rPr>
          <w:t> </w:t>
        </w:r>
        <w:r w:rsidR="003D69F2" w:rsidRPr="00D5149A">
          <w:rPr>
            <w:rStyle w:val="Hyperlink"/>
            <w:noProof/>
          </w:rPr>
          <w:t>– Performance of the EU budget in 2025</w:t>
        </w:r>
        <w:r w:rsidR="003D69F2">
          <w:rPr>
            <w:noProof/>
            <w:webHidden/>
          </w:rPr>
          <w:tab/>
        </w:r>
        <w:r w:rsidR="003D69F2">
          <w:rPr>
            <w:noProof/>
            <w:webHidden/>
          </w:rPr>
          <w:fldChar w:fldCharType="begin"/>
        </w:r>
        <w:r w:rsidR="003D69F2">
          <w:rPr>
            <w:noProof/>
            <w:webHidden/>
          </w:rPr>
          <w:instrText xml:space="preserve"> PAGEREF _Toc231480353 \h </w:instrText>
        </w:r>
        <w:r w:rsidR="003D69F2">
          <w:rPr>
            <w:noProof/>
            <w:webHidden/>
          </w:rPr>
        </w:r>
        <w:r w:rsidR="003D69F2">
          <w:rPr>
            <w:noProof/>
            <w:webHidden/>
          </w:rPr>
          <w:fldChar w:fldCharType="separate"/>
        </w:r>
        <w:r w:rsidR="00415423">
          <w:rPr>
            <w:noProof/>
            <w:webHidden/>
          </w:rPr>
          <w:t>5</w:t>
        </w:r>
        <w:r w:rsidR="003D69F2">
          <w:rPr>
            <w:noProof/>
            <w:webHidden/>
          </w:rPr>
          <w:fldChar w:fldCharType="end"/>
        </w:r>
      </w:hyperlink>
    </w:p>
    <w:p w14:paraId="0842E005" w14:textId="0362183A" w:rsidR="003D69F2" w:rsidRDefault="003D69F2">
      <w:pPr>
        <w:pStyle w:val="TOC2"/>
        <w:rPr>
          <w:rFonts w:asciiTheme="minorHAnsi" w:eastAsiaTheme="minorEastAsia" w:hAnsiTheme="minorHAnsi"/>
          <w:noProof/>
          <w:kern w:val="2"/>
          <w:sz w:val="24"/>
          <w:szCs w:val="24"/>
          <w:lang w:val="en-IE" w:eastAsia="en-IE"/>
          <w14:ligatures w14:val="standardContextual"/>
        </w:rPr>
      </w:pPr>
      <w:hyperlink w:anchor="_Toc231480354" w:history="1">
        <w:r w:rsidRPr="00D5149A">
          <w:rPr>
            <w:rStyle w:val="Hyperlink"/>
            <w:noProof/>
          </w:rPr>
          <w:t>1. EU budget performance monitoring</w:t>
        </w:r>
        <w:r>
          <w:rPr>
            <w:noProof/>
            <w:webHidden/>
          </w:rPr>
          <w:tab/>
        </w:r>
        <w:r>
          <w:rPr>
            <w:noProof/>
            <w:webHidden/>
          </w:rPr>
          <w:fldChar w:fldCharType="begin"/>
        </w:r>
        <w:r>
          <w:rPr>
            <w:noProof/>
            <w:webHidden/>
          </w:rPr>
          <w:instrText xml:space="preserve"> PAGEREF _Toc231480354 \h </w:instrText>
        </w:r>
        <w:r>
          <w:rPr>
            <w:noProof/>
            <w:webHidden/>
          </w:rPr>
        </w:r>
        <w:r>
          <w:rPr>
            <w:noProof/>
            <w:webHidden/>
          </w:rPr>
          <w:fldChar w:fldCharType="separate"/>
        </w:r>
        <w:r w:rsidR="00415423">
          <w:rPr>
            <w:noProof/>
            <w:webHidden/>
          </w:rPr>
          <w:t>7</w:t>
        </w:r>
        <w:r>
          <w:rPr>
            <w:noProof/>
            <w:webHidden/>
          </w:rPr>
          <w:fldChar w:fldCharType="end"/>
        </w:r>
      </w:hyperlink>
    </w:p>
    <w:p w14:paraId="0898CDD3" w14:textId="0F7A8F97" w:rsidR="003D69F2" w:rsidRDefault="003D69F2">
      <w:pPr>
        <w:pStyle w:val="TOC2"/>
        <w:rPr>
          <w:rFonts w:asciiTheme="minorHAnsi" w:eastAsiaTheme="minorEastAsia" w:hAnsiTheme="minorHAnsi"/>
          <w:noProof/>
          <w:kern w:val="2"/>
          <w:sz w:val="24"/>
          <w:szCs w:val="24"/>
          <w:lang w:val="en-IE" w:eastAsia="en-IE"/>
          <w14:ligatures w14:val="standardContextual"/>
        </w:rPr>
      </w:pPr>
      <w:hyperlink w:anchor="_Toc231480355" w:history="1">
        <w:r w:rsidRPr="00D5149A">
          <w:rPr>
            <w:rStyle w:val="Hyperlink"/>
            <w:noProof/>
          </w:rPr>
          <w:t>2. EU budget support for reforms</w:t>
        </w:r>
        <w:r>
          <w:rPr>
            <w:noProof/>
            <w:webHidden/>
          </w:rPr>
          <w:tab/>
        </w:r>
        <w:r>
          <w:rPr>
            <w:noProof/>
            <w:webHidden/>
          </w:rPr>
          <w:fldChar w:fldCharType="begin"/>
        </w:r>
        <w:r>
          <w:rPr>
            <w:noProof/>
            <w:webHidden/>
          </w:rPr>
          <w:instrText xml:space="preserve"> PAGEREF _Toc231480355 \h </w:instrText>
        </w:r>
        <w:r>
          <w:rPr>
            <w:noProof/>
            <w:webHidden/>
          </w:rPr>
        </w:r>
        <w:r>
          <w:rPr>
            <w:noProof/>
            <w:webHidden/>
          </w:rPr>
          <w:fldChar w:fldCharType="separate"/>
        </w:r>
        <w:r w:rsidR="00415423">
          <w:rPr>
            <w:noProof/>
            <w:webHidden/>
          </w:rPr>
          <w:t>12</w:t>
        </w:r>
        <w:r>
          <w:rPr>
            <w:noProof/>
            <w:webHidden/>
          </w:rPr>
          <w:fldChar w:fldCharType="end"/>
        </w:r>
      </w:hyperlink>
    </w:p>
    <w:p w14:paraId="691CDF5B" w14:textId="116DCBD7" w:rsidR="003D69F2" w:rsidRDefault="003D69F2">
      <w:pPr>
        <w:pStyle w:val="TOC2"/>
        <w:rPr>
          <w:rFonts w:asciiTheme="minorHAnsi" w:eastAsiaTheme="minorEastAsia" w:hAnsiTheme="minorHAnsi"/>
          <w:noProof/>
          <w:kern w:val="2"/>
          <w:sz w:val="24"/>
          <w:szCs w:val="24"/>
          <w:lang w:val="en-IE" w:eastAsia="en-IE"/>
          <w14:ligatures w14:val="standardContextual"/>
        </w:rPr>
      </w:pPr>
      <w:hyperlink w:anchor="_Toc231480356" w:history="1">
        <w:r w:rsidRPr="00D5149A">
          <w:rPr>
            <w:rStyle w:val="Hyperlink"/>
            <w:noProof/>
          </w:rPr>
          <w:t>3. EU budget supporting the EU’s political priorities in 2025</w:t>
        </w:r>
        <w:r>
          <w:rPr>
            <w:noProof/>
            <w:webHidden/>
          </w:rPr>
          <w:tab/>
        </w:r>
        <w:r>
          <w:rPr>
            <w:noProof/>
            <w:webHidden/>
          </w:rPr>
          <w:fldChar w:fldCharType="begin"/>
        </w:r>
        <w:r>
          <w:rPr>
            <w:noProof/>
            <w:webHidden/>
          </w:rPr>
          <w:instrText xml:space="preserve"> PAGEREF _Toc231480356 \h </w:instrText>
        </w:r>
        <w:r>
          <w:rPr>
            <w:noProof/>
            <w:webHidden/>
          </w:rPr>
        </w:r>
        <w:r>
          <w:rPr>
            <w:noProof/>
            <w:webHidden/>
          </w:rPr>
          <w:fldChar w:fldCharType="separate"/>
        </w:r>
        <w:r w:rsidR="00415423">
          <w:rPr>
            <w:noProof/>
            <w:webHidden/>
          </w:rPr>
          <w:t>18</w:t>
        </w:r>
        <w:r>
          <w:rPr>
            <w:noProof/>
            <w:webHidden/>
          </w:rPr>
          <w:fldChar w:fldCharType="end"/>
        </w:r>
      </w:hyperlink>
    </w:p>
    <w:p w14:paraId="13B19FBF" w14:textId="2B1BC4AE" w:rsidR="003D69F2" w:rsidRDefault="003D69F2">
      <w:pPr>
        <w:pStyle w:val="TOC2"/>
        <w:rPr>
          <w:rFonts w:asciiTheme="minorHAnsi" w:eastAsiaTheme="minorEastAsia" w:hAnsiTheme="minorHAnsi"/>
          <w:noProof/>
          <w:kern w:val="2"/>
          <w:sz w:val="24"/>
          <w:szCs w:val="24"/>
          <w:lang w:val="en-IE" w:eastAsia="en-IE"/>
          <w14:ligatures w14:val="standardContextual"/>
        </w:rPr>
      </w:pPr>
      <w:hyperlink w:anchor="_Toc231480357" w:history="1">
        <w:r w:rsidRPr="00D5149A">
          <w:rPr>
            <w:rStyle w:val="Hyperlink"/>
            <w:noProof/>
          </w:rPr>
          <w:t>4. Horizontal policy priorities in the EU budget</w:t>
        </w:r>
        <w:r>
          <w:rPr>
            <w:noProof/>
            <w:webHidden/>
          </w:rPr>
          <w:tab/>
        </w:r>
        <w:r>
          <w:rPr>
            <w:noProof/>
            <w:webHidden/>
          </w:rPr>
          <w:fldChar w:fldCharType="begin"/>
        </w:r>
        <w:r>
          <w:rPr>
            <w:noProof/>
            <w:webHidden/>
          </w:rPr>
          <w:instrText xml:space="preserve"> PAGEREF _Toc231480357 \h </w:instrText>
        </w:r>
        <w:r>
          <w:rPr>
            <w:noProof/>
            <w:webHidden/>
          </w:rPr>
        </w:r>
        <w:r>
          <w:rPr>
            <w:noProof/>
            <w:webHidden/>
          </w:rPr>
          <w:fldChar w:fldCharType="separate"/>
        </w:r>
        <w:r w:rsidR="00415423">
          <w:rPr>
            <w:noProof/>
            <w:webHidden/>
          </w:rPr>
          <w:t>48</w:t>
        </w:r>
        <w:r>
          <w:rPr>
            <w:noProof/>
            <w:webHidden/>
          </w:rPr>
          <w:fldChar w:fldCharType="end"/>
        </w:r>
      </w:hyperlink>
    </w:p>
    <w:p w14:paraId="44F2AB40" w14:textId="204A1544" w:rsidR="005C7FF5" w:rsidRPr="0055163D" w:rsidRDefault="000D7D9F" w:rsidP="000D7D9F">
      <w:pPr>
        <w:rPr>
          <w:highlight w:val="lightGray"/>
        </w:rPr>
      </w:pPr>
      <w:r w:rsidRPr="001E6792">
        <w:rPr>
          <w:b/>
          <w:caps/>
          <w:noProof/>
          <w:color w:val="2B579A"/>
          <w:shd w:val="clear" w:color="auto" w:fill="E6E6E6"/>
        </w:rPr>
        <w:fldChar w:fldCharType="end"/>
      </w:r>
    </w:p>
    <w:p w14:paraId="0D7BBED8" w14:textId="669CDC7B" w:rsidR="005C7FF5" w:rsidRPr="003E29CF" w:rsidRDefault="005C7FF5" w:rsidP="000D7D9F">
      <w:pPr>
        <w:rPr>
          <w:noProof/>
          <w:highlight w:val="lightGray"/>
        </w:rPr>
        <w:sectPr w:rsidR="005C7FF5" w:rsidRPr="003E29CF" w:rsidSect="00565442">
          <w:headerReference w:type="even" r:id="rId27"/>
          <w:headerReference w:type="default" r:id="rId28"/>
          <w:footerReference w:type="even" r:id="rId29"/>
          <w:footerReference w:type="default" r:id="rId30"/>
          <w:headerReference w:type="first" r:id="rId31"/>
          <w:footerReference w:type="first" r:id="rId32"/>
          <w:endnotePr>
            <w:pos w:val="sectEnd"/>
            <w:numFmt w:val="lowerLetter"/>
          </w:endnotePr>
          <w:pgSz w:w="11907" w:h="16839" w:code="9"/>
          <w:pgMar w:top="1418" w:right="1418" w:bottom="1418" w:left="1418" w:header="680" w:footer="567" w:gutter="0"/>
          <w:pgNumType w:start="3"/>
          <w:cols w:space="720"/>
          <w:docGrid w:linePitch="272"/>
        </w:sectPr>
      </w:pPr>
    </w:p>
    <w:p w14:paraId="5F55207C" w14:textId="77777777" w:rsidR="000D7D9F" w:rsidRPr="003E29CF" w:rsidRDefault="000D7D9F" w:rsidP="000D7D9F">
      <w:pPr>
        <w:rPr>
          <w:noProof/>
          <w:highlight w:val="lightGray"/>
        </w:rPr>
      </w:pPr>
      <w:bookmarkStart w:id="10" w:name="_Toc130576968"/>
    </w:p>
    <w:p w14:paraId="5FCC21D7" w14:textId="77777777" w:rsidR="000D7D9F" w:rsidRPr="003E29CF" w:rsidRDefault="000D7D9F" w:rsidP="000D7D9F">
      <w:pPr>
        <w:rPr>
          <w:noProof/>
          <w:highlight w:val="lightGray"/>
        </w:rPr>
        <w:sectPr w:rsidR="000D7D9F" w:rsidRPr="003E29CF" w:rsidSect="000D7D9F">
          <w:headerReference w:type="even" r:id="rId33"/>
          <w:headerReference w:type="default" r:id="rId34"/>
          <w:footerReference w:type="even" r:id="rId35"/>
          <w:footerReference w:type="default" r:id="rId36"/>
          <w:headerReference w:type="first" r:id="rId37"/>
          <w:footerReference w:type="first" r:id="rId38"/>
          <w:endnotePr>
            <w:pos w:val="sectEnd"/>
            <w:numFmt w:val="lowerLetter"/>
          </w:endnotePr>
          <w:pgSz w:w="11907" w:h="16839" w:code="9"/>
          <w:pgMar w:top="1418" w:right="1418" w:bottom="1418" w:left="1418" w:header="680" w:footer="567" w:gutter="0"/>
          <w:cols w:space="720"/>
          <w:docGrid w:linePitch="272"/>
        </w:sectPr>
      </w:pPr>
    </w:p>
    <w:p w14:paraId="353B2B6B" w14:textId="540202BF" w:rsidR="000D7D9F" w:rsidRPr="000312C8" w:rsidRDefault="000D7D9F" w:rsidP="001B7D68">
      <w:pPr>
        <w:pStyle w:val="Heading1Sectionheadinginframe2Lines"/>
        <w:framePr w:wrap="around" w:x="5258" w:y="11385"/>
        <w:rPr>
          <w:rFonts w:ascii="EC Square Sans Pro" w:hAnsi="EC Square Sans Pro"/>
        </w:rPr>
      </w:pPr>
      <w:bookmarkStart w:id="11" w:name="_Toc130828170"/>
      <w:bookmarkStart w:id="12" w:name="_Toc130829584"/>
      <w:bookmarkStart w:id="13" w:name="_Toc130829986"/>
      <w:bookmarkStart w:id="14" w:name="_Toc130830026"/>
      <w:bookmarkStart w:id="15" w:name="_Toc130830059"/>
      <w:bookmarkStart w:id="16" w:name="_Toc130830162"/>
      <w:bookmarkStart w:id="17" w:name="_Toc130830198"/>
      <w:bookmarkStart w:id="18" w:name="_Toc130830390"/>
      <w:bookmarkStart w:id="19" w:name="_Toc130830446"/>
      <w:bookmarkStart w:id="20" w:name="_Toc130830749"/>
      <w:bookmarkStart w:id="21" w:name="_Toc130830938"/>
      <w:bookmarkStart w:id="22" w:name="_Toc135637228"/>
      <w:bookmarkStart w:id="23" w:name="_Toc168585652"/>
      <w:bookmarkStart w:id="24" w:name="_Toc196895477"/>
      <w:bookmarkStart w:id="25" w:name="_Toc231480353"/>
      <w:bookmarkStart w:id="26" w:name="_Toc231486608"/>
      <w:r w:rsidRPr="000312C8">
        <w:rPr>
          <w:rFonts w:ascii="EC Square Sans Pro" w:hAnsi="EC Square Sans Pro"/>
        </w:rPr>
        <w:t>Annex</w:t>
      </w:r>
      <w:r w:rsidRPr="000312C8">
        <w:rPr>
          <w:rFonts w:ascii="Calibri" w:hAnsi="Calibri" w:cs="Calibri"/>
        </w:rPr>
        <w:t> </w:t>
      </w:r>
      <w:r w:rsidRPr="000312C8">
        <w:rPr>
          <w:rFonts w:ascii="EC Square Sans Pro" w:hAnsi="EC Square Sans Pro"/>
        </w:rPr>
        <w:t>1</w:t>
      </w:r>
      <w:r w:rsidRPr="000312C8">
        <w:rPr>
          <w:rFonts w:ascii="Calibri" w:hAnsi="Calibri" w:cs="Calibri"/>
        </w:rPr>
        <w:t> </w:t>
      </w:r>
      <w:r w:rsidRPr="000312C8">
        <w:rPr>
          <w:rFonts w:ascii="EC Square Sans Pro" w:hAnsi="EC Square Sans Pro"/>
        </w:rPr>
        <w:t xml:space="preserve">– </w:t>
      </w:r>
      <w:bookmarkEnd w:id="11"/>
      <w:bookmarkEnd w:id="12"/>
      <w:bookmarkEnd w:id="13"/>
      <w:bookmarkEnd w:id="14"/>
      <w:bookmarkEnd w:id="15"/>
      <w:bookmarkEnd w:id="16"/>
      <w:bookmarkEnd w:id="17"/>
      <w:bookmarkEnd w:id="18"/>
      <w:bookmarkEnd w:id="19"/>
      <w:bookmarkEnd w:id="20"/>
      <w:bookmarkEnd w:id="21"/>
      <w:r w:rsidRPr="000312C8">
        <w:rPr>
          <w:rFonts w:ascii="EC Square Sans Pro" w:hAnsi="EC Square Sans Pro"/>
        </w:rPr>
        <w:t xml:space="preserve">Performance </w:t>
      </w:r>
      <w:r w:rsidR="002A5D6A">
        <w:rPr>
          <w:rFonts w:ascii="EC Square Sans Pro" w:hAnsi="EC Square Sans Pro"/>
        </w:rPr>
        <w:t>of the EU budget</w:t>
      </w:r>
      <w:r w:rsidRPr="000312C8">
        <w:rPr>
          <w:rFonts w:ascii="EC Square Sans Pro" w:hAnsi="EC Square Sans Pro"/>
        </w:rPr>
        <w:t xml:space="preserve"> in </w:t>
      </w:r>
      <w:bookmarkEnd w:id="22"/>
      <w:bookmarkEnd w:id="23"/>
      <w:bookmarkEnd w:id="24"/>
      <w:r w:rsidRPr="000312C8">
        <w:rPr>
          <w:rFonts w:ascii="EC Square Sans Pro" w:hAnsi="EC Square Sans Pro"/>
        </w:rPr>
        <w:t>202</w:t>
      </w:r>
      <w:r w:rsidR="003D676A" w:rsidRPr="000312C8">
        <w:rPr>
          <w:rFonts w:ascii="EC Square Sans Pro" w:hAnsi="EC Square Sans Pro"/>
        </w:rPr>
        <w:t>5</w:t>
      </w:r>
      <w:bookmarkEnd w:id="25"/>
      <w:bookmarkEnd w:id="26"/>
      <w:r w:rsidRPr="000312C8">
        <w:rPr>
          <w:rFonts w:ascii="EC Square Sans Pro" w:hAnsi="EC Square Sans Pro"/>
        </w:rPr>
        <w:t xml:space="preserve"> </w:t>
      </w:r>
    </w:p>
    <w:p w14:paraId="39FD7A71" w14:textId="77777777" w:rsidR="000D7D9F" w:rsidRPr="003E29CF" w:rsidRDefault="000D7D9F" w:rsidP="000D7D9F">
      <w:pPr>
        <w:rPr>
          <w:noProof/>
          <w:highlight w:val="lightGray"/>
        </w:rPr>
      </w:pPr>
    </w:p>
    <w:p w14:paraId="4C4F2155" w14:textId="77777777" w:rsidR="000D7D9F" w:rsidRPr="003E29CF" w:rsidRDefault="000D7D9F" w:rsidP="000D7D9F">
      <w:pPr>
        <w:rPr>
          <w:noProof/>
          <w:highlight w:val="lightGray"/>
        </w:rPr>
      </w:pPr>
    </w:p>
    <w:p w14:paraId="12BEA362" w14:textId="77777777" w:rsidR="000D7D9F" w:rsidRPr="003E29CF" w:rsidRDefault="000D7D9F" w:rsidP="000D7D9F">
      <w:pPr>
        <w:rPr>
          <w:noProof/>
          <w:highlight w:val="lightGray"/>
        </w:rPr>
        <w:sectPr w:rsidR="000D7D9F" w:rsidRPr="003E29CF" w:rsidSect="000D7D9F">
          <w:headerReference w:type="even" r:id="rId39"/>
          <w:headerReference w:type="default" r:id="rId40"/>
          <w:footerReference w:type="even" r:id="rId41"/>
          <w:footerReference w:type="default" r:id="rId42"/>
          <w:headerReference w:type="first" r:id="rId43"/>
          <w:footerReference w:type="first" r:id="rId44"/>
          <w:endnotePr>
            <w:pos w:val="sectEnd"/>
            <w:numFmt w:val="lowerLetter"/>
          </w:endnotePr>
          <w:type w:val="oddPage"/>
          <w:pgSz w:w="11907" w:h="16839" w:code="9"/>
          <w:pgMar w:top="1418" w:right="1418" w:bottom="1418" w:left="1418" w:header="680" w:footer="567" w:gutter="0"/>
          <w:cols w:space="720"/>
          <w:docGrid w:linePitch="272"/>
        </w:sectPr>
      </w:pPr>
    </w:p>
    <w:p w14:paraId="368E907D" w14:textId="77777777" w:rsidR="000D7D9F" w:rsidRPr="003E29CF" w:rsidRDefault="000D7D9F" w:rsidP="000D7D9F">
      <w:pPr>
        <w:rPr>
          <w:noProof/>
          <w:highlight w:val="lightGray"/>
        </w:rPr>
      </w:pPr>
    </w:p>
    <w:p w14:paraId="1649D37E" w14:textId="77777777" w:rsidR="000D7D9F" w:rsidRPr="003E29CF" w:rsidRDefault="000D7D9F" w:rsidP="000D7D9F">
      <w:pPr>
        <w:rPr>
          <w:noProof/>
          <w:highlight w:val="lightGray"/>
        </w:rPr>
        <w:sectPr w:rsidR="000D7D9F" w:rsidRPr="003E29CF" w:rsidSect="000D7D9F">
          <w:headerReference w:type="even" r:id="rId45"/>
          <w:headerReference w:type="default" r:id="rId46"/>
          <w:footerReference w:type="even" r:id="rId47"/>
          <w:footerReference w:type="default" r:id="rId48"/>
          <w:headerReference w:type="first" r:id="rId49"/>
          <w:footerReference w:type="first" r:id="rId50"/>
          <w:endnotePr>
            <w:pos w:val="sectEnd"/>
            <w:numFmt w:val="lowerLetter"/>
          </w:endnotePr>
          <w:pgSz w:w="11907" w:h="16839" w:code="9"/>
          <w:pgMar w:top="1418" w:right="1418" w:bottom="1418" w:left="1418" w:header="680" w:footer="567" w:gutter="0"/>
          <w:cols w:space="720"/>
          <w:docGrid w:linePitch="272"/>
        </w:sectPr>
      </w:pPr>
    </w:p>
    <w:p w14:paraId="29435893" w14:textId="219F35E0" w:rsidR="000D7D9F" w:rsidRPr="005C2E52" w:rsidRDefault="000D7D9F" w:rsidP="000D7D9F">
      <w:pPr>
        <w:pStyle w:val="Heading2"/>
        <w:rPr>
          <w:rFonts w:ascii="EC Square Sans Pro" w:hAnsi="EC Square Sans Pro"/>
        </w:rPr>
      </w:pPr>
      <w:bookmarkStart w:id="27" w:name="_Toc168585653"/>
      <w:bookmarkStart w:id="28" w:name="_Toc196895478"/>
      <w:bookmarkStart w:id="29" w:name="_Toc231480354"/>
      <w:bookmarkStart w:id="30" w:name="_Toc231486609"/>
      <w:bookmarkEnd w:id="10"/>
      <w:r w:rsidRPr="005C2E52">
        <w:rPr>
          <w:rFonts w:ascii="EC Square Sans Pro" w:hAnsi="EC Square Sans Pro"/>
        </w:rPr>
        <w:t>1. EU budget</w:t>
      </w:r>
      <w:bookmarkEnd w:id="27"/>
      <w:bookmarkEnd w:id="28"/>
      <w:r w:rsidR="000A5CAE">
        <w:rPr>
          <w:rFonts w:ascii="EC Square Sans Pro" w:hAnsi="EC Square Sans Pro"/>
        </w:rPr>
        <w:t xml:space="preserve"> performance mo</w:t>
      </w:r>
      <w:r w:rsidR="009F1BF0">
        <w:rPr>
          <w:rFonts w:ascii="EC Square Sans Pro" w:hAnsi="EC Square Sans Pro"/>
        </w:rPr>
        <w:t>nitoring</w:t>
      </w:r>
      <w:bookmarkEnd w:id="29"/>
      <w:bookmarkEnd w:id="30"/>
    </w:p>
    <w:p w14:paraId="17A9C40A" w14:textId="184B3F60" w:rsidR="000D7D9F" w:rsidRPr="00627D63" w:rsidRDefault="000D7D9F" w:rsidP="000D7D9F">
      <w:pPr>
        <w:rPr>
          <w:noProof/>
        </w:rPr>
      </w:pPr>
      <w:r w:rsidRPr="00FD3BD8">
        <w:rPr>
          <w:rStyle w:val="Bold"/>
        </w:rPr>
        <w:t xml:space="preserve">The </w:t>
      </w:r>
      <w:r w:rsidR="00E76B26">
        <w:rPr>
          <w:rStyle w:val="Bold"/>
        </w:rPr>
        <w:t>EU</w:t>
      </w:r>
      <w:r w:rsidRPr="00FD3BD8">
        <w:rPr>
          <w:rStyle w:val="Bold"/>
        </w:rPr>
        <w:t xml:space="preserve"> budget is at the </w:t>
      </w:r>
      <w:r w:rsidR="00AF4960" w:rsidRPr="00FD3BD8">
        <w:rPr>
          <w:rStyle w:val="Bold"/>
        </w:rPr>
        <w:t xml:space="preserve">heart </w:t>
      </w:r>
      <w:r w:rsidRPr="00FD3BD8">
        <w:rPr>
          <w:rStyle w:val="Bold"/>
        </w:rPr>
        <w:t>of EU policy action.</w:t>
      </w:r>
      <w:r w:rsidRPr="00627D63">
        <w:rPr>
          <w:noProof/>
        </w:rPr>
        <w:t xml:space="preserve"> Over the decades, it has helped improve the quality of life and livelihoods of people within the EU and beyond. It drives investment in the future</w:t>
      </w:r>
      <w:r w:rsidR="00F073DD">
        <w:rPr>
          <w:noProof/>
        </w:rPr>
        <w:t>,</w:t>
      </w:r>
      <w:r w:rsidRPr="00627D63">
        <w:rPr>
          <w:noProof/>
        </w:rPr>
        <w:t xml:space="preserve"> for a clean</w:t>
      </w:r>
      <w:r w:rsidR="00C2157C">
        <w:rPr>
          <w:noProof/>
        </w:rPr>
        <w:t>er</w:t>
      </w:r>
      <w:r w:rsidRPr="00627D63">
        <w:rPr>
          <w:noProof/>
        </w:rPr>
        <w:t>, digital and more competitive Europe. At the same time, it has provided a vital lifeline in times of crisis: it helped to overcome a pandemic and save millions of jobs during the lockdowns, assisted people and companies in getting through energy crises and is providing vital and reliable support for Ukraine in the face of Russia’s unprovoked and unjustified war of aggression.</w:t>
      </w:r>
    </w:p>
    <w:p w14:paraId="66D275CB" w14:textId="79BC3ED4" w:rsidR="000D7D9F" w:rsidRPr="001426A5" w:rsidRDefault="000D7D9F" w:rsidP="000D7D9F">
      <w:r w:rsidRPr="00FD3BD8">
        <w:rPr>
          <w:rStyle w:val="Bold"/>
        </w:rPr>
        <w:t xml:space="preserve">The EU budget is an essential tool to deliver on the EU’s priorities. </w:t>
      </w:r>
      <w:r w:rsidRPr="00627D63">
        <w:rPr>
          <w:noProof/>
        </w:rPr>
        <w:t xml:space="preserve">Through its programmes, the budget supports the EU’s internal and external policies. It creates EU added value by delivering results that would not be achievable through uncoordinated national spending. EU programmes are tailored to unlock synergies, catalyse private and public funding and provide a coordinated boost to the </w:t>
      </w:r>
      <w:r w:rsidR="00116D66">
        <w:rPr>
          <w:noProof/>
        </w:rPr>
        <w:t>E</w:t>
      </w:r>
      <w:r w:rsidR="004F42F9">
        <w:rPr>
          <w:noProof/>
        </w:rPr>
        <w:t>U’s priorities.</w:t>
      </w:r>
    </w:p>
    <w:p w14:paraId="32FDD57F" w14:textId="1E180FAC" w:rsidR="000D7D9F" w:rsidRPr="001426A5" w:rsidRDefault="000D7D9F" w:rsidP="000D7D9F">
      <w:pPr>
        <w:pStyle w:val="amprA1H3thatlookslikeH4"/>
        <w:spacing w:before="360"/>
        <w:rPr>
          <w:rFonts w:ascii="EC Square Sans Pro" w:hAnsi="EC Square Sans Pro"/>
        </w:rPr>
      </w:pPr>
      <w:r w:rsidRPr="001426A5">
        <w:rPr>
          <w:rFonts w:ascii="EC Square Sans Pro" w:hAnsi="EC Square Sans Pro"/>
        </w:rPr>
        <w:t>Budget implementation in 202</w:t>
      </w:r>
      <w:r w:rsidR="007E3779">
        <w:rPr>
          <w:rFonts w:ascii="EC Square Sans Pro" w:hAnsi="EC Square Sans Pro"/>
        </w:rPr>
        <w:t>5</w:t>
      </w:r>
    </w:p>
    <w:p w14:paraId="4EF4406D" w14:textId="476035E1" w:rsidR="000D7D9F" w:rsidRPr="001426A5" w:rsidRDefault="000D7D9F" w:rsidP="000D7D9F">
      <w:pPr>
        <w:spacing w:after="0"/>
      </w:pPr>
      <w:r w:rsidRPr="00FD3BD8">
        <w:rPr>
          <w:rStyle w:val="Bold"/>
        </w:rPr>
        <w:t>In 202</w:t>
      </w:r>
      <w:r w:rsidR="0082136F" w:rsidRPr="00FD3BD8">
        <w:rPr>
          <w:rStyle w:val="Bold"/>
        </w:rPr>
        <w:t>5</w:t>
      </w:r>
      <w:r w:rsidR="004F42F9" w:rsidRPr="00FD3BD8">
        <w:rPr>
          <w:rStyle w:val="Bold"/>
        </w:rPr>
        <w:t>,</w:t>
      </w:r>
      <w:r w:rsidRPr="00FD3BD8">
        <w:rPr>
          <w:rStyle w:val="Bold"/>
        </w:rPr>
        <w:t xml:space="preserve"> the EU’s long-term budget (the multiannual financial framework) and NextGenerationEU continued to prove </w:t>
      </w:r>
      <w:r w:rsidR="00FA145C">
        <w:rPr>
          <w:rStyle w:val="Bold"/>
        </w:rPr>
        <w:t>their</w:t>
      </w:r>
      <w:r w:rsidR="00FA145C" w:rsidRPr="00FD3BD8">
        <w:rPr>
          <w:rStyle w:val="Bold"/>
        </w:rPr>
        <w:t xml:space="preserve"> </w:t>
      </w:r>
      <w:r w:rsidRPr="00FD3BD8">
        <w:rPr>
          <w:rStyle w:val="Bold"/>
        </w:rPr>
        <w:t xml:space="preserve">capacity to </w:t>
      </w:r>
      <w:r w:rsidR="00D47A50" w:rsidRPr="00FD3BD8">
        <w:rPr>
          <w:rStyle w:val="Bold"/>
        </w:rPr>
        <w:t>underpin</w:t>
      </w:r>
      <w:r w:rsidRPr="00FD3BD8">
        <w:rPr>
          <w:rStyle w:val="Bold"/>
        </w:rPr>
        <w:t xml:space="preserve"> the EU’s policy response to multiple crises</w:t>
      </w:r>
      <w:r w:rsidRPr="001426A5">
        <w:rPr>
          <w:rFonts w:ascii="Calibri" w:hAnsi="Calibri" w:cs="Calibri"/>
          <w:color w:val="0D0D0D" w:themeColor="text1" w:themeTint="F2"/>
        </w:rPr>
        <w:t> </w:t>
      </w:r>
      <w:r w:rsidRPr="001426A5">
        <w:t>– such as Russia’s war of aggression against Ukraine, the energy crisis, supply chain disruptions, unprecedented natural disasters and humanitarian crises</w:t>
      </w:r>
      <w:r w:rsidRPr="001426A5">
        <w:rPr>
          <w:rFonts w:ascii="Calibri" w:hAnsi="Calibri" w:cs="Calibri"/>
        </w:rPr>
        <w:t> </w:t>
      </w:r>
      <w:r w:rsidRPr="001426A5">
        <w:t xml:space="preserve">– while at the same time remaining instrumental to the delivery of the </w:t>
      </w:r>
      <w:r w:rsidR="004D7C3B">
        <w:t>Union’s</w:t>
      </w:r>
      <w:r w:rsidR="004D7C3B" w:rsidRPr="001426A5">
        <w:t xml:space="preserve"> </w:t>
      </w:r>
      <w:r w:rsidR="008A3E00">
        <w:t xml:space="preserve">longer-term </w:t>
      </w:r>
      <w:r w:rsidRPr="001426A5">
        <w:t xml:space="preserve">priorities. To achieve </w:t>
      </w:r>
      <w:r w:rsidRPr="00757FFB">
        <w:t xml:space="preserve">this, </w:t>
      </w:r>
      <w:r w:rsidRPr="006767BC">
        <w:t>EUR</w:t>
      </w:r>
      <w:r w:rsidR="00B562BC" w:rsidRPr="006767BC" w:rsidDel="006B5743">
        <w:rPr>
          <w:rFonts w:ascii="Calibri" w:hAnsi="Calibri" w:cs="Calibri"/>
        </w:rPr>
        <w:t> </w:t>
      </w:r>
      <w:r w:rsidR="006B5743">
        <w:t>206.5</w:t>
      </w:r>
      <w:r w:rsidR="006B5743" w:rsidRPr="006767BC">
        <w:rPr>
          <w:rFonts w:ascii="Calibri" w:hAnsi="Calibri" w:cs="Calibri"/>
        </w:rPr>
        <w:t> </w:t>
      </w:r>
      <w:r w:rsidRPr="006767BC">
        <w:t>billion</w:t>
      </w:r>
      <w:r w:rsidRPr="001426A5">
        <w:t xml:space="preserve"> was </w:t>
      </w:r>
      <w:r w:rsidR="001507F9">
        <w:t>committed</w:t>
      </w:r>
      <w:r w:rsidRPr="001426A5">
        <w:t xml:space="preserve"> in </w:t>
      </w:r>
      <w:r w:rsidRPr="0016526F">
        <w:rPr>
          <w:noProof/>
        </w:rPr>
        <w:t>202</w:t>
      </w:r>
      <w:r w:rsidR="0016526F">
        <w:rPr>
          <w:noProof/>
        </w:rPr>
        <w:t>5</w:t>
      </w:r>
      <w:r w:rsidRPr="0016526F">
        <w:rPr>
          <w:noProof/>
        </w:rPr>
        <w:t xml:space="preserve"> from </w:t>
      </w:r>
      <w:r w:rsidRPr="001426A5">
        <w:t>the EU budget</w:t>
      </w:r>
      <w:r w:rsidR="005D4169">
        <w:rPr>
          <w:rFonts w:ascii="Calibri" w:hAnsi="Calibri" w:cs="Calibri"/>
        </w:rPr>
        <w:t> </w:t>
      </w:r>
      <w:r w:rsidR="00F9277C" w:rsidRPr="006767BC">
        <w:rPr>
          <w:rStyle w:val="Bold"/>
          <w:b w:val="0"/>
          <w:shd w:val="clear" w:color="auto" w:fill="FFFFFF" w:themeFill="background1"/>
        </w:rPr>
        <w:t>(</w:t>
      </w:r>
      <w:r w:rsidR="00F9277C" w:rsidRPr="0014175F">
        <w:rPr>
          <w:rStyle w:val="FootnoteReference"/>
          <w:spacing w:val="1"/>
          <w:shd w:val="clear" w:color="auto" w:fill="FFFFFF" w:themeFill="background1"/>
        </w:rPr>
        <w:footnoteReference w:id="1"/>
      </w:r>
      <w:r w:rsidR="00F9277C" w:rsidRPr="006767BC">
        <w:rPr>
          <w:rStyle w:val="Bold"/>
          <w:b w:val="0"/>
          <w:shd w:val="clear" w:color="auto" w:fill="FFFFFF" w:themeFill="background1"/>
        </w:rPr>
        <w:t>)</w:t>
      </w:r>
      <w:r w:rsidR="00F9277C">
        <w:rPr>
          <w:rStyle w:val="Bold"/>
          <w:shd w:val="clear" w:color="auto" w:fill="FFFFFF" w:themeFill="background1"/>
        </w:rPr>
        <w:t xml:space="preserve"> </w:t>
      </w:r>
      <w:r w:rsidRPr="001426A5">
        <w:t>to promote the EU’s sustainability, competitiveness and prosperity, in particular by investing in the green and digital transition</w:t>
      </w:r>
      <w:r w:rsidR="000A0B57">
        <w:t>s</w:t>
      </w:r>
      <w:r w:rsidRPr="001426A5">
        <w:t xml:space="preserve">. This investment will strengthen the resilience of the EU’s social </w:t>
      </w:r>
      <w:r w:rsidR="009978B4">
        <w:t xml:space="preserve">market </w:t>
      </w:r>
      <w:r w:rsidRPr="001426A5">
        <w:t>economy, foster job creation and help to build a fairer, more sustainable future for all Europeans.</w:t>
      </w:r>
    </w:p>
    <w:p w14:paraId="0B5886E5" w14:textId="1200549A" w:rsidR="000D7D9F" w:rsidRPr="00E2721F" w:rsidRDefault="000D7D9F" w:rsidP="000D7D9F">
      <w:pPr>
        <w:pStyle w:val="ImageTitle"/>
      </w:pPr>
      <w:r w:rsidRPr="00E2721F">
        <w:t>Multiannual financial framework: 202</w:t>
      </w:r>
      <w:r w:rsidR="00F561CB" w:rsidRPr="00E2721F">
        <w:t>5</w:t>
      </w:r>
      <w:r w:rsidRPr="00E2721F">
        <w:t xml:space="preserve"> EU budget commitment appropriations by budget heading (million EUR)</w:t>
      </w:r>
      <w:r w:rsidR="00BB733A" w:rsidRPr="00E2721F">
        <w:t xml:space="preserve"> </w:t>
      </w:r>
    </w:p>
    <w:p w14:paraId="5E3BA4E1" w14:textId="41132986" w:rsidR="000D7D9F" w:rsidRPr="00037A5C" w:rsidRDefault="00B04E03" w:rsidP="00541054">
      <w:pPr>
        <w:pStyle w:val="ImagePlaceholder"/>
      </w:pPr>
      <w:r w:rsidRPr="00B04E03">
        <w:drawing>
          <wp:inline distT="0" distB="0" distL="0" distR="0" wp14:anchorId="61B337DC" wp14:editId="680E292F">
            <wp:extent cx="5534454" cy="2669912"/>
            <wp:effectExtent l="0" t="0" r="0" b="0"/>
            <wp:docPr id="66" name="Picture 65" descr="Horizontal bar chart showing the 2025 EU budget commitment appropriations by budget heading (million euros) within the Multiannual financial framework. All amounts are in million euros and appear in percentage and in absolute figures. Multiannual financial framework in 2025 total 206 542 million euros; Single market, innovation and digital represents 13%, and 27095 million euros; Cohesion, resilience and values, 38% and 78884 million euros;  Natural resources and environment 28% and 57658 million euros, Migration and border management 2% and 4738 million euros; Security and defence 1% and 2666 million euros; Neighbourhood and the world 10% and 19 645 million euros; European Commission administration 4%,  and 8381 million euros, and finally special instruments 4%, and 7474 million euros.">
              <a:extLst xmlns:a="http://schemas.openxmlformats.org/drawingml/2006/main">
                <a:ext uri="{FF2B5EF4-FFF2-40B4-BE49-F238E27FC236}">
                  <a16:creationId xmlns:a16="http://schemas.microsoft.com/office/drawing/2014/main" id="{4856D29D-CB2B-1B45-1832-0A66E83A0596}"/>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5" descr="Horizontal bar chart showing the 2025 EU budget commitment appropriations by budget heading (million euros) within the Multiannual financial framework. All amounts are in million euros and appear in percentage and in absolute figures. Multiannual financial framework in 2025 total 206 542 million euros; Single market, innovation and digital represents 13%, and 27095 million euros; Cohesion, resilience and values, 38% and 78884 million euros;  Natural resources and environment 28% and 57658 million euros, Migration and border management 2% and 4738 million euros; Security and defence 1% and 2666 million euros; Neighbourhood and the world 10% and 19 645 million euros; European Commission administration 4%,  and 8381 million euros, and finally special instruments 4%, and 7474 million euros.">
                      <a:extLst>
                        <a:ext uri="{FF2B5EF4-FFF2-40B4-BE49-F238E27FC236}">
                          <a16:creationId xmlns:a16="http://schemas.microsoft.com/office/drawing/2014/main" id="{4856D29D-CB2B-1B45-1832-0A66E83A0596}"/>
                        </a:ext>
                        <a:ext uri="{C183D7F6-B498-43B3-948B-1728B52AA6E4}">
                          <adec:decorative xmlns:adec="http://schemas.microsoft.com/office/drawing/2017/decorative" val="0"/>
                        </a:ext>
                      </a:extLst>
                    </pic:cNvPr>
                    <pic:cNvPicPr>
                      <a:picLocks noChangeAspect="1"/>
                    </pic:cNvPicPr>
                  </pic:nvPicPr>
                  <pic:blipFill>
                    <a:blip r:embed="rId51"/>
                    <a:srcRect l="1676" t="4055" r="6732" b="3996"/>
                    <a:stretch>
                      <a:fillRect/>
                    </a:stretch>
                  </pic:blipFill>
                  <pic:spPr>
                    <a:xfrm>
                      <a:off x="0" y="0"/>
                      <a:ext cx="5541204" cy="2673168"/>
                    </a:xfrm>
                    <a:prstGeom prst="rect">
                      <a:avLst/>
                    </a:prstGeom>
                  </pic:spPr>
                </pic:pic>
              </a:graphicData>
            </a:graphic>
          </wp:inline>
        </w:drawing>
      </w:r>
    </w:p>
    <w:p w14:paraId="31313397" w14:textId="77777777" w:rsidR="000D7D9F" w:rsidRPr="00037A5C" w:rsidRDefault="000D7D9F" w:rsidP="000D7D9F">
      <w:pPr>
        <w:pStyle w:val="ImageSource"/>
      </w:pPr>
      <w:r w:rsidRPr="001B7D68">
        <w:rPr>
          <w:rStyle w:val="Italic"/>
        </w:rPr>
        <w:t>Source:</w:t>
      </w:r>
      <w:r w:rsidRPr="00037A5C">
        <w:t xml:space="preserve"> European Commission. </w:t>
      </w:r>
    </w:p>
    <w:p w14:paraId="399F2017" w14:textId="77777777" w:rsidR="002006A4" w:rsidRDefault="00613F01" w:rsidP="00613F01">
      <w:pPr>
        <w:rPr>
          <w:noProof/>
        </w:rPr>
      </w:pPr>
      <w:r w:rsidRPr="00FD3BD8">
        <w:rPr>
          <w:rStyle w:val="Bold"/>
        </w:rPr>
        <w:t xml:space="preserve">The state of implementation varies across </w:t>
      </w:r>
      <w:r w:rsidR="00D75E26">
        <w:rPr>
          <w:rStyle w:val="Bold"/>
        </w:rPr>
        <w:t>EU</w:t>
      </w:r>
      <w:r w:rsidR="00D75E26" w:rsidRPr="00FD3BD8">
        <w:rPr>
          <w:rStyle w:val="Bold"/>
        </w:rPr>
        <w:t xml:space="preserve"> </w:t>
      </w:r>
      <w:r w:rsidRPr="00FD3BD8">
        <w:rPr>
          <w:rStyle w:val="Bold"/>
        </w:rPr>
        <w:t>programmes.</w:t>
      </w:r>
      <w:r w:rsidRPr="00627B60">
        <w:rPr>
          <w:noProof/>
        </w:rPr>
        <w:t xml:space="preserve"> </w:t>
      </w:r>
      <w:r w:rsidRPr="00627B60">
        <w:rPr>
          <w:rFonts w:eastAsia="EC Square Sans Pro" w:cs="EC Square Sans Pro"/>
          <w:noProof/>
        </w:rPr>
        <w:t xml:space="preserve">In their </w:t>
      </w:r>
      <w:r>
        <w:rPr>
          <w:rFonts w:eastAsia="EC Square Sans Pro" w:cs="EC Square Sans Pro"/>
          <w:noProof/>
        </w:rPr>
        <w:t>fifth</w:t>
      </w:r>
      <w:r w:rsidRPr="00627B60">
        <w:rPr>
          <w:rFonts w:eastAsia="EC Square Sans Pro" w:cs="EC Square Sans Pro"/>
          <w:noProof/>
        </w:rPr>
        <w:t xml:space="preserve"> year</w:t>
      </w:r>
      <w:r w:rsidRPr="00627B60">
        <w:rPr>
          <w:noProof/>
        </w:rPr>
        <w:t xml:space="preserve"> of implementation, programmes under direct and indirect management made substantial progress towards achieving their specific objectives. </w:t>
      </w:r>
      <w:r w:rsidRPr="000946C3">
        <w:rPr>
          <w:noProof/>
        </w:rPr>
        <w:t>For shared management programmes, such as under the cohesion policy funds, the implementation of the 2021-2027 programmes significantly accelerated in 2025. As of the end of 2025, Member States had selected operations amounting to 6</w:t>
      </w:r>
      <w:r w:rsidR="002F11E5">
        <w:rPr>
          <w:noProof/>
        </w:rPr>
        <w:t>4</w:t>
      </w:r>
      <w:r w:rsidRPr="000946C3">
        <w:rPr>
          <w:noProof/>
        </w:rPr>
        <w:t xml:space="preserve">% of their European Regional Development Fund, Cohesion Fund, Just Transition Fund </w:t>
      </w:r>
      <w:r w:rsidR="00ED5C06">
        <w:rPr>
          <w:noProof/>
        </w:rPr>
        <w:t>(</w:t>
      </w:r>
      <w:r w:rsidR="00ED5C06" w:rsidRPr="00ED5C06">
        <w:rPr>
          <w:noProof/>
        </w:rPr>
        <w:t xml:space="preserve">including Interreg Europe) </w:t>
      </w:r>
      <w:r w:rsidRPr="000946C3">
        <w:rPr>
          <w:noProof/>
        </w:rPr>
        <w:t>and European Social Fund Plus allocation. The midterm review of cohesion policy programmes in 2025 opened up an opportunity to ensure support to the most pressing priorities</w:t>
      </w:r>
      <w:r>
        <w:rPr>
          <w:noProof/>
        </w:rPr>
        <w:t>.</w:t>
      </w:r>
    </w:p>
    <w:p w14:paraId="342EC720" w14:textId="6E274FDF" w:rsidR="00613F01" w:rsidRPr="00EE3971" w:rsidRDefault="00613F01" w:rsidP="00EE3971">
      <w:pPr>
        <w:pStyle w:val="amprboxBLUEBoxTitle"/>
      </w:pPr>
      <w:r w:rsidRPr="00EE3971">
        <w:t>In total, EUR</w:t>
      </w:r>
      <w:r w:rsidR="005579B4" w:rsidRPr="00EE3971">
        <w:rPr>
          <w:rFonts w:ascii="Calibri" w:hAnsi="Calibri" w:cs="Calibri"/>
        </w:rPr>
        <w:t> </w:t>
      </w:r>
      <w:r w:rsidRPr="00EE3971">
        <w:t>34.6</w:t>
      </w:r>
      <w:r w:rsidR="005579B4" w:rsidRPr="00EE3971">
        <w:rPr>
          <w:rFonts w:ascii="Calibri" w:hAnsi="Calibri" w:cs="Calibri"/>
        </w:rPr>
        <w:t> </w:t>
      </w:r>
      <w:r w:rsidRPr="00EE3971">
        <w:t xml:space="preserve">billion of cohesion policy funds have been reallocated to EU strategic priorities in 25 Member States: </w:t>
      </w:r>
    </w:p>
    <w:p w14:paraId="0199DE43" w14:textId="1F87F485" w:rsidR="00613F01" w:rsidRDefault="00613F01" w:rsidP="00EE3971">
      <w:pPr>
        <w:pStyle w:val="amprboxBLUEbulletlist"/>
        <w:rPr>
          <w:noProof/>
        </w:rPr>
      </w:pPr>
      <w:r>
        <w:rPr>
          <w:noProof/>
        </w:rPr>
        <w:t>EUR</w:t>
      </w:r>
      <w:r w:rsidR="005579B4">
        <w:rPr>
          <w:rFonts w:ascii="Calibri" w:hAnsi="Calibri" w:cs="Calibri"/>
          <w:noProof/>
        </w:rPr>
        <w:t> </w:t>
      </w:r>
      <w:r w:rsidRPr="001F013F">
        <w:rPr>
          <w:noProof/>
        </w:rPr>
        <w:t>15.2</w:t>
      </w:r>
      <w:r w:rsidR="005579B4">
        <w:rPr>
          <w:rFonts w:ascii="Calibri" w:hAnsi="Calibri" w:cs="Calibri"/>
          <w:noProof/>
        </w:rPr>
        <w:t> </w:t>
      </w:r>
      <w:r w:rsidRPr="001F013F">
        <w:rPr>
          <w:noProof/>
        </w:rPr>
        <w:t xml:space="preserve">billion (or 43% of the total) for competitiveness (with </w:t>
      </w:r>
      <w:r w:rsidR="005C530E" w:rsidRPr="008A2BFE">
        <w:rPr>
          <w:noProof/>
        </w:rPr>
        <w:t xml:space="preserve">the </w:t>
      </w:r>
      <w:r w:rsidR="005C530E" w:rsidRPr="00733C7F">
        <w:rPr>
          <w:rStyle w:val="Bold"/>
          <w:b w:val="0"/>
        </w:rPr>
        <w:t xml:space="preserve">strategic technologies for Europe platform </w:t>
      </w:r>
      <w:r w:rsidR="008A2BFE" w:rsidRPr="00733C7F">
        <w:rPr>
          <w:rStyle w:val="Bold"/>
          <w:b w:val="0"/>
        </w:rPr>
        <w:t>(</w:t>
      </w:r>
      <w:r w:rsidRPr="008A2BFE">
        <w:rPr>
          <w:noProof/>
        </w:rPr>
        <w:t>STEP</w:t>
      </w:r>
      <w:r w:rsidR="008A2BFE" w:rsidRPr="008A2BFE">
        <w:rPr>
          <w:noProof/>
        </w:rPr>
        <w:t>)</w:t>
      </w:r>
      <w:r w:rsidRPr="001F013F">
        <w:rPr>
          <w:noProof/>
        </w:rPr>
        <w:t xml:space="preserve"> accounting for </w:t>
      </w:r>
      <w:r>
        <w:rPr>
          <w:noProof/>
        </w:rPr>
        <w:t>EUR</w:t>
      </w:r>
      <w:r w:rsidR="00B4242F">
        <w:rPr>
          <w:rFonts w:ascii="Calibri" w:hAnsi="Calibri" w:cs="Calibri"/>
          <w:noProof/>
        </w:rPr>
        <w:t> </w:t>
      </w:r>
      <w:r w:rsidRPr="001F013F">
        <w:rPr>
          <w:noProof/>
        </w:rPr>
        <w:t>15.1</w:t>
      </w:r>
      <w:r w:rsidR="00B4242F">
        <w:rPr>
          <w:rFonts w:ascii="Calibri" w:hAnsi="Calibri" w:cs="Calibri"/>
          <w:noProof/>
        </w:rPr>
        <w:t> </w:t>
      </w:r>
      <w:r w:rsidRPr="001F013F">
        <w:rPr>
          <w:noProof/>
        </w:rPr>
        <w:t>billion)</w:t>
      </w:r>
      <w:r>
        <w:rPr>
          <w:noProof/>
        </w:rPr>
        <w:t>;</w:t>
      </w:r>
    </w:p>
    <w:p w14:paraId="5F8F23DA" w14:textId="1CA2ACA3" w:rsidR="000F2232" w:rsidRDefault="00613F01" w:rsidP="00EE3971">
      <w:pPr>
        <w:pStyle w:val="amprboxBLUEbulletlist"/>
        <w:rPr>
          <w:noProof/>
        </w:rPr>
      </w:pPr>
      <w:r>
        <w:rPr>
          <w:noProof/>
        </w:rPr>
        <w:t>EUR</w:t>
      </w:r>
      <w:r w:rsidR="00B4242F">
        <w:rPr>
          <w:rFonts w:ascii="Calibri" w:hAnsi="Calibri" w:cs="Calibri"/>
          <w:noProof/>
        </w:rPr>
        <w:t> </w:t>
      </w:r>
      <w:r w:rsidRPr="001F013F">
        <w:rPr>
          <w:noProof/>
        </w:rPr>
        <w:t>11.9</w:t>
      </w:r>
      <w:r w:rsidR="00B4242F">
        <w:rPr>
          <w:rFonts w:ascii="Calibri" w:hAnsi="Calibri" w:cs="Calibri"/>
          <w:noProof/>
        </w:rPr>
        <w:t> </w:t>
      </w:r>
      <w:r w:rsidRPr="001F013F">
        <w:rPr>
          <w:noProof/>
        </w:rPr>
        <w:t>billion (34%) for defence</w:t>
      </w:r>
      <w:r w:rsidR="000F2232">
        <w:rPr>
          <w:noProof/>
        </w:rPr>
        <w:t>;</w:t>
      </w:r>
      <w:r w:rsidR="000F2232" w:rsidRPr="001F013F">
        <w:rPr>
          <w:noProof/>
        </w:rPr>
        <w:t xml:space="preserve"> </w:t>
      </w:r>
    </w:p>
    <w:p w14:paraId="06F05655" w14:textId="7A701317" w:rsidR="00613F01" w:rsidRDefault="00613F01" w:rsidP="00EE3971">
      <w:pPr>
        <w:pStyle w:val="amprboxBLUEbulletlist"/>
        <w:rPr>
          <w:noProof/>
        </w:rPr>
      </w:pPr>
      <w:r>
        <w:rPr>
          <w:noProof/>
        </w:rPr>
        <w:t>EUR</w:t>
      </w:r>
      <w:r w:rsidR="00B4242F">
        <w:rPr>
          <w:rFonts w:ascii="Calibri" w:hAnsi="Calibri" w:cs="Calibri"/>
          <w:noProof/>
        </w:rPr>
        <w:t> </w:t>
      </w:r>
      <w:r w:rsidRPr="001F013F">
        <w:rPr>
          <w:noProof/>
        </w:rPr>
        <w:t>3.3</w:t>
      </w:r>
      <w:r w:rsidR="00B4242F">
        <w:rPr>
          <w:rFonts w:ascii="Calibri" w:hAnsi="Calibri" w:cs="Calibri"/>
          <w:noProof/>
        </w:rPr>
        <w:t> </w:t>
      </w:r>
      <w:r w:rsidRPr="001F013F">
        <w:rPr>
          <w:noProof/>
        </w:rPr>
        <w:t xml:space="preserve">billion (close to 10%) </w:t>
      </w:r>
      <w:r w:rsidR="00B8476F">
        <w:rPr>
          <w:noProof/>
        </w:rPr>
        <w:t>for</w:t>
      </w:r>
      <w:r w:rsidRPr="001F013F">
        <w:rPr>
          <w:noProof/>
        </w:rPr>
        <w:t xml:space="preserve"> housing</w:t>
      </w:r>
      <w:r>
        <w:rPr>
          <w:noProof/>
        </w:rPr>
        <w:t>;</w:t>
      </w:r>
    </w:p>
    <w:p w14:paraId="4D2CB1E1" w14:textId="08359DCF" w:rsidR="00613F01" w:rsidRDefault="00613F01" w:rsidP="00EE3971">
      <w:pPr>
        <w:pStyle w:val="amprboxBLUEbulletlist"/>
        <w:rPr>
          <w:noProof/>
        </w:rPr>
      </w:pPr>
      <w:r>
        <w:rPr>
          <w:noProof/>
        </w:rPr>
        <w:t>EUR</w:t>
      </w:r>
      <w:r w:rsidR="00B4242F">
        <w:rPr>
          <w:rFonts w:ascii="Calibri" w:hAnsi="Calibri" w:cs="Calibri"/>
          <w:noProof/>
        </w:rPr>
        <w:t> </w:t>
      </w:r>
      <w:r w:rsidRPr="001F013F">
        <w:rPr>
          <w:noProof/>
        </w:rPr>
        <w:t>3.1</w:t>
      </w:r>
      <w:r w:rsidR="00B4242F">
        <w:rPr>
          <w:rFonts w:ascii="Calibri" w:hAnsi="Calibri" w:cs="Calibri"/>
          <w:noProof/>
        </w:rPr>
        <w:t> </w:t>
      </w:r>
      <w:r w:rsidRPr="001F013F">
        <w:rPr>
          <w:noProof/>
        </w:rPr>
        <w:t xml:space="preserve">billion (9%) </w:t>
      </w:r>
      <w:r w:rsidR="00B8476F">
        <w:rPr>
          <w:noProof/>
        </w:rPr>
        <w:t>for</w:t>
      </w:r>
      <w:r w:rsidRPr="001F013F">
        <w:rPr>
          <w:noProof/>
        </w:rPr>
        <w:t xml:space="preserve"> water investments</w:t>
      </w:r>
      <w:r>
        <w:rPr>
          <w:noProof/>
        </w:rPr>
        <w:t>;</w:t>
      </w:r>
      <w:r w:rsidRPr="001F013F">
        <w:rPr>
          <w:noProof/>
        </w:rPr>
        <w:t xml:space="preserve"> and </w:t>
      </w:r>
    </w:p>
    <w:p w14:paraId="46B0D027" w14:textId="4048F996" w:rsidR="00613F01" w:rsidRDefault="00613F01" w:rsidP="00EE3971">
      <w:pPr>
        <w:pStyle w:val="amprboxBLUEbulletlist"/>
        <w:rPr>
          <w:noProof/>
        </w:rPr>
      </w:pPr>
      <w:r>
        <w:rPr>
          <w:noProof/>
        </w:rPr>
        <w:t>EUR</w:t>
      </w:r>
      <w:r w:rsidR="00B4242F">
        <w:rPr>
          <w:rFonts w:ascii="Calibri" w:hAnsi="Calibri" w:cs="Calibri"/>
          <w:noProof/>
        </w:rPr>
        <w:t> </w:t>
      </w:r>
      <w:r w:rsidRPr="001F013F">
        <w:rPr>
          <w:noProof/>
        </w:rPr>
        <w:t>1.2</w:t>
      </w:r>
      <w:r w:rsidR="00B4242F">
        <w:rPr>
          <w:rFonts w:ascii="Calibri" w:hAnsi="Calibri" w:cs="Calibri"/>
          <w:noProof/>
        </w:rPr>
        <w:t> </w:t>
      </w:r>
      <w:r w:rsidRPr="001F013F">
        <w:rPr>
          <w:noProof/>
        </w:rPr>
        <w:t>billion (</w:t>
      </w:r>
      <w:r>
        <w:rPr>
          <w:noProof/>
        </w:rPr>
        <w:t xml:space="preserve">slightly above </w:t>
      </w:r>
      <w:r w:rsidRPr="001F013F">
        <w:rPr>
          <w:noProof/>
        </w:rPr>
        <w:t xml:space="preserve">3%) </w:t>
      </w:r>
      <w:r w:rsidR="00846331">
        <w:rPr>
          <w:noProof/>
        </w:rPr>
        <w:t>for</w:t>
      </w:r>
      <w:r w:rsidRPr="001F013F">
        <w:rPr>
          <w:noProof/>
        </w:rPr>
        <w:t xml:space="preserve"> energy security. </w:t>
      </w:r>
    </w:p>
    <w:p w14:paraId="6BB6116A" w14:textId="5D60B56A" w:rsidR="008002D2" w:rsidRDefault="0047238C" w:rsidP="0016526F">
      <w:pPr>
        <w:shd w:val="clear" w:color="auto" w:fill="FFFFFF" w:themeFill="background1"/>
        <w:spacing w:after="0"/>
        <w:rPr>
          <w:rStyle w:val="Bold"/>
          <w:rFonts w:asciiTheme="minorHAnsi" w:eastAsia="EC Square Sans Pro" w:hAnsiTheme="minorHAnsi"/>
          <w:b w:val="0"/>
        </w:rPr>
      </w:pPr>
      <w:r w:rsidRPr="00FD3BD8">
        <w:rPr>
          <w:rStyle w:val="Bold"/>
        </w:rPr>
        <w:t xml:space="preserve">NextGenerationEU further boosted the </w:t>
      </w:r>
      <w:r w:rsidR="00846331" w:rsidRPr="00FD3BD8">
        <w:rPr>
          <w:rStyle w:val="Bold"/>
        </w:rPr>
        <w:t>E</w:t>
      </w:r>
      <w:r w:rsidRPr="00FD3BD8">
        <w:rPr>
          <w:rStyle w:val="Bold"/>
        </w:rPr>
        <w:t>U</w:t>
      </w:r>
      <w:r w:rsidR="00846331" w:rsidRPr="00FD3BD8">
        <w:rPr>
          <w:rStyle w:val="Bold"/>
        </w:rPr>
        <w:t xml:space="preserve"> </w:t>
      </w:r>
      <w:r w:rsidRPr="00FD3BD8">
        <w:rPr>
          <w:rStyle w:val="Bold"/>
        </w:rPr>
        <w:t xml:space="preserve">budget capacity to </w:t>
      </w:r>
      <w:r w:rsidR="00325318">
        <w:rPr>
          <w:rStyle w:val="Bold"/>
        </w:rPr>
        <w:t>support</w:t>
      </w:r>
      <w:r w:rsidR="00325318" w:rsidRPr="00FD3BD8">
        <w:rPr>
          <w:rStyle w:val="Bold"/>
        </w:rPr>
        <w:t xml:space="preserve"> </w:t>
      </w:r>
      <w:r w:rsidRPr="00FD3BD8">
        <w:rPr>
          <w:rStyle w:val="Bold"/>
        </w:rPr>
        <w:t>Europe’s econom</w:t>
      </w:r>
      <w:r w:rsidR="00325318">
        <w:rPr>
          <w:rStyle w:val="Bold"/>
        </w:rPr>
        <w:t>ic recovery</w:t>
      </w:r>
      <w:r w:rsidRPr="00FD3BD8">
        <w:rPr>
          <w:rStyle w:val="Bold"/>
        </w:rPr>
        <w:t xml:space="preserve"> with a </w:t>
      </w:r>
      <w:r w:rsidR="003766AA">
        <w:rPr>
          <w:rStyle w:val="Bold"/>
        </w:rPr>
        <w:t>long-</w:t>
      </w:r>
      <w:r w:rsidRPr="00FD3BD8">
        <w:rPr>
          <w:rStyle w:val="Bold"/>
        </w:rPr>
        <w:t>lasting growth impact</w:t>
      </w:r>
      <w:r w:rsidR="00997ACB" w:rsidRPr="00FD3BD8">
        <w:rPr>
          <w:rStyle w:val="Bold"/>
        </w:rPr>
        <w:t>,</w:t>
      </w:r>
      <w:r w:rsidRPr="00FD3BD8">
        <w:rPr>
          <w:rStyle w:val="Bold"/>
        </w:rPr>
        <w:t xml:space="preserve"> </w:t>
      </w:r>
      <w:r w:rsidR="00A14129">
        <w:rPr>
          <w:rStyle w:val="Bold"/>
        </w:rPr>
        <w:t>and</w:t>
      </w:r>
      <w:r w:rsidRPr="00FD3BD8">
        <w:rPr>
          <w:rStyle w:val="Bold"/>
        </w:rPr>
        <w:t xml:space="preserve"> a strong focus on the digital and green transition</w:t>
      </w:r>
      <w:r w:rsidR="00581170" w:rsidRPr="00FD3BD8">
        <w:rPr>
          <w:rStyle w:val="Bold"/>
        </w:rPr>
        <w:t>s</w:t>
      </w:r>
      <w:r w:rsidRPr="00FD3BD8">
        <w:rPr>
          <w:rStyle w:val="Bold"/>
        </w:rPr>
        <w:t>.</w:t>
      </w:r>
      <w:r w:rsidRPr="7A15A005">
        <w:t xml:space="preserve"> From 2021 to 2026, </w:t>
      </w:r>
      <w:r w:rsidR="008E671B">
        <w:t xml:space="preserve">the Recovery and </w:t>
      </w:r>
      <w:r w:rsidR="00264B70">
        <w:t>R</w:t>
      </w:r>
      <w:r w:rsidR="008E671B">
        <w:t>esilience Facility</w:t>
      </w:r>
      <w:r w:rsidR="00CE4D85">
        <w:t xml:space="preserve"> </w:t>
      </w:r>
      <w:r w:rsidR="00A03903">
        <w:t>(RRF)</w:t>
      </w:r>
      <w:r w:rsidR="00CE4D85">
        <w:t xml:space="preserve">, which is the core of </w:t>
      </w:r>
      <w:r w:rsidRPr="7A15A005">
        <w:t>NextGenerationEU</w:t>
      </w:r>
      <w:r w:rsidR="00CE4D85">
        <w:t>,</w:t>
      </w:r>
      <w:r w:rsidRPr="7A15A005">
        <w:t xml:space="preserve"> is providing EUR</w:t>
      </w:r>
      <w:r w:rsidR="00F81BEF">
        <w:rPr>
          <w:rFonts w:ascii="Calibri" w:hAnsi="Calibri" w:cs="Calibri"/>
          <w:noProof/>
        </w:rPr>
        <w:t> </w:t>
      </w:r>
      <w:r w:rsidRPr="7A15A005">
        <w:t>577</w:t>
      </w:r>
      <w:r w:rsidR="00F81BEF">
        <w:rPr>
          <w:rFonts w:ascii="Calibri" w:hAnsi="Calibri" w:cs="Calibri"/>
          <w:noProof/>
        </w:rPr>
        <w:t> </w:t>
      </w:r>
      <w:r w:rsidRPr="7A15A005">
        <w:t xml:space="preserve">billion of funding </w:t>
      </w:r>
      <w:r w:rsidR="008276E1">
        <w:t xml:space="preserve">in </w:t>
      </w:r>
      <w:r w:rsidR="00111C18">
        <w:t>grants and loans to Member States</w:t>
      </w:r>
      <w:r w:rsidR="004C286F" w:rsidRPr="006767BC">
        <w:rPr>
          <w:rFonts w:cs="Calibri"/>
        </w:rPr>
        <w:t> </w:t>
      </w:r>
      <w:r w:rsidR="004C286F" w:rsidRPr="004C286F">
        <w:t>(</w:t>
      </w:r>
      <w:r w:rsidR="004C286F">
        <w:rPr>
          <w:rStyle w:val="FootnoteReference"/>
        </w:rPr>
        <w:footnoteReference w:id="2"/>
      </w:r>
      <w:r w:rsidR="00B31BF9">
        <w:t>)</w:t>
      </w:r>
      <w:r w:rsidR="00102C5D">
        <w:t>, including EUR</w:t>
      </w:r>
      <w:r w:rsidR="00264B70">
        <w:rPr>
          <w:rFonts w:ascii="Calibri" w:hAnsi="Calibri" w:cs="Calibri"/>
        </w:rPr>
        <w:t> </w:t>
      </w:r>
      <w:r w:rsidR="00102C5D">
        <w:t>16.4</w:t>
      </w:r>
      <w:r w:rsidR="000A1E0A">
        <w:rPr>
          <w:rFonts w:ascii="Calibri" w:hAnsi="Calibri" w:cs="Calibri"/>
        </w:rPr>
        <w:t> </w:t>
      </w:r>
      <w:r w:rsidR="00102C5D">
        <w:t>billion funded with revenue from the EU Emissions Trading System and transfers from the Brexit Adjustment Reserve</w:t>
      </w:r>
      <w:r w:rsidRPr="7A15A005">
        <w:t>. In 2025</w:t>
      </w:r>
      <w:r w:rsidR="00F27B1A">
        <w:t>,</w:t>
      </w:r>
      <w:r w:rsidRPr="7A15A005">
        <w:t xml:space="preserve"> EUR</w:t>
      </w:r>
      <w:r w:rsidR="00F81BEF">
        <w:rPr>
          <w:rFonts w:ascii="Calibri" w:hAnsi="Calibri" w:cs="Calibri"/>
          <w:noProof/>
        </w:rPr>
        <w:t> </w:t>
      </w:r>
      <w:r w:rsidRPr="7A15A005">
        <w:t>95.8</w:t>
      </w:r>
      <w:r w:rsidR="00F81BEF">
        <w:rPr>
          <w:rFonts w:ascii="Calibri" w:hAnsi="Calibri" w:cs="Calibri"/>
          <w:noProof/>
        </w:rPr>
        <w:t> </w:t>
      </w:r>
      <w:r w:rsidRPr="7A15A005">
        <w:t>billion of NextGenerationEU funds</w:t>
      </w:r>
      <w:r w:rsidR="00D851AE">
        <w:t xml:space="preserve"> were disbursed</w:t>
      </w:r>
      <w:r w:rsidRPr="7A15A005">
        <w:t xml:space="preserve">, mostly driven by the payments under the </w:t>
      </w:r>
      <w:r w:rsidR="00A03903">
        <w:t>RRF</w:t>
      </w:r>
      <w:r w:rsidRPr="7A15A005">
        <w:t xml:space="preserve"> amounting to EUR</w:t>
      </w:r>
      <w:r w:rsidR="00FC4300">
        <w:rPr>
          <w:rFonts w:ascii="Calibri" w:hAnsi="Calibri" w:cs="Calibri"/>
          <w:noProof/>
        </w:rPr>
        <w:t> </w:t>
      </w:r>
      <w:r w:rsidRPr="7A15A005">
        <w:t>87.3</w:t>
      </w:r>
      <w:r w:rsidR="00FC4300">
        <w:rPr>
          <w:rFonts w:ascii="Calibri" w:hAnsi="Calibri" w:cs="Calibri"/>
          <w:noProof/>
        </w:rPr>
        <w:t> </w:t>
      </w:r>
      <w:r w:rsidRPr="7A15A005">
        <w:t>billion (EUR</w:t>
      </w:r>
      <w:r w:rsidR="00FC4300">
        <w:rPr>
          <w:rFonts w:ascii="Calibri" w:hAnsi="Calibri" w:cs="Calibri"/>
          <w:noProof/>
        </w:rPr>
        <w:t> </w:t>
      </w:r>
      <w:r w:rsidRPr="7A15A005">
        <w:t>40.1</w:t>
      </w:r>
      <w:r w:rsidR="00FC4300">
        <w:rPr>
          <w:rFonts w:ascii="Calibri" w:hAnsi="Calibri" w:cs="Calibri"/>
          <w:noProof/>
        </w:rPr>
        <w:t> </w:t>
      </w:r>
      <w:r w:rsidR="00386E96">
        <w:t>b</w:t>
      </w:r>
      <w:r w:rsidRPr="7A15A005">
        <w:t xml:space="preserve">illion in </w:t>
      </w:r>
      <w:r w:rsidR="003A0A18">
        <w:t>non-repayable support</w:t>
      </w:r>
      <w:r w:rsidR="003A0A18" w:rsidRPr="7A15A005">
        <w:t xml:space="preserve"> </w:t>
      </w:r>
      <w:r w:rsidRPr="7A15A005">
        <w:t>and EUR</w:t>
      </w:r>
      <w:r w:rsidR="00FC4300">
        <w:rPr>
          <w:rFonts w:ascii="Calibri" w:hAnsi="Calibri" w:cs="Calibri"/>
          <w:noProof/>
        </w:rPr>
        <w:t> </w:t>
      </w:r>
      <w:r w:rsidRPr="7A15A005">
        <w:t>47.2</w:t>
      </w:r>
      <w:r w:rsidR="00FC4300">
        <w:rPr>
          <w:rFonts w:ascii="Calibri" w:hAnsi="Calibri" w:cs="Calibri"/>
          <w:noProof/>
        </w:rPr>
        <w:t> </w:t>
      </w:r>
      <w:r w:rsidRPr="7A15A005">
        <w:t xml:space="preserve">billion in loans). This brought the total disbursements </w:t>
      </w:r>
      <w:r w:rsidR="00B02F64">
        <w:t>under the Fa</w:t>
      </w:r>
      <w:r w:rsidR="00B45FBF">
        <w:t>c</w:t>
      </w:r>
      <w:r w:rsidR="00B02F64">
        <w:t>ility</w:t>
      </w:r>
      <w:r w:rsidR="00B45FBF">
        <w:t xml:space="preserve"> </w:t>
      </w:r>
      <w:r w:rsidRPr="7A15A005">
        <w:t>to EUR</w:t>
      </w:r>
      <w:r w:rsidR="00FC4300">
        <w:rPr>
          <w:rFonts w:ascii="Calibri" w:hAnsi="Calibri" w:cs="Calibri"/>
          <w:noProof/>
        </w:rPr>
        <w:t> </w:t>
      </w:r>
      <w:r w:rsidRPr="7A15A005">
        <w:t>393.4</w:t>
      </w:r>
      <w:r w:rsidR="00FC4300">
        <w:rPr>
          <w:rFonts w:ascii="Calibri" w:hAnsi="Calibri" w:cs="Calibri"/>
          <w:noProof/>
        </w:rPr>
        <w:t> </w:t>
      </w:r>
      <w:r w:rsidRPr="7A15A005">
        <w:t xml:space="preserve">billion, divided into </w:t>
      </w:r>
      <w:r w:rsidR="00783659">
        <w:t>EUR</w:t>
      </w:r>
      <w:r w:rsidR="00783659">
        <w:rPr>
          <w:rFonts w:ascii="Calibri" w:hAnsi="Calibri" w:cs="Calibri"/>
          <w:noProof/>
        </w:rPr>
        <w:t> </w:t>
      </w:r>
      <w:r w:rsidRPr="7A15A005">
        <w:t>237.5</w:t>
      </w:r>
      <w:r w:rsidR="00783659">
        <w:rPr>
          <w:rFonts w:ascii="Calibri" w:hAnsi="Calibri" w:cs="Calibri"/>
          <w:noProof/>
        </w:rPr>
        <w:t> </w:t>
      </w:r>
      <w:r w:rsidRPr="7A15A005">
        <w:t xml:space="preserve">billion in </w:t>
      </w:r>
      <w:r w:rsidR="00850246">
        <w:t>non-repayable suppo</w:t>
      </w:r>
      <w:r w:rsidR="00C279B0">
        <w:t>r</w:t>
      </w:r>
      <w:r w:rsidR="00850246">
        <w:t>t</w:t>
      </w:r>
      <w:r w:rsidR="00E22503">
        <w:t xml:space="preserve"> (66% of the total EUR</w:t>
      </w:r>
      <w:r w:rsidR="000A1E0A">
        <w:rPr>
          <w:rFonts w:ascii="Calibri" w:hAnsi="Calibri" w:cs="Calibri"/>
        </w:rPr>
        <w:t> </w:t>
      </w:r>
      <w:r w:rsidR="00E22503">
        <w:t>360</w:t>
      </w:r>
      <w:r w:rsidR="000A1E0A">
        <w:rPr>
          <w:rFonts w:ascii="Calibri" w:hAnsi="Calibri" w:cs="Calibri"/>
        </w:rPr>
        <w:t> </w:t>
      </w:r>
      <w:r w:rsidR="00E22503">
        <w:t xml:space="preserve">billion RRF </w:t>
      </w:r>
      <w:r w:rsidR="004B0A87">
        <w:t>non-repayable support</w:t>
      </w:r>
      <w:r w:rsidR="00E22503">
        <w:t xml:space="preserve"> envelope at end 2025</w:t>
      </w:r>
      <w:r w:rsidRPr="7A15A005">
        <w:t>) and EUR</w:t>
      </w:r>
      <w:r w:rsidR="00D6552E">
        <w:rPr>
          <w:rFonts w:ascii="Calibri" w:hAnsi="Calibri" w:cs="Calibri"/>
          <w:noProof/>
        </w:rPr>
        <w:t> </w:t>
      </w:r>
      <w:r w:rsidRPr="7A15A005">
        <w:t>155.9</w:t>
      </w:r>
      <w:r w:rsidR="00D6552E">
        <w:rPr>
          <w:rFonts w:ascii="Calibri" w:hAnsi="Calibri" w:cs="Calibri"/>
          <w:noProof/>
        </w:rPr>
        <w:t> </w:t>
      </w:r>
      <w:r w:rsidRPr="7A15A005">
        <w:t>billion in loans (56% of the total EUR</w:t>
      </w:r>
      <w:r w:rsidR="00D6552E">
        <w:rPr>
          <w:rFonts w:ascii="Calibri" w:hAnsi="Calibri" w:cs="Calibri"/>
          <w:noProof/>
        </w:rPr>
        <w:t> </w:t>
      </w:r>
      <w:r w:rsidRPr="7A15A005">
        <w:t>277</w:t>
      </w:r>
      <w:r w:rsidR="00D6552E">
        <w:rPr>
          <w:rFonts w:ascii="Calibri" w:hAnsi="Calibri" w:cs="Calibri"/>
          <w:noProof/>
        </w:rPr>
        <w:t> </w:t>
      </w:r>
      <w:r w:rsidRPr="7A15A005">
        <w:t xml:space="preserve">billion </w:t>
      </w:r>
      <w:r w:rsidR="00B44CC1">
        <w:t>RRF</w:t>
      </w:r>
      <w:r w:rsidR="009A3A08" w:rsidRPr="7A15A005">
        <w:t xml:space="preserve"> </w:t>
      </w:r>
      <w:r w:rsidRPr="7A15A005">
        <w:t xml:space="preserve">loan envelope at </w:t>
      </w:r>
      <w:r w:rsidR="00A5292B">
        <w:t xml:space="preserve">the </w:t>
      </w:r>
      <w:r w:rsidRPr="7A15A005">
        <w:t xml:space="preserve">end </w:t>
      </w:r>
      <w:r w:rsidR="00A5292B">
        <w:t xml:space="preserve">of </w:t>
      </w:r>
      <w:r w:rsidRPr="7A15A005">
        <w:t>2025).</w:t>
      </w:r>
      <w:r w:rsidR="008002D2" w:rsidRPr="7A15A005">
        <w:t xml:space="preserve"> </w:t>
      </w:r>
    </w:p>
    <w:p w14:paraId="2C7D059F" w14:textId="42CC137A" w:rsidR="00100E07" w:rsidRPr="00B13363" w:rsidRDefault="00100E07" w:rsidP="00100E07">
      <w:pPr>
        <w:shd w:val="clear" w:color="auto" w:fill="FFFFFF" w:themeFill="background1"/>
      </w:pPr>
      <w:r>
        <w:t>In</w:t>
      </w:r>
      <w:r w:rsidRPr="00CE42CA">
        <w:t xml:space="preserve"> 2025, </w:t>
      </w:r>
      <w:r w:rsidRPr="006767BC">
        <w:t>EUR</w:t>
      </w:r>
      <w:r w:rsidR="00CD7306" w:rsidRPr="00901291">
        <w:rPr>
          <w:rFonts w:ascii="Calibri" w:hAnsi="Calibri" w:cs="Calibri"/>
          <w:noProof/>
        </w:rPr>
        <w:t> </w:t>
      </w:r>
      <w:r w:rsidR="0030242A" w:rsidRPr="006767BC">
        <w:t>5</w:t>
      </w:r>
      <w:r w:rsidRPr="006767BC">
        <w:t>.</w:t>
      </w:r>
      <w:r w:rsidR="0030242A" w:rsidRPr="006767BC">
        <w:t>5</w:t>
      </w:r>
      <w:r w:rsidR="00CD7306" w:rsidRPr="00901291">
        <w:rPr>
          <w:rFonts w:ascii="Calibri" w:hAnsi="Calibri" w:cs="Calibri"/>
          <w:noProof/>
        </w:rPr>
        <w:t> </w:t>
      </w:r>
      <w:r w:rsidRPr="006767BC">
        <w:t>billion</w:t>
      </w:r>
      <w:r w:rsidRPr="00901291">
        <w:t xml:space="preserve"> </w:t>
      </w:r>
      <w:r w:rsidR="00940AF0" w:rsidRPr="00901291">
        <w:t>was</w:t>
      </w:r>
      <w:r w:rsidRPr="00CE42CA">
        <w:t xml:space="preserve"> paid for commitments made under </w:t>
      </w:r>
      <w:r w:rsidR="00C279B0">
        <w:t>several</w:t>
      </w:r>
      <w:r w:rsidRPr="00CE42CA">
        <w:t xml:space="preserve"> EU programmes </w:t>
      </w:r>
      <w:r>
        <w:t>in</w:t>
      </w:r>
      <w:r w:rsidRPr="00CE42CA">
        <w:t xml:space="preserve"> the previous programming period (2014-2020)</w:t>
      </w:r>
      <w:r w:rsidR="00F8544B">
        <w:t>.</w:t>
      </w:r>
      <w:r w:rsidRPr="00CE42CA">
        <w:t xml:space="preserve"> </w:t>
      </w:r>
      <w:r>
        <w:t>Most</w:t>
      </w:r>
      <w:r w:rsidRPr="00CE42CA">
        <w:t xml:space="preserve"> of these payments were associated with cohesion policy (including the European Regional Development Fund, the Cohesion Fund and the European Social Fund)</w:t>
      </w:r>
      <w:r w:rsidR="00F8544B">
        <w:t>, a</w:t>
      </w:r>
      <w:r w:rsidR="00155841">
        <w:t xml:space="preserve">long with </w:t>
      </w:r>
      <w:r w:rsidR="00BE56DF">
        <w:t xml:space="preserve">the </w:t>
      </w:r>
      <w:r w:rsidR="00BE56DF" w:rsidRPr="00BE56DF">
        <w:t>European Agricultural Fund for Regional Development</w:t>
      </w:r>
      <w:r w:rsidR="00BE56DF">
        <w:t xml:space="preserve"> and</w:t>
      </w:r>
      <w:r w:rsidR="00BE56DF" w:rsidRPr="00BE56DF">
        <w:t xml:space="preserve"> </w:t>
      </w:r>
      <w:r w:rsidR="00CF6E8D">
        <w:t>the Connecting Europe Facility</w:t>
      </w:r>
      <w:r w:rsidRPr="00CE42CA">
        <w:t xml:space="preserve">. </w:t>
      </w:r>
    </w:p>
    <w:p w14:paraId="3904ABA2" w14:textId="77777777" w:rsidR="000D7D9F" w:rsidRPr="00B13363" w:rsidRDefault="000D7D9F" w:rsidP="00796F20">
      <w:pPr>
        <w:pStyle w:val="amprA1H3thatlookslikeH4"/>
        <w:rPr>
          <w:rFonts w:ascii="EC Square Sans Pro" w:hAnsi="EC Square Sans Pro"/>
        </w:rPr>
      </w:pPr>
      <w:r w:rsidRPr="00C72750">
        <w:rPr>
          <w:rFonts w:ascii="EC Square Sans Pro" w:hAnsi="EC Square Sans Pro"/>
        </w:rPr>
        <w:t>Monitoring performance</w:t>
      </w:r>
    </w:p>
    <w:p w14:paraId="00BF4E88" w14:textId="2A140E7B" w:rsidR="000D7D9F" w:rsidRPr="00627B60" w:rsidRDefault="000D7D9F" w:rsidP="000D7D9F">
      <w:pPr>
        <w:rPr>
          <w:noProof/>
        </w:rPr>
      </w:pPr>
      <w:r w:rsidRPr="00446385">
        <w:rPr>
          <w:b/>
        </w:rPr>
        <w:t>In 202</w:t>
      </w:r>
      <w:r w:rsidR="000E2961" w:rsidRPr="00446385">
        <w:rPr>
          <w:b/>
        </w:rPr>
        <w:t>5</w:t>
      </w:r>
      <w:r w:rsidR="00EE5530">
        <w:rPr>
          <w:b/>
        </w:rPr>
        <w:t>,</w:t>
      </w:r>
      <w:r w:rsidRPr="00446385">
        <w:rPr>
          <w:b/>
        </w:rPr>
        <w:t xml:space="preserve"> EU programmes continued to progress</w:t>
      </w:r>
      <w:r w:rsidRPr="00446385" w:rsidDel="00955419">
        <w:rPr>
          <w:b/>
        </w:rPr>
        <w:t xml:space="preserve"> </w:t>
      </w:r>
      <w:r w:rsidR="00955419">
        <w:rPr>
          <w:b/>
        </w:rPr>
        <w:t>towards</w:t>
      </w:r>
      <w:r w:rsidR="00955419" w:rsidRPr="00446385">
        <w:rPr>
          <w:b/>
        </w:rPr>
        <w:t xml:space="preserve"> </w:t>
      </w:r>
      <w:r w:rsidRPr="00446385">
        <w:rPr>
          <w:b/>
        </w:rPr>
        <w:t xml:space="preserve">achieving their key objectives and delivering value for all EU citizens. </w:t>
      </w:r>
      <w:r w:rsidR="00797ACC">
        <w:rPr>
          <w:noProof/>
        </w:rPr>
        <w:t>P</w:t>
      </w:r>
      <w:r w:rsidRPr="007564F5">
        <w:rPr>
          <w:noProof/>
        </w:rPr>
        <w:t xml:space="preserve">rogress towards the programme objectives is monitored most notably by means of </w:t>
      </w:r>
      <w:r w:rsidRPr="00627B60">
        <w:rPr>
          <w:noProof/>
        </w:rPr>
        <w:t>performance indicators.</w:t>
      </w:r>
      <w:r w:rsidR="00AA3D9C">
        <w:rPr>
          <w:noProof/>
        </w:rPr>
        <w:t xml:space="preserve"> </w:t>
      </w:r>
      <w:r w:rsidRPr="00627B60">
        <w:rPr>
          <w:noProof/>
        </w:rPr>
        <w:t xml:space="preserve">For those indicators </w:t>
      </w:r>
      <w:r w:rsidR="00BB6379" w:rsidRPr="00BB6379">
        <w:rPr>
          <w:noProof/>
        </w:rPr>
        <w:t>with defined targets and for which implementation progress allowed an assessment</w:t>
      </w:r>
      <w:r w:rsidRPr="00627B60">
        <w:rPr>
          <w:noProof/>
        </w:rPr>
        <w:t xml:space="preserve">, the vast majority </w:t>
      </w:r>
      <w:r w:rsidR="007768F5">
        <w:rPr>
          <w:noProof/>
        </w:rPr>
        <w:t xml:space="preserve">(79%) </w:t>
      </w:r>
      <w:r w:rsidRPr="00627B60">
        <w:rPr>
          <w:noProof/>
        </w:rPr>
        <w:t>were considered to be on track to reach their targets by the end of the implementation of the programmes. Detailed information at the programme level is available in the programme performance statements, Annex</w:t>
      </w:r>
      <w:r w:rsidRPr="00627B60">
        <w:rPr>
          <w:rFonts w:ascii="Calibri" w:hAnsi="Calibri" w:cs="Calibri"/>
          <w:noProof/>
        </w:rPr>
        <w:t> </w:t>
      </w:r>
      <w:r w:rsidRPr="00627B60">
        <w:rPr>
          <w:noProof/>
        </w:rPr>
        <w:t>4 to this report.</w:t>
      </w:r>
    </w:p>
    <w:p w14:paraId="6376B777" w14:textId="314AF344" w:rsidR="000D7D9F" w:rsidRDefault="000D7D9F" w:rsidP="00796F20">
      <w:pPr>
        <w:pStyle w:val="ImageSubtitle"/>
        <w:spacing w:after="0"/>
        <w:rPr>
          <w:noProof/>
        </w:rPr>
      </w:pPr>
      <w:r w:rsidRPr="000E2961">
        <w:rPr>
          <w:noProof/>
        </w:rPr>
        <w:t xml:space="preserve">Breakdown of 2021-2027 core performance indicators by </w:t>
      </w:r>
      <w:r w:rsidR="00134180">
        <w:rPr>
          <w:noProof/>
        </w:rPr>
        <w:t>p</w:t>
      </w:r>
      <w:r w:rsidRPr="000E2961">
        <w:rPr>
          <w:noProof/>
        </w:rPr>
        <w:t>rogress towards targets</w:t>
      </w:r>
      <w:r w:rsidR="00A7067E">
        <w:rPr>
          <w:noProof/>
        </w:rPr>
        <w:t xml:space="preserve"> </w:t>
      </w:r>
    </w:p>
    <w:p w14:paraId="1A0CEA5F" w14:textId="3989E6D7" w:rsidR="000E2961" w:rsidRPr="000E2961" w:rsidRDefault="00064507" w:rsidP="00541054">
      <w:pPr>
        <w:pStyle w:val="ImagePlaceholder"/>
      </w:pPr>
      <w:r w:rsidRPr="00064507">
        <w:t xml:space="preserve"> </w:t>
      </w:r>
      <w:r w:rsidRPr="00064507">
        <w:drawing>
          <wp:inline distT="0" distB="0" distL="0" distR="0" wp14:anchorId="4DE3E024" wp14:editId="4A866C64">
            <wp:extent cx="5759087" cy="818984"/>
            <wp:effectExtent l="0" t="0" r="0" b="635"/>
            <wp:docPr id="6" name="Picture 5" descr="Horizontal bar chart presenting the breakdown of the 2021-2027 core performance indicators by progress towards targets. It shows that 79% of indicators are on track to meet their respective targets, 15% of indicators show moderate progress to meet their respective targets and finally 6% of indicators deserve attention to meet their respective targets.">
              <a:extLst xmlns:a="http://schemas.openxmlformats.org/drawingml/2006/main">
                <a:ext uri="{FF2B5EF4-FFF2-40B4-BE49-F238E27FC236}">
                  <a16:creationId xmlns:a16="http://schemas.microsoft.com/office/drawing/2014/main" id="{D70127A0-1D3E-D9FD-DD7F-860EF84E4B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Horizontal bar chart presenting the breakdown of the 2021-2027 core performance indicators by progress towards targets. It shows that 79% of indicators are on track to meet their respective targets, 15% of indicators show moderate progress to meet their respective targets and finally 6% of indicators deserve attention to meet their respective targets.">
                      <a:extLst>
                        <a:ext uri="{FF2B5EF4-FFF2-40B4-BE49-F238E27FC236}">
                          <a16:creationId xmlns:a16="http://schemas.microsoft.com/office/drawing/2014/main" id="{D70127A0-1D3E-D9FD-DD7F-860EF84E4BB7}"/>
                        </a:ext>
                      </a:extLst>
                    </pic:cNvPr>
                    <pic:cNvPicPr>
                      <a:picLocks noChangeAspect="1"/>
                    </pic:cNvPicPr>
                  </pic:nvPicPr>
                  <pic:blipFill rotWithShape="1">
                    <a:blip r:embed="rId52"/>
                    <a:srcRect l="5811" t="25185" r="4835" b="37314"/>
                    <a:stretch>
                      <a:fillRect/>
                    </a:stretch>
                  </pic:blipFill>
                  <pic:spPr bwMode="auto">
                    <a:xfrm>
                      <a:off x="0" y="0"/>
                      <a:ext cx="5760085" cy="819126"/>
                    </a:xfrm>
                    <a:prstGeom prst="rect">
                      <a:avLst/>
                    </a:prstGeom>
                    <a:ln>
                      <a:noFill/>
                    </a:ln>
                    <a:extLst>
                      <a:ext uri="{53640926-AAD7-44D8-BBD7-CCE9431645EC}">
                        <a14:shadowObscured xmlns:a14="http://schemas.microsoft.com/office/drawing/2010/main"/>
                      </a:ext>
                    </a:extLst>
                  </pic:spPr>
                </pic:pic>
              </a:graphicData>
            </a:graphic>
          </wp:inline>
        </w:drawing>
      </w:r>
    </w:p>
    <w:p w14:paraId="5C692A98" w14:textId="77777777" w:rsidR="000D7D9F" w:rsidRPr="000E2961" w:rsidRDefault="000D7D9F" w:rsidP="000D7D9F">
      <w:pPr>
        <w:pStyle w:val="TableNotes"/>
        <w:rPr>
          <w:rFonts w:ascii="EC Square Sans Pro" w:hAnsi="EC Square Sans Pro"/>
          <w:noProof/>
        </w:rPr>
      </w:pPr>
      <w:r w:rsidRPr="000E2961">
        <w:rPr>
          <w:noProof/>
        </w:rPr>
        <w:t>NB:</w:t>
      </w:r>
      <w:r w:rsidRPr="000E2961" w:rsidDel="00104C5B">
        <w:rPr>
          <w:noProof/>
        </w:rPr>
        <w:t xml:space="preserve"> </w:t>
      </w:r>
      <w:r w:rsidRPr="000E2961">
        <w:rPr>
          <w:noProof/>
        </w:rPr>
        <w:t xml:space="preserve">The graph displays progress as measured by the share of the core performance indicators that are on track to meet their respective </w:t>
      </w:r>
    </w:p>
    <w:p w14:paraId="6A7A6657" w14:textId="2739A96A" w:rsidR="00821DEA" w:rsidRDefault="000D7D9F" w:rsidP="00446385">
      <w:pPr>
        <w:pStyle w:val="ImageNotes"/>
      </w:pPr>
      <w:r w:rsidRPr="000E2961">
        <w:rPr>
          <w:noProof/>
        </w:rPr>
        <w:t>targets</w:t>
      </w:r>
      <w:r w:rsidRPr="00FC7F34">
        <w:rPr>
          <w:noProof/>
        </w:rPr>
        <w:t>. It does not inclu</w:t>
      </w:r>
      <w:r w:rsidRPr="00FC7F34">
        <w:t>de indicators for which the results do not allow an assessment at this stage.</w:t>
      </w:r>
    </w:p>
    <w:p w14:paraId="49D0C43E" w14:textId="469C050C" w:rsidR="000D7D9F" w:rsidRPr="00FC7F34" w:rsidRDefault="000D7D9F" w:rsidP="00446385">
      <w:pPr>
        <w:pStyle w:val="ImageNotes"/>
      </w:pPr>
      <w:r w:rsidRPr="00FC7F34">
        <w:rPr>
          <w:i/>
        </w:rPr>
        <w:t>Source:</w:t>
      </w:r>
      <w:r w:rsidRPr="00FC7F34">
        <w:t xml:space="preserve"> European Commission.</w:t>
      </w:r>
    </w:p>
    <w:p w14:paraId="0BC2C8FB" w14:textId="7C744ECA" w:rsidR="000D7D9F" w:rsidRDefault="00B63F5B" w:rsidP="000D7D9F">
      <w:r w:rsidRPr="00446385">
        <w:rPr>
          <w:b/>
        </w:rPr>
        <w:t xml:space="preserve">Spending must </w:t>
      </w:r>
      <w:r w:rsidR="000D7D9F" w:rsidRPr="00446385">
        <w:rPr>
          <w:b/>
        </w:rPr>
        <w:t>address the challenges and deliver the expected results on the ground</w:t>
      </w:r>
      <w:r w:rsidR="000D7D9F" w:rsidRPr="00780140">
        <w:rPr>
          <w:b/>
          <w:bCs/>
        </w:rPr>
        <w:t>.</w:t>
      </w:r>
      <w:r w:rsidR="000D7D9F" w:rsidRPr="00B13363">
        <w:t xml:space="preserve"> The table below shows examples of results from the EU budget achieved under both the 2014-2020 and the 2021-2027 multiannual financial frameworks.</w:t>
      </w:r>
    </w:p>
    <w:p w14:paraId="324FD76F" w14:textId="2637A106" w:rsidR="00F90239" w:rsidRPr="00F90239" w:rsidRDefault="00F90239" w:rsidP="00F90239">
      <w:pPr>
        <w:pStyle w:val="amprboxBLUEBoxTitle"/>
        <w:rPr>
          <w:lang w:val="en-IE"/>
        </w:rPr>
      </w:pPr>
      <w:r>
        <w:t>Examples of results achieved</w:t>
      </w:r>
    </w:p>
    <w:p w14:paraId="60A78DA3" w14:textId="05B8259B" w:rsidR="00F90239" w:rsidRPr="00F90239" w:rsidRDefault="00F90239" w:rsidP="00F90239">
      <w:pPr>
        <w:pStyle w:val="amprboxBLUEtext"/>
      </w:pPr>
      <w:r w:rsidRPr="00F90239">
        <w:rPr>
          <w:b/>
        </w:rPr>
        <w:t>Climate</w:t>
      </w:r>
      <w:r w:rsidRPr="00F90239">
        <w:rPr>
          <w:rFonts w:ascii="Calibri" w:hAnsi="Calibri" w:cs="Calibri"/>
          <w:b/>
        </w:rPr>
        <w:t> </w:t>
      </w:r>
      <w:r w:rsidRPr="00F90239">
        <w:t>(</w:t>
      </w:r>
      <w:r w:rsidRPr="00F90239">
        <w:rPr>
          <w:vertAlign w:val="superscript"/>
        </w:rPr>
        <w:footnoteReference w:id="3"/>
      </w:r>
      <w:r w:rsidRPr="00F90239">
        <w:t>)</w:t>
      </w:r>
    </w:p>
    <w:p w14:paraId="36C60F82" w14:textId="3FC50D52" w:rsidR="00F90239" w:rsidRDefault="00F90239" w:rsidP="00F90239">
      <w:pPr>
        <w:pStyle w:val="amprboxBLUEbulletlist"/>
      </w:pPr>
      <w:r w:rsidRPr="5E0C6ACE">
        <w:rPr>
          <w:b/>
          <w:bCs/>
        </w:rPr>
        <w:t>4</w:t>
      </w:r>
      <w:r w:rsidR="198587F2" w:rsidRPr="5E0C6ACE">
        <w:rPr>
          <w:b/>
          <w:bCs/>
        </w:rPr>
        <w:t>2</w:t>
      </w:r>
      <w:r w:rsidR="006C1F67">
        <w:rPr>
          <w:rFonts w:ascii="Calibri" w:hAnsi="Calibri" w:cs="Calibri"/>
          <w:b/>
        </w:rPr>
        <w:t> </w:t>
      </w:r>
      <w:r w:rsidRPr="00F90239">
        <w:rPr>
          <w:b/>
        </w:rPr>
        <w:t>gigawatt-hours of estimated energy efficiency savings per year from private and public buildings</w:t>
      </w:r>
      <w:r w:rsidRPr="00F90239">
        <w:t xml:space="preserve"> by the InvestEU programme,</w:t>
      </w:r>
      <w:r w:rsidRPr="00F90239">
        <w:rPr>
          <w:b/>
        </w:rPr>
        <w:t xml:space="preserve"> </w:t>
      </w:r>
      <w:r w:rsidRPr="00F90239">
        <w:t xml:space="preserve">cohesion policy funds, the LIFE programme and the Recovery and Resilience Facility, in the </w:t>
      </w:r>
      <w:r>
        <w:t>20</w:t>
      </w:r>
      <w:r w:rsidR="4785DAE2">
        <w:t>21</w:t>
      </w:r>
      <w:r w:rsidRPr="00F90239">
        <w:t>-2025 period.</w:t>
      </w:r>
      <w:r>
        <w:t xml:space="preserve"> </w:t>
      </w:r>
    </w:p>
    <w:p w14:paraId="6BDF6018" w14:textId="4E36DA86" w:rsidR="00F90239" w:rsidRDefault="00F90239" w:rsidP="00F90239">
      <w:pPr>
        <w:pStyle w:val="amprboxBLUEbulletlist"/>
      </w:pPr>
      <w:r w:rsidRPr="00FD3BD8">
        <w:rPr>
          <w:rStyle w:val="Bold"/>
        </w:rPr>
        <w:t>124</w:t>
      </w:r>
      <w:r w:rsidRPr="006767BC">
        <w:rPr>
          <w:rStyle w:val="Bold"/>
        </w:rPr>
        <w:t> million tonnes of carbon dioxide equivalent avoided per year, of which almost half was through NextGenerationEU green bond investment.</w:t>
      </w:r>
      <w:r w:rsidRPr="00F90239">
        <w:t xml:space="preserve"> Additionally, 962</w:t>
      </w:r>
      <w:r w:rsidRPr="00F90239">
        <w:rPr>
          <w:rFonts w:ascii="Calibri" w:hAnsi="Calibri" w:cs="Calibri"/>
        </w:rPr>
        <w:t> </w:t>
      </w:r>
      <w:r w:rsidRPr="00F90239">
        <w:t>million tonnes of carbon dioxide equivalent reduction are expected from the Innovation Fund projects</w:t>
      </w:r>
      <w:r w:rsidR="00331168">
        <w:t>,</w:t>
      </w:r>
      <w:r w:rsidRPr="00F90239">
        <w:t xml:space="preserve"> </w:t>
      </w:r>
      <w:r w:rsidR="00B975FD">
        <w:t>ongoing o</w:t>
      </w:r>
      <w:r w:rsidR="00835996">
        <w:t>r completed at the end of 2025</w:t>
      </w:r>
      <w:r w:rsidR="00331168">
        <w:t>,</w:t>
      </w:r>
      <w:r w:rsidR="00835996">
        <w:t xml:space="preserve"> </w:t>
      </w:r>
      <w:r w:rsidRPr="00F90239">
        <w:t>during the</w:t>
      </w:r>
      <w:r w:rsidR="00835996">
        <w:t>ir</w:t>
      </w:r>
      <w:r w:rsidRPr="00F90239">
        <w:t xml:space="preserve"> first 10</w:t>
      </w:r>
      <w:r w:rsidRPr="00F90239">
        <w:rPr>
          <w:rFonts w:ascii="Calibri" w:hAnsi="Calibri" w:cs="Calibri"/>
        </w:rPr>
        <w:t> </w:t>
      </w:r>
      <w:r w:rsidRPr="00F90239">
        <w:t>years of operations.</w:t>
      </w:r>
    </w:p>
    <w:p w14:paraId="142ED7D0" w14:textId="33387F68" w:rsidR="00F90239" w:rsidRPr="00F90239" w:rsidRDefault="00F90239" w:rsidP="00F90239">
      <w:pPr>
        <w:pStyle w:val="amprboxBLUEbulletlist"/>
      </w:pPr>
      <w:r w:rsidRPr="5E0C6ACE">
        <w:rPr>
          <w:rStyle w:val="Bold"/>
        </w:rPr>
        <w:t>1</w:t>
      </w:r>
      <w:r w:rsidR="23F15761" w:rsidRPr="5E0C6ACE">
        <w:rPr>
          <w:rStyle w:val="Bold"/>
        </w:rPr>
        <w:t>08</w:t>
      </w:r>
      <w:r w:rsidRPr="006767BC">
        <w:rPr>
          <w:rStyle w:val="Bold"/>
        </w:rPr>
        <w:t xml:space="preserve"> additional gigawatt of renewable energy capacity was installed</w:t>
      </w:r>
      <w:r w:rsidRPr="00F90239">
        <w:t xml:space="preserve"> by the InvestEU programme, cohesion policy funds, the Just Transition Mechanism and the Recovery and Resilience Facility, in the </w:t>
      </w:r>
      <w:r>
        <w:t>20</w:t>
      </w:r>
      <w:r w:rsidR="6C3BE870">
        <w:t>21</w:t>
      </w:r>
      <w:r w:rsidRPr="00F90239">
        <w:t>-2025 period.</w:t>
      </w:r>
    </w:p>
    <w:p w14:paraId="25DD86A6" w14:textId="77777777" w:rsidR="00F90239" w:rsidRPr="006767BC" w:rsidRDefault="00F90239" w:rsidP="00F90239">
      <w:pPr>
        <w:pStyle w:val="amprboxBLUEtext"/>
        <w:rPr>
          <w:rStyle w:val="Bold"/>
        </w:rPr>
      </w:pPr>
      <w:r w:rsidRPr="006767BC">
        <w:rPr>
          <w:rStyle w:val="Bold"/>
        </w:rPr>
        <w:t>Digital</w:t>
      </w:r>
    </w:p>
    <w:p w14:paraId="3E00A4E1" w14:textId="2411FDD1" w:rsidR="00F90239" w:rsidRPr="00627B60" w:rsidRDefault="00EE13CC" w:rsidP="00F90239">
      <w:pPr>
        <w:pStyle w:val="amprboxBLUEbulletlist"/>
        <w:rPr>
          <w:noProof/>
        </w:rPr>
      </w:pPr>
      <w:r>
        <w:rPr>
          <w:rStyle w:val="Bold"/>
        </w:rPr>
        <w:t>20</w:t>
      </w:r>
      <w:r w:rsidR="00F90239" w:rsidRPr="0014175F" w:rsidDel="009F48FD">
        <w:rPr>
          <w:rStyle w:val="Bold"/>
          <w:rFonts w:ascii="Calibri" w:hAnsi="Calibri" w:cs="Calibri"/>
        </w:rPr>
        <w:t> </w:t>
      </w:r>
      <w:r w:rsidR="00F90239" w:rsidRPr="0014175F">
        <w:rPr>
          <w:rStyle w:val="Bold"/>
        </w:rPr>
        <w:t>million additional dwellings were provided with internet access</w:t>
      </w:r>
      <w:r w:rsidR="00F90239" w:rsidRPr="00627B60">
        <w:rPr>
          <w:noProof/>
        </w:rPr>
        <w:t xml:space="preserve"> via very-high-capacity networks by the Recovery and Resilience Facility</w:t>
      </w:r>
      <w:r w:rsidR="00265EB4">
        <w:rPr>
          <w:noProof/>
        </w:rPr>
        <w:t xml:space="preserve">, </w:t>
      </w:r>
      <w:r w:rsidR="00265EB4" w:rsidRPr="00265EB4">
        <w:rPr>
          <w:noProof/>
        </w:rPr>
        <w:t>InvestEU and cohesion funds</w:t>
      </w:r>
      <w:r w:rsidR="00F90239" w:rsidRPr="00627B60">
        <w:rPr>
          <w:noProof/>
        </w:rPr>
        <w:t xml:space="preserve"> by the end of 202</w:t>
      </w:r>
      <w:r w:rsidR="00F90239">
        <w:rPr>
          <w:noProof/>
        </w:rPr>
        <w:t>5</w:t>
      </w:r>
      <w:r w:rsidR="00F90239" w:rsidRPr="00627B60" w:rsidDel="003463D2">
        <w:rPr>
          <w:noProof/>
        </w:rPr>
        <w:t>.</w:t>
      </w:r>
    </w:p>
    <w:p w14:paraId="39C22966" w14:textId="735DDA76" w:rsidR="00F90239" w:rsidRPr="00627B60" w:rsidRDefault="00F90239" w:rsidP="00F90239">
      <w:pPr>
        <w:pStyle w:val="amprboxBLUEbulletlist"/>
        <w:rPr>
          <w:noProof/>
        </w:rPr>
      </w:pPr>
      <w:r w:rsidRPr="006767BC">
        <w:rPr>
          <w:rStyle w:val="Bold"/>
        </w:rPr>
        <w:t>10</w:t>
      </w:r>
      <w:r w:rsidR="001C2F5D" w:rsidRPr="006767BC">
        <w:rPr>
          <w:rStyle w:val="Bold"/>
          <w:rFonts w:ascii="Calibri" w:hAnsi="Calibri" w:cs="Calibri"/>
        </w:rPr>
        <w:t> </w:t>
      </w:r>
      <w:r w:rsidRPr="006767BC">
        <w:rPr>
          <w:rStyle w:val="Bold"/>
        </w:rPr>
        <w:t>362 terabits per second of additional capacity</w:t>
      </w:r>
      <w:r w:rsidRPr="00627B60">
        <w:rPr>
          <w:noProof/>
        </w:rPr>
        <w:t xml:space="preserve"> were created by deployed backbone networks, including submarine cables, by the Connecting Europe Facility by the end of 202</w:t>
      </w:r>
      <w:r>
        <w:rPr>
          <w:noProof/>
        </w:rPr>
        <w:t>5</w:t>
      </w:r>
      <w:r w:rsidRPr="00627B60">
        <w:rPr>
          <w:noProof/>
        </w:rPr>
        <w:t>.</w:t>
      </w:r>
    </w:p>
    <w:p w14:paraId="41460666" w14:textId="77777777" w:rsidR="00F90239" w:rsidRPr="006767BC" w:rsidRDefault="00F90239" w:rsidP="00F90239">
      <w:pPr>
        <w:pStyle w:val="amprboxBLUEtext"/>
        <w:rPr>
          <w:rStyle w:val="Bold"/>
        </w:rPr>
      </w:pPr>
      <w:r w:rsidRPr="006767BC">
        <w:rPr>
          <w:rStyle w:val="Bold"/>
        </w:rPr>
        <w:t>Employment</w:t>
      </w:r>
    </w:p>
    <w:p w14:paraId="3D4B4A56" w14:textId="77777777" w:rsidR="00F90239" w:rsidRPr="00757C5B" w:rsidRDefault="00F90239" w:rsidP="00F90239">
      <w:pPr>
        <w:pStyle w:val="amprboxBLUEbulletlist"/>
        <w:rPr>
          <w:noProof/>
        </w:rPr>
      </w:pPr>
      <w:r w:rsidRPr="006767BC">
        <w:rPr>
          <w:rStyle w:val="Bold"/>
        </w:rPr>
        <w:t>M</w:t>
      </w:r>
      <w:r w:rsidRPr="00E420A6">
        <w:rPr>
          <w:rStyle w:val="Bold"/>
        </w:rPr>
        <w:t xml:space="preserve">ore than </w:t>
      </w:r>
      <w:r w:rsidRPr="006767BC">
        <w:rPr>
          <w:rStyle w:val="Bold"/>
        </w:rPr>
        <w:t>5</w:t>
      </w:r>
      <w:r w:rsidRPr="00E420A6">
        <w:rPr>
          <w:rStyle w:val="Bold"/>
        </w:rPr>
        <w:t>0</w:t>
      </w:r>
      <w:r w:rsidRPr="006767BC" w:rsidDel="00B70B0D">
        <w:rPr>
          <w:rStyle w:val="Bold"/>
          <w:rFonts w:ascii="Calibri" w:hAnsi="Calibri" w:cs="Calibri"/>
        </w:rPr>
        <w:t> </w:t>
      </w:r>
      <w:r w:rsidRPr="006767BC">
        <w:rPr>
          <w:rStyle w:val="Bold"/>
        </w:rPr>
        <w:t>million individuals</w:t>
      </w:r>
      <w:r w:rsidRPr="00757C5B">
        <w:rPr>
          <w:noProof/>
        </w:rPr>
        <w:t xml:space="preserve"> were supported in obtaining skills relevant to employment and </w:t>
      </w:r>
      <w:r>
        <w:rPr>
          <w:noProof/>
        </w:rPr>
        <w:t>360</w:t>
      </w:r>
      <w:r w:rsidRPr="00757C5B">
        <w:rPr>
          <w:rFonts w:ascii="Calibri" w:hAnsi="Calibri" w:cs="Calibri"/>
          <w:noProof/>
        </w:rPr>
        <w:t> </w:t>
      </w:r>
      <w:r w:rsidRPr="00757C5B">
        <w:rPr>
          <w:noProof/>
        </w:rPr>
        <w:t>000 jobs were created or maintained between 2021 and 202</w:t>
      </w:r>
      <w:r>
        <w:rPr>
          <w:noProof/>
        </w:rPr>
        <w:t>5</w:t>
      </w:r>
      <w:r w:rsidRPr="00757C5B">
        <w:rPr>
          <w:noProof/>
        </w:rPr>
        <w:t xml:space="preserve"> with support from the EU budget</w:t>
      </w:r>
      <w:r w:rsidRPr="00757C5B">
        <w:rPr>
          <w:rFonts w:ascii="Calibri" w:hAnsi="Calibri" w:cs="Calibri"/>
          <w:noProof/>
        </w:rPr>
        <w:t> </w:t>
      </w:r>
      <w:r w:rsidRPr="00757C5B">
        <w:rPr>
          <w:noProof/>
        </w:rPr>
        <w:t>(</w:t>
      </w:r>
      <w:r w:rsidRPr="00757C5B">
        <w:rPr>
          <w:rStyle w:val="FootnoteReference"/>
        </w:rPr>
        <w:footnoteReference w:id="4"/>
      </w:r>
      <w:r w:rsidRPr="00757C5B">
        <w:rPr>
          <w:noProof/>
        </w:rPr>
        <w:t>).</w:t>
      </w:r>
    </w:p>
    <w:p w14:paraId="622321C1" w14:textId="52B1524B" w:rsidR="00F90239" w:rsidRPr="00F90239" w:rsidRDefault="00B755CC" w:rsidP="00F90239">
      <w:pPr>
        <w:pStyle w:val="amprboxBLUEbulletlist"/>
      </w:pPr>
      <w:r>
        <w:rPr>
          <w:rStyle w:val="Bold"/>
        </w:rPr>
        <w:t>Around</w:t>
      </w:r>
      <w:r w:rsidR="00F90239" w:rsidRPr="00E420A6">
        <w:rPr>
          <w:rStyle w:val="Bold"/>
        </w:rPr>
        <w:t xml:space="preserve"> 1</w:t>
      </w:r>
      <w:r>
        <w:rPr>
          <w:rStyle w:val="Bold"/>
        </w:rPr>
        <w:t>6</w:t>
      </w:r>
      <w:r w:rsidR="001C2F5D" w:rsidRPr="006767BC">
        <w:rPr>
          <w:rStyle w:val="Bold"/>
          <w:rFonts w:ascii="Calibri" w:hAnsi="Calibri" w:cs="Calibri"/>
        </w:rPr>
        <w:t> </w:t>
      </w:r>
      <w:r w:rsidR="00F90239" w:rsidRPr="00E420A6">
        <w:rPr>
          <w:rStyle w:val="Bold"/>
        </w:rPr>
        <w:t xml:space="preserve">million </w:t>
      </w:r>
      <w:r w:rsidR="00F90239" w:rsidRPr="006767BC">
        <w:rPr>
          <w:rStyle w:val="Bold"/>
        </w:rPr>
        <w:t>people p</w:t>
      </w:r>
      <w:r w:rsidR="00F90239" w:rsidRPr="00E420A6">
        <w:rPr>
          <w:rStyle w:val="Bold"/>
        </w:rPr>
        <w:t xml:space="preserve">articipated in </w:t>
      </w:r>
      <w:r w:rsidR="00C35564">
        <w:rPr>
          <w:rStyle w:val="Bold"/>
        </w:rPr>
        <w:t xml:space="preserve">European Social Fund Plus activities </w:t>
      </w:r>
      <w:r w:rsidR="00C35564" w:rsidRPr="005C2E52">
        <w:rPr>
          <w:rStyle w:val="Bold"/>
          <w:b w:val="0"/>
        </w:rPr>
        <w:t xml:space="preserve">to </w:t>
      </w:r>
      <w:r w:rsidR="00F90239" w:rsidRPr="005C2E52">
        <w:rPr>
          <w:rStyle w:val="Bold"/>
          <w:b w:val="0"/>
        </w:rPr>
        <w:t>improve their employment situation</w:t>
      </w:r>
      <w:r w:rsidR="00F90239" w:rsidRPr="00780140">
        <w:rPr>
          <w:rStyle w:val="Bold"/>
          <w:b w:val="0"/>
          <w:bCs/>
        </w:rPr>
        <w:t xml:space="preserve"> </w:t>
      </w:r>
      <w:r w:rsidR="00F90239" w:rsidRPr="00757C5B">
        <w:rPr>
          <w:noProof/>
        </w:rPr>
        <w:t>by the end of 202</w:t>
      </w:r>
      <w:r w:rsidR="00F90239">
        <w:rPr>
          <w:noProof/>
        </w:rPr>
        <w:t>5</w:t>
      </w:r>
      <w:r w:rsidR="00F90239" w:rsidRPr="006348E7">
        <w:t>.</w:t>
      </w:r>
    </w:p>
    <w:p w14:paraId="164C476B" w14:textId="34ACEDF1" w:rsidR="000D7D9F" w:rsidRPr="00B13363" w:rsidRDefault="000D7D9F" w:rsidP="000D7D9F">
      <w:pPr>
        <w:spacing w:before="480"/>
      </w:pPr>
      <w:r w:rsidRPr="00B13363">
        <w:t>The</w:t>
      </w:r>
      <w:r w:rsidR="002B538E">
        <w:t xml:space="preserve"> next section of this Annex focuses on the EU budget support for reforms. </w:t>
      </w:r>
      <w:r w:rsidRPr="00B13363">
        <w:t xml:space="preserve">The </w:t>
      </w:r>
      <w:r w:rsidR="00804A30">
        <w:t>third section</w:t>
      </w:r>
      <w:r w:rsidRPr="00B13363">
        <w:t xml:space="preserve"> of this annex describes how EU programmes have contributed to political priorities. The </w:t>
      </w:r>
      <w:r w:rsidR="00FE5BF1">
        <w:t>fourth</w:t>
      </w:r>
      <w:r w:rsidRPr="00B13363">
        <w:t xml:space="preserve"> section of this annex, </w:t>
      </w:r>
      <w:r w:rsidR="00E95774">
        <w:t>on h</w:t>
      </w:r>
      <w:r w:rsidRPr="00B13363">
        <w:t>orizontal policy priorities in the EU budget, provides information at the EU budget level on the financing of initiatives relating to climate, biodiversity, gender equality, the digital transition and the sustainable development goals</w:t>
      </w:r>
      <w:r w:rsidR="00A402D6">
        <w:t xml:space="preserve"> (SDGs)</w:t>
      </w:r>
      <w:r w:rsidRPr="00B13363">
        <w:rPr>
          <w:rFonts w:ascii="Calibri" w:hAnsi="Calibri" w:cs="Calibri"/>
        </w:rPr>
        <w:t> </w:t>
      </w:r>
      <w:r w:rsidRPr="00B13363">
        <w:t>(</w:t>
      </w:r>
      <w:r w:rsidRPr="00B13363">
        <w:rPr>
          <w:rStyle w:val="FootnoteReference"/>
        </w:rPr>
        <w:footnoteReference w:id="5"/>
      </w:r>
      <w:r w:rsidRPr="00B13363">
        <w:t>). Annex</w:t>
      </w:r>
      <w:r w:rsidRPr="00B13363">
        <w:rPr>
          <w:rFonts w:ascii="Calibri" w:hAnsi="Calibri" w:cs="Calibri"/>
        </w:rPr>
        <w:t> </w:t>
      </w:r>
      <w:r w:rsidRPr="00B13363">
        <w:t xml:space="preserve">4, </w:t>
      </w:r>
      <w:r w:rsidRPr="00B13363" w:rsidDel="007922AF">
        <w:t>P</w:t>
      </w:r>
      <w:r w:rsidRPr="00B13363">
        <w:t xml:space="preserve">rogramme performance statements, provides a detailed analysis of the individual programmes and their performance, presented as a </w:t>
      </w:r>
      <w:hyperlink r:id="rId53" w:history="1">
        <w:r w:rsidRPr="00B13363">
          <w:t>website</w:t>
        </w:r>
      </w:hyperlink>
      <w:r w:rsidRPr="00B13363">
        <w:t xml:space="preserve"> to enhance reader friendliness.</w:t>
      </w:r>
    </w:p>
    <w:p w14:paraId="075C95D0" w14:textId="630C8B5D" w:rsidR="000D7D9F" w:rsidRPr="00B13363" w:rsidRDefault="000D7D9F" w:rsidP="000D7D9F">
      <w:pPr>
        <w:pStyle w:val="amprA1H3thatlookslikeH4"/>
        <w:spacing w:after="360"/>
        <w:rPr>
          <w:rFonts w:ascii="EC Square Sans Pro" w:hAnsi="EC Square Sans Pro"/>
        </w:rPr>
      </w:pPr>
      <w:r w:rsidRPr="00B13363">
        <w:rPr>
          <w:rFonts w:ascii="EC Square Sans Pro" w:hAnsi="EC Square Sans Pro"/>
        </w:rPr>
        <w:t>Making performance information more reliable</w:t>
      </w:r>
    </w:p>
    <w:p w14:paraId="05EBFA0C" w14:textId="3B52D73B" w:rsidR="000D7D9F" w:rsidRPr="00B13363" w:rsidRDefault="000D7D9F" w:rsidP="000D7D9F">
      <w:r w:rsidRPr="00FD3BD8">
        <w:rPr>
          <w:rStyle w:val="Bold"/>
        </w:rPr>
        <w:t xml:space="preserve">The European Commission places great </w:t>
      </w:r>
      <w:r w:rsidR="00CF36BE" w:rsidRPr="00FD3BD8">
        <w:rPr>
          <w:rStyle w:val="Bold"/>
        </w:rPr>
        <w:t>emphasis</w:t>
      </w:r>
      <w:r w:rsidRPr="00FD3BD8">
        <w:rPr>
          <w:rStyle w:val="Bold"/>
        </w:rPr>
        <w:t xml:space="preserve"> on the reliability of its performance information and continually works to further improve its already</w:t>
      </w:r>
      <w:r w:rsidRPr="00780140">
        <w:rPr>
          <w:rStyle w:val="Bold"/>
          <w:b w:val="0"/>
          <w:bCs/>
        </w:rPr>
        <w:t xml:space="preserve"> </w:t>
      </w:r>
      <w:r w:rsidRPr="00E420A6">
        <w:rPr>
          <w:rStyle w:val="Bold"/>
        </w:rPr>
        <w:t>robust processes for performance reporting</w:t>
      </w:r>
      <w:r w:rsidRPr="00FD3BD8">
        <w:rPr>
          <w:rStyle w:val="Bold"/>
        </w:rPr>
        <w:t>.</w:t>
      </w:r>
      <w:r w:rsidRPr="00B13363">
        <w:t xml:space="preserve"> To maintain high standards, data on core performance indicators are recorded and managed through a dedicated SAP-based database that incorporates automatic quality control rules to strengthen data quality and reliability. In addition, climate-related contributions from the EU budget are directly estimated using data extracted from the Commission’s accounting system, ensuring traceability and precision.</w:t>
      </w:r>
    </w:p>
    <w:p w14:paraId="48E45BA7" w14:textId="665CCF15" w:rsidR="000D7D9F" w:rsidRPr="00B13363" w:rsidRDefault="000D7D9F" w:rsidP="000D7D9F">
      <w:r w:rsidRPr="00FD3BD8">
        <w:rPr>
          <w:rStyle w:val="Bold"/>
        </w:rPr>
        <w:t>In 202</w:t>
      </w:r>
      <w:r w:rsidR="00C2527A" w:rsidRPr="00FD3BD8">
        <w:rPr>
          <w:rStyle w:val="Bold"/>
        </w:rPr>
        <w:t>5</w:t>
      </w:r>
      <w:r w:rsidR="00FD64DA">
        <w:rPr>
          <w:rStyle w:val="Bold"/>
        </w:rPr>
        <w:t>,</w:t>
      </w:r>
      <w:r w:rsidRPr="00FD3BD8">
        <w:rPr>
          <w:rStyle w:val="Bold"/>
        </w:rPr>
        <w:t xml:space="preserve"> the Commission continued to implement and consolidate </w:t>
      </w:r>
      <w:r w:rsidR="002A7758">
        <w:rPr>
          <w:rStyle w:val="Bold"/>
        </w:rPr>
        <w:t>a</w:t>
      </w:r>
      <w:r w:rsidR="002A7758" w:rsidRPr="00FD3BD8">
        <w:rPr>
          <w:rStyle w:val="Bold"/>
        </w:rPr>
        <w:t xml:space="preserve"> </w:t>
      </w:r>
      <w:r w:rsidRPr="00FD3BD8">
        <w:rPr>
          <w:rStyle w:val="Bold"/>
        </w:rPr>
        <w:t>strengthened control approach to ensure the reliability of performance information on EU programmes.</w:t>
      </w:r>
      <w:r w:rsidRPr="00B13363">
        <w:t xml:space="preserve"> Commission departments continued to report in their annual activity reports for </w:t>
      </w:r>
      <w:r w:rsidRPr="00B13363">
        <w:rPr>
          <w:noProof/>
        </w:rPr>
        <w:t>202</w:t>
      </w:r>
      <w:r w:rsidR="00C2527A">
        <w:rPr>
          <w:noProof/>
        </w:rPr>
        <w:t>5</w:t>
      </w:r>
      <w:r w:rsidRPr="00B13363">
        <w:t xml:space="preserve"> (which are an important source of information for this annual management and performance report) on the results of their controls, based on the specific </w:t>
      </w:r>
      <w:r w:rsidRPr="00446385">
        <w:t>guidance and</w:t>
      </w:r>
      <w:r w:rsidRPr="00446385">
        <w:rPr>
          <w:rStyle w:val="Bold"/>
          <w:b w:val="0"/>
        </w:rPr>
        <w:t xml:space="preserve"> requirements </w:t>
      </w:r>
      <w:r w:rsidR="0005507F" w:rsidRPr="00446385">
        <w:rPr>
          <w:rStyle w:val="Bold"/>
          <w:b w:val="0"/>
        </w:rPr>
        <w:t xml:space="preserve">issued </w:t>
      </w:r>
      <w:r w:rsidRPr="00446385">
        <w:rPr>
          <w:rStyle w:val="Bold"/>
          <w:b w:val="0"/>
        </w:rPr>
        <w:t xml:space="preserve">in 2023 </w:t>
      </w:r>
      <w:r w:rsidRPr="00B13363">
        <w:t xml:space="preserve">in response to internal and external audit recommendations. In </w:t>
      </w:r>
      <w:r w:rsidRPr="00B13363">
        <w:rPr>
          <w:noProof/>
        </w:rPr>
        <w:t>202</w:t>
      </w:r>
      <w:r w:rsidR="00C2527A">
        <w:rPr>
          <w:noProof/>
        </w:rPr>
        <w:t>5</w:t>
      </w:r>
      <w:r w:rsidR="000E267A">
        <w:rPr>
          <w:noProof/>
        </w:rPr>
        <w:t>,</w:t>
      </w:r>
      <w:r w:rsidRPr="00B13363">
        <w:t xml:space="preserve"> no major shortcomings were reported with regard to the reliability of the performance information for their respective </w:t>
      </w:r>
      <w:r w:rsidR="00DD3B95">
        <w:t>EU</w:t>
      </w:r>
      <w:r w:rsidR="00DD3B95" w:rsidRPr="00B13363">
        <w:t xml:space="preserve"> </w:t>
      </w:r>
      <w:r w:rsidRPr="00B13363">
        <w:t>programmes.</w:t>
      </w:r>
    </w:p>
    <w:p w14:paraId="4D97B5EC" w14:textId="77777777" w:rsidR="009F1BF0" w:rsidRPr="009F1BF0" w:rsidRDefault="009F1BF0" w:rsidP="003A50BA">
      <w:pPr>
        <w:pStyle w:val="amprA1H3thatlookslikeH4"/>
        <w:spacing w:after="360"/>
        <w:rPr>
          <w:rFonts w:ascii="EC Square Sans Pro" w:hAnsi="EC Square Sans Pro"/>
        </w:rPr>
      </w:pPr>
      <w:r w:rsidRPr="009F1BF0">
        <w:rPr>
          <w:rFonts w:ascii="EC Square Sans Pro" w:hAnsi="EC Square Sans Pro"/>
        </w:rPr>
        <w:t>Performance framework for the 2028-2034 long-term budget</w:t>
      </w:r>
    </w:p>
    <w:p w14:paraId="502AF1E7" w14:textId="77777777" w:rsidR="009F1BF0" w:rsidRDefault="009F1BF0" w:rsidP="009F1BF0">
      <w:pPr>
        <w:rPr>
          <w:rFonts w:eastAsia="EC Square Sans Pro" w:cs="EC Square Sans Pro"/>
          <w:noProof/>
        </w:rPr>
      </w:pPr>
      <w:r w:rsidRPr="00FD3BD8">
        <w:rPr>
          <w:rStyle w:val="Bold"/>
        </w:rPr>
        <w:t>In 2025, the Commission adopted a proposal for a robust and future-proof long-term budget for the 2028-2034 period.</w:t>
      </w:r>
      <w:r>
        <w:rPr>
          <w:rFonts w:eastAsia="EC Square Sans Pro" w:cs="EC Square Sans Pro"/>
          <w:noProof/>
        </w:rPr>
        <w:t xml:space="preserve"> As part of</w:t>
      </w:r>
      <w:r w:rsidRPr="00F16BAB">
        <w:rPr>
          <w:rFonts w:eastAsia="EC Square Sans Pro" w:cs="EC Square Sans Pro"/>
          <w:noProof/>
        </w:rPr>
        <w:t xml:space="preserve"> the </w:t>
      </w:r>
      <w:r>
        <w:rPr>
          <w:rFonts w:eastAsia="EC Square Sans Pro" w:cs="EC Square Sans Pro"/>
          <w:noProof/>
        </w:rPr>
        <w:t>modernisation of the EU budget</w:t>
      </w:r>
      <w:r w:rsidRPr="00F16BAB">
        <w:rPr>
          <w:rFonts w:eastAsia="EC Square Sans Pro" w:cs="EC Square Sans Pro"/>
          <w:noProof/>
        </w:rPr>
        <w:t xml:space="preserve">, it </w:t>
      </w:r>
      <w:r>
        <w:rPr>
          <w:rFonts w:eastAsia="EC Square Sans Pro" w:cs="EC Square Sans Pro"/>
          <w:noProof/>
        </w:rPr>
        <w:t>introduces</w:t>
      </w:r>
      <w:r w:rsidRPr="00F16BAB">
        <w:rPr>
          <w:rFonts w:eastAsia="EC Square Sans Pro" w:cs="EC Square Sans Pro"/>
          <w:noProof/>
        </w:rPr>
        <w:t xml:space="preserve"> </w:t>
      </w:r>
      <w:r>
        <w:rPr>
          <w:rFonts w:eastAsia="EC Square Sans Pro" w:cs="EC Square Sans Pro"/>
          <w:noProof/>
        </w:rPr>
        <w:t xml:space="preserve">for the first time </w:t>
      </w:r>
      <w:r w:rsidRPr="00F16BAB">
        <w:rPr>
          <w:rFonts w:eastAsia="EC Square Sans Pro" w:cs="EC Square Sans Pro"/>
          <w:noProof/>
        </w:rPr>
        <w:t xml:space="preserve">a </w:t>
      </w:r>
      <w:r>
        <w:rPr>
          <w:rFonts w:eastAsia="EC Square Sans Pro" w:cs="EC Square Sans Pro"/>
          <w:noProof/>
        </w:rPr>
        <w:t>r</w:t>
      </w:r>
      <w:r w:rsidRPr="00F16BAB">
        <w:rPr>
          <w:rFonts w:eastAsia="EC Square Sans Pro" w:cs="EC Square Sans Pro"/>
          <w:noProof/>
        </w:rPr>
        <w:t xml:space="preserve">egulation </w:t>
      </w:r>
      <w:r w:rsidRPr="00996C9C">
        <w:rPr>
          <w:rFonts w:eastAsia="EC Square Sans Pro" w:cs="EC Square Sans Pro"/>
          <w:noProof/>
        </w:rPr>
        <w:t xml:space="preserve">establishing </w:t>
      </w:r>
      <w:r>
        <w:rPr>
          <w:rFonts w:eastAsia="EC Square Sans Pro" w:cs="EC Square Sans Pro"/>
          <w:noProof/>
        </w:rPr>
        <w:t xml:space="preserve">a common performance framework </w:t>
      </w:r>
      <w:r w:rsidRPr="00F16BAB">
        <w:rPr>
          <w:rFonts w:eastAsia="EC Square Sans Pro" w:cs="EC Square Sans Pro"/>
          <w:noProof/>
        </w:rPr>
        <w:t>applicable to all programmes: the ‘Performance Regulation’</w:t>
      </w:r>
      <w:r w:rsidRPr="00051708">
        <w:rPr>
          <w:rFonts w:ascii="Calibri" w:eastAsia="EC Square Sans Pro" w:hAnsi="Calibri" w:cs="Calibri"/>
          <w:noProof/>
        </w:rPr>
        <w:t> (</w:t>
      </w:r>
      <w:r>
        <w:rPr>
          <w:rStyle w:val="FootnoteReference"/>
          <w:rFonts w:ascii="Calibri" w:eastAsia="EC Square Sans Pro" w:hAnsi="Calibri" w:cs="Calibri"/>
          <w:noProof/>
        </w:rPr>
        <w:footnoteReference w:id="6"/>
      </w:r>
      <w:r>
        <w:rPr>
          <w:rFonts w:ascii="Calibri" w:eastAsia="EC Square Sans Pro" w:hAnsi="Calibri" w:cs="Calibri"/>
          <w:noProof/>
        </w:rPr>
        <w:t>)</w:t>
      </w:r>
      <w:r w:rsidRPr="00F16BAB">
        <w:rPr>
          <w:rFonts w:eastAsia="EC Square Sans Pro" w:cs="EC Square Sans Pro"/>
          <w:noProof/>
        </w:rPr>
        <w:t>.</w:t>
      </w:r>
      <w:r>
        <w:rPr>
          <w:rFonts w:eastAsia="EC Square Sans Pro" w:cs="EC Square Sans Pro"/>
          <w:noProof/>
        </w:rPr>
        <w:t xml:space="preserve"> </w:t>
      </w:r>
    </w:p>
    <w:p w14:paraId="1A8F1C96" w14:textId="77777777" w:rsidR="009F1BF0" w:rsidRDefault="009F1BF0" w:rsidP="009F1BF0">
      <w:pPr>
        <w:rPr>
          <w:rFonts w:eastAsia="EC Square Sans Pro" w:cs="EC Square Sans Pro"/>
          <w:noProof/>
        </w:rPr>
      </w:pPr>
      <w:r w:rsidRPr="00FD3BD8">
        <w:rPr>
          <w:rStyle w:val="Bold"/>
        </w:rPr>
        <w:t xml:space="preserve">The Performance Regulation operationalises the requirements introduced in </w:t>
      </w:r>
      <w:r w:rsidRPr="00EB18E4">
        <w:rPr>
          <w:rStyle w:val="Bold"/>
        </w:rPr>
        <w:t xml:space="preserve">Regulation (EU, Euratom) 2024/2509 (the 2024 Financial Regulation), </w:t>
      </w:r>
      <w:r w:rsidRPr="00FD3BD8">
        <w:rPr>
          <w:rStyle w:val="Bold"/>
        </w:rPr>
        <w:t>and addresses key lessons learnt from the 2021-2027 period.</w:t>
      </w:r>
      <w:r>
        <w:rPr>
          <w:rFonts w:eastAsia="EC Square Sans Pro" w:cs="EC Square Sans Pro"/>
          <w:noProof/>
        </w:rPr>
        <w:t xml:space="preserve"> </w:t>
      </w:r>
      <w:r w:rsidRPr="006E1FA8">
        <w:rPr>
          <w:rFonts w:eastAsia="EC Square Sans Pro" w:cs="EC Square Sans Pro"/>
          <w:noProof/>
        </w:rPr>
        <w:t>These include the heterogeneous application of horizontal principles across programmes</w:t>
      </w:r>
      <w:r>
        <w:rPr>
          <w:rFonts w:eastAsia="EC Square Sans Pro" w:cs="EC Square Sans Pro"/>
          <w:noProof/>
        </w:rPr>
        <w:t xml:space="preserve">, </w:t>
      </w:r>
      <w:r w:rsidRPr="006E1FA8">
        <w:rPr>
          <w:rFonts w:eastAsia="EC Square Sans Pro" w:cs="EC Square Sans Pro"/>
          <w:noProof/>
        </w:rPr>
        <w:t>such as the ‘do no significant harm’ principle and gender equality</w:t>
      </w:r>
      <w:r>
        <w:rPr>
          <w:rFonts w:eastAsia="EC Square Sans Pro" w:cs="EC Square Sans Pro"/>
          <w:noProof/>
        </w:rPr>
        <w:t xml:space="preserve">; </w:t>
      </w:r>
      <w:r w:rsidRPr="006E1FA8">
        <w:rPr>
          <w:rFonts w:eastAsia="EC Square Sans Pro" w:cs="EC Square Sans Pro"/>
          <w:noProof/>
        </w:rPr>
        <w:t>the fragmentation in the definition of performance indicators, which has created complexity and made it difficult to aggregate and monitor results</w:t>
      </w:r>
      <w:r>
        <w:rPr>
          <w:rFonts w:eastAsia="EC Square Sans Pro" w:cs="EC Square Sans Pro"/>
          <w:noProof/>
        </w:rPr>
        <w:t>;</w:t>
      </w:r>
      <w:r w:rsidRPr="006E1FA8">
        <w:rPr>
          <w:rFonts w:eastAsia="EC Square Sans Pro" w:cs="EC Square Sans Pro"/>
          <w:noProof/>
        </w:rPr>
        <w:t xml:space="preserve"> inconsistencies in </w:t>
      </w:r>
      <w:r>
        <w:rPr>
          <w:rFonts w:eastAsia="EC Square Sans Pro" w:cs="EC Square Sans Pro"/>
          <w:noProof/>
        </w:rPr>
        <w:t xml:space="preserve">the </w:t>
      </w:r>
      <w:r w:rsidRPr="006E1FA8">
        <w:rPr>
          <w:rFonts w:eastAsia="EC Square Sans Pro" w:cs="EC Square Sans Pro"/>
          <w:noProof/>
        </w:rPr>
        <w:t>expenditure tracking</w:t>
      </w:r>
      <w:r>
        <w:rPr>
          <w:rFonts w:eastAsia="EC Square Sans Pro" w:cs="EC Square Sans Pro"/>
          <w:noProof/>
        </w:rPr>
        <w:t xml:space="preserve"> methodologies;</w:t>
      </w:r>
      <w:r w:rsidRPr="006E1FA8">
        <w:rPr>
          <w:rFonts w:eastAsia="EC Square Sans Pro" w:cs="EC Square Sans Pro"/>
          <w:noProof/>
        </w:rPr>
        <w:t xml:space="preserve"> and the multitude of performance reports, which has increased complexity and reduced transparency.</w:t>
      </w:r>
    </w:p>
    <w:p w14:paraId="7F486F05" w14:textId="77777777" w:rsidR="009F1BF0" w:rsidRDefault="009F1BF0" w:rsidP="009F1BF0">
      <w:pPr>
        <w:rPr>
          <w:rFonts w:eastAsia="EC Square Sans Pro" w:cs="EC Square Sans Pro"/>
          <w:noProof/>
        </w:rPr>
      </w:pPr>
      <w:r w:rsidRPr="00FD3BD8">
        <w:rPr>
          <w:rStyle w:val="Bold"/>
        </w:rPr>
        <w:t>Th</w:t>
      </w:r>
      <w:r>
        <w:rPr>
          <w:rStyle w:val="Bold"/>
        </w:rPr>
        <w:t>e</w:t>
      </w:r>
      <w:r w:rsidRPr="00FD3BD8">
        <w:rPr>
          <w:rStyle w:val="Bold"/>
        </w:rPr>
        <w:t xml:space="preserve"> propos</w:t>
      </w:r>
      <w:r>
        <w:rPr>
          <w:rStyle w:val="Bold"/>
        </w:rPr>
        <w:t>ed Performance Regulation</w:t>
      </w:r>
      <w:r w:rsidRPr="00FD3BD8">
        <w:rPr>
          <w:rStyle w:val="Bold"/>
        </w:rPr>
        <w:t xml:space="preserve"> equips the future budget with a simpler, more robust and unified performance framework to monitor how the budget is spent and the results it achieves</w:t>
      </w:r>
      <w:r w:rsidRPr="00E56EE2">
        <w:rPr>
          <w:rFonts w:eastAsia="EC Square Sans Pro" w:cs="EC Square Sans Pro"/>
          <w:b/>
          <w:bCs/>
          <w:noProof/>
        </w:rPr>
        <w:t>.</w:t>
      </w:r>
      <w:r w:rsidRPr="00171552">
        <w:rPr>
          <w:rFonts w:eastAsia="EC Square Sans Pro" w:cs="EC Square Sans Pro"/>
          <w:noProof/>
        </w:rPr>
        <w:t xml:space="preserve"> This will increase transparency, accountability and consistency, reduce administrative burden and ensure more effective delivery of EU priorities.</w:t>
      </w:r>
    </w:p>
    <w:tbl>
      <w:tblPr>
        <w:tblStyle w:val="BodyTable"/>
        <w:tblW w:w="0" w:type="auto"/>
        <w:jc w:val="left"/>
        <w:shd w:val="clear" w:color="auto" w:fill="F3F7FF" w:themeFill="background2"/>
        <w:tblLook w:val="04A0" w:firstRow="1" w:lastRow="0" w:firstColumn="1" w:lastColumn="0" w:noHBand="0" w:noVBand="1"/>
      </w:tblPr>
      <w:tblGrid>
        <w:gridCol w:w="3013"/>
        <w:gridCol w:w="3014"/>
        <w:gridCol w:w="3014"/>
      </w:tblGrid>
      <w:tr w:rsidR="0045192A" w14:paraId="7F3E291F" w14:textId="77777777">
        <w:trPr>
          <w:cnfStyle w:val="100000000000" w:firstRow="1" w:lastRow="0" w:firstColumn="0" w:lastColumn="0" w:oddVBand="0" w:evenVBand="0" w:oddHBand="0"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3013" w:type="dxa"/>
            <w:tcBorders>
              <w:top w:val="single" w:sz="48" w:space="0" w:color="FFFFFF" w:themeColor="background1"/>
              <w:right w:val="single" w:sz="48" w:space="0" w:color="FFFFFF" w:themeColor="background1"/>
            </w:tcBorders>
            <w:shd w:val="clear" w:color="auto" w:fill="F3F7FF" w:themeFill="background2"/>
          </w:tcPr>
          <w:p w14:paraId="18D80C6E" w14:textId="77777777" w:rsidR="009F1BF0" w:rsidRPr="00277FAB" w:rsidRDefault="009F1BF0">
            <w:pPr>
              <w:pStyle w:val="amprboxBLUEtext"/>
              <w:rPr>
                <w:sz w:val="20"/>
                <w:szCs w:val="22"/>
                <w:lang w:val="en-IE"/>
              </w:rPr>
            </w:pPr>
            <w:r w:rsidRPr="00277FAB">
              <w:rPr>
                <w:sz w:val="20"/>
                <w:szCs w:val="22"/>
                <w:lang w:val="en-IE"/>
              </w:rPr>
              <w:t>Harmonised horizontal provisions and principles</w:t>
            </w:r>
          </w:p>
          <w:p w14:paraId="336183F2" w14:textId="77777777" w:rsidR="009F1BF0" w:rsidRPr="00277FAB" w:rsidRDefault="009F1BF0">
            <w:pPr>
              <w:pStyle w:val="amprboxBLUEtext"/>
              <w:rPr>
                <w:sz w:val="20"/>
                <w:szCs w:val="22"/>
                <w:lang w:val="en-IE"/>
              </w:rPr>
            </w:pPr>
            <w:r w:rsidRPr="00277FAB">
              <w:rPr>
                <w:bCs/>
                <w:sz w:val="20"/>
                <w:szCs w:val="22"/>
                <w:lang w:val="en-IE"/>
              </w:rPr>
              <w:t xml:space="preserve">A single approach to implement climate and environment, </w:t>
            </w:r>
            <w:r>
              <w:rPr>
                <w:bCs/>
                <w:sz w:val="20"/>
                <w:szCs w:val="22"/>
                <w:lang w:val="en-IE"/>
              </w:rPr>
              <w:t xml:space="preserve">the </w:t>
            </w:r>
            <w:r w:rsidRPr="00277FAB">
              <w:rPr>
                <w:bCs/>
                <w:sz w:val="20"/>
                <w:szCs w:val="22"/>
                <w:lang w:val="en-IE"/>
              </w:rPr>
              <w:t>do no significant harm principle, social policies and gender equality</w:t>
            </w:r>
          </w:p>
        </w:tc>
        <w:tc>
          <w:tcPr>
            <w:tcW w:w="3014" w:type="dxa"/>
            <w:tcBorders>
              <w:top w:val="single" w:sz="48" w:space="0" w:color="FFFFFF" w:themeColor="background1"/>
              <w:left w:val="single" w:sz="48" w:space="0" w:color="FFFFFF" w:themeColor="background1"/>
              <w:right w:val="single" w:sz="48" w:space="0" w:color="FFFFFF" w:themeColor="background1"/>
            </w:tcBorders>
            <w:shd w:val="clear" w:color="auto" w:fill="F3F7FF" w:themeFill="background2"/>
          </w:tcPr>
          <w:p w14:paraId="3F0FA64B" w14:textId="77777777" w:rsidR="009F1BF0" w:rsidRPr="00277FAB" w:rsidRDefault="009F1BF0">
            <w:pPr>
              <w:pStyle w:val="amprboxBLUEtext"/>
              <w:cnfStyle w:val="100000000000" w:firstRow="1" w:lastRow="0" w:firstColumn="0" w:lastColumn="0" w:oddVBand="0" w:evenVBand="0" w:oddHBand="0" w:evenHBand="0" w:firstRowFirstColumn="0" w:firstRowLastColumn="0" w:lastRowFirstColumn="0" w:lastRowLastColumn="0"/>
              <w:rPr>
                <w:bCs/>
                <w:sz w:val="20"/>
                <w:szCs w:val="22"/>
                <w:lang w:val="en-IE"/>
              </w:rPr>
            </w:pPr>
            <w:r w:rsidRPr="00277FAB">
              <w:rPr>
                <w:bCs/>
                <w:sz w:val="20"/>
                <w:szCs w:val="22"/>
                <w:lang w:val="en-IE"/>
              </w:rPr>
              <w:t>Common methodology to track EU budget expenditure</w:t>
            </w:r>
          </w:p>
          <w:p w14:paraId="566B5ABE" w14:textId="77777777" w:rsidR="009F1BF0" w:rsidRPr="00277FAB" w:rsidRDefault="009F1BF0">
            <w:pPr>
              <w:pStyle w:val="amprboxBLUEtext"/>
              <w:cnfStyle w:val="100000000000" w:firstRow="1" w:lastRow="0" w:firstColumn="0" w:lastColumn="0" w:oddVBand="0" w:evenVBand="0" w:oddHBand="0" w:evenHBand="0" w:firstRowFirstColumn="0" w:firstRowLastColumn="0" w:lastRowFirstColumn="0" w:lastRowLastColumn="0"/>
              <w:rPr>
                <w:sz w:val="20"/>
                <w:szCs w:val="22"/>
                <w:lang w:val="en-IE"/>
              </w:rPr>
            </w:pPr>
            <w:r w:rsidRPr="00277FAB">
              <w:rPr>
                <w:bCs/>
                <w:sz w:val="20"/>
                <w:szCs w:val="22"/>
                <w:lang w:val="en-IE"/>
              </w:rPr>
              <w:t>A single methodology</w:t>
            </w:r>
            <w:r w:rsidRPr="00277FAB">
              <w:rPr>
                <w:sz w:val="20"/>
                <w:szCs w:val="22"/>
                <w:lang w:val="en-IE"/>
              </w:rPr>
              <w:t xml:space="preserve"> to monitor the expenditure </w:t>
            </w:r>
            <w:r w:rsidRPr="00277FAB">
              <w:rPr>
                <w:spacing w:val="-6"/>
                <w:sz w:val="20"/>
                <w:szCs w:val="22"/>
                <w:lang w:val="en-IE"/>
              </w:rPr>
              <w:t>supporting climate mitigation, climate adaptation,</w:t>
            </w:r>
            <w:r w:rsidRPr="00277FAB">
              <w:rPr>
                <w:sz w:val="20"/>
                <w:szCs w:val="22"/>
                <w:lang w:val="en-IE"/>
              </w:rPr>
              <w:t xml:space="preserve"> environment and social objectives</w:t>
            </w:r>
          </w:p>
        </w:tc>
        <w:tc>
          <w:tcPr>
            <w:tcW w:w="3014" w:type="dxa"/>
            <w:tcBorders>
              <w:top w:val="single" w:sz="48" w:space="0" w:color="FFFFFF" w:themeColor="background1"/>
              <w:left w:val="single" w:sz="48" w:space="0" w:color="FFFFFF" w:themeColor="background1"/>
            </w:tcBorders>
            <w:shd w:val="clear" w:color="auto" w:fill="F3F7FF" w:themeFill="background2"/>
          </w:tcPr>
          <w:p w14:paraId="6F852082" w14:textId="77777777" w:rsidR="009F1BF0" w:rsidRPr="00277FAB" w:rsidRDefault="009F1BF0">
            <w:pPr>
              <w:pStyle w:val="amprboxBLUEtext"/>
              <w:cnfStyle w:val="100000000000" w:firstRow="1" w:lastRow="0" w:firstColumn="0" w:lastColumn="0" w:oddVBand="0" w:evenVBand="0" w:oddHBand="0" w:evenHBand="0" w:firstRowFirstColumn="0" w:firstRowLastColumn="0" w:lastRowFirstColumn="0" w:lastRowLastColumn="0"/>
              <w:rPr>
                <w:bCs/>
                <w:sz w:val="20"/>
                <w:szCs w:val="22"/>
                <w:lang w:val="en-IE"/>
              </w:rPr>
            </w:pPr>
            <w:r w:rsidRPr="00277FAB">
              <w:rPr>
                <w:bCs/>
                <w:sz w:val="20"/>
                <w:szCs w:val="22"/>
                <w:lang w:val="en-IE"/>
              </w:rPr>
              <w:t xml:space="preserve">Common list of performance indicators </w:t>
            </w:r>
          </w:p>
          <w:p w14:paraId="613D143C" w14:textId="77777777" w:rsidR="009F1BF0" w:rsidRPr="00277FAB" w:rsidRDefault="009F1BF0">
            <w:pPr>
              <w:pStyle w:val="amprboxBLUEtext"/>
              <w:cnfStyle w:val="100000000000" w:firstRow="1" w:lastRow="0" w:firstColumn="0" w:lastColumn="0" w:oddVBand="0" w:evenVBand="0" w:oddHBand="0" w:evenHBand="0" w:firstRowFirstColumn="0" w:firstRowLastColumn="0" w:lastRowFirstColumn="0" w:lastRowLastColumn="0"/>
              <w:rPr>
                <w:sz w:val="20"/>
                <w:szCs w:val="22"/>
                <w:lang w:val="en-IE"/>
              </w:rPr>
            </w:pPr>
            <w:r w:rsidRPr="00277FAB">
              <w:rPr>
                <w:sz w:val="20"/>
                <w:szCs w:val="22"/>
                <w:lang w:val="en-IE"/>
              </w:rPr>
              <w:t xml:space="preserve">Streamlined output and result indicators, moving </w:t>
            </w:r>
            <w:r w:rsidRPr="00277FAB">
              <w:rPr>
                <w:bCs/>
                <w:sz w:val="20"/>
                <w:szCs w:val="22"/>
                <w:lang w:val="en-IE"/>
              </w:rPr>
              <w:t>from over</w:t>
            </w:r>
            <w:r w:rsidRPr="00277FAB">
              <w:rPr>
                <w:bCs/>
                <w:szCs w:val="22"/>
                <w:lang w:val="en-IE"/>
              </w:rPr>
              <w:t xml:space="preserve"> </w:t>
            </w:r>
            <w:r w:rsidRPr="00277FAB">
              <w:rPr>
                <w:bCs/>
                <w:sz w:val="20"/>
                <w:szCs w:val="22"/>
                <w:lang w:val="en-IE"/>
              </w:rPr>
              <w:t>5</w:t>
            </w:r>
            <w:r>
              <w:rPr>
                <w:rFonts w:ascii="Calibri" w:hAnsi="Calibri" w:cs="Calibri"/>
                <w:bCs/>
                <w:sz w:val="20"/>
                <w:szCs w:val="22"/>
                <w:lang w:val="en-IE"/>
              </w:rPr>
              <w:t> </w:t>
            </w:r>
            <w:r w:rsidRPr="00277FAB">
              <w:rPr>
                <w:bCs/>
                <w:sz w:val="20"/>
                <w:szCs w:val="22"/>
                <w:lang w:val="en-IE"/>
              </w:rPr>
              <w:t>000 to around 900 indicators</w:t>
            </w:r>
            <w:r w:rsidRPr="00277FAB">
              <w:rPr>
                <w:sz w:val="20"/>
                <w:szCs w:val="22"/>
                <w:lang w:val="en-IE"/>
              </w:rPr>
              <w:t xml:space="preserve">, and allowing aggregation at </w:t>
            </w:r>
            <w:r>
              <w:rPr>
                <w:sz w:val="20"/>
                <w:szCs w:val="22"/>
                <w:lang w:val="en-IE"/>
              </w:rPr>
              <w:t xml:space="preserve">the </w:t>
            </w:r>
            <w:r w:rsidRPr="00277FAB">
              <w:rPr>
                <w:sz w:val="20"/>
                <w:szCs w:val="22"/>
                <w:lang w:val="en-IE"/>
              </w:rPr>
              <w:t>EU budget level</w:t>
            </w:r>
          </w:p>
        </w:tc>
      </w:tr>
      <w:tr w:rsidR="0045192A" w14:paraId="3F7A7B28" w14:textId="77777777">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3013" w:type="dxa"/>
            <w:tcBorders>
              <w:top w:val="single" w:sz="48" w:space="0" w:color="FFFFFF" w:themeColor="background1"/>
              <w:right w:val="single" w:sz="48" w:space="0" w:color="FFFFFF" w:themeColor="background1"/>
            </w:tcBorders>
            <w:shd w:val="clear" w:color="auto" w:fill="F3F7FF" w:themeFill="background2"/>
          </w:tcPr>
          <w:p w14:paraId="0EBC769D" w14:textId="77777777" w:rsidR="009F1BF0" w:rsidRPr="00277FAB" w:rsidRDefault="009F1BF0">
            <w:pPr>
              <w:pStyle w:val="amprboxBLUEtext"/>
              <w:rPr>
                <w:sz w:val="20"/>
                <w:szCs w:val="22"/>
                <w:lang w:val="en-IE"/>
              </w:rPr>
            </w:pPr>
            <w:r w:rsidRPr="00277FAB">
              <w:rPr>
                <w:sz w:val="20"/>
                <w:szCs w:val="22"/>
                <w:lang w:val="en-IE"/>
              </w:rPr>
              <w:t>A single report on performance</w:t>
            </w:r>
          </w:p>
          <w:p w14:paraId="6F1F0B52" w14:textId="77777777" w:rsidR="009F1BF0" w:rsidRPr="00277FAB" w:rsidRDefault="009F1BF0">
            <w:pPr>
              <w:pStyle w:val="amprboxBLUEtext"/>
              <w:rPr>
                <w:rFonts w:cs="EC Square Sans Pro"/>
                <w:sz w:val="20"/>
                <w:szCs w:val="22"/>
                <w:lang w:val="en-IE"/>
              </w:rPr>
            </w:pPr>
            <w:r w:rsidRPr="00277FAB">
              <w:rPr>
                <w:noProof/>
                <w:szCs w:val="22"/>
                <w:lang w:val="en-IE"/>
              </w:rPr>
              <w:t>From 32 programme-specific reporting requirements to a single performance report</w:t>
            </w:r>
            <w:r w:rsidRPr="00277FAB">
              <w:rPr>
                <w:szCs w:val="22"/>
                <w:lang w:val="en-IE"/>
              </w:rPr>
              <w:t xml:space="preserve">: the </w:t>
            </w:r>
            <w:r w:rsidRPr="00E56EE2">
              <w:rPr>
                <w:i/>
                <w:iCs/>
                <w:szCs w:val="22"/>
                <w:lang w:val="en-IE"/>
              </w:rPr>
              <w:t>Annual Management and Performance Report</w:t>
            </w:r>
          </w:p>
        </w:tc>
        <w:tc>
          <w:tcPr>
            <w:tcW w:w="3014" w:type="dxa"/>
            <w:tcBorders>
              <w:top w:val="single" w:sz="48" w:space="0" w:color="FFFFFF" w:themeColor="background1"/>
              <w:left w:val="single" w:sz="48" w:space="0" w:color="FFFFFF" w:themeColor="background1"/>
              <w:right w:val="single" w:sz="48" w:space="0" w:color="FFFFFF" w:themeColor="background1"/>
            </w:tcBorders>
            <w:shd w:val="clear" w:color="auto" w:fill="F3F7FF" w:themeFill="background2"/>
          </w:tcPr>
          <w:p w14:paraId="15024207" w14:textId="77777777" w:rsidR="009F1BF0" w:rsidRPr="00277FAB" w:rsidRDefault="009F1BF0">
            <w:pPr>
              <w:pStyle w:val="amprboxBLUEtext"/>
              <w:cnfStyle w:val="000000100000" w:firstRow="0" w:lastRow="0" w:firstColumn="0" w:lastColumn="0" w:oddVBand="0" w:evenVBand="0" w:oddHBand="1" w:evenHBand="0" w:firstRowFirstColumn="0" w:firstRowLastColumn="0" w:lastRowFirstColumn="0" w:lastRowLastColumn="0"/>
              <w:rPr>
                <w:b/>
                <w:bCs/>
                <w:sz w:val="20"/>
                <w:szCs w:val="22"/>
                <w:lang w:val="en-IE"/>
              </w:rPr>
            </w:pPr>
            <w:r>
              <w:rPr>
                <w:b/>
                <w:bCs/>
                <w:sz w:val="20"/>
                <w:szCs w:val="22"/>
                <w:lang w:val="en-IE"/>
              </w:rPr>
              <w:t>The s</w:t>
            </w:r>
            <w:r w:rsidRPr="00277FAB">
              <w:rPr>
                <w:b/>
                <w:bCs/>
                <w:sz w:val="20"/>
                <w:szCs w:val="22"/>
                <w:lang w:val="en-IE"/>
              </w:rPr>
              <w:t xml:space="preserve">ingle </w:t>
            </w:r>
            <w:r>
              <w:rPr>
                <w:b/>
                <w:bCs/>
                <w:sz w:val="20"/>
                <w:szCs w:val="22"/>
                <w:lang w:val="en-IE"/>
              </w:rPr>
              <w:t>g</w:t>
            </w:r>
            <w:r w:rsidRPr="00277FAB">
              <w:rPr>
                <w:b/>
                <w:bCs/>
                <w:sz w:val="20"/>
                <w:szCs w:val="22"/>
                <w:lang w:val="en-IE"/>
              </w:rPr>
              <w:t>ateway portal</w:t>
            </w:r>
          </w:p>
          <w:p w14:paraId="12ABB620" w14:textId="77777777" w:rsidR="009F1BF0" w:rsidRPr="00277FAB" w:rsidRDefault="009F1BF0">
            <w:pPr>
              <w:pStyle w:val="amprboxBLUEtext"/>
              <w:cnfStyle w:val="000000100000" w:firstRow="0" w:lastRow="0" w:firstColumn="0" w:lastColumn="0" w:oddVBand="0" w:evenVBand="0" w:oddHBand="1" w:evenHBand="0" w:firstRowFirstColumn="0" w:firstRowLastColumn="0" w:lastRowFirstColumn="0" w:lastRowLastColumn="0"/>
              <w:rPr>
                <w:rFonts w:cs="EC Square Sans Pro"/>
                <w:sz w:val="20"/>
                <w:szCs w:val="22"/>
                <w:lang w:val="en-IE"/>
              </w:rPr>
            </w:pPr>
            <w:r w:rsidRPr="00277FAB">
              <w:rPr>
                <w:b/>
                <w:szCs w:val="22"/>
                <w:lang w:val="en-IE"/>
              </w:rPr>
              <w:t xml:space="preserve">Merging over 30 portals and dashboards into a single entry </w:t>
            </w:r>
            <w:r w:rsidRPr="00F14277">
              <w:rPr>
                <w:b/>
                <w:szCs w:val="22"/>
                <w:lang w:val="en-IE"/>
              </w:rPr>
              <w:t>point</w:t>
            </w:r>
            <w:r w:rsidRPr="00E56EE2">
              <w:rPr>
                <w:b/>
                <w:noProof/>
                <w:szCs w:val="22"/>
                <w:lang w:val="en-IE"/>
              </w:rPr>
              <w:t xml:space="preserve"> for funding opportunities and EU budget performance information</w:t>
            </w:r>
          </w:p>
        </w:tc>
        <w:tc>
          <w:tcPr>
            <w:tcW w:w="3014" w:type="dxa"/>
            <w:tcBorders>
              <w:top w:val="single" w:sz="48" w:space="0" w:color="FFFFFF" w:themeColor="background1"/>
              <w:left w:val="single" w:sz="48" w:space="0" w:color="FFFFFF" w:themeColor="background1"/>
            </w:tcBorders>
            <w:shd w:val="clear" w:color="auto" w:fill="F3F7FF" w:themeFill="background2"/>
          </w:tcPr>
          <w:p w14:paraId="6076AA36" w14:textId="77777777" w:rsidR="009F1BF0" w:rsidRPr="00277FAB" w:rsidRDefault="009F1BF0">
            <w:pPr>
              <w:pStyle w:val="amprboxBLUEtext"/>
              <w:cnfStyle w:val="000000100000" w:firstRow="0" w:lastRow="0" w:firstColumn="0" w:lastColumn="0" w:oddVBand="0" w:evenVBand="0" w:oddHBand="1" w:evenHBand="0" w:firstRowFirstColumn="0" w:firstRowLastColumn="0" w:lastRowFirstColumn="0" w:lastRowLastColumn="0"/>
              <w:rPr>
                <w:b/>
                <w:bCs/>
                <w:sz w:val="20"/>
                <w:szCs w:val="22"/>
                <w:lang w:val="en-IE"/>
              </w:rPr>
            </w:pPr>
            <w:r w:rsidRPr="00277FAB">
              <w:rPr>
                <w:b/>
                <w:bCs/>
                <w:sz w:val="20"/>
                <w:szCs w:val="22"/>
                <w:lang w:val="en-IE"/>
              </w:rPr>
              <w:t>Streamlined evaluations</w:t>
            </w:r>
          </w:p>
          <w:p w14:paraId="436CC97C" w14:textId="77777777" w:rsidR="009F1BF0" w:rsidRPr="00E56EE2" w:rsidRDefault="009F1BF0">
            <w:pPr>
              <w:pStyle w:val="amprboxBLUEtext"/>
              <w:cnfStyle w:val="000000100000" w:firstRow="0" w:lastRow="0" w:firstColumn="0" w:lastColumn="0" w:oddVBand="0" w:evenVBand="0" w:oddHBand="1" w:evenHBand="0" w:firstRowFirstColumn="0" w:firstRowLastColumn="0" w:lastRowFirstColumn="0" w:lastRowLastColumn="0"/>
              <w:rPr>
                <w:rFonts w:cs="EC Square Sans Pro"/>
                <w:b/>
                <w:bCs/>
                <w:sz w:val="20"/>
                <w:szCs w:val="22"/>
                <w:lang w:val="en-IE"/>
              </w:rPr>
            </w:pPr>
            <w:r w:rsidRPr="00E56EE2">
              <w:rPr>
                <w:b/>
                <w:bCs/>
                <w:noProof/>
                <w:szCs w:val="22"/>
                <w:lang w:val="en-IE"/>
              </w:rPr>
              <w:t>Implementation report replacing midterm evaluation</w:t>
            </w:r>
          </w:p>
        </w:tc>
      </w:tr>
    </w:tbl>
    <w:p w14:paraId="42934080" w14:textId="77777777" w:rsidR="009F1BF0" w:rsidRDefault="009F1BF0" w:rsidP="009F1BF0">
      <w:pPr>
        <w:rPr>
          <w:rFonts w:eastAsia="EC Square Sans Pro" w:cs="EC Square Sans Pro"/>
          <w:noProof/>
        </w:rPr>
      </w:pPr>
      <w:r w:rsidRPr="00ED66B7">
        <w:rPr>
          <w:rFonts w:eastAsia="EC Square Sans Pro" w:cs="EC Square Sans Pro"/>
          <w:noProof/>
        </w:rPr>
        <w:t xml:space="preserve">The </w:t>
      </w:r>
      <w:r>
        <w:rPr>
          <w:rFonts w:eastAsia="EC Square Sans Pro" w:cs="EC Square Sans Pro"/>
          <w:noProof/>
        </w:rPr>
        <w:t>proposed</w:t>
      </w:r>
      <w:r w:rsidRPr="00ED66B7">
        <w:rPr>
          <w:rFonts w:eastAsia="EC Square Sans Pro" w:cs="EC Square Sans Pro"/>
          <w:noProof/>
        </w:rPr>
        <w:t xml:space="preserve"> Performance Regulation also includes the ‘</w:t>
      </w:r>
      <w:r>
        <w:rPr>
          <w:rFonts w:eastAsia="EC Square Sans Pro" w:cs="EC Square Sans Pro"/>
          <w:noProof/>
        </w:rPr>
        <w:t>s</w:t>
      </w:r>
      <w:r w:rsidRPr="00ED66B7">
        <w:rPr>
          <w:rFonts w:eastAsia="EC Square Sans Pro" w:cs="EC Square Sans Pro"/>
          <w:noProof/>
        </w:rPr>
        <w:t xml:space="preserve">ingle </w:t>
      </w:r>
      <w:r>
        <w:rPr>
          <w:rFonts w:eastAsia="EC Square Sans Pro" w:cs="EC Square Sans Pro"/>
          <w:noProof/>
        </w:rPr>
        <w:t>g</w:t>
      </w:r>
      <w:r w:rsidRPr="00ED66B7">
        <w:rPr>
          <w:rFonts w:eastAsia="EC Square Sans Pro" w:cs="EC Square Sans Pro"/>
          <w:noProof/>
        </w:rPr>
        <w:t xml:space="preserve">ateway’ portal, which will provide </w:t>
      </w:r>
      <w:r>
        <w:rPr>
          <w:rFonts w:eastAsia="EC Square Sans Pro" w:cs="EC Square Sans Pro"/>
          <w:noProof/>
        </w:rPr>
        <w:t xml:space="preserve">a single entry </w:t>
      </w:r>
      <w:r w:rsidRPr="00ED66B7">
        <w:rPr>
          <w:rFonts w:eastAsia="EC Square Sans Pro" w:cs="EC Square Sans Pro"/>
          <w:noProof/>
        </w:rPr>
        <w:t>point for EU funding opportunities a</w:t>
      </w:r>
      <w:r>
        <w:rPr>
          <w:rFonts w:eastAsia="EC Square Sans Pro" w:cs="EC Square Sans Pro"/>
          <w:noProof/>
        </w:rPr>
        <w:t xml:space="preserve">nd </w:t>
      </w:r>
      <w:r w:rsidRPr="00ED66B7">
        <w:rPr>
          <w:rFonts w:eastAsia="EC Square Sans Pro" w:cs="EC Square Sans Pro"/>
          <w:noProof/>
        </w:rPr>
        <w:t xml:space="preserve">for performance information, </w:t>
      </w:r>
      <w:r>
        <w:rPr>
          <w:rFonts w:eastAsia="EC Square Sans Pro" w:cs="EC Square Sans Pro"/>
          <w:noProof/>
        </w:rPr>
        <w:t xml:space="preserve">which is </w:t>
      </w:r>
      <w:r w:rsidRPr="00ED66B7">
        <w:rPr>
          <w:rFonts w:eastAsia="EC Square Sans Pro" w:cs="EC Square Sans Pro"/>
          <w:noProof/>
        </w:rPr>
        <w:t xml:space="preserve">currently </w:t>
      </w:r>
      <w:r w:rsidRPr="0015408B">
        <w:rPr>
          <w:rFonts w:eastAsia="EC Square Sans Pro" w:cs="EC Square Sans Pro"/>
          <w:noProof/>
        </w:rPr>
        <w:t xml:space="preserve">spread </w:t>
      </w:r>
      <w:r w:rsidRPr="00ED66B7">
        <w:rPr>
          <w:rFonts w:eastAsia="EC Square Sans Pro" w:cs="EC Square Sans Pro"/>
          <w:noProof/>
        </w:rPr>
        <w:t xml:space="preserve">across multiple platforms. The portal will enhance accessibility and transparency for </w:t>
      </w:r>
      <w:r>
        <w:rPr>
          <w:rFonts w:eastAsia="EC Square Sans Pro" w:cs="EC Square Sans Pro"/>
          <w:noProof/>
        </w:rPr>
        <w:t xml:space="preserve">potential beneficiaries </w:t>
      </w:r>
      <w:r w:rsidRPr="00220AA2">
        <w:rPr>
          <w:rFonts w:eastAsia="EC Square Sans Pro" w:cs="EC Square Sans Pro"/>
          <w:noProof/>
        </w:rPr>
        <w:t>and users of information on the implementation and performance of the EU budget.</w:t>
      </w:r>
    </w:p>
    <w:p w14:paraId="1D1E552F" w14:textId="77777777" w:rsidR="009F1BF0" w:rsidRPr="00B13363" w:rsidRDefault="009F1BF0" w:rsidP="000D7D9F"/>
    <w:p w14:paraId="05B7E21D" w14:textId="032D7BF3" w:rsidR="005A6E10" w:rsidRPr="00B13363" w:rsidRDefault="007272D5" w:rsidP="003A50BA">
      <w:pPr>
        <w:pStyle w:val="Heading2"/>
        <w:rPr>
          <w:rFonts w:ascii="EC Square Sans Pro" w:hAnsi="EC Square Sans Pro"/>
        </w:rPr>
      </w:pPr>
      <w:bookmarkStart w:id="31" w:name="_Toc231480355"/>
      <w:bookmarkStart w:id="32" w:name="_Toc231486610"/>
      <w:r>
        <w:rPr>
          <w:rFonts w:ascii="EC Square Sans Pro" w:hAnsi="EC Square Sans Pro"/>
        </w:rPr>
        <w:t xml:space="preserve">2. </w:t>
      </w:r>
      <w:bookmarkStart w:id="33" w:name="_Toc168585654"/>
      <w:bookmarkStart w:id="34" w:name="_Toc196895479"/>
      <w:r w:rsidR="005A6E10" w:rsidRPr="00B13363">
        <w:rPr>
          <w:rFonts w:ascii="EC Square Sans Pro" w:hAnsi="EC Square Sans Pro"/>
        </w:rPr>
        <w:t>EU budget support for reforms</w:t>
      </w:r>
      <w:bookmarkEnd w:id="31"/>
      <w:bookmarkEnd w:id="32"/>
    </w:p>
    <w:p w14:paraId="7A6A161F" w14:textId="77777777" w:rsidR="005A6E10" w:rsidRPr="00B13363" w:rsidRDefault="005A6E10" w:rsidP="005A6E10">
      <w:r w:rsidRPr="00FD3BD8">
        <w:rPr>
          <w:rStyle w:val="Bold"/>
        </w:rPr>
        <w:t>The EU budget supports reforms alongside investment in Member States and partner countries.</w:t>
      </w:r>
      <w:r w:rsidRPr="00B13363">
        <w:t xml:space="preserve"> While investment finances tangible projects that promote growth and development, reforms serve as enablers, helping enhance the impact and effectiveness of investment, and act as catalysts for change and for aligning policies with the EU’s strategic priorities.</w:t>
      </w:r>
    </w:p>
    <w:p w14:paraId="1F142553" w14:textId="578E55CC" w:rsidR="00BF1156" w:rsidRDefault="005A6E10" w:rsidP="005A6E10">
      <w:r w:rsidRPr="00FD3BD8">
        <w:rPr>
          <w:rStyle w:val="Bold"/>
        </w:rPr>
        <w:t>Within the EU, the synergy between reforms and investments is particularly embodied in the Recovery and Resilience Facility</w:t>
      </w:r>
      <w:r w:rsidRPr="00B13363">
        <w:t xml:space="preserve">, </w:t>
      </w:r>
      <w:r w:rsidR="004613FF">
        <w:t>where disbursements are</w:t>
      </w:r>
      <w:r w:rsidRPr="00B13363">
        <w:t xml:space="preserve"> based on the achievement of predefined milestones and targets. In addition, several EU programmes have built-in conditionalities to ensure that EU money is spent effectively and in line with broader EU objectives. </w:t>
      </w:r>
      <w:r w:rsidR="008D4355" w:rsidRPr="008D4355">
        <w:rPr>
          <w:lang w:val="en-IE"/>
        </w:rPr>
        <w:t>EU programmes providing fu</w:t>
      </w:r>
      <w:r w:rsidR="00A73A49">
        <w:rPr>
          <w:lang w:val="en-IE"/>
        </w:rPr>
        <w:t>n</w:t>
      </w:r>
      <w:r w:rsidR="008D4355" w:rsidRPr="008D4355">
        <w:rPr>
          <w:lang w:val="en-IE"/>
        </w:rPr>
        <w:t>ding to Member States or regions</w:t>
      </w:r>
      <w:r w:rsidR="00EC4F5C">
        <w:rPr>
          <w:lang w:val="en-IE"/>
        </w:rPr>
        <w:t>, namely under</w:t>
      </w:r>
      <w:r w:rsidR="008B4622">
        <w:rPr>
          <w:lang w:val="en-IE"/>
        </w:rPr>
        <w:t xml:space="preserve"> c</w:t>
      </w:r>
      <w:r w:rsidR="00EC4F5C">
        <w:rPr>
          <w:lang w:val="en-IE"/>
        </w:rPr>
        <w:t xml:space="preserve">ohesion </w:t>
      </w:r>
      <w:r w:rsidR="008B4622">
        <w:rPr>
          <w:lang w:val="en-IE"/>
        </w:rPr>
        <w:t>p</w:t>
      </w:r>
      <w:r w:rsidR="00EC4F5C">
        <w:rPr>
          <w:lang w:val="en-IE"/>
        </w:rPr>
        <w:t>olicy,</w:t>
      </w:r>
      <w:r w:rsidR="008D4355" w:rsidRPr="008D4355">
        <w:rPr>
          <w:lang w:val="en-IE"/>
        </w:rPr>
        <w:t xml:space="preserve"> have strengthened the link with EU priorities in various forms. Financing from the EU budget should contribute to these shared priorities to deliver EU </w:t>
      </w:r>
      <w:r w:rsidR="00D75F6D" w:rsidRPr="008D4355">
        <w:rPr>
          <w:lang w:val="en-IE"/>
        </w:rPr>
        <w:t xml:space="preserve">added </w:t>
      </w:r>
      <w:r w:rsidR="008D4355" w:rsidRPr="008D4355">
        <w:rPr>
          <w:lang w:val="en-IE"/>
        </w:rPr>
        <w:t xml:space="preserve">value. </w:t>
      </w:r>
      <w:r w:rsidRPr="00B13363">
        <w:t xml:space="preserve">Where Member States </w:t>
      </w:r>
      <w:r w:rsidRPr="00446385">
        <w:rPr>
          <w:rFonts w:eastAsia="EC Square Sans Pro" w:cs="EC Square Sans Pro"/>
        </w:rPr>
        <w:t>need</w:t>
      </w:r>
      <w:r w:rsidRPr="00B13363">
        <w:t xml:space="preserve"> support, the Technical Support Instrument provides tailored expertise and guidance to design and implement complex reforms. In external action, the EU uses conditional budget support and investment facilities to promote reforms </w:t>
      </w:r>
      <w:r w:rsidR="00053E1B">
        <w:t xml:space="preserve">and investments </w:t>
      </w:r>
      <w:r w:rsidRPr="00B13363">
        <w:t>in neighbouring and candidate countries, along with other partner countries.</w:t>
      </w:r>
      <w:r w:rsidR="00080D70">
        <w:t xml:space="preserve"> </w:t>
      </w:r>
      <w:r w:rsidR="00BF1156">
        <w:t>In partner countries, the joint support for re</w:t>
      </w:r>
      <w:r w:rsidR="000E3AC3">
        <w:t xml:space="preserve">forms and investments is particularly relevant in the </w:t>
      </w:r>
      <w:r w:rsidR="00A84693">
        <w:t>Instrument for Pre-Accession Assistance</w:t>
      </w:r>
      <w:r w:rsidR="000943C6">
        <w:t xml:space="preserve">, </w:t>
      </w:r>
      <w:r w:rsidR="00B70528">
        <w:t xml:space="preserve">the </w:t>
      </w:r>
      <w:r w:rsidR="000E3AC3">
        <w:t>Ukraine Facility</w:t>
      </w:r>
      <w:r w:rsidR="00F34F6E">
        <w:t>,</w:t>
      </w:r>
      <w:r w:rsidR="000E3AC3">
        <w:t xml:space="preserve"> the Reform and Growth Facility for </w:t>
      </w:r>
      <w:r w:rsidR="00F34F6E">
        <w:t xml:space="preserve">the </w:t>
      </w:r>
      <w:r w:rsidR="000E3AC3">
        <w:t>Western Balkans</w:t>
      </w:r>
      <w:r w:rsidR="001A2139">
        <w:t>,</w:t>
      </w:r>
      <w:r w:rsidR="00CC563A">
        <w:t xml:space="preserve"> and </w:t>
      </w:r>
      <w:r w:rsidR="00F34F6E">
        <w:t xml:space="preserve">the Reform and Growth Facility </w:t>
      </w:r>
      <w:r w:rsidR="00CC563A">
        <w:t>for Moldova.</w:t>
      </w:r>
    </w:p>
    <w:p w14:paraId="0E9A542D" w14:textId="20AAF43D" w:rsidR="0062342D" w:rsidRPr="003A50BA" w:rsidRDefault="0062342D" w:rsidP="003A50BA">
      <w:pPr>
        <w:pStyle w:val="amprA1H3thatlookslikeH4"/>
        <w:spacing w:before="360"/>
        <w:rPr>
          <w:rFonts w:ascii="EC Square Sans Pro" w:hAnsi="EC Square Sans Pro"/>
        </w:rPr>
      </w:pPr>
      <w:r w:rsidRPr="003A50BA">
        <w:rPr>
          <w:rFonts w:ascii="EC Square Sans Pro" w:hAnsi="EC Square Sans Pro"/>
        </w:rPr>
        <w:t>Recovery and Resilience Facility</w:t>
      </w:r>
    </w:p>
    <w:p w14:paraId="275DAD09" w14:textId="0C7F2F39" w:rsidR="006C3E0C" w:rsidRDefault="005A6E10" w:rsidP="005A6E10">
      <w:r w:rsidRPr="00FD3BD8">
        <w:rPr>
          <w:rStyle w:val="Bold"/>
        </w:rPr>
        <w:t xml:space="preserve">The midterm evaluation of the Recovery and Resilience Facility highlighted the key role played by the </w:t>
      </w:r>
      <w:r w:rsidR="006F676B" w:rsidRPr="00FD3BD8">
        <w:rPr>
          <w:rStyle w:val="Bold"/>
        </w:rPr>
        <w:t>f</w:t>
      </w:r>
      <w:r w:rsidRPr="00FD3BD8">
        <w:rPr>
          <w:rStyle w:val="Bold"/>
        </w:rPr>
        <w:t>acility in supporting reforms in Member States.</w:t>
      </w:r>
      <w:r w:rsidRPr="006348E7">
        <w:rPr>
          <w:rFonts w:eastAsia="EC Square Sans Pro" w:cs="EC Square Sans Pro"/>
        </w:rPr>
        <w:t xml:space="preserve"> The Recovery and Resilience Facility</w:t>
      </w:r>
      <w:r w:rsidRPr="006348E7" w:rsidDel="00FC58FA">
        <w:rPr>
          <w:rFonts w:eastAsia="EC Square Sans Pro" w:cs="EC Square Sans Pro"/>
        </w:rPr>
        <w:t xml:space="preserve"> </w:t>
      </w:r>
      <w:r w:rsidRPr="006348E7">
        <w:rPr>
          <w:rFonts w:eastAsia="EC Square Sans Pro" w:cs="EC Square Sans Pro"/>
        </w:rPr>
        <w:t xml:space="preserve">introduced new stimulus and financial incentives for implementing critical and long-awaited reforms, thanks to the requirements </w:t>
      </w:r>
      <w:r w:rsidR="00A44243" w:rsidRPr="00A44243">
        <w:rPr>
          <w:rFonts w:eastAsia="EC Square Sans Pro" w:cs="EC Square Sans Pro"/>
        </w:rPr>
        <w:t xml:space="preserve">from the RRF Regulation </w:t>
      </w:r>
      <w:r w:rsidRPr="006348E7">
        <w:rPr>
          <w:rFonts w:eastAsia="EC Square Sans Pro" w:cs="EC Square Sans Pro"/>
        </w:rPr>
        <w:t xml:space="preserve">and the </w:t>
      </w:r>
      <w:r w:rsidRPr="00446385">
        <w:t>novel</w:t>
      </w:r>
      <w:r w:rsidRPr="006348E7">
        <w:rPr>
          <w:rFonts w:eastAsia="EC Square Sans Pro" w:cs="EC Square Sans Pro"/>
        </w:rPr>
        <w:t xml:space="preserve"> link between reforms and investment</w:t>
      </w:r>
      <w:r w:rsidR="006C3E0C" w:rsidRPr="006348E7">
        <w:rPr>
          <w:rFonts w:eastAsia="EC Square Sans Pro" w:cs="EC Square Sans Pro"/>
        </w:rPr>
        <w:t>s</w:t>
      </w:r>
      <w:r w:rsidRPr="006348E7" w:rsidDel="006C3E0C">
        <w:rPr>
          <w:rFonts w:eastAsia="EC Square Sans Pro" w:cs="EC Square Sans Pro"/>
        </w:rPr>
        <w:t>.</w:t>
      </w:r>
      <w:r w:rsidR="006C3E0C" w:rsidRPr="006348E7">
        <w:rPr>
          <w:rFonts w:eastAsia="EC Square Sans Pro" w:cs="EC Square Sans Pro"/>
        </w:rPr>
        <w:t xml:space="preserve"> </w:t>
      </w:r>
      <w:r w:rsidR="006C3E0C" w:rsidRPr="006C3E0C">
        <w:rPr>
          <w:rFonts w:eastAsia="EC Square Sans Pro" w:cs="EC Square Sans Pro"/>
          <w:noProof/>
        </w:rPr>
        <w:t xml:space="preserve">The implementation of reform measures </w:t>
      </w:r>
      <w:r w:rsidR="002F1769">
        <w:rPr>
          <w:rFonts w:eastAsia="EC Square Sans Pro" w:cs="EC Square Sans Pro"/>
          <w:noProof/>
        </w:rPr>
        <w:t>has generally been</w:t>
      </w:r>
      <w:r w:rsidR="006C3E0C" w:rsidRPr="006C3E0C">
        <w:rPr>
          <w:rFonts w:eastAsia="EC Square Sans Pro" w:cs="EC Square Sans Pro"/>
          <w:noProof/>
        </w:rPr>
        <w:t xml:space="preserve"> frontloaded compared </w:t>
      </w:r>
      <w:r w:rsidR="00321A63">
        <w:rPr>
          <w:rFonts w:eastAsia="EC Square Sans Pro" w:cs="EC Square Sans Pro"/>
          <w:noProof/>
        </w:rPr>
        <w:t xml:space="preserve">with </w:t>
      </w:r>
      <w:r w:rsidR="006C3E0C" w:rsidRPr="006C3E0C">
        <w:rPr>
          <w:rFonts w:eastAsia="EC Square Sans Pro" w:cs="EC Square Sans Pro"/>
          <w:noProof/>
        </w:rPr>
        <w:t xml:space="preserve">that of investments, as reforms often serve a </w:t>
      </w:r>
      <w:r w:rsidR="005B4C8F">
        <w:rPr>
          <w:rFonts w:eastAsia="EC Square Sans Pro" w:cs="EC Square Sans Pro"/>
          <w:noProof/>
        </w:rPr>
        <w:t>‘</w:t>
      </w:r>
      <w:r w:rsidR="006C3E0C" w:rsidRPr="006C3E0C">
        <w:rPr>
          <w:rFonts w:eastAsia="EC Square Sans Pro" w:cs="EC Square Sans Pro"/>
          <w:noProof/>
        </w:rPr>
        <w:t>preparatory</w:t>
      </w:r>
      <w:r w:rsidR="005B4C8F">
        <w:rPr>
          <w:rFonts w:eastAsia="EC Square Sans Pro" w:cs="EC Square Sans Pro"/>
          <w:noProof/>
        </w:rPr>
        <w:t>’</w:t>
      </w:r>
      <w:r w:rsidR="006C3E0C" w:rsidRPr="006C3E0C">
        <w:rPr>
          <w:rFonts w:eastAsia="EC Square Sans Pro" w:cs="EC Square Sans Pro"/>
          <w:noProof/>
        </w:rPr>
        <w:t xml:space="preserve"> function vis-à-vis the relevant investments, notably to maximise the impact of the latter</w:t>
      </w:r>
      <w:r w:rsidR="00E43D09">
        <w:t xml:space="preserve">. </w:t>
      </w:r>
    </w:p>
    <w:p w14:paraId="2EC28835" w14:textId="6AB802EA" w:rsidR="0031079A" w:rsidRDefault="005A6E10" w:rsidP="005A6E10">
      <w:r w:rsidRPr="006348E7">
        <w:t xml:space="preserve">Reform measures under the Recovery and Resilience Facility are distributed across its six policy pillars, with a greater number of measures under the pillars covering growth and resilience-enhancing policies (see chart </w:t>
      </w:r>
      <w:r w:rsidR="000669E5">
        <w:t>‘</w:t>
      </w:r>
      <w:r w:rsidRPr="006348E7">
        <w:t>Milestones and targets per Recovery and Resilience Facility pillar associated with reforms</w:t>
      </w:r>
      <w:r w:rsidR="000669E5">
        <w:t>’</w:t>
      </w:r>
      <w:r w:rsidRPr="006348E7">
        <w:t xml:space="preserve">). The pillars represent EU priorities consistent with the country-specific recommendations </w:t>
      </w:r>
      <w:r w:rsidR="00275F8C">
        <w:t xml:space="preserve">(CSR) </w:t>
      </w:r>
      <w:r w:rsidRPr="006348E7">
        <w:t>addressed to Member States</w:t>
      </w:r>
      <w:r>
        <w:t xml:space="preserve"> </w:t>
      </w:r>
      <w:r w:rsidR="000C00F0">
        <w:rPr>
          <w:noProof/>
        </w:rPr>
        <w:t>by the Council</w:t>
      </w:r>
      <w:r w:rsidRPr="006348E7">
        <w:t xml:space="preserve"> </w:t>
      </w:r>
      <w:r w:rsidR="00C17B38">
        <w:t xml:space="preserve">of the European Union </w:t>
      </w:r>
      <w:r w:rsidRPr="006348E7">
        <w:t>in the context of the European semester.</w:t>
      </w:r>
    </w:p>
    <w:p w14:paraId="4DED7781" w14:textId="7B1A587C" w:rsidR="0031079A" w:rsidRDefault="0031079A" w:rsidP="005A6E10">
      <w:pPr>
        <w:rPr>
          <w:noProof/>
        </w:rPr>
      </w:pPr>
      <w:r w:rsidRPr="0031079A">
        <w:rPr>
          <w:noProof/>
        </w:rPr>
        <w:t xml:space="preserve">The </w:t>
      </w:r>
      <w:r w:rsidR="00317C5A">
        <w:rPr>
          <w:noProof/>
        </w:rPr>
        <w:t>c</w:t>
      </w:r>
      <w:r w:rsidR="00317C5A" w:rsidRPr="00317C5A">
        <w:rPr>
          <w:noProof/>
        </w:rPr>
        <w:t xml:space="preserve">ountry-specific recommendations </w:t>
      </w:r>
      <w:r w:rsidRPr="0031079A">
        <w:rPr>
          <w:noProof/>
        </w:rPr>
        <w:t>assessment</w:t>
      </w:r>
      <w:r w:rsidR="00CE740F">
        <w:rPr>
          <w:noProof/>
        </w:rPr>
        <w:t>,</w:t>
      </w:r>
      <w:r w:rsidRPr="0031079A">
        <w:rPr>
          <w:noProof/>
        </w:rPr>
        <w:t xml:space="preserve"> published as part of the 2025 European </w:t>
      </w:r>
      <w:r w:rsidR="002E6D50">
        <w:rPr>
          <w:noProof/>
        </w:rPr>
        <w:t>s</w:t>
      </w:r>
      <w:r w:rsidRPr="0031079A">
        <w:rPr>
          <w:noProof/>
        </w:rPr>
        <w:t xml:space="preserve">emester </w:t>
      </w:r>
      <w:r w:rsidR="002E6D50">
        <w:rPr>
          <w:noProof/>
        </w:rPr>
        <w:t>s</w:t>
      </w:r>
      <w:r w:rsidRPr="0031079A">
        <w:rPr>
          <w:noProof/>
        </w:rPr>
        <w:t>pring package (COM(2025)</w:t>
      </w:r>
      <w:r w:rsidR="002D6BF3">
        <w:rPr>
          <w:rFonts w:ascii="Calibri" w:hAnsi="Calibri" w:cs="Calibri"/>
          <w:noProof/>
        </w:rPr>
        <w:t> </w:t>
      </w:r>
      <w:r w:rsidRPr="0031079A">
        <w:rPr>
          <w:noProof/>
        </w:rPr>
        <w:t>200 final)</w:t>
      </w:r>
      <w:r w:rsidR="00CE740F">
        <w:rPr>
          <w:noProof/>
        </w:rPr>
        <w:t>,</w:t>
      </w:r>
      <w:r w:rsidRPr="0031079A">
        <w:rPr>
          <w:noProof/>
        </w:rPr>
        <w:t xml:space="preserve"> demonstrates an increase in the implementation of </w:t>
      </w:r>
      <w:r w:rsidR="00D96F9D">
        <w:rPr>
          <w:noProof/>
        </w:rPr>
        <w:t>c</w:t>
      </w:r>
      <w:r w:rsidR="00D96F9D" w:rsidRPr="00317C5A">
        <w:rPr>
          <w:noProof/>
        </w:rPr>
        <w:t>ountry-specific recommendations</w:t>
      </w:r>
      <w:r w:rsidR="00D96F9D" w:rsidRPr="0031079A" w:rsidDel="00D96F9D">
        <w:rPr>
          <w:noProof/>
        </w:rPr>
        <w:t xml:space="preserve"> </w:t>
      </w:r>
      <w:r w:rsidRPr="0031079A">
        <w:rPr>
          <w:noProof/>
        </w:rPr>
        <w:t xml:space="preserve">adopted in 2019 and 2020 compared </w:t>
      </w:r>
      <w:r w:rsidR="00FE25D1">
        <w:rPr>
          <w:noProof/>
        </w:rPr>
        <w:t>with</w:t>
      </w:r>
      <w:r w:rsidRPr="0031079A">
        <w:rPr>
          <w:noProof/>
        </w:rPr>
        <w:t xml:space="preserve"> the implementation before the </w:t>
      </w:r>
      <w:r w:rsidR="00317C5A" w:rsidRPr="00ED3E1D">
        <w:rPr>
          <w:noProof/>
        </w:rPr>
        <w:t>Recovery and Resilience Facility</w:t>
      </w:r>
      <w:r w:rsidRPr="0031079A">
        <w:rPr>
          <w:noProof/>
        </w:rPr>
        <w:t xml:space="preserve">. By June 2025, the share of </w:t>
      </w:r>
      <w:r w:rsidR="00D96F9D">
        <w:rPr>
          <w:noProof/>
        </w:rPr>
        <w:t>c</w:t>
      </w:r>
      <w:r w:rsidR="00D96F9D" w:rsidRPr="00317C5A">
        <w:rPr>
          <w:noProof/>
        </w:rPr>
        <w:t>ountry-specific recommendations</w:t>
      </w:r>
      <w:r w:rsidR="00D96F9D" w:rsidRPr="0031079A" w:rsidDel="00D96F9D">
        <w:rPr>
          <w:noProof/>
        </w:rPr>
        <w:t xml:space="preserve"> </w:t>
      </w:r>
      <w:r w:rsidRPr="0031079A">
        <w:rPr>
          <w:noProof/>
        </w:rPr>
        <w:t xml:space="preserve">adopted in 2019-2020 and recording at least some progress reached 79%. By comparison, before the </w:t>
      </w:r>
      <w:r w:rsidR="005C2462" w:rsidRPr="00ED3E1D">
        <w:rPr>
          <w:noProof/>
        </w:rPr>
        <w:t>Recovery and Resilience Facility</w:t>
      </w:r>
      <w:r w:rsidRPr="0031079A">
        <w:rPr>
          <w:noProof/>
        </w:rPr>
        <w:t xml:space="preserve">, 62% of the </w:t>
      </w:r>
      <w:r w:rsidR="00D96F9D">
        <w:rPr>
          <w:noProof/>
        </w:rPr>
        <w:t>c</w:t>
      </w:r>
      <w:r w:rsidR="00D96F9D" w:rsidRPr="00317C5A">
        <w:rPr>
          <w:noProof/>
        </w:rPr>
        <w:t>ountry-specific recommendations</w:t>
      </w:r>
      <w:r w:rsidR="00D96F9D" w:rsidRPr="0031079A" w:rsidDel="00D96F9D">
        <w:rPr>
          <w:noProof/>
        </w:rPr>
        <w:t xml:space="preserve"> </w:t>
      </w:r>
      <w:r w:rsidRPr="0031079A">
        <w:rPr>
          <w:noProof/>
        </w:rPr>
        <w:t xml:space="preserve">adopted in 2015-2016 had recorded at least some progress in 2021 (i.e. after the same amount of time for implementation). This shows that the incentives provided by the </w:t>
      </w:r>
      <w:r w:rsidR="005C2462" w:rsidRPr="00ED3E1D">
        <w:rPr>
          <w:noProof/>
        </w:rPr>
        <w:t>Recovery and Resilience Facility</w:t>
      </w:r>
      <w:r w:rsidR="00392C01">
        <w:rPr>
          <w:noProof/>
        </w:rPr>
        <w:t xml:space="preserve">, </w:t>
      </w:r>
      <w:r w:rsidR="00392C01" w:rsidRPr="00392C01">
        <w:rPr>
          <w:noProof/>
        </w:rPr>
        <w:t>with its performance-based approach and emphasis on reforms</w:t>
      </w:r>
      <w:r w:rsidR="00392C01">
        <w:rPr>
          <w:noProof/>
        </w:rPr>
        <w:t>,</w:t>
      </w:r>
      <w:r w:rsidR="005C2462">
        <w:rPr>
          <w:noProof/>
        </w:rPr>
        <w:t xml:space="preserve"> </w:t>
      </w:r>
      <w:r w:rsidRPr="0031079A">
        <w:rPr>
          <w:noProof/>
        </w:rPr>
        <w:t xml:space="preserve">contributed to reinforcing the implementation of </w:t>
      </w:r>
      <w:r w:rsidR="00D96F9D">
        <w:rPr>
          <w:noProof/>
        </w:rPr>
        <w:t>c</w:t>
      </w:r>
      <w:r w:rsidR="00D96F9D" w:rsidRPr="00317C5A">
        <w:rPr>
          <w:noProof/>
        </w:rPr>
        <w:t>ountry-specific recommendations</w:t>
      </w:r>
      <w:r w:rsidRPr="0031079A">
        <w:rPr>
          <w:noProof/>
        </w:rPr>
        <w:t>.</w:t>
      </w:r>
    </w:p>
    <w:p w14:paraId="08179C1F" w14:textId="6FD0C096" w:rsidR="000D73FC" w:rsidRPr="007E2AD9" w:rsidRDefault="005A6E10" w:rsidP="00BF18BD">
      <w:pPr>
        <w:pStyle w:val="ImageTitle"/>
      </w:pPr>
      <w:r w:rsidRPr="007E2AD9">
        <w:t>Milestones and targets per Recovery and Resilience Facility pillar associated with reforms</w:t>
      </w:r>
    </w:p>
    <w:p w14:paraId="5825677B" w14:textId="3680CF55" w:rsidR="005A6E10" w:rsidRPr="003E29CF" w:rsidRDefault="00EF2E84" w:rsidP="00541054">
      <w:pPr>
        <w:pStyle w:val="ImagePlaceholder"/>
        <w:rPr>
          <w:highlight w:val="lightGray"/>
        </w:rPr>
      </w:pPr>
      <w:r w:rsidRPr="00EF2E84">
        <w:t xml:space="preserve"> </w:t>
      </w:r>
      <w:r w:rsidR="00E4338E" w:rsidRPr="00E4338E">
        <w:drawing>
          <wp:inline distT="0" distB="0" distL="0" distR="0" wp14:anchorId="090FC1A7" wp14:editId="2D35D57B">
            <wp:extent cx="5760085" cy="2729865"/>
            <wp:effectExtent l="0" t="0" r="0" b="0"/>
            <wp:docPr id="166269642" name="Picture 3" descr="The graph shows the number of reform milestones and targets per Recovery and Resilience Facility pillar, categorised as ‘preparatory and regulatory process’ or ‘delivery on the ground’. The different pillars are Green transition; Digital transformation; Smart, sustainable and inclusive growth; Social and territorial cohesion; Health, and economic, social and institutional resilience and finally Policies for the next generation. The highest number of preparatory and regulatory as well as delivery on the ground milestones and targets is the pillar of Health, and economic, social and institutional resilience (with 1036 and 454.1 milestones and targets associated with reforms) and the lowest is the pillar Policies for the next generation with 136 and 81.6 respectively. Second best is the pillar Smart, sustainable and inclusive growth (with 856 and 276.4 respectively), followed by Social and territorial cohesion (580 and 245.6 respectively), Green transition (515 and 151.45 respectively) and Digital transformation with 241 preparatory and regulatory measures and 201.8 related to the delivery on the ground measures and targets respectively.">
              <a:extLst xmlns:a="http://schemas.openxmlformats.org/drawingml/2006/main">
                <a:ext uri="{FF2B5EF4-FFF2-40B4-BE49-F238E27FC236}">
                  <a16:creationId xmlns:a16="http://schemas.microsoft.com/office/drawing/2014/main" id="{06CC1DE3-FCC2-0F76-031D-0DF61C97FF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69642" name="Picture 3" descr="The graph shows the number of reform milestones and targets per Recovery and Resilience Facility pillar, categorised as ‘preparatory and regulatory process’ or ‘delivery on the ground’. The different pillars are Green transition; Digital transformation; Smart, sustainable and inclusive growth; Social and territorial cohesion; Health, and economic, social and institutional resilience and finally Policies for the next generation. The highest number of preparatory and regulatory as well as delivery on the ground milestones and targets is the pillar of Health, and economic, social and institutional resilience (with 1036 and 454.1 milestones and targets associated with reforms) and the lowest is the pillar Policies for the next generation with 136 and 81.6 respectively. Second best is the pillar Smart, sustainable and inclusive growth (with 856 and 276.4 respectively), followed by Social and territorial cohesion (580 and 245.6 respectively), Green transition (515 and 151.45 respectively) and Digital transformation with 241 preparatory and regulatory measures and 201.8 related to the delivery on the ground measures and targets respectively.">
                      <a:extLst>
                        <a:ext uri="{FF2B5EF4-FFF2-40B4-BE49-F238E27FC236}">
                          <a16:creationId xmlns:a16="http://schemas.microsoft.com/office/drawing/2014/main" id="{06CC1DE3-FCC2-0F76-031D-0DF61C97FF3A}"/>
                        </a:ext>
                      </a:extLst>
                    </pic:cNvPr>
                    <pic:cNvPicPr>
                      <a:picLocks noChangeAspect="1"/>
                    </pic:cNvPicPr>
                  </pic:nvPicPr>
                  <pic:blipFill>
                    <a:blip r:embed="rId54"/>
                    <a:srcRect l="3386" t="4858" r="3281" b="1960"/>
                    <a:stretch>
                      <a:fillRect/>
                    </a:stretch>
                  </pic:blipFill>
                  <pic:spPr>
                    <a:xfrm>
                      <a:off x="0" y="0"/>
                      <a:ext cx="5760085" cy="2729865"/>
                    </a:xfrm>
                    <a:prstGeom prst="rect">
                      <a:avLst/>
                    </a:prstGeom>
                  </pic:spPr>
                </pic:pic>
              </a:graphicData>
            </a:graphic>
          </wp:inline>
        </w:drawing>
      </w:r>
    </w:p>
    <w:p w14:paraId="2DFFB134" w14:textId="77777777" w:rsidR="005A6E10" w:rsidRPr="00BD6B94" w:rsidRDefault="005A6E10" w:rsidP="005A6E10">
      <w:pPr>
        <w:pStyle w:val="ImageNotes"/>
      </w:pPr>
      <w:r w:rsidRPr="00BD6B94">
        <w:t>NB: The graph shows the number of reform milestones and targets per Recovery and Resilience Facility pillar categorised as ‘preparatory and regulatory process’ or ‘delivery on the ground’.</w:t>
      </w:r>
    </w:p>
    <w:p w14:paraId="453DD15C" w14:textId="77777777" w:rsidR="005A6E10" w:rsidRPr="00BD6B94" w:rsidRDefault="005A6E10" w:rsidP="005A6E10">
      <w:pPr>
        <w:pStyle w:val="ImageSource"/>
        <w:rPr>
          <w:szCs w:val="16"/>
        </w:rPr>
      </w:pPr>
      <w:r w:rsidRPr="00BD6B94">
        <w:rPr>
          <w:i/>
        </w:rPr>
        <w:t>Source:</w:t>
      </w:r>
      <w:r w:rsidRPr="00BD6B94">
        <w:rPr>
          <w:szCs w:val="16"/>
        </w:rPr>
        <w:t xml:space="preserve"> European Commission.</w:t>
      </w:r>
    </w:p>
    <w:p w14:paraId="0507F7C6" w14:textId="25D73A08" w:rsidR="00BE1946" w:rsidRDefault="007E01A6" w:rsidP="00BD6B94">
      <w:r w:rsidRPr="007E01A6">
        <w:t xml:space="preserve">During its first four years of implementation, the Recovery and Resilience Facility supported the delivery of a wide range of </w:t>
      </w:r>
      <w:r w:rsidR="00085EB0">
        <w:t xml:space="preserve">key </w:t>
      </w:r>
      <w:r w:rsidRPr="007E01A6">
        <w:t xml:space="preserve">reforms across Member States, </w:t>
      </w:r>
      <w:r w:rsidR="00BE1946" w:rsidRPr="00BE1946">
        <w:t>including reforms</w:t>
      </w:r>
      <w:r w:rsidR="00943D1C">
        <w:t>.</w:t>
      </w:r>
    </w:p>
    <w:p w14:paraId="46E100AA" w14:textId="6E33E079" w:rsidR="000D775C" w:rsidRDefault="000D775C" w:rsidP="0041545A">
      <w:pPr>
        <w:pStyle w:val="ListBulletorangeLevel1"/>
        <w:rPr>
          <w:noProof/>
        </w:rPr>
      </w:pPr>
      <w:r>
        <w:rPr>
          <w:noProof/>
        </w:rPr>
        <w:t>Legislation has entered into force to encourage tax compliance and improve the effectiveness of audits and controls. One reform improved the quality of the databases used to produce compliance letters (i.e. notices through which the Italian tax authorities report discrepancies). As a result, the tax revenue generated by compliance letters has increased by 30% compared to 2019 (Italy)</w:t>
      </w:r>
      <w:r w:rsidR="00943D1C">
        <w:rPr>
          <w:noProof/>
        </w:rPr>
        <w:t>.</w:t>
      </w:r>
    </w:p>
    <w:p w14:paraId="40E350C0" w14:textId="074433C0" w:rsidR="000D775C" w:rsidRDefault="000D775C" w:rsidP="0041545A">
      <w:pPr>
        <w:pStyle w:val="ListBulletorangeLevel1"/>
        <w:rPr>
          <w:noProof/>
        </w:rPr>
      </w:pPr>
      <w:r>
        <w:rPr>
          <w:noProof/>
        </w:rPr>
        <w:t>Introduction of reforms to improve fiscal sustainability in the medium and long term. These include improving the long-term fiscal sustainability of the pension system through changes to the first pay-as-you-go pension pillar and improving the functioning of the second pension pillar, a</w:t>
      </w:r>
      <w:r w:rsidR="00481C8F">
        <w:rPr>
          <w:noProof/>
        </w:rPr>
        <w:t>long with</w:t>
      </w:r>
      <w:r>
        <w:rPr>
          <w:noProof/>
        </w:rPr>
        <w:t xml:space="preserve"> enhancing fiscal discipline t</w:t>
      </w:r>
      <w:r w:rsidR="00481C8F">
        <w:rPr>
          <w:noProof/>
        </w:rPr>
        <w:t>h</w:t>
      </w:r>
      <w:r>
        <w:rPr>
          <w:noProof/>
        </w:rPr>
        <w:t>rough binding multiannual expenditure ceilings (Slovakia)</w:t>
      </w:r>
      <w:r w:rsidR="00481C8F">
        <w:rPr>
          <w:noProof/>
        </w:rPr>
        <w:t>.</w:t>
      </w:r>
    </w:p>
    <w:p w14:paraId="6B9DAB2A" w14:textId="5E81F68F" w:rsidR="000D775C" w:rsidRDefault="000D775C" w:rsidP="0041545A">
      <w:pPr>
        <w:pStyle w:val="ListBulletorangeLevel1"/>
        <w:rPr>
          <w:noProof/>
        </w:rPr>
      </w:pPr>
      <w:r>
        <w:rPr>
          <w:noProof/>
        </w:rPr>
        <w:t>Streamlining and simplifying permitting procedures for renewable energy and electricity infrastructure. The legislation reduces administrative burden, sets clear deadlines, removes restrictions on self-consumption and improves network capacity allocation (Spain)</w:t>
      </w:r>
      <w:r w:rsidR="00353C64">
        <w:rPr>
          <w:noProof/>
        </w:rPr>
        <w:t>.</w:t>
      </w:r>
    </w:p>
    <w:p w14:paraId="1ABC6D29" w14:textId="3FDC3085" w:rsidR="000D775C" w:rsidRPr="008A7BF1" w:rsidRDefault="000D775C" w:rsidP="0041545A">
      <w:pPr>
        <w:pStyle w:val="ListBulletorangeLevel1"/>
        <w:rPr>
          <w:noProof/>
        </w:rPr>
      </w:pPr>
      <w:r>
        <w:rPr>
          <w:noProof/>
        </w:rPr>
        <w:t>E</w:t>
      </w:r>
      <w:r w:rsidR="00353C64">
        <w:rPr>
          <w:noProof/>
        </w:rPr>
        <w:t>n</w:t>
      </w:r>
      <w:r>
        <w:rPr>
          <w:noProof/>
        </w:rPr>
        <w:t xml:space="preserve">suring access to medical care, by establishing a reimbursement system for nurses to incentivise </w:t>
      </w:r>
      <w:r w:rsidRPr="008A7BF1">
        <w:rPr>
          <w:noProof/>
        </w:rPr>
        <w:t>them to work in remote areas, a</w:t>
      </w:r>
      <w:r w:rsidR="00353C64">
        <w:rPr>
          <w:noProof/>
        </w:rPr>
        <w:t>nd</w:t>
      </w:r>
      <w:r w:rsidRPr="008A7BF1">
        <w:rPr>
          <w:noProof/>
        </w:rPr>
        <w:t xml:space="preserve"> by increasing the share of people admitted in nursing training (Estonia)</w:t>
      </w:r>
      <w:r w:rsidR="00353C64">
        <w:rPr>
          <w:noProof/>
        </w:rPr>
        <w:t>.</w:t>
      </w:r>
    </w:p>
    <w:p w14:paraId="0FDD1653" w14:textId="43DA55A8" w:rsidR="00CC4D3C" w:rsidRPr="00BD6B94" w:rsidRDefault="000D775C" w:rsidP="0041545A">
      <w:pPr>
        <w:pStyle w:val="ListBulletorangeLevel1"/>
      </w:pPr>
      <w:r w:rsidRPr="008A7BF1">
        <w:rPr>
          <w:noProof/>
        </w:rPr>
        <w:t>Enabling policymakers to better assess and limit regulatory burdens on SMEs, promoting a more supportive environment for their growth (Ireland).</w:t>
      </w:r>
      <w:r w:rsidRPr="008A7BF1">
        <w:tab/>
      </w:r>
    </w:p>
    <w:p w14:paraId="63D9AB08" w14:textId="77777777" w:rsidR="005A6E10" w:rsidRPr="003A50BA" w:rsidRDefault="005A6E10" w:rsidP="003A50BA">
      <w:pPr>
        <w:pStyle w:val="amprA1H3thatlookslikeH4"/>
        <w:spacing w:before="360"/>
        <w:rPr>
          <w:rFonts w:ascii="EC Square Sans Pro" w:hAnsi="EC Square Sans Pro"/>
        </w:rPr>
      </w:pPr>
      <w:r w:rsidRPr="003A50BA">
        <w:rPr>
          <w:rFonts w:ascii="EC Square Sans Pro" w:hAnsi="EC Square Sans Pro"/>
        </w:rPr>
        <w:t>Cohesion funds</w:t>
      </w:r>
    </w:p>
    <w:p w14:paraId="30832FF1" w14:textId="377CB8A6" w:rsidR="005A6E10" w:rsidRPr="001C582E" w:rsidRDefault="005A6E10" w:rsidP="005A6E10">
      <w:r w:rsidRPr="001C582E">
        <w:t xml:space="preserve">Under cohesion policy, </w:t>
      </w:r>
      <w:r w:rsidR="001C582E" w:rsidRPr="001C582E">
        <w:rPr>
          <w:noProof/>
        </w:rPr>
        <w:t xml:space="preserve">reforms are supported via </w:t>
      </w:r>
      <w:r w:rsidRPr="001C582E">
        <w:t>the enabling conditions</w:t>
      </w:r>
      <w:r w:rsidR="001C582E" w:rsidRPr="001C582E">
        <w:rPr>
          <w:noProof/>
        </w:rPr>
        <w:t>. These ensure</w:t>
      </w:r>
      <w:r w:rsidRPr="001C582E">
        <w:t xml:space="preserve"> that the necessary conditions for the effective and efficient use of the funds are in place</w:t>
      </w:r>
      <w:r w:rsidR="001C582E" w:rsidRPr="001C582E">
        <w:rPr>
          <w:noProof/>
        </w:rPr>
        <w:t>. These cover</w:t>
      </w:r>
      <w:r w:rsidRPr="001C582E">
        <w:t>:</w:t>
      </w:r>
    </w:p>
    <w:p w14:paraId="6A67C0EF" w14:textId="77777777" w:rsidR="00D16451" w:rsidRDefault="00D16451" w:rsidP="0041545A">
      <w:pPr>
        <w:pStyle w:val="ListBulletorangeLevel1"/>
        <w:rPr>
          <w:noProof/>
        </w:rPr>
      </w:pPr>
      <w:r>
        <w:rPr>
          <w:noProof/>
        </w:rPr>
        <w:t xml:space="preserve">policy and strategic frameworks, to ensure that the strategic documents at the national and regional levels which underpin investments are of high quality and in line with EU standards; </w:t>
      </w:r>
    </w:p>
    <w:p w14:paraId="2961850A" w14:textId="77777777" w:rsidR="00D16451" w:rsidRDefault="00D16451" w:rsidP="0041545A">
      <w:pPr>
        <w:pStyle w:val="ListBulletorangeLevel1"/>
        <w:rPr>
          <w:noProof/>
        </w:rPr>
      </w:pPr>
      <w:r>
        <w:rPr>
          <w:noProof/>
        </w:rPr>
        <w:t xml:space="preserve">regulatory frameworks, to ensure that implementation of operations co-financed by the funds complies with the EU </w:t>
      </w:r>
      <w:r w:rsidRPr="00780140">
        <w:rPr>
          <w:i/>
          <w:iCs/>
          <w:noProof/>
        </w:rPr>
        <w:t>acquis</w:t>
      </w:r>
      <w:r>
        <w:rPr>
          <w:noProof/>
        </w:rPr>
        <w:t>.</w:t>
      </w:r>
    </w:p>
    <w:p w14:paraId="1034C71B" w14:textId="499E9814" w:rsidR="009E3839" w:rsidRDefault="009E3839" w:rsidP="009E3839">
      <w:pPr>
        <w:rPr>
          <w:noProof/>
        </w:rPr>
      </w:pPr>
      <w:r>
        <w:rPr>
          <w:noProof/>
        </w:rPr>
        <w:t xml:space="preserve">The progress in the fulfilment of these conditions since the adoption of programmes in 2022 is significant. At the end of December 2025, only 1.3% of the </w:t>
      </w:r>
      <w:r w:rsidR="002B523A">
        <w:rPr>
          <w:noProof/>
        </w:rPr>
        <w:t>European Regional Development Fund</w:t>
      </w:r>
      <w:r w:rsidR="00803729">
        <w:rPr>
          <w:rFonts w:ascii="Calibri" w:hAnsi="Calibri" w:cs="Calibri"/>
          <w:noProof/>
        </w:rPr>
        <w:t> /</w:t>
      </w:r>
      <w:r w:rsidR="00803729">
        <w:rPr>
          <w:noProof/>
        </w:rPr>
        <w:t xml:space="preserve"> </w:t>
      </w:r>
      <w:r>
        <w:rPr>
          <w:noProof/>
        </w:rPr>
        <w:t>C</w:t>
      </w:r>
      <w:r w:rsidR="00803729">
        <w:rPr>
          <w:noProof/>
        </w:rPr>
        <w:t>ohesion Fund</w:t>
      </w:r>
      <w:r w:rsidR="00803729">
        <w:rPr>
          <w:rFonts w:ascii="Calibri" w:hAnsi="Calibri" w:cs="Calibri"/>
          <w:noProof/>
        </w:rPr>
        <w:t> </w:t>
      </w:r>
      <w:r>
        <w:rPr>
          <w:noProof/>
        </w:rPr>
        <w:t>/</w:t>
      </w:r>
      <w:r w:rsidR="00803729">
        <w:rPr>
          <w:noProof/>
        </w:rPr>
        <w:t xml:space="preserve"> </w:t>
      </w:r>
      <w:r>
        <w:rPr>
          <w:noProof/>
        </w:rPr>
        <w:t>E</w:t>
      </w:r>
      <w:r w:rsidR="00803729">
        <w:rPr>
          <w:noProof/>
        </w:rPr>
        <w:t>uropean Social Fund</w:t>
      </w:r>
      <w:r w:rsidR="00225633">
        <w:rPr>
          <w:noProof/>
        </w:rPr>
        <w:t xml:space="preserve"> Plus</w:t>
      </w:r>
      <w:r>
        <w:rPr>
          <w:noProof/>
        </w:rPr>
        <w:t xml:space="preserve"> allocations remain blocked by unfulfilled enabling conditions, compared </w:t>
      </w:r>
      <w:r w:rsidR="00350467">
        <w:rPr>
          <w:noProof/>
        </w:rPr>
        <w:t>with</w:t>
      </w:r>
      <w:r>
        <w:rPr>
          <w:noProof/>
        </w:rPr>
        <w:t xml:space="preserve"> 22.3% at the time of adoption. </w:t>
      </w:r>
    </w:p>
    <w:p w14:paraId="20E380C9" w14:textId="643D0736" w:rsidR="009E3839" w:rsidRDefault="009E3839" w:rsidP="009E3839">
      <w:pPr>
        <w:rPr>
          <w:noProof/>
        </w:rPr>
      </w:pPr>
      <w:r>
        <w:rPr>
          <w:noProof/>
        </w:rPr>
        <w:t xml:space="preserve">The midterm evaluation of the 2021-2027 programming period showed that enabling conditions </w:t>
      </w:r>
      <w:r w:rsidR="001F31E9">
        <w:rPr>
          <w:noProof/>
        </w:rPr>
        <w:t>allowed to set up</w:t>
      </w:r>
      <w:r>
        <w:rPr>
          <w:noProof/>
        </w:rPr>
        <w:t xml:space="preserve"> strategic policy frameworks, systems and other arrangements</w:t>
      </w:r>
      <w:r w:rsidR="00E44F94">
        <w:rPr>
          <w:noProof/>
        </w:rPr>
        <w:t xml:space="preserve"> for </w:t>
      </w:r>
      <w:r>
        <w:rPr>
          <w:noProof/>
        </w:rPr>
        <w:t xml:space="preserve">the effective and efficient implementation of </w:t>
      </w:r>
      <w:r w:rsidR="00E44F94">
        <w:rPr>
          <w:noProof/>
        </w:rPr>
        <w:t>the funds</w:t>
      </w:r>
      <w:r>
        <w:rPr>
          <w:noProof/>
        </w:rPr>
        <w:t xml:space="preserve">. </w:t>
      </w:r>
    </w:p>
    <w:p w14:paraId="3493FB4C" w14:textId="77777777" w:rsidR="005A6E10" w:rsidRPr="003A50BA" w:rsidRDefault="005A6E10" w:rsidP="003A50BA">
      <w:pPr>
        <w:pStyle w:val="amprA1H3thatlookslikeH4"/>
        <w:spacing w:before="360"/>
        <w:rPr>
          <w:rFonts w:ascii="EC Square Sans Pro" w:hAnsi="EC Square Sans Pro"/>
        </w:rPr>
      </w:pPr>
      <w:bookmarkStart w:id="35" w:name="_Hlk228293189"/>
      <w:r w:rsidRPr="003A50BA">
        <w:rPr>
          <w:rFonts w:ascii="EC Square Sans Pro" w:hAnsi="EC Square Sans Pro"/>
        </w:rPr>
        <w:t>Technical Support Instrument</w:t>
      </w:r>
      <w:bookmarkEnd w:id="35"/>
    </w:p>
    <w:p w14:paraId="712C23AF" w14:textId="3541618A" w:rsidR="0074406B" w:rsidRDefault="0074406B" w:rsidP="0074406B">
      <w:pPr>
        <w:rPr>
          <w:noProof/>
        </w:rPr>
      </w:pPr>
      <w:r w:rsidRPr="0074406B">
        <w:rPr>
          <w:noProof/>
        </w:rPr>
        <w:t>By bringing together expertise from different backgrounds, such as from international organi</w:t>
      </w:r>
      <w:r w:rsidR="004768FD">
        <w:rPr>
          <w:noProof/>
        </w:rPr>
        <w:t>s</w:t>
      </w:r>
      <w:r w:rsidRPr="0074406B">
        <w:rPr>
          <w:noProof/>
        </w:rPr>
        <w:t>ations, the private sector and other Member States, the Technical Support Instrument helps Member States to carry out reforms that create jobs, inclusive</w:t>
      </w:r>
      <w:r>
        <w:rPr>
          <w:noProof/>
        </w:rPr>
        <w:t xml:space="preserve"> societies and sustainable growth. </w:t>
      </w:r>
    </w:p>
    <w:p w14:paraId="4561DB46" w14:textId="0A87F390" w:rsidR="0074406B" w:rsidRDefault="0074406B" w:rsidP="0074406B">
      <w:pPr>
        <w:rPr>
          <w:noProof/>
        </w:rPr>
      </w:pPr>
      <w:r>
        <w:rPr>
          <w:noProof/>
        </w:rPr>
        <w:t xml:space="preserve">In 2025, the Technical Support Instrument continued to support smart, sustainable and socially responsible reforms in a wide range of policy areas while strengthening all types of administrative capacities, especially the internal administrative mechanisms for reforms across the EU. For instance, the </w:t>
      </w:r>
      <w:r w:rsidR="00AC1003">
        <w:rPr>
          <w:noProof/>
        </w:rPr>
        <w:t xml:space="preserve">Technical Support Instrument </w:t>
      </w:r>
      <w:r>
        <w:rPr>
          <w:noProof/>
        </w:rPr>
        <w:t xml:space="preserve">multi-country </w:t>
      </w:r>
      <w:hyperlink r:id="rId55" w:history="1">
        <w:r w:rsidR="0049461B">
          <w:rPr>
            <w:rStyle w:val="Hyperlink"/>
            <w:noProof/>
          </w:rPr>
          <w:t>s</w:t>
        </w:r>
        <w:r w:rsidRPr="008A3005">
          <w:rPr>
            <w:rStyle w:val="Hyperlink"/>
            <w:noProof/>
          </w:rPr>
          <w:t xml:space="preserve">ustainability in </w:t>
        </w:r>
        <w:r w:rsidR="00B70275">
          <w:rPr>
            <w:rStyle w:val="Hyperlink"/>
            <w:noProof/>
          </w:rPr>
          <w:t>l</w:t>
        </w:r>
        <w:r w:rsidRPr="008A3005">
          <w:rPr>
            <w:rStyle w:val="Hyperlink"/>
            <w:noProof/>
          </w:rPr>
          <w:t xml:space="preserve">ocal </w:t>
        </w:r>
        <w:r w:rsidR="00B70275">
          <w:rPr>
            <w:rStyle w:val="Hyperlink"/>
            <w:noProof/>
          </w:rPr>
          <w:t>p</w:t>
        </w:r>
        <w:r w:rsidRPr="008A3005">
          <w:rPr>
            <w:rStyle w:val="Hyperlink"/>
            <w:noProof/>
          </w:rPr>
          <w:t xml:space="preserve">ublic </w:t>
        </w:r>
        <w:r w:rsidR="00B70275">
          <w:rPr>
            <w:rStyle w:val="Hyperlink"/>
            <w:noProof/>
          </w:rPr>
          <w:t>f</w:t>
        </w:r>
        <w:r w:rsidRPr="008A3005">
          <w:rPr>
            <w:rStyle w:val="Hyperlink"/>
            <w:noProof/>
          </w:rPr>
          <w:t>inances</w:t>
        </w:r>
      </w:hyperlink>
      <w:r>
        <w:rPr>
          <w:noProof/>
        </w:rPr>
        <w:t xml:space="preserve"> </w:t>
      </w:r>
      <w:r w:rsidR="00683196">
        <w:rPr>
          <w:noProof/>
        </w:rPr>
        <w:t xml:space="preserve">project </w:t>
      </w:r>
      <w:r>
        <w:rPr>
          <w:noProof/>
        </w:rPr>
        <w:t xml:space="preserve">focuses on developing the foundations for </w:t>
      </w:r>
      <w:r w:rsidR="008A3005">
        <w:rPr>
          <w:noProof/>
        </w:rPr>
        <w:t>‘</w:t>
      </w:r>
      <w:r>
        <w:rPr>
          <w:noProof/>
        </w:rPr>
        <w:t xml:space="preserve">SDG </w:t>
      </w:r>
      <w:r w:rsidR="008D05D1">
        <w:rPr>
          <w:noProof/>
        </w:rPr>
        <w:t>b</w:t>
      </w:r>
      <w:r>
        <w:rPr>
          <w:noProof/>
        </w:rPr>
        <w:t>udgeting</w:t>
      </w:r>
      <w:r w:rsidR="008A3005">
        <w:rPr>
          <w:noProof/>
        </w:rPr>
        <w:t>’</w:t>
      </w:r>
      <w:r>
        <w:rPr>
          <w:noProof/>
        </w:rPr>
        <w:t xml:space="preserve"> in local governance systems. The project supported </w:t>
      </w:r>
      <w:r w:rsidR="0002095E">
        <w:rPr>
          <w:noProof/>
        </w:rPr>
        <w:t xml:space="preserve">the </w:t>
      </w:r>
      <w:r>
        <w:rPr>
          <w:noProof/>
        </w:rPr>
        <w:t>deliver</w:t>
      </w:r>
      <w:r w:rsidR="0002095E">
        <w:rPr>
          <w:noProof/>
        </w:rPr>
        <w:t xml:space="preserve">y of </w:t>
      </w:r>
      <w:r>
        <w:rPr>
          <w:noProof/>
        </w:rPr>
        <w:t xml:space="preserve">city-specific and joint reports assessing SDG budgeting practices, while developing tailored methodologies, </w:t>
      </w:r>
      <w:r w:rsidR="00EF19CB">
        <w:rPr>
          <w:noProof/>
        </w:rPr>
        <w:t>key perfomance indicators</w:t>
      </w:r>
      <w:r>
        <w:rPr>
          <w:noProof/>
        </w:rPr>
        <w:t xml:space="preserve"> and action plans with a view to improv</w:t>
      </w:r>
      <w:r w:rsidR="000F7FDE">
        <w:rPr>
          <w:noProof/>
        </w:rPr>
        <w:t>ing</w:t>
      </w:r>
      <w:r>
        <w:rPr>
          <w:noProof/>
        </w:rPr>
        <w:t xml:space="preserve"> budgeting coherence, transparency and resource allocation. This helped lay the groundwork for institutionali</w:t>
      </w:r>
      <w:r w:rsidR="005B75CE">
        <w:rPr>
          <w:noProof/>
        </w:rPr>
        <w:t>s</w:t>
      </w:r>
      <w:r>
        <w:rPr>
          <w:noProof/>
        </w:rPr>
        <w:t xml:space="preserve">ed SDG-oriented financial management benefiting around </w:t>
      </w:r>
      <w:r w:rsidR="008D05D1">
        <w:rPr>
          <w:noProof/>
        </w:rPr>
        <w:t xml:space="preserve">five </w:t>
      </w:r>
      <w:r>
        <w:rPr>
          <w:noProof/>
        </w:rPr>
        <w:t xml:space="preserve">million residents and serving as a transferable model for other EU municipalities. </w:t>
      </w:r>
    </w:p>
    <w:p w14:paraId="5625D915" w14:textId="0877FD1B" w:rsidR="0074406B" w:rsidRDefault="0074406B" w:rsidP="0074406B">
      <w:pPr>
        <w:rPr>
          <w:noProof/>
        </w:rPr>
      </w:pPr>
      <w:r>
        <w:rPr>
          <w:noProof/>
        </w:rPr>
        <w:t xml:space="preserve">The </w:t>
      </w:r>
      <w:r w:rsidR="00A85BAC">
        <w:rPr>
          <w:noProof/>
        </w:rPr>
        <w:t xml:space="preserve">Technical Support Instrument </w:t>
      </w:r>
      <w:r>
        <w:rPr>
          <w:noProof/>
        </w:rPr>
        <w:t xml:space="preserve">contributed to </w:t>
      </w:r>
      <w:r w:rsidR="00404528">
        <w:rPr>
          <w:noProof/>
        </w:rPr>
        <w:t>reinforc</w:t>
      </w:r>
      <w:r w:rsidR="00A85BAC">
        <w:rPr>
          <w:noProof/>
        </w:rPr>
        <w:t>ing</w:t>
      </w:r>
      <w:r w:rsidR="00404528">
        <w:rPr>
          <w:noProof/>
        </w:rPr>
        <w:t xml:space="preserve"> Member States’</w:t>
      </w:r>
      <w:r>
        <w:rPr>
          <w:noProof/>
        </w:rPr>
        <w:t xml:space="preserve"> competitiveness drivers</w:t>
      </w:r>
      <w:r w:rsidR="00404528">
        <w:rPr>
          <w:noProof/>
        </w:rPr>
        <w:t xml:space="preserve">, improving </w:t>
      </w:r>
      <w:r>
        <w:rPr>
          <w:noProof/>
        </w:rPr>
        <w:t xml:space="preserve">the functioning of the single market </w:t>
      </w:r>
      <w:r w:rsidR="00404528">
        <w:rPr>
          <w:noProof/>
        </w:rPr>
        <w:t xml:space="preserve">and Member States’ ability </w:t>
      </w:r>
      <w:r>
        <w:rPr>
          <w:noProof/>
        </w:rPr>
        <w:t>to deliver reforms for trade and open strategic autonomy</w:t>
      </w:r>
      <w:r w:rsidR="00BF5489">
        <w:rPr>
          <w:noProof/>
        </w:rPr>
        <w:t xml:space="preserve"> (</w:t>
      </w:r>
      <w:r w:rsidR="00077A33">
        <w:rPr>
          <w:noProof/>
        </w:rPr>
        <w:t xml:space="preserve">see </w:t>
      </w:r>
      <w:hyperlink r:id="rId56" w:history="1">
        <w:r w:rsidR="00B839AF">
          <w:rPr>
            <w:rStyle w:val="Hyperlink"/>
            <w:noProof/>
          </w:rPr>
          <w:t>T</w:t>
        </w:r>
        <w:r w:rsidR="00BF5489" w:rsidRPr="006C6C9E">
          <w:rPr>
            <w:rStyle w:val="Hyperlink"/>
            <w:noProof/>
          </w:rPr>
          <w:t xml:space="preserve">echnical </w:t>
        </w:r>
        <w:r w:rsidR="00B839AF">
          <w:rPr>
            <w:rStyle w:val="Hyperlink"/>
            <w:noProof/>
          </w:rPr>
          <w:t>S</w:t>
        </w:r>
        <w:r w:rsidR="00BF5489" w:rsidRPr="006C6C9E">
          <w:rPr>
            <w:rStyle w:val="Hyperlink"/>
            <w:noProof/>
          </w:rPr>
          <w:t xml:space="preserve">upport </w:t>
        </w:r>
        <w:r w:rsidR="00B839AF">
          <w:rPr>
            <w:rStyle w:val="Hyperlink"/>
            <w:noProof/>
          </w:rPr>
          <w:t>I</w:t>
        </w:r>
        <w:r w:rsidR="00BF5489" w:rsidRPr="006C6C9E">
          <w:rPr>
            <w:rStyle w:val="Hyperlink"/>
            <w:noProof/>
          </w:rPr>
          <w:t>nstrument</w:t>
        </w:r>
        <w:r w:rsidR="00BE0267">
          <w:rPr>
            <w:rStyle w:val="Hyperlink"/>
            <w:rFonts w:ascii="Calibri" w:hAnsi="Calibri" w:cs="Calibri"/>
            <w:noProof/>
          </w:rPr>
          <w:t> –</w:t>
        </w:r>
        <w:r w:rsidR="00BF5489" w:rsidRPr="006C6C9E">
          <w:rPr>
            <w:rStyle w:val="Hyperlink"/>
            <w:noProof/>
          </w:rPr>
          <w:t xml:space="preserve"> </w:t>
        </w:r>
        <w:r w:rsidR="006C6C9E" w:rsidRPr="006C6C9E">
          <w:rPr>
            <w:rStyle w:val="Hyperlink"/>
            <w:noProof/>
          </w:rPr>
          <w:t>2024 annual report</w:t>
        </w:r>
      </w:hyperlink>
      <w:r w:rsidR="00684187">
        <w:t xml:space="preserve"> f</w:t>
      </w:r>
      <w:r w:rsidR="00077A33">
        <w:t>or more details</w:t>
      </w:r>
      <w:r w:rsidR="006C6C9E">
        <w:rPr>
          <w:noProof/>
        </w:rPr>
        <w:t>)</w:t>
      </w:r>
      <w:r>
        <w:rPr>
          <w:noProof/>
        </w:rPr>
        <w:t xml:space="preserve">. For example, the </w:t>
      </w:r>
      <w:hyperlink r:id="rId57" w:history="1">
        <w:r w:rsidR="00C37EF5">
          <w:rPr>
            <w:rStyle w:val="Hyperlink"/>
            <w:noProof/>
          </w:rPr>
          <w:t>p</w:t>
        </w:r>
        <w:r w:rsidRPr="00C944E5">
          <w:rPr>
            <w:rStyle w:val="Hyperlink"/>
            <w:noProof/>
          </w:rPr>
          <w:t xml:space="preserve">ublic </w:t>
        </w:r>
        <w:r w:rsidR="00C37EF5">
          <w:rPr>
            <w:rStyle w:val="Hyperlink"/>
            <w:noProof/>
          </w:rPr>
          <w:t>a</w:t>
        </w:r>
        <w:r w:rsidRPr="00C944E5">
          <w:rPr>
            <w:rStyle w:val="Hyperlink"/>
            <w:noProof/>
          </w:rPr>
          <w:t xml:space="preserve">dministration </w:t>
        </w:r>
        <w:r w:rsidR="00C37EF5">
          <w:rPr>
            <w:rStyle w:val="Hyperlink"/>
            <w:noProof/>
          </w:rPr>
          <w:t>c</w:t>
        </w:r>
        <w:r w:rsidRPr="00C944E5">
          <w:rPr>
            <w:rStyle w:val="Hyperlink"/>
            <w:noProof/>
          </w:rPr>
          <w:t xml:space="preserve">ooperation </w:t>
        </w:r>
        <w:r w:rsidR="00C37EF5">
          <w:rPr>
            <w:rStyle w:val="Hyperlink"/>
            <w:noProof/>
          </w:rPr>
          <w:t>e</w:t>
        </w:r>
        <w:r w:rsidRPr="00C944E5">
          <w:rPr>
            <w:rStyle w:val="Hyperlink"/>
            <w:noProof/>
          </w:rPr>
          <w:t>xchange</w:t>
        </w:r>
      </w:hyperlink>
      <w:r>
        <w:rPr>
          <w:noProof/>
        </w:rPr>
        <w:t xml:space="preserve"> multi-country flagship project aims to promote cooperation and cross-border exchanges among Member States to build administrative capacity and prepare the next generation of policymakers in the EU, giving </w:t>
      </w:r>
      <w:r w:rsidR="00222F52">
        <w:rPr>
          <w:noProof/>
        </w:rPr>
        <w:t xml:space="preserve">more than 800 civil servants </w:t>
      </w:r>
      <w:r>
        <w:rPr>
          <w:noProof/>
        </w:rPr>
        <w:t>the opportunity to to exchange experience between 2023 and 2025. It leverages Technical Assistance and Information Exchange (TAIEX) between administrations of different Member States.</w:t>
      </w:r>
    </w:p>
    <w:p w14:paraId="606A8CFC" w14:textId="0F62A748" w:rsidR="0074406B" w:rsidRDefault="00C27CE4" w:rsidP="0074406B">
      <w:pPr>
        <w:rPr>
          <w:noProof/>
          <w:highlight w:val="lightGray"/>
        </w:rPr>
      </w:pPr>
      <w:r w:rsidRPr="00C27CE4">
        <w:rPr>
          <w:noProof/>
        </w:rPr>
        <w:t xml:space="preserve">In 2026, the </w:t>
      </w:r>
      <w:r w:rsidR="00A2411A">
        <w:rPr>
          <w:noProof/>
        </w:rPr>
        <w:t>instrument</w:t>
      </w:r>
      <w:r w:rsidR="00A2411A" w:rsidRPr="00C27CE4">
        <w:rPr>
          <w:noProof/>
        </w:rPr>
        <w:t xml:space="preserve"> </w:t>
      </w:r>
      <w:r w:rsidRPr="00C27CE4">
        <w:rPr>
          <w:noProof/>
        </w:rPr>
        <w:t>is expected to focus on supporting Member States in the implementation of complex country-specific recommendations.</w:t>
      </w:r>
      <w:r>
        <w:rPr>
          <w:noProof/>
        </w:rPr>
        <w:t xml:space="preserve"> </w:t>
      </w:r>
    </w:p>
    <w:p w14:paraId="4B78046D" w14:textId="77777777" w:rsidR="005A6E10" w:rsidRPr="003A50BA" w:rsidRDefault="005A6E10" w:rsidP="003A50BA">
      <w:pPr>
        <w:pStyle w:val="amprA1H3thatlookslikeH4"/>
        <w:spacing w:before="360"/>
        <w:rPr>
          <w:rFonts w:ascii="EC Square Sans Pro" w:hAnsi="EC Square Sans Pro"/>
        </w:rPr>
      </w:pPr>
      <w:r w:rsidRPr="003A50BA">
        <w:rPr>
          <w:rFonts w:ascii="EC Square Sans Pro" w:hAnsi="EC Square Sans Pro"/>
        </w:rPr>
        <w:t>External action</w:t>
      </w:r>
    </w:p>
    <w:p w14:paraId="2300446E" w14:textId="5B09FB89" w:rsidR="005A6E10" w:rsidRPr="00B13363" w:rsidRDefault="005A6E10" w:rsidP="00067186">
      <w:pPr>
        <w:rPr>
          <w:rFonts w:eastAsia="EC Square Sans Pro" w:cs="EC Square Sans Pro"/>
          <w:lang w:val="en-IE"/>
        </w:rPr>
      </w:pPr>
      <w:r w:rsidRPr="00B13363">
        <w:t xml:space="preserve">The </w:t>
      </w:r>
      <w:r w:rsidRPr="00FD3BD8">
        <w:rPr>
          <w:rStyle w:val="Bold"/>
        </w:rPr>
        <w:t>Instrument for Pre-accession Assistance III</w:t>
      </w:r>
      <w:r w:rsidRPr="00075073">
        <w:rPr>
          <w:rFonts w:eastAsia="EC Square Sans Pro" w:cs="EC Square Sans Pro"/>
          <w:lang w:val="en-IE"/>
        </w:rPr>
        <w:t xml:space="preserve"> </w:t>
      </w:r>
      <w:bookmarkStart w:id="36" w:name="_Hlk227594446"/>
      <w:r w:rsidRPr="00103E3C">
        <w:rPr>
          <w:rFonts w:eastAsia="EC Square Sans Pro" w:cs="EC Square Sans Pro"/>
          <w:lang w:val="en-IE"/>
        </w:rPr>
        <w:t xml:space="preserve">is designed as a performance-based instrument, differentiating assistance in scope and intensity according to the performance of beneficiaries, thereby incentivising commitment to fundamental reforms. This approach aligns with the 2020 </w:t>
      </w:r>
      <w:r w:rsidR="00E7499D">
        <w:rPr>
          <w:rFonts w:eastAsia="EC Square Sans Pro" w:cs="EC Square Sans Pro"/>
          <w:lang w:val="en-IE"/>
        </w:rPr>
        <w:t>c</w:t>
      </w:r>
      <w:r w:rsidRPr="00103E3C">
        <w:rPr>
          <w:rFonts w:eastAsia="EC Square Sans Pro" w:cs="EC Square Sans Pro"/>
          <w:lang w:val="en-IE"/>
        </w:rPr>
        <w:t>ommunication on the revised enlargement methodology</w:t>
      </w:r>
      <w:r w:rsidR="004E1D7D" w:rsidRPr="00BD6B94">
        <w:rPr>
          <w:rFonts w:eastAsia="EC Square Sans Pro" w:cs="Calibri"/>
          <w:lang w:val="en-IE"/>
        </w:rPr>
        <w:t> </w:t>
      </w:r>
      <w:r w:rsidR="004E1D7D" w:rsidRPr="004E1D7D">
        <w:rPr>
          <w:rFonts w:eastAsia="EC Square Sans Pro" w:cs="EC Square Sans Pro"/>
          <w:lang w:val="en-IE"/>
        </w:rPr>
        <w:t>(</w:t>
      </w:r>
      <w:r w:rsidR="004E1D7D">
        <w:rPr>
          <w:rStyle w:val="FootnoteReference"/>
          <w:rFonts w:eastAsia="EC Square Sans Pro" w:cs="EC Square Sans Pro"/>
          <w:lang w:val="en-IE"/>
        </w:rPr>
        <w:footnoteReference w:id="7"/>
      </w:r>
      <w:r w:rsidR="004E1D7D">
        <w:rPr>
          <w:rFonts w:eastAsia="EC Square Sans Pro" w:cs="EC Square Sans Pro"/>
          <w:lang w:val="en-IE"/>
        </w:rPr>
        <w:t>)</w:t>
      </w:r>
      <w:r w:rsidRPr="00103E3C">
        <w:rPr>
          <w:rFonts w:eastAsia="EC Square Sans Pro" w:cs="EC Square Sans Pro"/>
          <w:lang w:val="en-IE"/>
        </w:rPr>
        <w:t xml:space="preserve">, which proposed increased funding for countries making progress on agreed reform priorities. Performance assessment is embedded in the annual bilateral programming process, drawing on Commission enlargement reports, external expert assessments, implementation track records and reporting against </w:t>
      </w:r>
      <w:r w:rsidRPr="00D81900">
        <w:rPr>
          <w:rFonts w:eastAsia="EC Square Sans Pro" w:cs="EC Square Sans Pro"/>
          <w:lang w:val="en-IE"/>
        </w:rPr>
        <w:t xml:space="preserve">the Instrument for Pre-accession Assistance III </w:t>
      </w:r>
      <w:r w:rsidRPr="00103E3C">
        <w:rPr>
          <w:rFonts w:eastAsia="EC Square Sans Pro" w:cs="EC Square Sans Pro"/>
          <w:lang w:val="en-IE"/>
        </w:rPr>
        <w:t>Results Framework indicators.</w:t>
      </w:r>
      <w:bookmarkEnd w:id="36"/>
    </w:p>
    <w:p w14:paraId="09998A47" w14:textId="54ED7034" w:rsidR="00A4607D" w:rsidRDefault="005A6E10" w:rsidP="005A6E10">
      <w:pPr>
        <w:rPr>
          <w:rFonts w:eastAsia="EC Square Sans Pro" w:cs="EC Square Sans Pro"/>
        </w:rPr>
      </w:pPr>
      <w:r w:rsidRPr="00B13363">
        <w:t xml:space="preserve">In the case of the </w:t>
      </w:r>
      <w:r w:rsidRPr="00FD3BD8">
        <w:rPr>
          <w:rStyle w:val="Bold"/>
        </w:rPr>
        <w:t>Ukraine Facility</w:t>
      </w:r>
      <w:r w:rsidRPr="00B13363">
        <w:t xml:space="preserve">, the Council’s </w:t>
      </w:r>
      <w:r w:rsidR="00A77D40">
        <w:t>I</w:t>
      </w:r>
      <w:r w:rsidRPr="00B13363">
        <w:t xml:space="preserve">mplementing </w:t>
      </w:r>
      <w:r w:rsidR="00A77D40">
        <w:t>D</w:t>
      </w:r>
      <w:r w:rsidRPr="00B13363">
        <w:t xml:space="preserve">ecision </w:t>
      </w:r>
      <w:r w:rsidR="00A77D40" w:rsidRPr="00A77D40">
        <w:t>(EU) 2024/1447 of 14</w:t>
      </w:r>
      <w:r w:rsidR="00784349">
        <w:rPr>
          <w:rFonts w:ascii="Calibri" w:hAnsi="Calibri" w:cs="Calibri"/>
        </w:rPr>
        <w:t> </w:t>
      </w:r>
      <w:r w:rsidR="00A77D40" w:rsidRPr="00A77D40">
        <w:t>May 2024</w:t>
      </w:r>
      <w:r w:rsidRPr="00B13363">
        <w:t xml:space="preserve"> on the approval of its assessment </w:t>
      </w:r>
      <w:r w:rsidR="008E446B">
        <w:t xml:space="preserve">of the Ukraine </w:t>
      </w:r>
      <w:r w:rsidR="007C18E7">
        <w:t>p</w:t>
      </w:r>
      <w:r w:rsidR="008E446B">
        <w:t>lan</w:t>
      </w:r>
      <w:r w:rsidR="00784349">
        <w:rPr>
          <w:rFonts w:ascii="Calibri" w:hAnsi="Calibri" w:cs="Calibri"/>
        </w:rPr>
        <w:t> </w:t>
      </w:r>
      <w:r w:rsidR="00B232F9" w:rsidRPr="00B232F9">
        <w:t>(</w:t>
      </w:r>
      <w:r w:rsidR="00B232F9">
        <w:rPr>
          <w:rStyle w:val="FootnoteReference"/>
        </w:rPr>
        <w:footnoteReference w:id="8"/>
      </w:r>
      <w:r w:rsidR="00B232F9">
        <w:t>)</w:t>
      </w:r>
      <w:r w:rsidR="008E446B">
        <w:t xml:space="preserve"> </w:t>
      </w:r>
      <w:r w:rsidRPr="00B13363">
        <w:t>sets out a detailed roadmap of conditions, in the form of qualitative and quantitative steps linked to reforms and investment. Fulfilment of these conditions can trigger direct EU support for Ukraine’s budget (Pillar</w:t>
      </w:r>
      <w:r w:rsidRPr="00B13363">
        <w:rPr>
          <w:rFonts w:ascii="Calibri" w:hAnsi="Calibri" w:cs="Calibri"/>
        </w:rPr>
        <w:t> </w:t>
      </w:r>
      <w:r w:rsidRPr="00B13363">
        <w:t xml:space="preserve">I of the Ukraine Facility). The </w:t>
      </w:r>
      <w:r w:rsidR="00AB1862">
        <w:t>Ukraine</w:t>
      </w:r>
      <w:r w:rsidRPr="00B13363">
        <w:t xml:space="preserve"> plan includes 151 steps organised around 15 sectoral</w:t>
      </w:r>
      <w:r w:rsidR="001E0596">
        <w:t xml:space="preserve"> </w:t>
      </w:r>
      <w:r w:rsidR="006C37B6">
        <w:t>chapters</w:t>
      </w:r>
      <w:r w:rsidR="001E0596">
        <w:t xml:space="preserve"> (</w:t>
      </w:r>
      <w:r w:rsidR="001E0596" w:rsidRPr="001E0596">
        <w:t>public administration reform; public financial management; judiciary; fight against corruption and money-laundering; financial markets; management of public assets; human capital; business environment; decentralisation and regional policy; energy; transport; agri-food; management of critical raw materials; digital transformation; green transition and environmental protection</w:t>
      </w:r>
      <w:r w:rsidR="001E0596">
        <w:t>)</w:t>
      </w:r>
      <w:r w:rsidRPr="00B13363">
        <w:t xml:space="preserve"> </w:t>
      </w:r>
      <w:r w:rsidR="00217671" w:rsidRPr="00B13363">
        <w:t xml:space="preserve">and </w:t>
      </w:r>
      <w:r w:rsidR="008C1112">
        <w:t>three</w:t>
      </w:r>
      <w:r w:rsidR="00292CE7" w:rsidRPr="00B13363">
        <w:t xml:space="preserve"> horizontal</w:t>
      </w:r>
      <w:r w:rsidRPr="00B13363">
        <w:t xml:space="preserve"> chapters</w:t>
      </w:r>
      <w:r w:rsidR="0005033C">
        <w:t xml:space="preserve"> </w:t>
      </w:r>
      <w:r w:rsidR="0005033C" w:rsidRPr="0005033C">
        <w:t xml:space="preserve">(reconstruction and modernisation processes across all levels of the government; mechanisms and arrangements to protect the financial interests of the </w:t>
      </w:r>
      <w:r w:rsidR="000C1D66">
        <w:t>EU</w:t>
      </w:r>
      <w:r w:rsidR="0005033C" w:rsidRPr="0005033C">
        <w:t xml:space="preserve">; </w:t>
      </w:r>
      <w:r w:rsidR="00BA225D">
        <w:t xml:space="preserve">and </w:t>
      </w:r>
      <w:r w:rsidR="0005033C" w:rsidRPr="0005033C">
        <w:t xml:space="preserve">stakeholders’ consultation during the preparation of the </w:t>
      </w:r>
      <w:r w:rsidR="00B11832">
        <w:t>Ukraine</w:t>
      </w:r>
      <w:r w:rsidR="0005033C" w:rsidRPr="0005033C">
        <w:t xml:space="preserve"> </w:t>
      </w:r>
      <w:r w:rsidR="00BA225D">
        <w:t>p</w:t>
      </w:r>
      <w:r w:rsidR="0005033C" w:rsidRPr="0005033C">
        <w:t>lan)</w:t>
      </w:r>
      <w:r w:rsidRPr="00B13363">
        <w:t>.</w:t>
      </w:r>
      <w:r w:rsidRPr="00B84F38">
        <w:rPr>
          <w:rFonts w:eastAsia="EC Square Sans Pro" w:cs="EC Square Sans Pro"/>
        </w:rPr>
        <w:t xml:space="preserve"> </w:t>
      </w:r>
    </w:p>
    <w:p w14:paraId="5C4DECE0" w14:textId="0F001A5F" w:rsidR="005A6E10" w:rsidRPr="00B13363" w:rsidRDefault="006645B8" w:rsidP="005A6E10">
      <w:r w:rsidRPr="006645B8">
        <w:t xml:space="preserve">Ukraine fulfilled a total of 45 steps due during 2025 across several chapters of the </w:t>
      </w:r>
      <w:r w:rsidR="00896437">
        <w:t>p</w:t>
      </w:r>
      <w:r w:rsidRPr="006645B8">
        <w:t>lan, triggering the disbursement of EUR</w:t>
      </w:r>
      <w:r w:rsidR="00C2117D">
        <w:rPr>
          <w:rFonts w:ascii="Calibri" w:hAnsi="Calibri" w:cs="Calibri"/>
        </w:rPr>
        <w:t> </w:t>
      </w:r>
      <w:r w:rsidRPr="006645B8">
        <w:t>10.7</w:t>
      </w:r>
      <w:r w:rsidR="00C2117D">
        <w:rPr>
          <w:rFonts w:ascii="Calibri" w:hAnsi="Calibri" w:cs="Calibri"/>
        </w:rPr>
        <w:t> </w:t>
      </w:r>
      <w:r w:rsidRPr="006645B8">
        <w:t xml:space="preserve">billion in </w:t>
      </w:r>
      <w:r w:rsidR="00B11832">
        <w:t>non-repayable support</w:t>
      </w:r>
      <w:r w:rsidR="00B11832" w:rsidRPr="006645B8">
        <w:t xml:space="preserve"> </w:t>
      </w:r>
      <w:r w:rsidRPr="006645B8">
        <w:t xml:space="preserve">and loans. Since the roll-out of the </w:t>
      </w:r>
      <w:r w:rsidR="00B11832">
        <w:t xml:space="preserve">Ukraine </w:t>
      </w:r>
      <w:r w:rsidR="00545777">
        <w:t>F</w:t>
      </w:r>
      <w:r w:rsidRPr="006645B8">
        <w:t xml:space="preserve">acility, </w:t>
      </w:r>
      <w:r w:rsidR="00FD1417">
        <w:t>it</w:t>
      </w:r>
      <w:r w:rsidRPr="006645B8">
        <w:t xml:space="preserve"> ha</w:t>
      </w:r>
      <w:r w:rsidR="00FD1417">
        <w:t xml:space="preserve">s </w:t>
      </w:r>
      <w:r w:rsidRPr="006645B8">
        <w:t xml:space="preserve">disbursed </w:t>
      </w:r>
      <w:r w:rsidR="00896437">
        <w:t>a</w:t>
      </w:r>
      <w:r w:rsidRPr="006645B8">
        <w:t xml:space="preserve"> total</w:t>
      </w:r>
      <w:r w:rsidR="00896437">
        <w:t xml:space="preserve"> of</w:t>
      </w:r>
      <w:r w:rsidRPr="006645B8">
        <w:t xml:space="preserve"> EUR</w:t>
      </w:r>
      <w:r w:rsidR="00082148">
        <w:rPr>
          <w:rFonts w:ascii="Calibri" w:hAnsi="Calibri" w:cs="Calibri"/>
        </w:rPr>
        <w:t> </w:t>
      </w:r>
      <w:r w:rsidRPr="006645B8">
        <w:t>26.8</w:t>
      </w:r>
      <w:r w:rsidR="00082148">
        <w:rPr>
          <w:rFonts w:ascii="Calibri" w:hAnsi="Calibri" w:cs="Calibri"/>
        </w:rPr>
        <w:t> </w:t>
      </w:r>
      <w:r w:rsidRPr="006645B8">
        <w:t xml:space="preserve">billion against 68 steps (including the </w:t>
      </w:r>
      <w:r w:rsidR="00896437">
        <w:t>five</w:t>
      </w:r>
      <w:r w:rsidRPr="006645B8">
        <w:t xml:space="preserve"> steps reflected in the </w:t>
      </w:r>
      <w:r w:rsidR="00183B67">
        <w:t>m</w:t>
      </w:r>
      <w:r w:rsidRPr="006645B8">
        <w:t xml:space="preserve">emorandum of </w:t>
      </w:r>
      <w:r w:rsidR="00183B67">
        <w:t>u</w:t>
      </w:r>
      <w:r w:rsidRPr="006645B8">
        <w:t>nderstanding for the exceptional bridge financing).</w:t>
      </w:r>
    </w:p>
    <w:p w14:paraId="22C066DC" w14:textId="24671063" w:rsidR="00204DB3" w:rsidRDefault="00204DB3" w:rsidP="003562EB">
      <w:pPr>
        <w:pStyle w:val="amprboxBLUEBoxTitle"/>
      </w:pPr>
      <w:r>
        <w:t xml:space="preserve">Ukraine reform </w:t>
      </w:r>
      <w:r w:rsidRPr="00384AB4">
        <w:t>accomplishments</w:t>
      </w:r>
    </w:p>
    <w:p w14:paraId="5B078DF5" w14:textId="77777777" w:rsidR="00384AB4" w:rsidRDefault="00677146" w:rsidP="00384AB4">
      <w:pPr>
        <w:pStyle w:val="amprboxBLUEtext"/>
      </w:pPr>
      <w:r>
        <w:t xml:space="preserve">In 2025, Ukraine accomplished reforms across </w:t>
      </w:r>
      <w:r w:rsidR="00384AB4" w:rsidRPr="00B13363">
        <w:t>several areas:</w:t>
      </w:r>
    </w:p>
    <w:p w14:paraId="0E405FA5" w14:textId="694FE8CD" w:rsidR="00384AB4" w:rsidRPr="001B7D68" w:rsidRDefault="00384AB4" w:rsidP="0071329B">
      <w:pPr>
        <w:pStyle w:val="amprboxBLUEbulletlist"/>
      </w:pPr>
      <w:r w:rsidRPr="007633C7">
        <w:t>human capital</w:t>
      </w:r>
      <w:r w:rsidR="00FD2B85" w:rsidRPr="007633C7">
        <w:t>,</w:t>
      </w:r>
      <w:r w:rsidRPr="007633C7">
        <w:t xml:space="preserve"> agri-food</w:t>
      </w:r>
      <w:r w:rsidR="00FD2B85" w:rsidRPr="007633C7">
        <w:t>,</w:t>
      </w:r>
      <w:r w:rsidRPr="007633C7">
        <w:t xml:space="preserve"> management of critical raw materials (5 steps each)</w:t>
      </w:r>
      <w:r w:rsidR="00FB2E3C" w:rsidRPr="007633C7">
        <w:t>;</w:t>
      </w:r>
    </w:p>
    <w:p w14:paraId="56A1FE47" w14:textId="2FAB12B4" w:rsidR="00384AB4" w:rsidRPr="001B7D68" w:rsidRDefault="00384AB4" w:rsidP="00384AB4">
      <w:pPr>
        <w:pStyle w:val="amprboxBLUEbulletlist"/>
      </w:pPr>
      <w:r w:rsidRPr="007633C7">
        <w:t>decentralisation and regional policy</w:t>
      </w:r>
      <w:r w:rsidR="00FD2B85" w:rsidRPr="007633C7">
        <w:t>,</w:t>
      </w:r>
      <w:r w:rsidRPr="007633C7">
        <w:t xml:space="preserve"> digital transformation</w:t>
      </w:r>
      <w:r w:rsidR="00FD2B85" w:rsidRPr="007633C7">
        <w:t>,</w:t>
      </w:r>
      <w:r w:rsidRPr="007633C7">
        <w:t xml:space="preserve"> green transition and environmental protection (4 steps each)</w:t>
      </w:r>
      <w:r w:rsidR="00FB2E3C" w:rsidRPr="007633C7">
        <w:t>;</w:t>
      </w:r>
    </w:p>
    <w:p w14:paraId="37518DF6" w14:textId="08667E86" w:rsidR="00384AB4" w:rsidRPr="001B7D68" w:rsidRDefault="00384AB4" w:rsidP="00384AB4">
      <w:pPr>
        <w:pStyle w:val="amprboxBLUEbulletlist"/>
      </w:pPr>
      <w:r w:rsidRPr="007633C7">
        <w:t>business environment</w:t>
      </w:r>
      <w:r w:rsidR="00FD2B85" w:rsidRPr="007633C7">
        <w:t>,</w:t>
      </w:r>
      <w:r w:rsidRPr="007633C7">
        <w:t xml:space="preserve"> energy (3 steps each)</w:t>
      </w:r>
      <w:r w:rsidR="00EC3B55" w:rsidRPr="007633C7">
        <w:t>;</w:t>
      </w:r>
    </w:p>
    <w:p w14:paraId="4EBFF47A" w14:textId="276F819C" w:rsidR="00384AB4" w:rsidRPr="001B7D68" w:rsidRDefault="00384AB4" w:rsidP="00384AB4">
      <w:pPr>
        <w:pStyle w:val="amprboxBLUEbulletlist"/>
      </w:pPr>
      <w:r w:rsidRPr="007633C7">
        <w:t>public financial management</w:t>
      </w:r>
      <w:r w:rsidR="00FD2B85" w:rsidRPr="007633C7">
        <w:t>,</w:t>
      </w:r>
      <w:r w:rsidRPr="007633C7">
        <w:t xml:space="preserve"> judiciary</w:t>
      </w:r>
      <w:r w:rsidR="00FD2B85" w:rsidRPr="007633C7">
        <w:t>,</w:t>
      </w:r>
      <w:r w:rsidRPr="007633C7">
        <w:t xml:space="preserve"> financial markets</w:t>
      </w:r>
      <w:r w:rsidR="00FD2B85" w:rsidRPr="007633C7">
        <w:t>,</w:t>
      </w:r>
      <w:r w:rsidRPr="007633C7">
        <w:t xml:space="preserve"> management of public assets</w:t>
      </w:r>
      <w:r w:rsidR="00FD2B85" w:rsidRPr="007633C7">
        <w:t>,</w:t>
      </w:r>
      <w:r w:rsidRPr="007633C7">
        <w:t xml:space="preserve"> transport (2 steps each)</w:t>
      </w:r>
      <w:r w:rsidR="00EC3B55" w:rsidRPr="007633C7">
        <w:t>;</w:t>
      </w:r>
    </w:p>
    <w:p w14:paraId="276743C0" w14:textId="5BB99DE8" w:rsidR="008163EF" w:rsidRPr="001B7D68" w:rsidRDefault="008163EF" w:rsidP="008163EF">
      <w:pPr>
        <w:pStyle w:val="amprboxBLUEbulletlist"/>
      </w:pPr>
      <w:r w:rsidRPr="007633C7">
        <w:t>public administration reform, fight against corruption and money-laundering (1 step each).</w:t>
      </w:r>
    </w:p>
    <w:p w14:paraId="5DDD449B" w14:textId="3636F17A" w:rsidR="002D5114" w:rsidRDefault="00A4607D" w:rsidP="5EDC92A7">
      <w:pPr>
        <w:rPr>
          <w:rFonts w:eastAsia="EC Square Sans Pro" w:cs="EC Square Sans Pro"/>
        </w:rPr>
      </w:pPr>
      <w:r w:rsidRPr="00A4607D">
        <w:rPr>
          <w:rFonts w:eastAsia="EC Square Sans Pro" w:cs="EC Square Sans Pro"/>
        </w:rPr>
        <w:t>For example, in the area of green transition and environmental protection</w:t>
      </w:r>
      <w:r w:rsidR="00E70A3F">
        <w:rPr>
          <w:rFonts w:eastAsia="EC Square Sans Pro" w:cs="EC Square Sans Pro"/>
        </w:rPr>
        <w:t>,</w:t>
      </w:r>
      <w:r w:rsidRPr="00A4607D">
        <w:rPr>
          <w:rFonts w:eastAsia="EC Square Sans Pro" w:cs="EC Square Sans Pro"/>
        </w:rPr>
        <w:t xml:space="preserve"> a new law </w:t>
      </w:r>
      <w:r w:rsidR="00E70A3F">
        <w:rPr>
          <w:rFonts w:eastAsia="EC Square Sans Pro" w:cs="EC Square Sans Pro"/>
        </w:rPr>
        <w:t>‘</w:t>
      </w:r>
      <w:r w:rsidRPr="00A4607D">
        <w:rPr>
          <w:rFonts w:eastAsia="EC Square Sans Pro" w:cs="EC Square Sans Pro"/>
        </w:rPr>
        <w:t xml:space="preserve">On the </w:t>
      </w:r>
      <w:r w:rsidR="001154FB">
        <w:rPr>
          <w:rFonts w:eastAsia="EC Square Sans Pro" w:cs="EC Square Sans Pro"/>
        </w:rPr>
        <w:t>b</w:t>
      </w:r>
      <w:r w:rsidRPr="00A4607D">
        <w:rPr>
          <w:rFonts w:eastAsia="EC Square Sans Pro" w:cs="EC Square Sans Pro"/>
        </w:rPr>
        <w:t xml:space="preserve">asic </w:t>
      </w:r>
      <w:r w:rsidR="001154FB">
        <w:rPr>
          <w:rFonts w:eastAsia="EC Square Sans Pro" w:cs="EC Square Sans Pro"/>
        </w:rPr>
        <w:t>p</w:t>
      </w:r>
      <w:r w:rsidRPr="00A4607D">
        <w:rPr>
          <w:rFonts w:eastAsia="EC Square Sans Pro" w:cs="EC Square Sans Pro"/>
        </w:rPr>
        <w:t xml:space="preserve">rinciples of </w:t>
      </w:r>
      <w:r w:rsidR="001154FB">
        <w:rPr>
          <w:rFonts w:eastAsia="EC Square Sans Pro" w:cs="EC Square Sans Pro"/>
        </w:rPr>
        <w:t>s</w:t>
      </w:r>
      <w:r w:rsidRPr="00A4607D">
        <w:rPr>
          <w:rFonts w:eastAsia="EC Square Sans Pro" w:cs="EC Square Sans Pro"/>
        </w:rPr>
        <w:t xml:space="preserve">tate </w:t>
      </w:r>
      <w:r w:rsidR="001154FB">
        <w:rPr>
          <w:rFonts w:eastAsia="EC Square Sans Pro" w:cs="EC Square Sans Pro"/>
        </w:rPr>
        <w:t>c</w:t>
      </w:r>
      <w:r w:rsidRPr="00A4607D">
        <w:rPr>
          <w:rFonts w:eastAsia="EC Square Sans Pro" w:cs="EC Square Sans Pro"/>
        </w:rPr>
        <w:t xml:space="preserve">limate </w:t>
      </w:r>
      <w:r w:rsidR="001154FB">
        <w:rPr>
          <w:rFonts w:eastAsia="EC Square Sans Pro" w:cs="EC Square Sans Pro"/>
        </w:rPr>
        <w:t>p</w:t>
      </w:r>
      <w:r w:rsidRPr="00A4607D">
        <w:rPr>
          <w:rFonts w:eastAsia="EC Square Sans Pro" w:cs="EC Square Sans Pro"/>
        </w:rPr>
        <w:t>olicy</w:t>
      </w:r>
      <w:r w:rsidR="00E70A3F">
        <w:rPr>
          <w:rFonts w:eastAsia="EC Square Sans Pro" w:cs="EC Square Sans Pro"/>
        </w:rPr>
        <w:t>’</w:t>
      </w:r>
      <w:r w:rsidRPr="00A4607D">
        <w:rPr>
          <w:rFonts w:eastAsia="EC Square Sans Pro" w:cs="EC Square Sans Pro"/>
        </w:rPr>
        <w:t xml:space="preserve"> now defines the key mechanisms and goals for climate governance. Another key step in this area was the adoption of a more ambitious second </w:t>
      </w:r>
      <w:r w:rsidR="00831E80">
        <w:rPr>
          <w:rFonts w:eastAsia="EC Square Sans Pro" w:cs="EC Square Sans Pro"/>
        </w:rPr>
        <w:t>‘</w:t>
      </w:r>
      <w:r w:rsidRPr="00A4607D">
        <w:rPr>
          <w:rFonts w:eastAsia="EC Square Sans Pro" w:cs="EC Square Sans Pro"/>
        </w:rPr>
        <w:t>Nationally Determined Contribution of Ukraine</w:t>
      </w:r>
      <w:r w:rsidR="00831E80">
        <w:rPr>
          <w:rFonts w:eastAsia="EC Square Sans Pro" w:cs="EC Square Sans Pro"/>
        </w:rPr>
        <w:t>’</w:t>
      </w:r>
      <w:r w:rsidRPr="00A4607D">
        <w:rPr>
          <w:rFonts w:eastAsia="EC Square Sans Pro" w:cs="EC Square Sans Pro"/>
        </w:rPr>
        <w:t xml:space="preserve"> to the Paris Agreement. In the area of human capital, a reform of preschool education now pursues access to quality preschool education with the aim of increasing the participation of women with preschool children in the labour force. On decentralisation, Ukraine adopted key amendments to the Law on Local State Administration; this step directly contributes to public administration reform, a core priority under the </w:t>
      </w:r>
      <w:r w:rsidR="00E70A3F">
        <w:rPr>
          <w:rFonts w:eastAsia="EC Square Sans Pro" w:cs="EC Square Sans Pro"/>
        </w:rPr>
        <w:t>‘</w:t>
      </w:r>
      <w:r w:rsidRPr="00A4607D">
        <w:rPr>
          <w:rFonts w:eastAsia="EC Square Sans Pro" w:cs="EC Square Sans Pro"/>
        </w:rPr>
        <w:t>Fundamentals</w:t>
      </w:r>
      <w:r w:rsidR="00E70A3F">
        <w:rPr>
          <w:rFonts w:eastAsia="EC Square Sans Pro" w:cs="EC Square Sans Pro"/>
        </w:rPr>
        <w:t>’</w:t>
      </w:r>
      <w:r w:rsidRPr="00A4607D">
        <w:rPr>
          <w:rFonts w:eastAsia="EC Square Sans Pro" w:cs="EC Square Sans Pro"/>
        </w:rPr>
        <w:t xml:space="preserve"> cluster of the accession process. The fight against corruption and money</w:t>
      </w:r>
      <w:r w:rsidR="00CF3DB3">
        <w:rPr>
          <w:rFonts w:eastAsia="EC Square Sans Pro" w:cs="EC Square Sans Pro"/>
        </w:rPr>
        <w:t xml:space="preserve"> </w:t>
      </w:r>
      <w:r w:rsidRPr="00A4607D">
        <w:rPr>
          <w:rFonts w:eastAsia="EC Square Sans Pro" w:cs="EC Square Sans Pro"/>
        </w:rPr>
        <w:t xml:space="preserve">laundering was strengthened through the entry into force of a law reforming the Asset Recovery and Management Agency, which introduced several improvements to the management and functioning of the </w:t>
      </w:r>
      <w:r w:rsidR="00CF3DB3">
        <w:rPr>
          <w:rFonts w:eastAsia="EC Square Sans Pro" w:cs="EC Square Sans Pro"/>
        </w:rPr>
        <w:t>a</w:t>
      </w:r>
      <w:r w:rsidRPr="00A4607D">
        <w:rPr>
          <w:rFonts w:eastAsia="EC Square Sans Pro" w:cs="EC Square Sans Pro"/>
        </w:rPr>
        <w:t>gency.</w:t>
      </w:r>
    </w:p>
    <w:p w14:paraId="06C21E94" w14:textId="77777777" w:rsidR="008163EF" w:rsidRDefault="008163EF">
      <w:pPr>
        <w:suppressAutoHyphens w:val="0"/>
        <w:rPr>
          <w:rFonts w:eastAsia="EC Square Sans Pro" w:cs="EC Square Sans Pro"/>
        </w:rPr>
      </w:pPr>
      <w:r>
        <w:rPr>
          <w:rFonts w:eastAsia="EC Square Sans Pro" w:cs="EC Square Sans Pro"/>
        </w:rPr>
        <w:br w:type="page"/>
      </w:r>
    </w:p>
    <w:p w14:paraId="7765BF53" w14:textId="385EE902" w:rsidR="002D5114" w:rsidRDefault="0A4F657C" w:rsidP="005A6E10">
      <w:pPr>
        <w:rPr>
          <w:rFonts w:eastAsia="EC Square Sans Pro" w:cs="EC Square Sans Pro"/>
        </w:rPr>
      </w:pPr>
      <w:r w:rsidRPr="3EDA0C7C">
        <w:rPr>
          <w:rFonts w:eastAsia="EC Square Sans Pro" w:cs="EC Square Sans Pro"/>
        </w:rPr>
        <w:t xml:space="preserve">The </w:t>
      </w:r>
      <w:r w:rsidRPr="00FD3BD8">
        <w:rPr>
          <w:rStyle w:val="Bold"/>
        </w:rPr>
        <w:t>Reform and Growth Facilit</w:t>
      </w:r>
      <w:r w:rsidR="003F1E6C" w:rsidRPr="00FD3BD8">
        <w:rPr>
          <w:rStyle w:val="Bold"/>
        </w:rPr>
        <w:t>y</w:t>
      </w:r>
      <w:r w:rsidRPr="00FD3BD8">
        <w:rPr>
          <w:rStyle w:val="Bold"/>
        </w:rPr>
        <w:t xml:space="preserve"> for the Western Balkans</w:t>
      </w:r>
      <w:r w:rsidR="002D5114">
        <w:rPr>
          <w:rFonts w:eastAsia="EC Square Sans Pro" w:cs="EC Square Sans Pro"/>
        </w:rPr>
        <w:t xml:space="preserve"> and</w:t>
      </w:r>
      <w:r w:rsidR="005269F4">
        <w:rPr>
          <w:rFonts w:eastAsia="EC Square Sans Pro" w:cs="EC Square Sans Pro"/>
        </w:rPr>
        <w:t xml:space="preserve"> the</w:t>
      </w:r>
      <w:r w:rsidR="002D5114">
        <w:rPr>
          <w:rFonts w:eastAsia="EC Square Sans Pro" w:cs="EC Square Sans Pro"/>
        </w:rPr>
        <w:t xml:space="preserve"> </w:t>
      </w:r>
      <w:r w:rsidR="003F1E6C" w:rsidRPr="00FD3BD8">
        <w:rPr>
          <w:rStyle w:val="Bold"/>
        </w:rPr>
        <w:t xml:space="preserve">Reform and Growth Facility for </w:t>
      </w:r>
      <w:r w:rsidR="002D5114" w:rsidRPr="00FD3BD8">
        <w:rPr>
          <w:rStyle w:val="Bold"/>
        </w:rPr>
        <w:t>Moldova</w:t>
      </w:r>
      <w:r w:rsidR="002D5114" w:rsidRPr="3EDA0C7C">
        <w:rPr>
          <w:rFonts w:eastAsia="EC Square Sans Pro" w:cs="EC Square Sans Pro"/>
        </w:rPr>
        <w:t xml:space="preserve"> </w:t>
      </w:r>
      <w:r w:rsidRPr="3EDA0C7C">
        <w:rPr>
          <w:rFonts w:eastAsia="EC Square Sans Pro" w:cs="EC Square Sans Pro"/>
        </w:rPr>
        <w:t>are</w:t>
      </w:r>
      <w:r w:rsidR="002D5114" w:rsidRPr="2BAC8EBE">
        <w:rPr>
          <w:rFonts w:eastAsia="EC Square Sans Pro" w:cs="EC Square Sans Pro"/>
        </w:rPr>
        <w:t xml:space="preserve"> performance</w:t>
      </w:r>
      <w:r w:rsidRPr="3EDA0C7C">
        <w:rPr>
          <w:rFonts w:eastAsia="EC Square Sans Pro" w:cs="EC Square Sans Pro"/>
        </w:rPr>
        <w:t xml:space="preserve">-based instruments, with disbursements conditional on the </w:t>
      </w:r>
      <w:r w:rsidR="002D5114" w:rsidRPr="2BAC8EBE">
        <w:rPr>
          <w:rFonts w:eastAsia="EC Square Sans Pro" w:cs="EC Square Sans Pro"/>
        </w:rPr>
        <w:t xml:space="preserve">achievement of </w:t>
      </w:r>
      <w:r w:rsidRPr="3EDA0C7C">
        <w:rPr>
          <w:rFonts w:eastAsia="EC Square Sans Pro" w:cs="EC Square Sans Pro"/>
        </w:rPr>
        <w:t xml:space="preserve">agreed </w:t>
      </w:r>
      <w:r w:rsidR="002D5114" w:rsidRPr="2BAC8EBE">
        <w:rPr>
          <w:rFonts w:eastAsia="EC Square Sans Pro" w:cs="EC Square Sans Pro"/>
        </w:rPr>
        <w:t xml:space="preserve">reform steps by </w:t>
      </w:r>
      <w:r w:rsidRPr="3EDA0C7C">
        <w:rPr>
          <w:rFonts w:eastAsia="EC Square Sans Pro" w:cs="EC Square Sans Pro"/>
        </w:rPr>
        <w:t>beneficiaries. In 2025, EUR</w:t>
      </w:r>
      <w:r w:rsidR="00F91410">
        <w:rPr>
          <w:rFonts w:ascii="Calibri" w:hAnsi="Calibri" w:cs="Calibri"/>
        </w:rPr>
        <w:t> </w:t>
      </w:r>
      <w:r w:rsidRPr="3EDA0C7C">
        <w:rPr>
          <w:rFonts w:eastAsia="EC Square Sans Pro" w:cs="EC Square Sans Pro"/>
        </w:rPr>
        <w:t>396</w:t>
      </w:r>
      <w:r w:rsidR="00F91410">
        <w:rPr>
          <w:rFonts w:ascii="Calibri" w:hAnsi="Calibri" w:cs="Calibri"/>
        </w:rPr>
        <w:t> </w:t>
      </w:r>
      <w:r w:rsidRPr="3EDA0C7C">
        <w:rPr>
          <w:rFonts w:eastAsia="EC Square Sans Pro" w:cs="EC Square Sans Pro"/>
        </w:rPr>
        <w:t>million was released in pre-financing and disbursements under the Reform and Growth Facility for the Western Balkans, including EUR</w:t>
      </w:r>
      <w:r w:rsidR="00F91410">
        <w:rPr>
          <w:rFonts w:ascii="Calibri" w:hAnsi="Calibri" w:cs="Calibri"/>
        </w:rPr>
        <w:t> </w:t>
      </w:r>
      <w:r w:rsidRPr="3EDA0C7C">
        <w:rPr>
          <w:rFonts w:eastAsia="EC Square Sans Pro" w:cs="EC Square Sans Pro"/>
        </w:rPr>
        <w:t>164</w:t>
      </w:r>
      <w:r w:rsidR="00F91410">
        <w:rPr>
          <w:rFonts w:ascii="Calibri" w:hAnsi="Calibri" w:cs="Calibri"/>
        </w:rPr>
        <w:t> </w:t>
      </w:r>
      <w:r w:rsidRPr="3EDA0C7C">
        <w:rPr>
          <w:rFonts w:eastAsia="EC Square Sans Pro" w:cs="EC Square Sans Pro"/>
        </w:rPr>
        <w:t>million for Albania, EUR</w:t>
      </w:r>
      <w:r w:rsidR="00F91410">
        <w:rPr>
          <w:rFonts w:ascii="Calibri" w:hAnsi="Calibri" w:cs="Calibri"/>
        </w:rPr>
        <w:t> </w:t>
      </w:r>
      <w:r w:rsidRPr="3EDA0C7C">
        <w:rPr>
          <w:rFonts w:eastAsia="EC Square Sans Pro" w:cs="EC Square Sans Pro"/>
        </w:rPr>
        <w:t>45</w:t>
      </w:r>
      <w:r w:rsidR="00F91410">
        <w:rPr>
          <w:rFonts w:ascii="Calibri" w:hAnsi="Calibri" w:cs="Calibri"/>
        </w:rPr>
        <w:t> </w:t>
      </w:r>
      <w:r w:rsidRPr="3EDA0C7C">
        <w:rPr>
          <w:rFonts w:eastAsia="EC Square Sans Pro" w:cs="EC Square Sans Pro"/>
        </w:rPr>
        <w:t>million for Montenegro and EUR</w:t>
      </w:r>
      <w:r w:rsidR="00922E9C">
        <w:rPr>
          <w:rFonts w:ascii="Calibri" w:hAnsi="Calibri" w:cs="Calibri"/>
        </w:rPr>
        <w:t> </w:t>
      </w:r>
      <w:r w:rsidRPr="3EDA0C7C">
        <w:rPr>
          <w:rFonts w:eastAsia="EC Square Sans Pro" w:cs="EC Square Sans Pro"/>
        </w:rPr>
        <w:t>77</w:t>
      </w:r>
      <w:r w:rsidR="00922E9C">
        <w:rPr>
          <w:rFonts w:ascii="Calibri" w:hAnsi="Calibri" w:cs="Calibri"/>
        </w:rPr>
        <w:t> </w:t>
      </w:r>
      <w:r w:rsidRPr="3EDA0C7C">
        <w:rPr>
          <w:rFonts w:eastAsia="EC Square Sans Pro" w:cs="EC Square Sans Pro"/>
        </w:rPr>
        <w:t>million for North Macedonia. In the same year, EUR</w:t>
      </w:r>
      <w:r w:rsidR="00922E9C">
        <w:rPr>
          <w:rFonts w:ascii="Calibri" w:hAnsi="Calibri" w:cs="Calibri"/>
        </w:rPr>
        <w:t> </w:t>
      </w:r>
      <w:r w:rsidRPr="3EDA0C7C">
        <w:rPr>
          <w:rFonts w:eastAsia="EC Square Sans Pro" w:cs="EC Square Sans Pro"/>
        </w:rPr>
        <w:t>288.9</w:t>
      </w:r>
      <w:r w:rsidR="00922E9C">
        <w:rPr>
          <w:rFonts w:ascii="Calibri" w:hAnsi="Calibri" w:cs="Calibri"/>
        </w:rPr>
        <w:t> </w:t>
      </w:r>
      <w:r w:rsidRPr="3EDA0C7C">
        <w:rPr>
          <w:rFonts w:eastAsia="EC Square Sans Pro" w:cs="EC Square Sans Pro"/>
        </w:rPr>
        <w:t>million in loans was disbursed under the Reform and Growth Facility for Moldova.</w:t>
      </w:r>
      <w:r w:rsidR="002D5114">
        <w:rPr>
          <w:rFonts w:eastAsia="EC Square Sans Pro" w:cs="EC Square Sans Pro"/>
        </w:rPr>
        <w:t xml:space="preserve"> Moreover, t</w:t>
      </w:r>
      <w:r w:rsidR="002D5114" w:rsidRPr="004D378F">
        <w:rPr>
          <w:rFonts w:eastAsia="EC Square Sans Pro" w:cs="EC Square Sans Pro"/>
        </w:rPr>
        <w:t xml:space="preserve">he </w:t>
      </w:r>
      <w:r w:rsidR="002D5114" w:rsidRPr="19F36A12">
        <w:rPr>
          <w:rFonts w:eastAsia="EC Square Sans Pro" w:cs="EC Square Sans Pro"/>
        </w:rPr>
        <w:t>Reform and Growth Facility for the Western Balkans</w:t>
      </w:r>
      <w:r w:rsidR="002D5114" w:rsidRPr="004D378F">
        <w:rPr>
          <w:rFonts w:eastAsia="EC Square Sans Pro" w:cs="EC Square Sans Pro"/>
        </w:rPr>
        <w:t xml:space="preserve"> works in complement with </w:t>
      </w:r>
      <w:r w:rsidR="002F284B">
        <w:rPr>
          <w:rFonts w:eastAsia="EC Square Sans Pro" w:cs="EC Square Sans Pro"/>
        </w:rPr>
        <w:t xml:space="preserve">the </w:t>
      </w:r>
      <w:r w:rsidR="002F284B" w:rsidRPr="00D96D38">
        <w:t xml:space="preserve">Instrument for Pre-accession </w:t>
      </w:r>
      <w:r w:rsidR="002F284B" w:rsidRPr="00D96D38" w:rsidDel="00CC56CB">
        <w:t>Assistance</w:t>
      </w:r>
      <w:r w:rsidR="002F284B" w:rsidRPr="00D96D38">
        <w:rPr>
          <w:rFonts w:ascii="Calibri" w:hAnsi="Calibri" w:cs="Calibri"/>
        </w:rPr>
        <w:t> </w:t>
      </w:r>
      <w:r w:rsidR="002F284B" w:rsidRPr="00D96D38">
        <w:t>III</w:t>
      </w:r>
      <w:r w:rsidR="002D5114" w:rsidRPr="004D378F">
        <w:rPr>
          <w:rFonts w:eastAsia="EC Square Sans Pro" w:cs="EC Square Sans Pro"/>
        </w:rPr>
        <w:t xml:space="preserve">, which provides technical assistance, including </w:t>
      </w:r>
      <w:r w:rsidR="00BC7B38" w:rsidRPr="00BC7B38">
        <w:rPr>
          <w:rFonts w:eastAsia="EC Square Sans Pro" w:cs="EC Square Sans Pro"/>
        </w:rPr>
        <w:t>Technical Assistance and Information Exchange</w:t>
      </w:r>
      <w:r w:rsidR="00BC7B38" w:rsidRPr="00BC7B38" w:rsidDel="00BC7B38">
        <w:rPr>
          <w:rFonts w:eastAsia="EC Square Sans Pro" w:cs="EC Square Sans Pro"/>
        </w:rPr>
        <w:t xml:space="preserve"> </w:t>
      </w:r>
      <w:r w:rsidR="002D5114" w:rsidRPr="004D378F">
        <w:rPr>
          <w:rFonts w:eastAsia="EC Square Sans Pro" w:cs="EC Square Sans Pro"/>
        </w:rPr>
        <w:t xml:space="preserve">and Twinning support, to help countries build the capacity needed to advance reforms, while the </w:t>
      </w:r>
      <w:r w:rsidR="00492933">
        <w:rPr>
          <w:rFonts w:eastAsia="EC Square Sans Pro" w:cs="EC Square Sans Pro"/>
        </w:rPr>
        <w:t>f</w:t>
      </w:r>
      <w:r w:rsidR="002D5114" w:rsidRPr="004D378F">
        <w:rPr>
          <w:rFonts w:eastAsia="EC Square Sans Pro" w:cs="EC Square Sans Pro"/>
        </w:rPr>
        <w:t>acility creates fiscal incentives to legislate and implement them</w:t>
      </w:r>
      <w:r w:rsidR="002D5114">
        <w:rPr>
          <w:rFonts w:eastAsia="EC Square Sans Pro" w:cs="EC Square Sans Pro"/>
        </w:rPr>
        <w:t>.</w:t>
      </w:r>
    </w:p>
    <w:p w14:paraId="1F8134E6" w14:textId="4C26E6F9" w:rsidR="00D21719" w:rsidRDefault="00D21719" w:rsidP="005A6E10">
      <w:pPr>
        <w:rPr>
          <w:rFonts w:eastAsia="EC Square Sans Pro" w:cs="EC Square Sans Pro"/>
          <w:noProof/>
        </w:rPr>
      </w:pPr>
      <w:r w:rsidRPr="00D21719">
        <w:rPr>
          <w:rFonts w:eastAsia="EC Square Sans Pro" w:cs="EC Square Sans Pro"/>
          <w:noProof/>
        </w:rPr>
        <w:t xml:space="preserve">In delivering on the </w:t>
      </w:r>
      <w:r w:rsidRPr="00FD3BD8">
        <w:rPr>
          <w:rStyle w:val="Bold"/>
        </w:rPr>
        <w:t>Global Gateway</w:t>
      </w:r>
      <w:r w:rsidRPr="00D21719">
        <w:rPr>
          <w:rFonts w:eastAsia="EC Square Sans Pro" w:cs="EC Square Sans Pro"/>
          <w:noProof/>
        </w:rPr>
        <w:t xml:space="preserve"> through </w:t>
      </w:r>
      <w:r w:rsidRPr="00FD3BD8">
        <w:rPr>
          <w:rStyle w:val="Bold"/>
        </w:rPr>
        <w:t>the Neighbourhood, Development and International Cooperation Instrument – Global Europe</w:t>
      </w:r>
      <w:r w:rsidRPr="00954CDB">
        <w:rPr>
          <w:rFonts w:eastAsia="EC Square Sans Pro" w:cs="EC Square Sans Pro"/>
          <w:noProof/>
        </w:rPr>
        <w:t>,</w:t>
      </w:r>
      <w:r w:rsidRPr="00D21719">
        <w:rPr>
          <w:rFonts w:eastAsia="EC Square Sans Pro" w:cs="EC Square Sans Pro"/>
          <w:noProof/>
        </w:rPr>
        <w:t xml:space="preserve"> the Commission promotes reforms to support the investment</w:t>
      </w:r>
      <w:r w:rsidR="00006500">
        <w:rPr>
          <w:rFonts w:eastAsia="EC Square Sans Pro" w:cs="EC Square Sans Pro"/>
          <w:noProof/>
        </w:rPr>
        <w:t>-</w:t>
      </w:r>
      <w:r w:rsidRPr="00D21719">
        <w:rPr>
          <w:rFonts w:eastAsia="EC Square Sans Pro" w:cs="EC Square Sans Pro"/>
          <w:noProof/>
        </w:rPr>
        <w:t>enabling environment in partner countries, in accordance with the EU policy priorities and in complementarity with all Team Europe stakeholders. These reforms relate to the countr</w:t>
      </w:r>
      <w:r w:rsidR="00946198">
        <w:rPr>
          <w:rFonts w:eastAsia="EC Square Sans Pro" w:cs="EC Square Sans Pro"/>
          <w:noProof/>
        </w:rPr>
        <w:t>ies</w:t>
      </w:r>
      <w:r w:rsidR="00333EE6">
        <w:rPr>
          <w:rFonts w:eastAsia="EC Square Sans Pro" w:cs="EC Square Sans Pro"/>
          <w:noProof/>
        </w:rPr>
        <w:t>’</w:t>
      </w:r>
      <w:r w:rsidRPr="00D21719">
        <w:rPr>
          <w:rFonts w:eastAsia="EC Square Sans Pro" w:cs="EC Square Sans Pro"/>
          <w:noProof/>
        </w:rPr>
        <w:t xml:space="preserve"> economic governance (e.g. public procurement, public investment management or debt management) or are considered enablers for successful Global Gateway projects (e.g. upgrading the regulatory framework for the production/commercialisation of solar or wind power, or for operators in strategic transport corridors). </w:t>
      </w:r>
    </w:p>
    <w:p w14:paraId="3588ED13" w14:textId="0B77C03E" w:rsidR="009725E4" w:rsidRPr="00187D0A" w:rsidRDefault="00C6202E" w:rsidP="00187D0A">
      <w:pPr>
        <w:rPr>
          <w:rFonts w:eastAsia="EC Square Sans Pro" w:cs="EC Square Sans Pro"/>
          <w:noProof/>
        </w:rPr>
      </w:pPr>
      <w:r w:rsidRPr="00C6202E">
        <w:rPr>
          <w:rFonts w:eastAsia="EC Square Sans Pro" w:cs="EC Square Sans Pro"/>
          <w:noProof/>
        </w:rPr>
        <w:t xml:space="preserve">The Ukraine Investment Framework </w:t>
      </w:r>
      <w:r w:rsidR="002416D6">
        <w:rPr>
          <w:rFonts w:eastAsia="EC Square Sans Pro" w:cs="EC Square Sans Pro"/>
          <w:noProof/>
        </w:rPr>
        <w:t>(Pillar II of the</w:t>
      </w:r>
      <w:r w:rsidRPr="00C6202E">
        <w:rPr>
          <w:rFonts w:eastAsia="EC Square Sans Pro" w:cs="EC Square Sans Pro"/>
          <w:noProof/>
        </w:rPr>
        <w:t xml:space="preserve"> Ukraine Facility</w:t>
      </w:r>
      <w:r w:rsidR="004C03E8">
        <w:rPr>
          <w:rFonts w:eastAsia="EC Square Sans Pro" w:cs="EC Square Sans Pro"/>
          <w:noProof/>
        </w:rPr>
        <w:t>)</w:t>
      </w:r>
      <w:r w:rsidRPr="00C6202E">
        <w:rPr>
          <w:rFonts w:eastAsia="EC Square Sans Pro" w:cs="EC Square Sans Pro"/>
          <w:noProof/>
        </w:rPr>
        <w:t xml:space="preserve"> and the </w:t>
      </w:r>
      <w:r w:rsidR="00636B20" w:rsidRPr="00C65C8F">
        <w:rPr>
          <w:rStyle w:val="Bold"/>
          <w:b w:val="0"/>
          <w:bCs/>
        </w:rPr>
        <w:t>European Fund for Sustainable Development Plus</w:t>
      </w:r>
      <w:r w:rsidRPr="00C6202E">
        <w:rPr>
          <w:rFonts w:eastAsia="EC Square Sans Pro" w:cs="EC Square Sans Pro"/>
          <w:noProof/>
        </w:rPr>
        <w:t xml:space="preserve"> crowd in private capital to promote investments</w:t>
      </w:r>
      <w:r w:rsidR="00F41DEC">
        <w:rPr>
          <w:rFonts w:eastAsia="EC Square Sans Pro" w:cs="EC Square Sans Pro"/>
          <w:noProof/>
        </w:rPr>
        <w:t>,</w:t>
      </w:r>
      <w:r w:rsidRPr="00C6202E">
        <w:rPr>
          <w:rFonts w:eastAsia="EC Square Sans Pro" w:cs="EC Square Sans Pro"/>
          <w:noProof/>
        </w:rPr>
        <w:t xml:space="preserve"> respectively in Ukraine and </w:t>
      </w:r>
      <w:r w:rsidR="00FA79CB">
        <w:rPr>
          <w:rFonts w:eastAsia="EC Square Sans Pro" w:cs="EC Square Sans Pro"/>
          <w:noProof/>
        </w:rPr>
        <w:t>in EU partner countries</w:t>
      </w:r>
      <w:r w:rsidRPr="00C6202E">
        <w:rPr>
          <w:rFonts w:eastAsia="EC Square Sans Pro" w:cs="EC Square Sans Pro"/>
          <w:noProof/>
        </w:rPr>
        <w:t>. Moreover,</w:t>
      </w:r>
      <w:r w:rsidR="00187D0A" w:rsidRPr="00187D0A" w:rsidDel="00545C8B">
        <w:rPr>
          <w:rFonts w:eastAsia="EC Square Sans Pro" w:cs="EC Square Sans Pro"/>
          <w:noProof/>
        </w:rPr>
        <w:t xml:space="preserve"> </w:t>
      </w:r>
      <w:r w:rsidR="00187D0A" w:rsidDel="00545C8B">
        <w:rPr>
          <w:rFonts w:eastAsia="EC Square Sans Pro" w:cs="EC Square Sans Pro"/>
        </w:rPr>
        <w:t>b</w:t>
      </w:r>
      <w:r w:rsidR="00187D0A" w:rsidRPr="00187D0A" w:rsidDel="00545C8B">
        <w:rPr>
          <w:rFonts w:eastAsia="EC Square Sans Pro" w:cs="EC Square Sans Pro"/>
        </w:rPr>
        <w:t>udget</w:t>
      </w:r>
      <w:r w:rsidR="00187D0A" w:rsidRPr="00187D0A">
        <w:rPr>
          <w:rFonts w:eastAsia="EC Square Sans Pro" w:cs="EC Square Sans Pro"/>
          <w:noProof/>
        </w:rPr>
        <w:t xml:space="preserve"> support promoted regulatory reforms in </w:t>
      </w:r>
      <w:r w:rsidR="001A0050">
        <w:rPr>
          <w:rFonts w:eastAsia="EC Square Sans Pro" w:cs="EC Square Sans Pro"/>
          <w:noProof/>
        </w:rPr>
        <w:t xml:space="preserve">the </w:t>
      </w:r>
      <w:r w:rsidR="001A0050" w:rsidRPr="00187D0A">
        <w:rPr>
          <w:rFonts w:eastAsia="EC Square Sans Pro" w:cs="EC Square Sans Pro"/>
          <w:noProof/>
        </w:rPr>
        <w:t xml:space="preserve">energy sectors </w:t>
      </w:r>
      <w:r w:rsidR="001A0050">
        <w:rPr>
          <w:rFonts w:eastAsia="EC Square Sans Pro" w:cs="EC Square Sans Pro"/>
          <w:noProof/>
        </w:rPr>
        <w:t xml:space="preserve">of </w:t>
      </w:r>
      <w:r w:rsidR="00F307C8" w:rsidRPr="00187D0A">
        <w:rPr>
          <w:rFonts w:eastAsia="EC Square Sans Pro" w:cs="EC Square Sans Pro"/>
          <w:noProof/>
        </w:rPr>
        <w:t>Benin</w:t>
      </w:r>
      <w:r w:rsidR="00F307C8">
        <w:rPr>
          <w:rFonts w:eastAsia="EC Square Sans Pro" w:cs="EC Square Sans Pro"/>
          <w:noProof/>
        </w:rPr>
        <w:t>,</w:t>
      </w:r>
      <w:r w:rsidR="00F307C8" w:rsidRPr="00187D0A">
        <w:rPr>
          <w:rFonts w:eastAsia="EC Square Sans Pro" w:cs="EC Square Sans Pro"/>
          <w:noProof/>
        </w:rPr>
        <w:t xml:space="preserve"> Solomon Islands </w:t>
      </w:r>
      <w:r w:rsidR="00F307C8">
        <w:rPr>
          <w:rFonts w:eastAsia="EC Square Sans Pro" w:cs="EC Square Sans Pro"/>
          <w:noProof/>
        </w:rPr>
        <w:t xml:space="preserve">and </w:t>
      </w:r>
      <w:r w:rsidR="00187D0A" w:rsidRPr="00187D0A">
        <w:rPr>
          <w:rFonts w:eastAsia="EC Square Sans Pro" w:cs="EC Square Sans Pro"/>
          <w:noProof/>
        </w:rPr>
        <w:t>Vietnam. It encouraged renewable energy, notably by allowing EU development finance institutions to fund these investments directly with EU blending support. In the context of Global Gateway</w:t>
      </w:r>
      <w:r w:rsidR="00AE43EB">
        <w:rPr>
          <w:rFonts w:eastAsia="EC Square Sans Pro" w:cs="EC Square Sans Pro"/>
          <w:noProof/>
        </w:rPr>
        <w:t xml:space="preserve">, </w:t>
      </w:r>
      <w:r w:rsidR="00324BD0">
        <w:rPr>
          <w:rFonts w:eastAsia="EC Square Sans Pro" w:cs="EC Square Sans Pro"/>
          <w:noProof/>
        </w:rPr>
        <w:t>su</w:t>
      </w:r>
      <w:r w:rsidR="00694612">
        <w:rPr>
          <w:rFonts w:eastAsia="EC Square Sans Pro" w:cs="EC Square Sans Pro"/>
          <w:noProof/>
        </w:rPr>
        <w:t xml:space="preserve">ch synergies </w:t>
      </w:r>
      <w:r w:rsidR="00187D0A" w:rsidRPr="00187D0A">
        <w:rPr>
          <w:rFonts w:eastAsia="EC Square Sans Pro" w:cs="EC Square Sans Pro"/>
          <w:noProof/>
        </w:rPr>
        <w:t xml:space="preserve">are also sought, for instance, in </w:t>
      </w:r>
      <w:r w:rsidR="00F307C8" w:rsidRPr="00187D0A">
        <w:rPr>
          <w:rFonts w:eastAsia="EC Square Sans Pro" w:cs="EC Square Sans Pro"/>
          <w:noProof/>
        </w:rPr>
        <w:t xml:space="preserve">Jamaica </w:t>
      </w:r>
      <w:r w:rsidR="00F307C8">
        <w:rPr>
          <w:rFonts w:eastAsia="EC Square Sans Pro" w:cs="EC Square Sans Pro"/>
          <w:noProof/>
        </w:rPr>
        <w:t xml:space="preserve">and </w:t>
      </w:r>
      <w:r w:rsidR="00187D0A" w:rsidRPr="00187D0A">
        <w:rPr>
          <w:rFonts w:eastAsia="EC Square Sans Pro" w:cs="EC Square Sans Pro"/>
          <w:noProof/>
        </w:rPr>
        <w:t xml:space="preserve">Kyrgyzstan for digitalisation, Liberia, Rwanda and Uzbekistan for agriculture value chains and Mauritania for green hydrogen. </w:t>
      </w:r>
    </w:p>
    <w:p w14:paraId="6B1D6180" w14:textId="3330829A" w:rsidR="00187D0A" w:rsidRPr="00187D0A" w:rsidRDefault="00187D0A" w:rsidP="00187D0A">
      <w:pPr>
        <w:rPr>
          <w:rFonts w:eastAsia="EC Square Sans Pro" w:cs="EC Square Sans Pro"/>
          <w:noProof/>
        </w:rPr>
      </w:pPr>
      <w:r w:rsidRPr="00187D0A">
        <w:rPr>
          <w:rFonts w:eastAsia="EC Square Sans Pro" w:cs="EC Square Sans Pro"/>
          <w:noProof/>
        </w:rPr>
        <w:t xml:space="preserve">In the neighbourhood region, macro-financial assistance financed by </w:t>
      </w:r>
      <w:r w:rsidR="00B86C41" w:rsidRPr="00275DBC">
        <w:rPr>
          <w:rFonts w:eastAsia="EC Square Sans Pro" w:cs="EC Square Sans Pro"/>
          <w:bCs/>
          <w:noProof/>
        </w:rPr>
        <w:t>Neighbourhood, Development and International Cooperation Instrument</w:t>
      </w:r>
      <w:r w:rsidR="00B86C41" w:rsidRPr="00275DBC">
        <w:rPr>
          <w:rFonts w:ascii="Calibri" w:eastAsia="EC Square Sans Pro" w:hAnsi="Calibri" w:cs="Calibri"/>
          <w:bCs/>
          <w:noProof/>
        </w:rPr>
        <w:t> </w:t>
      </w:r>
      <w:r w:rsidR="00B86C41" w:rsidRPr="00275DBC">
        <w:rPr>
          <w:rFonts w:eastAsia="EC Square Sans Pro" w:cs="EC Square Sans Pro"/>
          <w:bCs/>
          <w:noProof/>
        </w:rPr>
        <w:t>– Global Europe</w:t>
      </w:r>
      <w:r w:rsidR="00B86C41" w:rsidRPr="007412B8" w:rsidDel="00B86C41">
        <w:rPr>
          <w:rFonts w:eastAsia="EC Square Sans Pro" w:cs="EC Square Sans Pro"/>
          <w:bCs/>
          <w:noProof/>
        </w:rPr>
        <w:t xml:space="preserve"> </w:t>
      </w:r>
      <w:r w:rsidRPr="00187D0A">
        <w:rPr>
          <w:rFonts w:eastAsia="EC Square Sans Pro" w:cs="EC Square Sans Pro"/>
          <w:noProof/>
        </w:rPr>
        <w:t>plays an equally important role to promote reforms.</w:t>
      </w:r>
    </w:p>
    <w:p w14:paraId="20278795" w14:textId="0C16BF93" w:rsidR="007001E7" w:rsidRDefault="00187D0A" w:rsidP="00187D0A">
      <w:pPr>
        <w:rPr>
          <w:rFonts w:eastAsia="EC Square Sans Pro" w:cs="EC Square Sans Pro"/>
          <w:noProof/>
        </w:rPr>
      </w:pPr>
      <w:r w:rsidRPr="00187D0A">
        <w:rPr>
          <w:rFonts w:eastAsia="EC Square Sans Pro" w:cs="EC Square Sans Pro"/>
          <w:noProof/>
        </w:rPr>
        <w:t xml:space="preserve">In both </w:t>
      </w:r>
      <w:r w:rsidR="00F65DA3">
        <w:rPr>
          <w:rFonts w:eastAsia="EC Square Sans Pro" w:cs="EC Square Sans Pro"/>
          <w:noProof/>
        </w:rPr>
        <w:t xml:space="preserve">Jordan and </w:t>
      </w:r>
      <w:r w:rsidRPr="00187D0A">
        <w:rPr>
          <w:rFonts w:eastAsia="EC Square Sans Pro" w:cs="EC Square Sans Pro"/>
          <w:noProof/>
        </w:rPr>
        <w:t>Morocco, a large budget support portfolio promotes reforms in various sectors such as renewable energies, circular economy</w:t>
      </w:r>
      <w:r w:rsidR="007412B8">
        <w:rPr>
          <w:rFonts w:eastAsia="EC Square Sans Pro" w:cs="EC Square Sans Pro"/>
          <w:noProof/>
        </w:rPr>
        <w:t>,</w:t>
      </w:r>
      <w:r w:rsidRPr="00187D0A">
        <w:rPr>
          <w:rFonts w:eastAsia="EC Square Sans Pro" w:cs="EC Square Sans Pro"/>
          <w:noProof/>
        </w:rPr>
        <w:t xml:space="preserve"> water, skills, social protection or public administration modernisation/digitalisation for a more conducive business environment</w:t>
      </w:r>
      <w:r w:rsidR="007001E7" w:rsidRPr="007001E7">
        <w:rPr>
          <w:rFonts w:eastAsia="EC Square Sans Pro" w:cs="EC Square Sans Pro"/>
          <w:noProof/>
        </w:rPr>
        <w:t xml:space="preserve">. </w:t>
      </w:r>
      <w:r w:rsidR="007001E7" w:rsidRPr="005110C4">
        <w:rPr>
          <w:rFonts w:eastAsia="EC Square Sans Pro" w:cs="EC Square Sans Pro"/>
          <w:noProof/>
        </w:rPr>
        <w:t xml:space="preserve">In </w:t>
      </w:r>
      <w:r w:rsidR="00F65DA3" w:rsidRPr="005110C4">
        <w:rPr>
          <w:rFonts w:eastAsia="EC Square Sans Pro" w:cs="EC Square Sans Pro"/>
          <w:noProof/>
        </w:rPr>
        <w:t xml:space="preserve">Armenia, </w:t>
      </w:r>
      <w:r w:rsidR="007001E7" w:rsidRPr="005110C4">
        <w:rPr>
          <w:rFonts w:eastAsia="EC Square Sans Pro" w:cs="EC Square Sans Pro"/>
          <w:noProof/>
        </w:rPr>
        <w:t>Egypt, Jordan</w:t>
      </w:r>
      <w:r w:rsidR="00F65DA3" w:rsidRPr="005110C4">
        <w:rPr>
          <w:rFonts w:eastAsia="EC Square Sans Pro" w:cs="EC Square Sans Pro"/>
          <w:noProof/>
        </w:rPr>
        <w:t xml:space="preserve"> and</w:t>
      </w:r>
      <w:r w:rsidR="007001E7" w:rsidRPr="005110C4">
        <w:rPr>
          <w:rFonts w:eastAsia="EC Square Sans Pro" w:cs="EC Square Sans Pro"/>
          <w:noProof/>
        </w:rPr>
        <w:t xml:space="preserve"> Tunisia, this effort to promote reforms is complemented by dedicated </w:t>
      </w:r>
      <w:r w:rsidR="00215D92" w:rsidRPr="00275DBC">
        <w:rPr>
          <w:rFonts w:eastAsia="EC Square Sans Pro" w:cs="EC Square Sans Pro"/>
          <w:noProof/>
        </w:rPr>
        <w:t>s</w:t>
      </w:r>
      <w:r w:rsidR="007001E7" w:rsidRPr="005110C4">
        <w:rPr>
          <w:rFonts w:eastAsia="EC Square Sans Pro" w:cs="EC Square Sans Pro"/>
          <w:noProof/>
        </w:rPr>
        <w:t xml:space="preserve">trategic and </w:t>
      </w:r>
      <w:r w:rsidR="00215D92" w:rsidRPr="00275DBC">
        <w:rPr>
          <w:rFonts w:eastAsia="EC Square Sans Pro" w:cs="EC Square Sans Pro"/>
          <w:noProof/>
        </w:rPr>
        <w:t>c</w:t>
      </w:r>
      <w:r w:rsidR="007001E7" w:rsidRPr="005110C4">
        <w:rPr>
          <w:rFonts w:eastAsia="EC Square Sans Pro" w:cs="EC Square Sans Pro"/>
          <w:noProof/>
        </w:rPr>
        <w:t xml:space="preserve">omprehensive </w:t>
      </w:r>
      <w:r w:rsidR="00215D92" w:rsidRPr="00275DBC">
        <w:rPr>
          <w:rFonts w:eastAsia="EC Square Sans Pro" w:cs="EC Square Sans Pro"/>
          <w:noProof/>
        </w:rPr>
        <w:t>p</w:t>
      </w:r>
      <w:r w:rsidR="007001E7" w:rsidRPr="005110C4">
        <w:rPr>
          <w:rFonts w:eastAsia="EC Square Sans Pro" w:cs="EC Square Sans Pro"/>
          <w:noProof/>
        </w:rPr>
        <w:t>artnerships.</w:t>
      </w:r>
      <w:r w:rsidR="007001E7" w:rsidRPr="007001E7">
        <w:rPr>
          <w:rFonts w:eastAsia="EC Square Sans Pro" w:cs="EC Square Sans Pro"/>
          <w:noProof/>
        </w:rPr>
        <w:t xml:space="preserve"> In the neighbourhood region, macro-financial assistance for countries under financial </w:t>
      </w:r>
      <w:r w:rsidR="0048475E">
        <w:rPr>
          <w:rFonts w:eastAsia="EC Square Sans Pro" w:cs="EC Square Sans Pro"/>
          <w:noProof/>
        </w:rPr>
        <w:t>distress</w:t>
      </w:r>
      <w:r w:rsidR="0048475E" w:rsidRPr="007001E7">
        <w:rPr>
          <w:rFonts w:eastAsia="EC Square Sans Pro" w:cs="EC Square Sans Pro"/>
          <w:noProof/>
        </w:rPr>
        <w:t xml:space="preserve"> </w:t>
      </w:r>
      <w:r w:rsidR="007001E7" w:rsidRPr="007001E7">
        <w:rPr>
          <w:rFonts w:eastAsia="EC Square Sans Pro" w:cs="EC Square Sans Pro"/>
          <w:noProof/>
        </w:rPr>
        <w:t xml:space="preserve">also promotes important economic reforms such as in </w:t>
      </w:r>
      <w:r w:rsidR="00135A59">
        <w:rPr>
          <w:rFonts w:eastAsia="EC Square Sans Pro" w:cs="EC Square Sans Pro"/>
          <w:noProof/>
        </w:rPr>
        <w:t xml:space="preserve">Egypt and </w:t>
      </w:r>
      <w:r w:rsidR="007001E7" w:rsidRPr="007001E7">
        <w:rPr>
          <w:rFonts w:eastAsia="EC Square Sans Pro" w:cs="EC Square Sans Pro"/>
          <w:noProof/>
        </w:rPr>
        <w:t>Jordan</w:t>
      </w:r>
      <w:r w:rsidR="00135A59">
        <w:rPr>
          <w:rFonts w:eastAsia="EC Square Sans Pro" w:cs="EC Square Sans Pro"/>
          <w:noProof/>
        </w:rPr>
        <w:t>,</w:t>
      </w:r>
      <w:r w:rsidR="007001E7" w:rsidRPr="007001E7">
        <w:rPr>
          <w:rFonts w:eastAsia="EC Square Sans Pro" w:cs="EC Square Sans Pro"/>
          <w:noProof/>
        </w:rPr>
        <w:t xml:space="preserve"> where a new </w:t>
      </w:r>
      <w:r w:rsidR="006466EF" w:rsidRPr="006466EF">
        <w:rPr>
          <w:rFonts w:eastAsia="EC Square Sans Pro" w:cs="EC Square Sans Pro"/>
          <w:noProof/>
        </w:rPr>
        <w:t>macro-financial assistance operation</w:t>
      </w:r>
      <w:r w:rsidR="007001E7" w:rsidRPr="007001E7">
        <w:rPr>
          <w:rFonts w:eastAsia="EC Square Sans Pro" w:cs="EC Square Sans Pro"/>
          <w:noProof/>
        </w:rPr>
        <w:t xml:space="preserve"> was established in 2025.</w:t>
      </w:r>
    </w:p>
    <w:p w14:paraId="61325E5D" w14:textId="1165C362" w:rsidR="00187D0A" w:rsidRPr="00187D0A" w:rsidRDefault="00187D0A" w:rsidP="00187D0A">
      <w:pPr>
        <w:rPr>
          <w:rFonts w:eastAsia="EC Square Sans Pro" w:cs="EC Square Sans Pro"/>
          <w:noProof/>
        </w:rPr>
      </w:pPr>
      <w:r w:rsidRPr="00187D0A">
        <w:rPr>
          <w:rFonts w:eastAsia="EC Square Sans Pro" w:cs="EC Square Sans Pro"/>
          <w:noProof/>
        </w:rPr>
        <w:t>In Palestine</w:t>
      </w:r>
      <w:r w:rsidR="009C3BAC">
        <w:rPr>
          <w:rFonts w:ascii="Calibri" w:eastAsia="EC Square Sans Pro" w:hAnsi="Calibri" w:cs="Calibri"/>
          <w:noProof/>
        </w:rPr>
        <w:t> </w:t>
      </w:r>
      <w:r w:rsidR="007E32A8" w:rsidRPr="007E32A8">
        <w:rPr>
          <w:rFonts w:ascii="Calibri" w:eastAsia="EC Square Sans Pro" w:hAnsi="Calibri" w:cs="Calibri"/>
          <w:noProof/>
        </w:rPr>
        <w:t>(</w:t>
      </w:r>
      <w:r w:rsidR="007E32A8">
        <w:rPr>
          <w:rStyle w:val="FootnoteReference"/>
          <w:rFonts w:ascii="Calibri" w:eastAsia="EC Square Sans Pro" w:hAnsi="Calibri" w:cs="Calibri"/>
          <w:noProof/>
        </w:rPr>
        <w:footnoteReference w:id="9"/>
      </w:r>
      <w:r w:rsidR="007E32A8">
        <w:rPr>
          <w:rFonts w:ascii="Calibri" w:eastAsia="EC Square Sans Pro" w:hAnsi="Calibri" w:cs="Calibri"/>
          <w:noProof/>
        </w:rPr>
        <w:t>)</w:t>
      </w:r>
      <w:r w:rsidRPr="00187D0A">
        <w:rPr>
          <w:rFonts w:eastAsia="EC Square Sans Pro" w:cs="EC Square Sans Pro"/>
          <w:noProof/>
        </w:rPr>
        <w:t>, the support to the Palestinian Authority (</w:t>
      </w:r>
      <w:r w:rsidR="001147D3" w:rsidRPr="001147D3">
        <w:rPr>
          <w:rFonts w:eastAsia="EC Square Sans Pro" w:cs="EC Square Sans Pro"/>
          <w:noProof/>
        </w:rPr>
        <w:t xml:space="preserve">through direct financial support via the EU </w:t>
      </w:r>
      <w:r w:rsidR="0096426C">
        <w:rPr>
          <w:rFonts w:eastAsia="EC Square Sans Pro" w:cs="EC Square Sans Pro"/>
          <w:noProof/>
        </w:rPr>
        <w:t>PEGASE mechanism</w:t>
      </w:r>
      <w:r w:rsidRPr="00187D0A">
        <w:rPr>
          <w:rFonts w:eastAsia="EC Square Sans Pro" w:cs="EC Square Sans Pro"/>
          <w:noProof/>
        </w:rPr>
        <w:t xml:space="preserve">) </w:t>
      </w:r>
      <w:r w:rsidR="00921DA5" w:rsidRPr="00921DA5">
        <w:rPr>
          <w:rFonts w:eastAsia="EC Square Sans Pro" w:cs="EC Square Sans Pro"/>
          <w:noProof/>
        </w:rPr>
        <w:t>is anchored in the reform agenda of the Palestinian Authority.</w:t>
      </w:r>
      <w:r w:rsidRPr="00187D0A">
        <w:rPr>
          <w:rFonts w:eastAsia="EC Square Sans Pro" w:cs="EC Square Sans Pro"/>
          <w:noProof/>
        </w:rPr>
        <w:t xml:space="preserve"> </w:t>
      </w:r>
      <w:r w:rsidR="00921DA5">
        <w:rPr>
          <w:rFonts w:eastAsia="EC Square Sans Pro" w:cs="EC Square Sans Pro"/>
          <w:noProof/>
        </w:rPr>
        <w:t>I</w:t>
      </w:r>
      <w:r w:rsidRPr="00187D0A">
        <w:rPr>
          <w:rFonts w:eastAsia="EC Square Sans Pro" w:cs="EC Square Sans Pro"/>
          <w:noProof/>
        </w:rPr>
        <w:t>n other fragile/recovery contexts in the M</w:t>
      </w:r>
      <w:r w:rsidR="00103BCE">
        <w:rPr>
          <w:rFonts w:eastAsia="EC Square Sans Pro" w:cs="EC Square Sans Pro"/>
          <w:noProof/>
        </w:rPr>
        <w:t xml:space="preserve">iddle East and </w:t>
      </w:r>
      <w:r w:rsidRPr="00187D0A">
        <w:rPr>
          <w:rFonts w:eastAsia="EC Square Sans Pro" w:cs="EC Square Sans Pro"/>
          <w:noProof/>
        </w:rPr>
        <w:t>A</w:t>
      </w:r>
      <w:r w:rsidR="00103BCE">
        <w:rPr>
          <w:rFonts w:eastAsia="EC Square Sans Pro" w:cs="EC Square Sans Pro"/>
          <w:noProof/>
        </w:rPr>
        <w:t>frica</w:t>
      </w:r>
      <w:r w:rsidRPr="00187D0A">
        <w:rPr>
          <w:rFonts w:eastAsia="EC Square Sans Pro" w:cs="EC Square Sans Pro"/>
          <w:noProof/>
        </w:rPr>
        <w:t xml:space="preserve"> region, the EU contributes to strengthening core administrative and public finance management functions are always being supported (</w:t>
      </w:r>
      <w:r w:rsidR="00A04EE6" w:rsidRPr="00187D0A">
        <w:rPr>
          <w:rFonts w:eastAsia="EC Square Sans Pro" w:cs="EC Square Sans Pro"/>
          <w:noProof/>
        </w:rPr>
        <w:t>Iraq</w:t>
      </w:r>
      <w:r w:rsidR="00A04EE6">
        <w:rPr>
          <w:rFonts w:eastAsia="EC Square Sans Pro" w:cs="EC Square Sans Pro"/>
          <w:noProof/>
        </w:rPr>
        <w:t>,</w:t>
      </w:r>
      <w:r w:rsidR="00A04EE6" w:rsidRPr="00187D0A">
        <w:rPr>
          <w:rFonts w:eastAsia="EC Square Sans Pro" w:cs="EC Square Sans Pro"/>
          <w:noProof/>
        </w:rPr>
        <w:t xml:space="preserve"> Lebanon</w:t>
      </w:r>
      <w:r w:rsidR="009F7EA2">
        <w:rPr>
          <w:rFonts w:eastAsia="EC Square Sans Pro" w:cs="EC Square Sans Pro"/>
          <w:noProof/>
        </w:rPr>
        <w:t>,</w:t>
      </w:r>
      <w:r w:rsidR="00A04EE6" w:rsidRPr="00187D0A">
        <w:rPr>
          <w:rFonts w:eastAsia="EC Square Sans Pro" w:cs="EC Square Sans Pro"/>
          <w:noProof/>
        </w:rPr>
        <w:t xml:space="preserve"> </w:t>
      </w:r>
      <w:r w:rsidRPr="00187D0A">
        <w:rPr>
          <w:rFonts w:eastAsia="EC Square Sans Pro" w:cs="EC Square Sans Pro"/>
          <w:noProof/>
        </w:rPr>
        <w:t xml:space="preserve">Libya, Yemen and, since 2025, Syria). </w:t>
      </w:r>
    </w:p>
    <w:p w14:paraId="34D7D782" w14:textId="16E4C08A" w:rsidR="00187D0A" w:rsidRDefault="00187D0A" w:rsidP="00187D0A">
      <w:pPr>
        <w:rPr>
          <w:rFonts w:eastAsia="EC Square Sans Pro" w:cs="EC Square Sans Pro"/>
          <w:noProof/>
        </w:rPr>
      </w:pPr>
      <w:r w:rsidRPr="00187D0A">
        <w:rPr>
          <w:rFonts w:eastAsia="EC Square Sans Pro" w:cs="EC Square Sans Pro"/>
          <w:noProof/>
        </w:rPr>
        <w:t>This support to reforms with capacity development is coordinated with the International Monetary Fund, the World Bank Group, the Organisation for Economic Co</w:t>
      </w:r>
      <w:r w:rsidR="00B33BD6">
        <w:rPr>
          <w:rFonts w:eastAsia="EC Square Sans Pro" w:cs="EC Square Sans Pro"/>
          <w:noProof/>
        </w:rPr>
        <w:t>-</w:t>
      </w:r>
      <w:r w:rsidRPr="00187D0A">
        <w:rPr>
          <w:rFonts w:eastAsia="EC Square Sans Pro" w:cs="EC Square Sans Pro"/>
          <w:noProof/>
        </w:rPr>
        <w:t>operation and Development and EU Member States.</w:t>
      </w:r>
    </w:p>
    <w:p w14:paraId="15462337" w14:textId="3A5036AE" w:rsidR="00204DB3" w:rsidRDefault="00204DB3" w:rsidP="00204DB3">
      <w:pPr>
        <w:pStyle w:val="amprboxBLUEBoxTitle"/>
      </w:pPr>
      <w:r>
        <w:t>Results</w:t>
      </w:r>
      <w:r w:rsidRPr="00555509">
        <w:t xml:space="preserve"> under the Neighbourhood, Development and International Cooperation Instrument</w:t>
      </w:r>
      <w:r w:rsidRPr="00555509">
        <w:rPr>
          <w:rFonts w:ascii="Calibri" w:hAnsi="Calibri" w:cs="Calibri"/>
        </w:rPr>
        <w:t> </w:t>
      </w:r>
      <w:r w:rsidRPr="00555509">
        <w:t>– Global Europe</w:t>
      </w:r>
      <w:r w:rsidR="00C54DD6" w:rsidRPr="00EA4BC0">
        <w:rPr>
          <w:rFonts w:cs="Calibri"/>
        </w:rPr>
        <w:t> </w:t>
      </w:r>
      <w:r w:rsidR="00C54DD6" w:rsidRPr="00C54DD6">
        <w:t>(</w:t>
      </w:r>
      <w:r w:rsidR="00C54DD6">
        <w:rPr>
          <w:rStyle w:val="FootnoteReference"/>
        </w:rPr>
        <w:footnoteReference w:id="10"/>
      </w:r>
      <w:r w:rsidR="00C54DD6">
        <w:t>)</w:t>
      </w:r>
      <w:r w:rsidRPr="00555509">
        <w:t>:</w:t>
      </w:r>
    </w:p>
    <w:p w14:paraId="5C791B20" w14:textId="574C155A" w:rsidR="00204DB3" w:rsidRPr="00CA50D1" w:rsidRDefault="00576BF5" w:rsidP="00533CEF">
      <w:pPr>
        <w:pStyle w:val="amprboxBLUEbulletlist"/>
        <w:rPr>
          <w:rStyle w:val="Bold"/>
          <w:rFonts w:eastAsia="SimSun"/>
          <w:b w:val="0"/>
          <w:color w:val="auto"/>
          <w:szCs w:val="20"/>
          <w:lang w:eastAsia="en-GB"/>
        </w:rPr>
      </w:pPr>
      <w:r>
        <w:rPr>
          <w:rStyle w:val="Bold"/>
        </w:rPr>
        <w:t>110</w:t>
      </w:r>
      <w:r w:rsidR="00204DB3" w:rsidRPr="00CA50D1">
        <w:rPr>
          <w:rStyle w:val="Bold"/>
          <w:b w:val="0"/>
          <w:bCs/>
          <w:noProof/>
        </w:rPr>
        <w:t xml:space="preserve"> countries supported by the EU to strengthen revenue mobilisation, public financial management and/or budget transparency (GERF</w:t>
      </w:r>
      <w:r w:rsidR="00E60C49">
        <w:rPr>
          <w:rStyle w:val="Bold"/>
          <w:b w:val="0"/>
          <w:bCs/>
          <w:noProof/>
        </w:rPr>
        <w:t xml:space="preserve"> (Global Europe results framework</w:t>
      </w:r>
      <w:r w:rsidR="007B0358">
        <w:rPr>
          <w:rStyle w:val="Bold"/>
          <w:b w:val="0"/>
          <w:bCs/>
          <w:noProof/>
        </w:rPr>
        <w:t>)</w:t>
      </w:r>
      <w:r w:rsidR="00204DB3" w:rsidRPr="00CA50D1">
        <w:rPr>
          <w:rStyle w:val="Bold"/>
          <w:b w:val="0"/>
          <w:bCs/>
          <w:noProof/>
        </w:rPr>
        <w:t xml:space="preserve"> 2.19)</w:t>
      </w:r>
      <w:r w:rsidR="00DA48C2">
        <w:rPr>
          <w:rStyle w:val="Bold"/>
          <w:b w:val="0"/>
          <w:bCs/>
          <w:noProof/>
        </w:rPr>
        <w:t>;</w:t>
      </w:r>
    </w:p>
    <w:p w14:paraId="3BEBAD85" w14:textId="3F35431D" w:rsidR="00204DB3" w:rsidRPr="00CA50D1" w:rsidRDefault="0029571B" w:rsidP="00533CEF">
      <w:pPr>
        <w:pStyle w:val="amprboxBLUEbulletlist"/>
        <w:rPr>
          <w:rStyle w:val="Bold"/>
          <w:rFonts w:eastAsia="SimSun"/>
          <w:b w:val="0"/>
          <w:color w:val="auto"/>
          <w:szCs w:val="20"/>
          <w:lang w:eastAsia="en-GB"/>
        </w:rPr>
      </w:pPr>
      <w:r>
        <w:rPr>
          <w:rStyle w:val="Bold"/>
        </w:rPr>
        <w:t>22</w:t>
      </w:r>
      <w:r w:rsidR="00204DB3" w:rsidRPr="00CA50D1">
        <w:rPr>
          <w:rStyle w:val="Bold"/>
          <w:b w:val="0"/>
          <w:bCs/>
          <w:noProof/>
        </w:rPr>
        <w:t xml:space="preserve"> countries and cities with climate change and/or disaster risk reduction strategies: (a) developed or (b) under implementation (GERF 2.5)</w:t>
      </w:r>
      <w:r w:rsidR="006C7BD6">
        <w:rPr>
          <w:rStyle w:val="Bold"/>
          <w:b w:val="0"/>
          <w:bCs/>
          <w:noProof/>
        </w:rPr>
        <w:t>;</w:t>
      </w:r>
    </w:p>
    <w:p w14:paraId="76008066" w14:textId="795C79C9" w:rsidR="00204DB3" w:rsidRPr="00CA50D1" w:rsidRDefault="0029571B" w:rsidP="00533CEF">
      <w:pPr>
        <w:pStyle w:val="amprboxBLUEbulletlist"/>
        <w:rPr>
          <w:rStyle w:val="Bold"/>
          <w:rFonts w:eastAsia="SimSun"/>
          <w:b w:val="0"/>
          <w:color w:val="auto"/>
          <w:szCs w:val="20"/>
          <w:lang w:eastAsia="en-GB"/>
        </w:rPr>
      </w:pPr>
      <w:r>
        <w:rPr>
          <w:rStyle w:val="Bold"/>
        </w:rPr>
        <w:t>2</w:t>
      </w:r>
      <w:r w:rsidR="00204DB3" w:rsidRPr="00CA50D1">
        <w:rPr>
          <w:rStyle w:val="Bold"/>
          <w:b w:val="0"/>
          <w:bCs/>
          <w:noProof/>
        </w:rPr>
        <w:t xml:space="preserve"> countries supported by the EU to (a) develop and/or revise, (b) implement digital-related policies/strategies/laws/regulations (GERF 2.10) a) 4 and b) 1</w:t>
      </w:r>
      <w:r w:rsidR="00F46C9A">
        <w:rPr>
          <w:rStyle w:val="Bold"/>
          <w:b w:val="0"/>
          <w:bCs/>
          <w:noProof/>
        </w:rPr>
        <w:t>)</w:t>
      </w:r>
      <w:r w:rsidR="003D7987">
        <w:rPr>
          <w:rStyle w:val="Bold"/>
          <w:b w:val="0"/>
          <w:bCs/>
          <w:noProof/>
        </w:rPr>
        <w:t>;</w:t>
      </w:r>
    </w:p>
    <w:p w14:paraId="3BF69E71" w14:textId="331BCDC0" w:rsidR="00204DB3" w:rsidRPr="00CA50D1" w:rsidRDefault="00204DB3" w:rsidP="00533CEF">
      <w:pPr>
        <w:pStyle w:val="amprboxBLUEbulletlist"/>
        <w:rPr>
          <w:rStyle w:val="Bold"/>
          <w:rFonts w:eastAsia="SimSun"/>
          <w:b w:val="0"/>
          <w:color w:val="auto"/>
          <w:szCs w:val="20"/>
          <w:lang w:eastAsia="en-GB"/>
        </w:rPr>
      </w:pPr>
      <w:r w:rsidRPr="00AD1F11">
        <w:rPr>
          <w:rStyle w:val="Bold"/>
        </w:rPr>
        <w:t>3</w:t>
      </w:r>
      <w:r w:rsidRPr="00CA50D1">
        <w:rPr>
          <w:rStyle w:val="Bold"/>
          <w:b w:val="0"/>
          <w:bCs/>
          <w:noProof/>
        </w:rPr>
        <w:t xml:space="preserve"> countries supported by the EU to strengthen investment climate (GERF 2.16)</w:t>
      </w:r>
      <w:r w:rsidR="003D7987">
        <w:rPr>
          <w:rStyle w:val="Bold"/>
          <w:b w:val="0"/>
          <w:bCs/>
          <w:noProof/>
        </w:rPr>
        <w:t>;</w:t>
      </w:r>
    </w:p>
    <w:p w14:paraId="386A9D2C" w14:textId="6B6D494B" w:rsidR="00204DB3" w:rsidRPr="000D033E" w:rsidRDefault="0029571B" w:rsidP="00533CEF">
      <w:pPr>
        <w:pStyle w:val="amprboxBLUEbulletlist"/>
      </w:pPr>
      <w:r>
        <w:rPr>
          <w:rStyle w:val="Bold"/>
        </w:rPr>
        <w:t>356</w:t>
      </w:r>
      <w:r w:rsidR="00204DB3" w:rsidRPr="00CA50D1">
        <w:rPr>
          <w:rStyle w:val="Bold"/>
          <w:b w:val="0"/>
          <w:bCs/>
          <w:noProof/>
        </w:rPr>
        <w:t xml:space="preserve"> government policies developed or revised with civil society organisation participation through EU support (GERF 2.29)</w:t>
      </w:r>
      <w:r w:rsidR="003D7987">
        <w:rPr>
          <w:rStyle w:val="Bold"/>
          <w:b w:val="0"/>
          <w:bCs/>
          <w:noProof/>
        </w:rPr>
        <w:t>.</w:t>
      </w:r>
    </w:p>
    <w:p w14:paraId="12D9B49B" w14:textId="77777777" w:rsidR="00845AA8" w:rsidRPr="00FD3BD8" w:rsidRDefault="00845AA8" w:rsidP="00FD3BD8">
      <w:r w:rsidRPr="00FD3BD8">
        <w:br w:type="page"/>
      </w:r>
    </w:p>
    <w:p w14:paraId="10B0431A" w14:textId="10263B30" w:rsidR="000D7D9F" w:rsidRPr="00111FDD" w:rsidRDefault="007272D5" w:rsidP="000D7D9F">
      <w:pPr>
        <w:pStyle w:val="Heading2"/>
        <w:rPr>
          <w:rFonts w:ascii="EC Square Sans Pro" w:hAnsi="EC Square Sans Pro"/>
          <w:noProof/>
        </w:rPr>
      </w:pPr>
      <w:bookmarkStart w:id="37" w:name="_Toc231480356"/>
      <w:bookmarkStart w:id="38" w:name="_Toc231486611"/>
      <w:r>
        <w:rPr>
          <w:rFonts w:ascii="EC Square Sans Pro" w:hAnsi="EC Square Sans Pro"/>
          <w:noProof/>
        </w:rPr>
        <w:t>3</w:t>
      </w:r>
      <w:r w:rsidR="000D7D9F" w:rsidRPr="00111FDD">
        <w:rPr>
          <w:rFonts w:ascii="EC Square Sans Pro" w:hAnsi="EC Square Sans Pro"/>
          <w:noProof/>
        </w:rPr>
        <w:t xml:space="preserve">. </w:t>
      </w:r>
      <w:bookmarkEnd w:id="33"/>
      <w:r w:rsidR="000D7D9F" w:rsidRPr="00111FDD">
        <w:rPr>
          <w:rFonts w:ascii="EC Square Sans Pro" w:hAnsi="EC Square Sans Pro"/>
          <w:noProof/>
        </w:rPr>
        <w:t xml:space="preserve">EU budget </w:t>
      </w:r>
      <w:bookmarkEnd w:id="34"/>
      <w:r w:rsidR="000834A7">
        <w:rPr>
          <w:rFonts w:ascii="EC Square Sans Pro" w:hAnsi="EC Square Sans Pro"/>
          <w:noProof/>
        </w:rPr>
        <w:t xml:space="preserve">supporting the </w:t>
      </w:r>
      <w:r w:rsidR="00717CDC">
        <w:rPr>
          <w:rFonts w:ascii="EC Square Sans Pro" w:hAnsi="EC Square Sans Pro"/>
          <w:noProof/>
        </w:rPr>
        <w:t>E</w:t>
      </w:r>
      <w:r w:rsidR="000834A7">
        <w:rPr>
          <w:rFonts w:ascii="EC Square Sans Pro" w:hAnsi="EC Square Sans Pro"/>
          <w:noProof/>
        </w:rPr>
        <w:t>U’s political priorities</w:t>
      </w:r>
      <w:r w:rsidR="000D7D9F" w:rsidRPr="00111FDD">
        <w:rPr>
          <w:rFonts w:ascii="EC Square Sans Pro" w:hAnsi="EC Square Sans Pro"/>
          <w:noProof/>
        </w:rPr>
        <w:t xml:space="preserve"> in 202</w:t>
      </w:r>
      <w:r w:rsidR="00111FDD" w:rsidRPr="00111FDD">
        <w:rPr>
          <w:rFonts w:ascii="EC Square Sans Pro" w:hAnsi="EC Square Sans Pro"/>
          <w:noProof/>
        </w:rPr>
        <w:t>5</w:t>
      </w:r>
      <w:bookmarkEnd w:id="37"/>
      <w:bookmarkEnd w:id="38"/>
    </w:p>
    <w:p w14:paraId="65A92469" w14:textId="03876300" w:rsidR="007F0E1A" w:rsidRPr="007F0E1A" w:rsidRDefault="00C4558C" w:rsidP="007F0E1A">
      <w:pPr>
        <w:pStyle w:val="Heading3"/>
        <w:rPr>
          <w:highlight w:val="lightGray"/>
        </w:rPr>
      </w:pPr>
      <w:r>
        <w:t xml:space="preserve">The </w:t>
      </w:r>
      <w:r w:rsidR="00324A64">
        <w:t>C</w:t>
      </w:r>
      <w:r>
        <w:t>ompetitiveness Compass</w:t>
      </w:r>
    </w:p>
    <w:p w14:paraId="120F8CF1" w14:textId="349FC93B" w:rsidR="00367ACF" w:rsidRPr="001E3B51" w:rsidRDefault="00EF4B4C" w:rsidP="00367ACF">
      <w:pPr>
        <w:pStyle w:val="amprquotetext"/>
        <w:rPr>
          <w:noProof/>
          <w:lang w:val="en-IE"/>
        </w:rPr>
      </w:pPr>
      <w:bookmarkStart w:id="39" w:name="_Toc135637229"/>
      <w:r w:rsidRPr="001E3B51">
        <w:rPr>
          <w:noProof/>
          <w:lang w:val="en-IE"/>
        </w:rPr>
        <w:t>Europe's independence will depend on its ability to compete in today's turbulent times. We have everything it takes to thrive here in Europe</w:t>
      </w:r>
      <w:r w:rsidR="00C004A9">
        <w:rPr>
          <w:rFonts w:ascii="Calibri" w:hAnsi="Calibri" w:cs="Calibri"/>
          <w:noProof/>
          <w:lang w:val="en-IE"/>
        </w:rPr>
        <w:t> </w:t>
      </w:r>
      <w:r w:rsidRPr="001E3B51">
        <w:rPr>
          <w:noProof/>
          <w:lang w:val="en-IE"/>
        </w:rPr>
        <w:t>– from our Single Market to our social market economy</w:t>
      </w:r>
      <w:r w:rsidR="00CD4679" w:rsidRPr="001E3B51">
        <w:rPr>
          <w:rFonts w:ascii="EC Square Sans Pro" w:hAnsi="EC Square Sans Pro" w:cs="Calibri"/>
          <w:noProof/>
          <w:lang w:val="en-IE"/>
        </w:rPr>
        <w:t> </w:t>
      </w:r>
      <w:r w:rsidR="00CD4679" w:rsidRPr="0083587C">
        <w:rPr>
          <w:rFonts w:ascii="EC Square Sans Pro" w:hAnsi="EC Square Sans Pro"/>
          <w:i w:val="0"/>
          <w:iCs w:val="0"/>
          <w:noProof/>
          <w:lang w:val="en-IE"/>
        </w:rPr>
        <w:t>(</w:t>
      </w:r>
      <w:r w:rsidR="00CD4679" w:rsidRPr="0083587C">
        <w:rPr>
          <w:rStyle w:val="FootnoteReference"/>
          <w:i w:val="0"/>
          <w:iCs w:val="0"/>
          <w:noProof/>
          <w:lang w:val="de-DE"/>
        </w:rPr>
        <w:footnoteReference w:id="11"/>
      </w:r>
      <w:r w:rsidR="00CD4679" w:rsidRPr="0083587C">
        <w:rPr>
          <w:rFonts w:ascii="EC Square Sans Pro" w:hAnsi="EC Square Sans Pro"/>
          <w:i w:val="0"/>
          <w:iCs w:val="0"/>
          <w:noProof/>
          <w:lang w:val="en-IE"/>
        </w:rPr>
        <w:t>)</w:t>
      </w:r>
      <w:r w:rsidR="00A86943">
        <w:rPr>
          <w:rFonts w:ascii="EC Square Sans Pro" w:hAnsi="EC Square Sans Pro"/>
          <w:i w:val="0"/>
          <w:iCs w:val="0"/>
          <w:noProof/>
          <w:lang w:val="en-IE"/>
        </w:rPr>
        <w:t>.</w:t>
      </w:r>
    </w:p>
    <w:p w14:paraId="5774D64F" w14:textId="2F67DF9F" w:rsidR="00367ACF" w:rsidRPr="000D7C5A" w:rsidRDefault="008925A4" w:rsidP="008925A4">
      <w:pPr>
        <w:pStyle w:val="amprquoteauthor"/>
        <w:rPr>
          <w:i w:val="0"/>
          <w:lang w:val="en-IE"/>
        </w:rPr>
      </w:pPr>
      <w:r w:rsidRPr="000D7C5A">
        <w:rPr>
          <w:i w:val="0"/>
          <w:lang w:val="en-IE"/>
        </w:rPr>
        <w:t>Ursula von der Leyen</w:t>
      </w:r>
    </w:p>
    <w:p w14:paraId="3AE6255F" w14:textId="77777777" w:rsidR="008925A4" w:rsidRPr="008925A4" w:rsidRDefault="008925A4" w:rsidP="008925A4">
      <w:pPr>
        <w:pStyle w:val="amprquoteauthortitle"/>
        <w:rPr>
          <w:rFonts w:ascii="EC Square Sans Pro" w:hAnsi="EC Square Sans Pro"/>
          <w:noProof/>
        </w:rPr>
      </w:pPr>
      <w:r w:rsidRPr="008925A4">
        <w:rPr>
          <w:rFonts w:ascii="EC Square Sans Pro" w:hAnsi="EC Square Sans Pro"/>
          <w:noProof/>
        </w:rPr>
        <w:t>President of the European Commission</w:t>
      </w:r>
    </w:p>
    <w:p w14:paraId="32407D9F" w14:textId="4FBC7F10" w:rsidR="001902EB" w:rsidRDefault="001902EB" w:rsidP="001902EB">
      <w:pPr>
        <w:pStyle w:val="Heading4"/>
        <w:rPr>
          <w:lang w:eastAsia="fr-BE"/>
        </w:rPr>
      </w:pPr>
      <w:r>
        <w:rPr>
          <w:lang w:eastAsia="fr-BE"/>
        </w:rPr>
        <w:t xml:space="preserve">Boosting </w:t>
      </w:r>
      <w:r w:rsidR="00594CCF">
        <w:rPr>
          <w:lang w:eastAsia="fr-BE"/>
        </w:rPr>
        <w:t>the EU’s</w:t>
      </w:r>
      <w:r>
        <w:rPr>
          <w:lang w:eastAsia="fr-BE"/>
        </w:rPr>
        <w:t xml:space="preserve"> competitiveness </w:t>
      </w:r>
    </w:p>
    <w:p w14:paraId="594248A3" w14:textId="76E383E2" w:rsidR="00486617" w:rsidRDefault="000A5520" w:rsidP="005E2803">
      <w:pPr>
        <w:rPr>
          <w:noProof/>
          <w:lang w:val="en-IE" w:eastAsia="en-IE"/>
        </w:rPr>
      </w:pPr>
      <w:r w:rsidRPr="00FD3BD8">
        <w:rPr>
          <w:rStyle w:val="Bold"/>
        </w:rPr>
        <w:t xml:space="preserve">Europe’s prosperity depends on having a competitive, sustainable and resilient economy that delivers opportunities for its people and businesses, now and in the future. </w:t>
      </w:r>
      <w:r w:rsidR="00606F5C" w:rsidRPr="00956D28">
        <w:rPr>
          <w:lang w:val="en-IE" w:eastAsia="en-IE"/>
        </w:rPr>
        <w:t xml:space="preserve">Building on </w:t>
      </w:r>
      <w:hyperlink r:id="rId58" w:history="1">
        <w:r w:rsidR="00606F5C" w:rsidRPr="00956D28">
          <w:rPr>
            <w:rStyle w:val="Hyperlink"/>
            <w:lang w:val="en-IE" w:eastAsia="en-IE"/>
          </w:rPr>
          <w:t xml:space="preserve">Mario Draghi’s report on European </w:t>
        </w:r>
        <w:r w:rsidR="003A31CA">
          <w:rPr>
            <w:rStyle w:val="Hyperlink"/>
            <w:lang w:val="en-IE" w:eastAsia="en-IE"/>
          </w:rPr>
          <w:t>c</w:t>
        </w:r>
        <w:r w:rsidR="00606F5C" w:rsidRPr="00956D28">
          <w:rPr>
            <w:rStyle w:val="Hyperlink"/>
            <w:lang w:val="en-IE" w:eastAsia="en-IE"/>
          </w:rPr>
          <w:t>ompetitiveness</w:t>
        </w:r>
      </w:hyperlink>
      <w:r w:rsidR="00606F5C" w:rsidRPr="00956D28">
        <w:rPr>
          <w:lang w:val="en-IE" w:eastAsia="en-IE"/>
        </w:rPr>
        <w:t xml:space="preserve">, </w:t>
      </w:r>
      <w:r w:rsidR="009A6DB2" w:rsidRPr="00956D28">
        <w:rPr>
          <w:lang w:val="en-IE" w:eastAsia="en-IE"/>
        </w:rPr>
        <w:t>in 2025</w:t>
      </w:r>
      <w:r w:rsidR="009A6DB2">
        <w:rPr>
          <w:lang w:val="en-IE" w:eastAsia="en-IE"/>
        </w:rPr>
        <w:t xml:space="preserve"> </w:t>
      </w:r>
      <w:r w:rsidR="00606F5C" w:rsidRPr="00956D28">
        <w:rPr>
          <w:lang w:val="en-IE" w:eastAsia="en-IE"/>
        </w:rPr>
        <w:t xml:space="preserve">the Commission </w:t>
      </w:r>
      <w:r w:rsidR="006D2CBF" w:rsidRPr="00956D28">
        <w:rPr>
          <w:noProof/>
          <w:lang w:val="en-IE" w:eastAsia="en-IE"/>
        </w:rPr>
        <w:t>presented</w:t>
      </w:r>
      <w:r w:rsidR="00606F5C" w:rsidRPr="00956D28">
        <w:rPr>
          <w:lang w:val="en-IE" w:eastAsia="en-IE"/>
        </w:rPr>
        <w:t xml:space="preserve"> </w:t>
      </w:r>
      <w:r w:rsidR="000B08CA" w:rsidRPr="00956D28">
        <w:rPr>
          <w:lang w:val="en-IE" w:eastAsia="en-IE"/>
        </w:rPr>
        <w:t xml:space="preserve">the </w:t>
      </w:r>
      <w:hyperlink r:id="rId59" w:history="1">
        <w:r w:rsidR="000B08CA" w:rsidRPr="00956D28">
          <w:rPr>
            <w:rStyle w:val="Hyperlink"/>
            <w:lang w:val="en-IE" w:eastAsia="en-IE"/>
          </w:rPr>
          <w:t>Competitiveness Compass</w:t>
        </w:r>
      </w:hyperlink>
      <w:r w:rsidR="0050691A">
        <w:t xml:space="preserve">, setting out </w:t>
      </w:r>
      <w:r w:rsidR="00AE404F">
        <w:rPr>
          <w:noProof/>
          <w:lang w:val="en-IE" w:eastAsia="en-IE"/>
        </w:rPr>
        <w:t>actions aimed at closing the innovation gap, decarbonising the EU’s economy</w:t>
      </w:r>
      <w:r w:rsidR="00FB085A">
        <w:rPr>
          <w:noProof/>
          <w:lang w:val="en-IE" w:eastAsia="en-IE"/>
        </w:rPr>
        <w:t>,</w:t>
      </w:r>
      <w:r w:rsidR="00AE404F">
        <w:rPr>
          <w:noProof/>
          <w:lang w:val="en-IE" w:eastAsia="en-IE"/>
        </w:rPr>
        <w:t xml:space="preserve"> reducing dependencies</w:t>
      </w:r>
      <w:r w:rsidR="00FB085A">
        <w:rPr>
          <w:noProof/>
          <w:lang w:val="en-IE" w:eastAsia="en-IE"/>
        </w:rPr>
        <w:t>, cutting red tape, removing barriers to the single market, enabling more efficient financing</w:t>
      </w:r>
      <w:r w:rsidR="007D7C91">
        <w:rPr>
          <w:noProof/>
          <w:lang w:val="en-IE" w:eastAsia="en-IE"/>
        </w:rPr>
        <w:t xml:space="preserve"> and</w:t>
      </w:r>
      <w:r w:rsidR="00FB085A">
        <w:rPr>
          <w:noProof/>
          <w:lang w:val="en-IE" w:eastAsia="en-IE"/>
        </w:rPr>
        <w:t xml:space="preserve"> </w:t>
      </w:r>
      <w:r w:rsidR="000504C0">
        <w:rPr>
          <w:noProof/>
          <w:lang w:val="en-IE" w:eastAsia="en-IE"/>
        </w:rPr>
        <w:t>mobilising</w:t>
      </w:r>
      <w:r w:rsidR="007D7C91">
        <w:rPr>
          <w:noProof/>
          <w:lang w:val="en-IE" w:eastAsia="en-IE"/>
        </w:rPr>
        <w:t xml:space="preserve"> private capital,</w:t>
      </w:r>
      <w:r w:rsidR="000504C0">
        <w:rPr>
          <w:noProof/>
          <w:lang w:val="en-IE" w:eastAsia="en-IE"/>
        </w:rPr>
        <w:t xml:space="preserve"> </w:t>
      </w:r>
      <w:r w:rsidR="00FB085A">
        <w:rPr>
          <w:noProof/>
          <w:lang w:val="en-IE" w:eastAsia="en-IE"/>
        </w:rPr>
        <w:t>promoting skills and quality jobs and ensuring better coordination.</w:t>
      </w:r>
      <w:r w:rsidR="00ED27DA">
        <w:rPr>
          <w:noProof/>
          <w:lang w:val="en-IE" w:eastAsia="en-IE"/>
        </w:rPr>
        <w:t xml:space="preserve"> In 2025, the </w:t>
      </w:r>
      <w:r w:rsidR="00074465">
        <w:rPr>
          <w:lang w:val="en-IE" w:eastAsia="en-IE"/>
        </w:rPr>
        <w:t xml:space="preserve">EU budget </w:t>
      </w:r>
      <w:r w:rsidR="003A364B">
        <w:rPr>
          <w:noProof/>
          <w:lang w:val="en-IE" w:eastAsia="en-IE"/>
        </w:rPr>
        <w:t>contributed to the achievement of these objectives</w:t>
      </w:r>
      <w:r w:rsidR="00C5168A">
        <w:rPr>
          <w:noProof/>
          <w:lang w:val="en-IE" w:eastAsia="en-IE"/>
        </w:rPr>
        <w:t xml:space="preserve"> through various means.</w:t>
      </w:r>
    </w:p>
    <w:p w14:paraId="17A0E99C" w14:textId="77777777" w:rsidR="003C4920" w:rsidRDefault="003C4920" w:rsidP="003C4920">
      <w:pPr>
        <w:pStyle w:val="amprboxBLUEBoxTitle"/>
      </w:pPr>
      <w:r>
        <w:t>Making business easier and faster through simplification</w:t>
      </w:r>
    </w:p>
    <w:p w14:paraId="132EC763" w14:textId="16729226" w:rsidR="003C4920" w:rsidRDefault="00656EDA" w:rsidP="003C4920">
      <w:pPr>
        <w:pStyle w:val="amprboxBLUEtext"/>
        <w:rPr>
          <w:lang w:eastAsia="en-IE"/>
        </w:rPr>
      </w:pPr>
      <w:r>
        <w:rPr>
          <w:bCs/>
        </w:rPr>
        <w:t>Complementing the use of the EU budget</w:t>
      </w:r>
      <w:r w:rsidR="00AC3E63">
        <w:rPr>
          <w:bCs/>
        </w:rPr>
        <w:t>,</w:t>
      </w:r>
      <w:r>
        <w:rPr>
          <w:bCs/>
        </w:rPr>
        <w:t xml:space="preserve"> in</w:t>
      </w:r>
      <w:r w:rsidR="003C4920" w:rsidRPr="007C01FA">
        <w:rPr>
          <w:bCs/>
        </w:rPr>
        <w:t xml:space="preserve"> 2025 the EU put forward initiatives to </w:t>
      </w:r>
      <w:r>
        <w:rPr>
          <w:bCs/>
        </w:rPr>
        <w:t xml:space="preserve">boost competitiveness by </w:t>
      </w:r>
      <w:r w:rsidR="0067339B">
        <w:rPr>
          <w:bCs/>
        </w:rPr>
        <w:t>cutting</w:t>
      </w:r>
      <w:r w:rsidR="003C4920" w:rsidRPr="007C01FA">
        <w:rPr>
          <w:bCs/>
        </w:rPr>
        <w:t xml:space="preserve"> red tape, modernis</w:t>
      </w:r>
      <w:r w:rsidR="0067339B">
        <w:rPr>
          <w:bCs/>
        </w:rPr>
        <w:t>ing</w:t>
      </w:r>
      <w:r w:rsidR="003C4920" w:rsidRPr="007C01FA">
        <w:rPr>
          <w:bCs/>
        </w:rPr>
        <w:t xml:space="preserve"> taxation and support</w:t>
      </w:r>
      <w:r w:rsidR="0067339B">
        <w:rPr>
          <w:bCs/>
        </w:rPr>
        <w:t>ing</w:t>
      </w:r>
      <w:r w:rsidR="003C4920" w:rsidRPr="007C01FA">
        <w:rPr>
          <w:bCs/>
        </w:rPr>
        <w:t xml:space="preserve"> fair competition, </w:t>
      </w:r>
      <w:r w:rsidR="0067339B">
        <w:rPr>
          <w:bCs/>
        </w:rPr>
        <w:t xml:space="preserve">aiming to </w:t>
      </w:r>
      <w:r w:rsidR="003C4920" w:rsidRPr="007C01FA">
        <w:rPr>
          <w:bCs/>
        </w:rPr>
        <w:t xml:space="preserve">help businesses, especially small and medium-sized enterprises, thrive across borders. The targets are clear: lower administrative burden by at least 25% for all businesses and at least 35% for </w:t>
      </w:r>
      <w:r w:rsidR="00F91FE5" w:rsidRPr="007C01FA">
        <w:rPr>
          <w:bCs/>
        </w:rPr>
        <w:t>small and medium-sized enterprises</w:t>
      </w:r>
      <w:r w:rsidR="00AE46A0">
        <w:rPr>
          <w:rFonts w:ascii="Calibri" w:hAnsi="Calibri" w:cs="Calibri"/>
          <w:bCs/>
        </w:rPr>
        <w:t> </w:t>
      </w:r>
      <w:r w:rsidR="003C4920" w:rsidRPr="007C01FA">
        <w:rPr>
          <w:bCs/>
        </w:rPr>
        <w:t xml:space="preserve">– cutting recurring administrative costs by </w:t>
      </w:r>
      <w:r w:rsidR="003C4920" w:rsidRPr="007C01FA">
        <w:t>EUR</w:t>
      </w:r>
      <w:r w:rsidR="00AE46A0">
        <w:rPr>
          <w:rFonts w:ascii="Calibri" w:hAnsi="Calibri" w:cs="Calibri"/>
        </w:rPr>
        <w:t> </w:t>
      </w:r>
      <w:r w:rsidR="003C4920" w:rsidRPr="007C01FA">
        <w:t>37.5</w:t>
      </w:r>
      <w:r w:rsidR="00AE46A0">
        <w:rPr>
          <w:rFonts w:ascii="Calibri" w:hAnsi="Calibri" w:cs="Calibri"/>
        </w:rPr>
        <w:t> </w:t>
      </w:r>
      <w:r w:rsidR="003C4920" w:rsidRPr="007C01FA">
        <w:t>billion by 2029</w:t>
      </w:r>
      <w:r w:rsidR="003C4920">
        <w:t>.</w:t>
      </w:r>
    </w:p>
    <w:p w14:paraId="0F9F0806" w14:textId="462B137F" w:rsidR="00D4309C" w:rsidRDefault="00D4309C" w:rsidP="00D4309C">
      <w:pPr>
        <w:rPr>
          <w:lang w:eastAsia="en-IE"/>
        </w:rPr>
      </w:pPr>
      <w:r w:rsidRPr="00044241">
        <w:rPr>
          <w:rStyle w:val="Bold"/>
        </w:rPr>
        <w:t xml:space="preserve">Horizon Europe </w:t>
      </w:r>
      <w:r>
        <w:rPr>
          <w:rStyle w:val="Bold"/>
        </w:rPr>
        <w:t>is</w:t>
      </w:r>
      <w:r w:rsidRPr="00044241">
        <w:rPr>
          <w:rStyle w:val="Bold"/>
        </w:rPr>
        <w:t xml:space="preserve"> the EU’s flagship research and innovation programme, contributing to the </w:t>
      </w:r>
      <w:r w:rsidR="00A93358">
        <w:rPr>
          <w:rStyle w:val="Bold"/>
        </w:rPr>
        <w:t>E</w:t>
      </w:r>
      <w:r w:rsidRPr="00044241">
        <w:rPr>
          <w:rStyle w:val="Bold"/>
        </w:rPr>
        <w:t>U’s efforts to boost its competitiveness.</w:t>
      </w:r>
      <w:r>
        <w:rPr>
          <w:lang w:eastAsia="fr-BE"/>
        </w:rPr>
        <w:t xml:space="preserve"> By the end of 2025, Horizon Europe projects produced over 10</w:t>
      </w:r>
      <w:r>
        <w:rPr>
          <w:rFonts w:ascii="Calibri" w:hAnsi="Calibri" w:cs="Calibri"/>
          <w:lang w:eastAsia="fr-BE"/>
        </w:rPr>
        <w:t> </w:t>
      </w:r>
      <w:r>
        <w:rPr>
          <w:lang w:eastAsia="fr-BE"/>
        </w:rPr>
        <w:t>000 innovative products, processes</w:t>
      </w:r>
      <w:r w:rsidR="00D9576A">
        <w:rPr>
          <w:lang w:eastAsia="fr-BE"/>
        </w:rPr>
        <w:t>,</w:t>
      </w:r>
      <w:r>
        <w:rPr>
          <w:lang w:eastAsia="fr-BE"/>
        </w:rPr>
        <w:t xml:space="preserve"> methods and intellectual property rights applications; contributed to industry, innovation and infrastructure with over </w:t>
      </w:r>
      <w:r>
        <w:rPr>
          <w:lang w:val="en-IE" w:eastAsia="fr-BE"/>
        </w:rPr>
        <w:t>EUR</w:t>
      </w:r>
      <w:r w:rsidR="00933AD2">
        <w:rPr>
          <w:rFonts w:ascii="Calibri" w:hAnsi="Calibri" w:cs="Calibri"/>
          <w:lang w:val="en-IE" w:eastAsia="fr-BE"/>
        </w:rPr>
        <w:t> </w:t>
      </w:r>
      <w:r>
        <w:rPr>
          <w:lang w:val="en-IE" w:eastAsia="fr-BE"/>
        </w:rPr>
        <w:t>20</w:t>
      </w:r>
      <w:r w:rsidR="00933AD2">
        <w:rPr>
          <w:rFonts w:ascii="Calibri" w:hAnsi="Calibri" w:cs="Calibri"/>
          <w:lang w:val="en-IE" w:eastAsia="fr-BE"/>
        </w:rPr>
        <w:t> </w:t>
      </w:r>
      <w:r>
        <w:rPr>
          <w:lang w:val="en-IE" w:eastAsia="fr-BE"/>
        </w:rPr>
        <w:t>billion; and contributed with EUR</w:t>
      </w:r>
      <w:r w:rsidR="00933AD2">
        <w:rPr>
          <w:rFonts w:ascii="Calibri" w:hAnsi="Calibri" w:cs="Calibri"/>
          <w:lang w:val="en-IE" w:eastAsia="fr-BE"/>
        </w:rPr>
        <w:t> </w:t>
      </w:r>
      <w:r>
        <w:rPr>
          <w:lang w:val="en-IE" w:eastAsia="fr-BE"/>
        </w:rPr>
        <w:t>1</w:t>
      </w:r>
      <w:r w:rsidR="006B2322">
        <w:rPr>
          <w:lang w:val="en-IE" w:eastAsia="fr-BE"/>
        </w:rPr>
        <w:t>2.8</w:t>
      </w:r>
      <w:r w:rsidR="00933AD2">
        <w:rPr>
          <w:rFonts w:ascii="Calibri" w:hAnsi="Calibri" w:cs="Calibri"/>
          <w:lang w:val="en-IE" w:eastAsia="fr-BE"/>
        </w:rPr>
        <w:t> </w:t>
      </w:r>
      <w:r>
        <w:rPr>
          <w:lang w:val="en-IE" w:eastAsia="fr-BE"/>
        </w:rPr>
        <w:t>billion to digital activities, of which EUR</w:t>
      </w:r>
      <w:r>
        <w:rPr>
          <w:rFonts w:ascii="Calibri" w:hAnsi="Calibri" w:cs="Calibri"/>
          <w:lang w:val="en-IE" w:eastAsia="fr-BE"/>
        </w:rPr>
        <w:t> </w:t>
      </w:r>
      <w:r>
        <w:rPr>
          <w:lang w:val="en-IE" w:eastAsia="fr-BE"/>
        </w:rPr>
        <w:t>2</w:t>
      </w:r>
      <w:r w:rsidR="000975F5">
        <w:rPr>
          <w:lang w:val="en-IE" w:eastAsia="fr-BE"/>
        </w:rPr>
        <w:t>.5</w:t>
      </w:r>
      <w:r w:rsidR="00933AD2">
        <w:rPr>
          <w:rFonts w:ascii="Calibri" w:hAnsi="Calibri" w:cs="Calibri"/>
          <w:lang w:val="en-IE" w:eastAsia="fr-BE"/>
        </w:rPr>
        <w:t> </w:t>
      </w:r>
      <w:r>
        <w:rPr>
          <w:lang w:val="en-IE" w:eastAsia="fr-BE"/>
        </w:rPr>
        <w:t>billion in 2025 alone. Examples of projects financed under Horizon Europe include research into the safe recycling of hazardous plastics a</w:t>
      </w:r>
      <w:r w:rsidR="00116AD5">
        <w:rPr>
          <w:lang w:val="en-IE" w:eastAsia="fr-BE"/>
        </w:rPr>
        <w:t xml:space="preserve">nd </w:t>
      </w:r>
      <w:r>
        <w:rPr>
          <w:lang w:val="en-IE" w:eastAsia="fr-BE"/>
        </w:rPr>
        <w:t>into improved space weather forecasting (useful for satellites). Moreover, to facilitate the deployment of clean technologies, clean mobility and waste reduction, i</w:t>
      </w:r>
      <w:r>
        <w:rPr>
          <w:lang w:eastAsia="en-IE"/>
        </w:rPr>
        <w:t>n 2025 the Commission allocated EUR</w:t>
      </w:r>
      <w:r>
        <w:rPr>
          <w:rFonts w:ascii="Calibri" w:hAnsi="Calibri" w:cs="Calibri"/>
          <w:lang w:eastAsia="en-IE"/>
        </w:rPr>
        <w:t> </w:t>
      </w:r>
      <w:r>
        <w:rPr>
          <w:lang w:eastAsia="en-IE"/>
        </w:rPr>
        <w:t>540</w:t>
      </w:r>
      <w:r w:rsidR="00C8497A">
        <w:rPr>
          <w:rFonts w:ascii="Calibri" w:hAnsi="Calibri" w:cs="Calibri"/>
          <w:lang w:eastAsia="en-IE"/>
        </w:rPr>
        <w:t> </w:t>
      </w:r>
      <w:r>
        <w:rPr>
          <w:lang w:eastAsia="en-IE"/>
        </w:rPr>
        <w:t xml:space="preserve">million under </w:t>
      </w:r>
      <w:r w:rsidRPr="003B21F1">
        <w:rPr>
          <w:lang w:eastAsia="en-IE"/>
        </w:rPr>
        <w:t xml:space="preserve">Horizon Europe </w:t>
      </w:r>
      <w:r>
        <w:rPr>
          <w:lang w:eastAsia="en-IE"/>
        </w:rPr>
        <w:t>to dedicated Clean Industrial Deal calls</w:t>
      </w:r>
      <w:r w:rsidRPr="00D865DB">
        <w:rPr>
          <w:rFonts w:cs="Calibri"/>
          <w:lang w:eastAsia="en-IE"/>
        </w:rPr>
        <w:t> </w:t>
      </w:r>
      <w:r w:rsidRPr="00CB06E5">
        <w:rPr>
          <w:lang w:eastAsia="en-IE"/>
        </w:rPr>
        <w:t>(</w:t>
      </w:r>
      <w:r>
        <w:rPr>
          <w:rStyle w:val="FootnoteReference"/>
          <w:lang w:eastAsia="en-IE"/>
        </w:rPr>
        <w:footnoteReference w:id="12"/>
      </w:r>
      <w:r>
        <w:rPr>
          <w:lang w:eastAsia="en-IE"/>
        </w:rPr>
        <w:t xml:space="preserve">) </w:t>
      </w:r>
      <w:r w:rsidRPr="003B21F1">
        <w:rPr>
          <w:lang w:eastAsia="en-IE"/>
        </w:rPr>
        <w:t>and</w:t>
      </w:r>
      <w:r w:rsidRPr="003B21F1" w:rsidDel="006B33AD">
        <w:rPr>
          <w:lang w:eastAsia="en-IE"/>
        </w:rPr>
        <w:t xml:space="preserve"> </w:t>
      </w:r>
      <w:r>
        <w:rPr>
          <w:lang w:eastAsia="en-IE"/>
        </w:rPr>
        <w:t>increased the size of the InvestEU guarantee by EUR</w:t>
      </w:r>
      <w:r>
        <w:rPr>
          <w:rFonts w:ascii="Calibri" w:hAnsi="Calibri" w:cs="Calibri"/>
          <w:lang w:eastAsia="en-IE"/>
        </w:rPr>
        <w:t> </w:t>
      </w:r>
      <w:r>
        <w:rPr>
          <w:lang w:eastAsia="en-IE"/>
        </w:rPr>
        <w:t>2.9</w:t>
      </w:r>
      <w:r w:rsidR="00E53794">
        <w:rPr>
          <w:rFonts w:ascii="Calibri" w:hAnsi="Calibri" w:cs="Calibri"/>
          <w:lang w:eastAsia="en-IE"/>
        </w:rPr>
        <w:t> </w:t>
      </w:r>
      <w:r>
        <w:rPr>
          <w:lang w:eastAsia="en-IE"/>
        </w:rPr>
        <w:t>billion</w:t>
      </w:r>
      <w:r w:rsidRPr="00D865DB">
        <w:rPr>
          <w:rFonts w:cs="Calibri"/>
          <w:lang w:eastAsia="en-IE"/>
        </w:rPr>
        <w:t> </w:t>
      </w:r>
      <w:r w:rsidRPr="004D74ED">
        <w:rPr>
          <w:lang w:eastAsia="en-IE"/>
        </w:rPr>
        <w:t>(</w:t>
      </w:r>
      <w:r>
        <w:rPr>
          <w:rStyle w:val="FootnoteReference"/>
          <w:lang w:eastAsia="en-IE"/>
        </w:rPr>
        <w:footnoteReference w:id="13"/>
      </w:r>
      <w:r>
        <w:rPr>
          <w:lang w:eastAsia="en-IE"/>
        </w:rPr>
        <w:t>).</w:t>
      </w:r>
      <w:r w:rsidR="00097880">
        <w:rPr>
          <w:lang w:eastAsia="en-IE"/>
        </w:rPr>
        <w:t xml:space="preserve"> Funding of over</w:t>
      </w:r>
      <w:r w:rsidR="00097880" w:rsidRPr="005635B4">
        <w:rPr>
          <w:lang w:eastAsia="en-IE"/>
        </w:rPr>
        <w:t xml:space="preserve"> EUR</w:t>
      </w:r>
      <w:r w:rsidR="00015344">
        <w:rPr>
          <w:rFonts w:ascii="Calibri" w:hAnsi="Calibri" w:cs="Calibri"/>
          <w:lang w:eastAsia="en-IE"/>
        </w:rPr>
        <w:t> </w:t>
      </w:r>
      <w:r w:rsidR="00097880" w:rsidRPr="005635B4">
        <w:rPr>
          <w:lang w:eastAsia="en-IE"/>
        </w:rPr>
        <w:t>1.25</w:t>
      </w:r>
      <w:r w:rsidR="00015344">
        <w:rPr>
          <w:rFonts w:ascii="Calibri" w:hAnsi="Calibri" w:cs="Calibri"/>
          <w:lang w:eastAsia="en-IE"/>
        </w:rPr>
        <w:t> </w:t>
      </w:r>
      <w:r w:rsidR="00097880" w:rsidRPr="005635B4">
        <w:rPr>
          <w:lang w:eastAsia="en-IE"/>
        </w:rPr>
        <w:t xml:space="preserve">billion </w:t>
      </w:r>
      <w:r w:rsidR="00097880">
        <w:rPr>
          <w:lang w:eastAsia="en-IE"/>
        </w:rPr>
        <w:t xml:space="preserve">was announced </w:t>
      </w:r>
      <w:r w:rsidR="00097880" w:rsidRPr="005635B4">
        <w:rPr>
          <w:lang w:eastAsia="en-IE"/>
        </w:rPr>
        <w:t>in 2025</w:t>
      </w:r>
      <w:r w:rsidR="00097880">
        <w:rPr>
          <w:lang w:eastAsia="en-IE"/>
        </w:rPr>
        <w:t xml:space="preserve"> for </w:t>
      </w:r>
      <w:r w:rsidR="00097880" w:rsidRPr="00F656DB">
        <w:rPr>
          <w:lang w:eastAsia="en-IE"/>
        </w:rPr>
        <w:t xml:space="preserve">the Marie Skłodowska-Curie </w:t>
      </w:r>
      <w:r w:rsidR="003273F6">
        <w:rPr>
          <w:lang w:eastAsia="en-IE"/>
        </w:rPr>
        <w:t>a</w:t>
      </w:r>
      <w:r w:rsidR="00097880" w:rsidRPr="00F656DB">
        <w:rPr>
          <w:lang w:eastAsia="en-IE"/>
        </w:rPr>
        <w:t>ctions to support the career and skills development of researchers</w:t>
      </w:r>
      <w:r w:rsidR="00097880">
        <w:rPr>
          <w:lang w:eastAsia="en-IE"/>
        </w:rPr>
        <w:t>.</w:t>
      </w:r>
    </w:p>
    <w:p w14:paraId="630397AF" w14:textId="34874090" w:rsidR="00D4309C" w:rsidRDefault="00D4309C" w:rsidP="00D4309C">
      <w:pPr>
        <w:rPr>
          <w:lang w:val="en-IE" w:eastAsia="fr-BE"/>
        </w:rPr>
      </w:pPr>
      <w:r w:rsidRPr="00F11A93">
        <w:rPr>
          <w:rStyle w:val="Bold"/>
        </w:rPr>
        <w:t xml:space="preserve">Horizon Europe </w:t>
      </w:r>
      <w:r w:rsidR="006C1819">
        <w:rPr>
          <w:rStyle w:val="Bold"/>
        </w:rPr>
        <w:t xml:space="preserve">also </w:t>
      </w:r>
      <w:r w:rsidRPr="00F11A93">
        <w:rPr>
          <w:rStyle w:val="Bold"/>
        </w:rPr>
        <w:t>fund</w:t>
      </w:r>
      <w:r w:rsidR="006C1819">
        <w:rPr>
          <w:rStyle w:val="Bold"/>
        </w:rPr>
        <w:t>s</w:t>
      </w:r>
      <w:r w:rsidRPr="00F11A93">
        <w:rPr>
          <w:rStyle w:val="Bold"/>
        </w:rPr>
        <w:t xml:space="preserve"> European Innovation Council Fund, a venture capital instrument to help bridge the funding gap for breakthrough technologies in Europe</w:t>
      </w:r>
      <w:r w:rsidRPr="00FD3BD8">
        <w:rPr>
          <w:rStyle w:val="Bold"/>
        </w:rPr>
        <w:t>.</w:t>
      </w:r>
      <w:r>
        <w:t xml:space="preserve"> </w:t>
      </w:r>
      <w:r w:rsidR="00E93F07">
        <w:t>B</w:t>
      </w:r>
      <w:r w:rsidR="00E93F07" w:rsidRPr="00960978" w:rsidDel="003C4AC4">
        <w:t>y</w:t>
      </w:r>
      <w:r w:rsidR="00E93F07" w:rsidRPr="00960978">
        <w:t xml:space="preserve"> </w:t>
      </w:r>
      <w:r w:rsidR="003B3E63">
        <w:t>the end of</w:t>
      </w:r>
      <w:r w:rsidR="00E93F07" w:rsidRPr="00960978" w:rsidDel="003B3E63">
        <w:t xml:space="preserve"> </w:t>
      </w:r>
      <w:r w:rsidR="00E93F07" w:rsidRPr="00960978">
        <w:t>2025</w:t>
      </w:r>
      <w:r>
        <w:t>,</w:t>
      </w:r>
      <w:r w:rsidR="00D367D1">
        <w:t xml:space="preserve"> the fund</w:t>
      </w:r>
      <w:r w:rsidRPr="00960978">
        <w:t xml:space="preserve"> had invested over</w:t>
      </w:r>
      <w:r w:rsidRPr="00960978">
        <w:rPr>
          <w:rFonts w:ascii="Arial" w:hAnsi="Arial" w:cs="Arial"/>
        </w:rPr>
        <w:t> </w:t>
      </w:r>
      <w:r w:rsidRPr="00960978">
        <w:t>EUR</w:t>
      </w:r>
      <w:r w:rsidRPr="00960978">
        <w:rPr>
          <w:rFonts w:ascii="Calibri" w:hAnsi="Calibri" w:cs="Calibri"/>
        </w:rPr>
        <w:t> </w:t>
      </w:r>
      <w:r w:rsidRPr="00960978">
        <w:t>1</w:t>
      </w:r>
      <w:r w:rsidR="00184A15">
        <w:rPr>
          <w:rFonts w:ascii="Calibri" w:hAnsi="Calibri" w:cs="Calibri"/>
        </w:rPr>
        <w:t> </w:t>
      </w:r>
      <w:r w:rsidRPr="00960978">
        <w:t>billion</w:t>
      </w:r>
      <w:r w:rsidRPr="00960978">
        <w:rPr>
          <w:rFonts w:ascii="Arial" w:hAnsi="Arial" w:cs="Arial"/>
        </w:rPr>
        <w:t> </w:t>
      </w:r>
      <w:r w:rsidRPr="00960978">
        <w:t>across 2</w:t>
      </w:r>
      <w:r w:rsidR="00A94EC7">
        <w:t>14</w:t>
      </w:r>
      <w:r w:rsidRPr="00960978">
        <w:t xml:space="preserve"> companies and projects</w:t>
      </w:r>
      <w:r>
        <w:t>. This has amounted to the</w:t>
      </w:r>
      <w:r w:rsidRPr="00960978">
        <w:t xml:space="preserve"> </w:t>
      </w:r>
      <w:r>
        <w:t>mobilisation of</w:t>
      </w:r>
      <w:r w:rsidRPr="00960978">
        <w:t xml:space="preserve"> approximately</w:t>
      </w:r>
      <w:r w:rsidRPr="00960978">
        <w:rPr>
          <w:rFonts w:ascii="Arial" w:hAnsi="Arial" w:cs="Arial"/>
        </w:rPr>
        <w:t> </w:t>
      </w:r>
      <w:r w:rsidRPr="00960978">
        <w:t>EUR</w:t>
      </w:r>
      <w:r w:rsidRPr="00960978">
        <w:rPr>
          <w:rFonts w:ascii="Calibri" w:hAnsi="Calibri" w:cs="Calibri"/>
        </w:rPr>
        <w:t> </w:t>
      </w:r>
      <w:r w:rsidR="00C01E0D">
        <w:t>3</w:t>
      </w:r>
      <w:r w:rsidR="00184A15">
        <w:rPr>
          <w:rFonts w:ascii="Calibri" w:hAnsi="Calibri" w:cs="Calibri"/>
        </w:rPr>
        <w:t> </w:t>
      </w:r>
      <w:r w:rsidRPr="00960978">
        <w:t>billion</w:t>
      </w:r>
      <w:r w:rsidRPr="00960978">
        <w:rPr>
          <w:rFonts w:ascii="Arial" w:hAnsi="Arial" w:cs="Arial"/>
        </w:rPr>
        <w:t> </w:t>
      </w:r>
      <w:r w:rsidRPr="00960978">
        <w:t xml:space="preserve">in additional private </w:t>
      </w:r>
      <w:r w:rsidR="00074465" w:rsidRPr="00E32AAC">
        <w:rPr>
          <w:noProof/>
        </w:rPr>
        <w:t>investment</w:t>
      </w:r>
      <w:r>
        <w:t>,</w:t>
      </w:r>
      <w:r w:rsidRPr="00960978">
        <w:t xml:space="preserve"> with a leverage ratio of over</w:t>
      </w:r>
      <w:r>
        <w:rPr>
          <w:rFonts w:ascii="Calibri" w:hAnsi="Calibri" w:cs="Calibri"/>
        </w:rPr>
        <w:t xml:space="preserve"> </w:t>
      </w:r>
      <w:r w:rsidRPr="00960978">
        <w:t>3</w:t>
      </w:r>
      <w:r w:rsidR="009F57FD">
        <w:t>.5</w:t>
      </w:r>
      <w:r w:rsidRPr="00960978">
        <w:t xml:space="preserve"> private </w:t>
      </w:r>
      <w:r>
        <w:t xml:space="preserve">euro </w:t>
      </w:r>
      <w:r w:rsidRPr="00960978">
        <w:t>per each public euro. The newly launched</w:t>
      </w:r>
      <w:r w:rsidRPr="00960978">
        <w:rPr>
          <w:rFonts w:ascii="Arial" w:hAnsi="Arial" w:cs="Arial"/>
        </w:rPr>
        <w:t> </w:t>
      </w:r>
      <w:r w:rsidRPr="00960978">
        <w:t>EIC strategic technologies for Europe platform Scale-Up scheme</w:t>
      </w:r>
      <w:r w:rsidRPr="00960978">
        <w:rPr>
          <w:rFonts w:ascii="Arial" w:hAnsi="Arial" w:cs="Arial"/>
        </w:rPr>
        <w:t> </w:t>
      </w:r>
      <w:r w:rsidRPr="00960978">
        <w:t>provided</w:t>
      </w:r>
      <w:r w:rsidRPr="00960978">
        <w:rPr>
          <w:rFonts w:ascii="Arial" w:hAnsi="Arial" w:cs="Arial"/>
        </w:rPr>
        <w:t> </w:t>
      </w:r>
      <w:r w:rsidRPr="00960978">
        <w:t>EUR</w:t>
      </w:r>
      <w:r w:rsidRPr="00960978">
        <w:rPr>
          <w:rFonts w:ascii="Calibri" w:hAnsi="Calibri" w:cs="Calibri"/>
        </w:rPr>
        <w:t> </w:t>
      </w:r>
      <w:r w:rsidRPr="00960978">
        <w:t>300</w:t>
      </w:r>
      <w:r w:rsidR="00B4296B">
        <w:rPr>
          <w:rFonts w:ascii="Calibri" w:hAnsi="Calibri" w:cs="Calibri"/>
        </w:rPr>
        <w:t> </w:t>
      </w:r>
      <w:r w:rsidRPr="00960978">
        <w:t>million</w:t>
      </w:r>
      <w:r w:rsidRPr="00960978">
        <w:rPr>
          <w:rFonts w:ascii="Arial" w:hAnsi="Arial" w:cs="Arial"/>
        </w:rPr>
        <w:t> </w:t>
      </w:r>
      <w:r w:rsidRPr="00960978">
        <w:t>in 2025.</w:t>
      </w:r>
      <w:r>
        <w:rPr>
          <w:lang w:val="en-IE" w:eastAsia="fr-BE"/>
        </w:rPr>
        <w:t xml:space="preserve"> </w:t>
      </w:r>
      <w:r w:rsidR="009D0FDB">
        <w:rPr>
          <w:lang w:val="en-IE" w:eastAsia="fr-BE"/>
        </w:rPr>
        <w:t xml:space="preserve">By </w:t>
      </w:r>
      <w:r w:rsidR="006335F1">
        <w:rPr>
          <w:lang w:val="en-IE" w:eastAsia="fr-BE"/>
        </w:rPr>
        <w:t>t</w:t>
      </w:r>
      <w:r w:rsidR="00A72F3C">
        <w:rPr>
          <w:lang w:val="en-IE" w:eastAsia="fr-BE"/>
        </w:rPr>
        <w:t xml:space="preserve">he end of </w:t>
      </w:r>
      <w:r w:rsidR="009D0FDB">
        <w:rPr>
          <w:lang w:val="en-IE" w:eastAsia="fr-BE"/>
        </w:rPr>
        <w:t>2025, t</w:t>
      </w:r>
      <w:r>
        <w:rPr>
          <w:lang w:val="en-IE" w:eastAsia="fr-BE"/>
        </w:rPr>
        <w:t xml:space="preserve">he EIC Accelerator funding stream invested </w:t>
      </w:r>
      <w:r w:rsidR="000F64E3">
        <w:rPr>
          <w:lang w:val="en-IE" w:eastAsia="fr-BE"/>
        </w:rPr>
        <w:t xml:space="preserve">approximately </w:t>
      </w:r>
      <w:r>
        <w:rPr>
          <w:lang w:val="en-IE" w:eastAsia="fr-BE"/>
        </w:rPr>
        <w:t>EUR</w:t>
      </w:r>
      <w:r>
        <w:rPr>
          <w:rFonts w:ascii="Calibri" w:hAnsi="Calibri" w:cs="Calibri"/>
          <w:lang w:val="en-IE" w:eastAsia="fr-BE"/>
        </w:rPr>
        <w:t> </w:t>
      </w:r>
      <w:r>
        <w:rPr>
          <w:lang w:val="en-IE" w:eastAsia="fr-BE"/>
        </w:rPr>
        <w:t>1</w:t>
      </w:r>
      <w:r w:rsidR="00B4296B">
        <w:rPr>
          <w:rFonts w:ascii="Calibri" w:hAnsi="Calibri" w:cs="Calibri"/>
        </w:rPr>
        <w:t> </w:t>
      </w:r>
      <w:r>
        <w:rPr>
          <w:lang w:val="en-IE" w:eastAsia="fr-BE"/>
        </w:rPr>
        <w:t xml:space="preserve">billion in </w:t>
      </w:r>
      <w:r w:rsidR="00AF5A21">
        <w:rPr>
          <w:lang w:val="en-IE" w:eastAsia="fr-BE"/>
        </w:rPr>
        <w:t>over 200 companies</w:t>
      </w:r>
      <w:r>
        <w:rPr>
          <w:lang w:val="en-IE" w:eastAsia="fr-BE"/>
        </w:rPr>
        <w:t xml:space="preserve">, including projects on quantum computing, neurostimulation therapies and </w:t>
      </w:r>
      <w:r w:rsidRPr="000E429C">
        <w:rPr>
          <w:lang w:val="en-IE" w:eastAsia="fr-BE"/>
        </w:rPr>
        <w:t>cost-effective and environmentally friendly solar electric water propulsion system</w:t>
      </w:r>
      <w:r w:rsidR="000C4877">
        <w:rPr>
          <w:lang w:val="en-IE" w:eastAsia="fr-BE"/>
        </w:rPr>
        <w:t>s</w:t>
      </w:r>
      <w:r w:rsidRPr="00090402">
        <w:rPr>
          <w:rFonts w:ascii="Calibri" w:hAnsi="Calibri" w:cs="Calibri"/>
          <w:lang w:val="en-IE" w:eastAsia="fr-BE"/>
        </w:rPr>
        <w:t> </w:t>
      </w:r>
      <w:r w:rsidRPr="000E429C">
        <w:rPr>
          <w:lang w:val="en-IE" w:eastAsia="fr-BE"/>
        </w:rPr>
        <w:t>(</w:t>
      </w:r>
      <w:r>
        <w:rPr>
          <w:rStyle w:val="FootnoteReference"/>
          <w:lang w:val="en-IE" w:eastAsia="fr-BE"/>
        </w:rPr>
        <w:footnoteReference w:id="14"/>
      </w:r>
      <w:r>
        <w:rPr>
          <w:lang w:val="en-IE" w:eastAsia="fr-BE"/>
        </w:rPr>
        <w:t>)</w:t>
      </w:r>
      <w:r w:rsidR="00B4296B">
        <w:rPr>
          <w:lang w:val="en-IE" w:eastAsia="fr-BE"/>
        </w:rPr>
        <w:t>.</w:t>
      </w:r>
    </w:p>
    <w:p w14:paraId="1BDEF5AF" w14:textId="77777777" w:rsidR="00D4309C" w:rsidRDefault="00D4309C" w:rsidP="00D4309C">
      <w:pPr>
        <w:pStyle w:val="amprboxBLUEBoxTitle"/>
      </w:pPr>
      <w:r>
        <w:t>Horizon Europe: looking ahead</w:t>
      </w:r>
    </w:p>
    <w:p w14:paraId="5383FDA2" w14:textId="085E3908" w:rsidR="00D4309C" w:rsidRDefault="00D4309C" w:rsidP="00D4309C">
      <w:pPr>
        <w:pStyle w:val="amprboxBLUEtext"/>
        <w:rPr>
          <w:lang w:val="en-IE"/>
        </w:rPr>
      </w:pPr>
      <w:r w:rsidRPr="00875233">
        <w:t>In 2025</w:t>
      </w:r>
      <w:r>
        <w:t>,</w:t>
      </w:r>
      <w:r w:rsidRPr="00875233">
        <w:t xml:space="preserve"> the Commission adopted the Horizon Europe work programme for the years 2026-2027, worth over EUR</w:t>
      </w:r>
      <w:r w:rsidRPr="00875233">
        <w:rPr>
          <w:rFonts w:ascii="Calibri" w:hAnsi="Calibri" w:cs="Calibri"/>
        </w:rPr>
        <w:t> </w:t>
      </w:r>
      <w:r w:rsidRPr="00875233">
        <w:t>14</w:t>
      </w:r>
      <w:r w:rsidR="00B4296B">
        <w:rPr>
          <w:rFonts w:ascii="Calibri" w:hAnsi="Calibri" w:cs="Calibri"/>
        </w:rPr>
        <w:t> </w:t>
      </w:r>
      <w:r w:rsidRPr="00875233">
        <w:t>billion, looking at fostering Europe’s sustainable prosperity and competitiveness. The work programme includes additional funding for the Choose Europe for Science initiative</w:t>
      </w:r>
      <w:r w:rsidR="00484C24">
        <w:t xml:space="preserve"> </w:t>
      </w:r>
      <w:r w:rsidR="00484C24" w:rsidRPr="004125B5">
        <w:t xml:space="preserve">launched under the Marie Skłodowska-Curie </w:t>
      </w:r>
      <w:r w:rsidR="00A30367">
        <w:t>a</w:t>
      </w:r>
      <w:r w:rsidR="00484C24" w:rsidRPr="004125B5">
        <w:t>ctions</w:t>
      </w:r>
      <w:r w:rsidRPr="00875233">
        <w:t>, on top of the EUR</w:t>
      </w:r>
      <w:r w:rsidRPr="00875233">
        <w:rPr>
          <w:rFonts w:ascii="Calibri" w:hAnsi="Calibri" w:cs="Calibri"/>
        </w:rPr>
        <w:t> </w:t>
      </w:r>
      <w:r w:rsidRPr="00875233">
        <w:t>500</w:t>
      </w:r>
      <w:r w:rsidR="00491491">
        <w:rPr>
          <w:rFonts w:ascii="Calibri" w:hAnsi="Calibri" w:cs="Calibri"/>
        </w:rPr>
        <w:t> </w:t>
      </w:r>
      <w:r w:rsidRPr="00875233">
        <w:t>million announced in May 2025</w:t>
      </w:r>
      <w:r w:rsidR="00C37A13">
        <w:t>,</w:t>
      </w:r>
      <w:r w:rsidR="00C37A13">
        <w:rPr>
          <w:noProof/>
        </w:rPr>
        <w:t xml:space="preserve"> increasing the overall figure for the initiative to nearly EUR</w:t>
      </w:r>
      <w:r w:rsidR="00C37A13" w:rsidRPr="00875233">
        <w:rPr>
          <w:rFonts w:ascii="Calibri" w:hAnsi="Calibri" w:cs="Calibri"/>
        </w:rPr>
        <w:t> </w:t>
      </w:r>
      <w:r w:rsidR="00C37A13">
        <w:rPr>
          <w:noProof/>
        </w:rPr>
        <w:t>900</w:t>
      </w:r>
      <w:r w:rsidR="00C37A13" w:rsidRPr="00875233">
        <w:rPr>
          <w:rFonts w:ascii="Calibri" w:hAnsi="Calibri" w:cs="Calibri"/>
        </w:rPr>
        <w:t> </w:t>
      </w:r>
      <w:r w:rsidR="00C37A13">
        <w:rPr>
          <w:noProof/>
        </w:rPr>
        <w:t>million in 2025-2027</w:t>
      </w:r>
      <w:r w:rsidRPr="00875233">
        <w:t>. This work programme allocates EUR</w:t>
      </w:r>
      <w:r w:rsidR="00491491">
        <w:rPr>
          <w:rFonts w:ascii="Calibri" w:hAnsi="Calibri" w:cs="Calibri"/>
        </w:rPr>
        <w:t> </w:t>
      </w:r>
      <w:r w:rsidRPr="00875233">
        <w:t>634</w:t>
      </w:r>
      <w:r w:rsidR="00491491">
        <w:rPr>
          <w:rFonts w:ascii="Calibri" w:hAnsi="Calibri" w:cs="Calibri"/>
        </w:rPr>
        <w:t> </w:t>
      </w:r>
      <w:r w:rsidRPr="00875233">
        <w:t>million to topics relat</w:t>
      </w:r>
      <w:r w:rsidR="004725D9">
        <w:t>ing</w:t>
      </w:r>
      <w:r w:rsidRPr="00875233">
        <w:t xml:space="preserve"> to critical raw materials, and also supports research on advanced materials and alternatives to rare earth</w:t>
      </w:r>
      <w:r w:rsidR="00A60719">
        <w:t xml:space="preserve"> elements</w:t>
      </w:r>
      <w:r w:rsidRPr="00875233">
        <w:t>; and over EUR</w:t>
      </w:r>
      <w:r w:rsidRPr="00875233">
        <w:rPr>
          <w:rFonts w:ascii="Calibri" w:hAnsi="Calibri" w:cs="Calibri"/>
        </w:rPr>
        <w:t> </w:t>
      </w:r>
      <w:r w:rsidRPr="00875233">
        <w:t>870</w:t>
      </w:r>
      <w:r w:rsidR="005E0B24">
        <w:rPr>
          <w:rFonts w:ascii="Calibri" w:hAnsi="Calibri" w:cs="Calibri"/>
        </w:rPr>
        <w:t> </w:t>
      </w:r>
      <w:r w:rsidRPr="00875233">
        <w:t>million to valorisation topics on market, societal and policy uptake of research results</w:t>
      </w:r>
      <w:r w:rsidRPr="00605DA0">
        <w:rPr>
          <w:rFonts w:ascii="Calibri" w:hAnsi="Calibri" w:cs="Calibri"/>
          <w:lang w:val="en-IE"/>
        </w:rPr>
        <w:t> </w:t>
      </w:r>
      <w:r w:rsidRPr="00605DA0">
        <w:rPr>
          <w:lang w:val="en-IE"/>
        </w:rPr>
        <w:t>(</w:t>
      </w:r>
      <w:r>
        <w:rPr>
          <w:rStyle w:val="FootnoteReference"/>
          <w:lang w:val="en-IE"/>
        </w:rPr>
        <w:footnoteReference w:id="15"/>
      </w:r>
      <w:r>
        <w:rPr>
          <w:lang w:val="en-IE"/>
        </w:rPr>
        <w:t>).</w:t>
      </w:r>
    </w:p>
    <w:p w14:paraId="0CBC5214" w14:textId="6158D42E" w:rsidR="00D4309C" w:rsidRDefault="00D4309C" w:rsidP="00D4309C">
      <w:pPr>
        <w:rPr>
          <w:rFonts w:asciiTheme="majorHAnsi" w:hAnsiTheme="majorHAnsi"/>
          <w:lang w:eastAsia="fr-BE"/>
        </w:rPr>
      </w:pPr>
      <w:r w:rsidRPr="001510F1">
        <w:rPr>
          <w:rStyle w:val="Bold"/>
        </w:rPr>
        <w:t>Through the Innovation Fund, the EU has been supporting highly innovative technologies, processes or products that have a significant potential to reduce greenhouse gas emissions, and projects aimed at scaling up innovative technologies.</w:t>
      </w:r>
      <w:r>
        <w:rPr>
          <w:rFonts w:asciiTheme="majorHAnsi" w:hAnsiTheme="majorHAnsi"/>
          <w:lang w:eastAsia="fr-BE"/>
        </w:rPr>
        <w:t xml:space="preserve"> B</w:t>
      </w:r>
      <w:r w:rsidRPr="00AB4557">
        <w:rPr>
          <w:rFonts w:asciiTheme="majorHAnsi" w:hAnsiTheme="majorHAnsi"/>
          <w:lang w:eastAsia="fr-BE"/>
        </w:rPr>
        <w:t>y the end of 2025</w:t>
      </w:r>
      <w:r>
        <w:rPr>
          <w:rFonts w:asciiTheme="majorHAnsi" w:hAnsiTheme="majorHAnsi"/>
          <w:lang w:eastAsia="fr-BE"/>
        </w:rPr>
        <w:t>,</w:t>
      </w:r>
      <w:r w:rsidRPr="00AB4557">
        <w:rPr>
          <w:rFonts w:asciiTheme="majorHAnsi" w:hAnsiTheme="majorHAnsi"/>
          <w:lang w:eastAsia="fr-BE"/>
        </w:rPr>
        <w:t xml:space="preserve"> 197 projects were under implementation</w:t>
      </w:r>
      <w:r w:rsidR="001066BC">
        <w:rPr>
          <w:rFonts w:asciiTheme="majorHAnsi" w:hAnsiTheme="majorHAnsi"/>
          <w:lang w:eastAsia="fr-BE"/>
        </w:rPr>
        <w:t xml:space="preserve"> or completed</w:t>
      </w:r>
      <w:r>
        <w:rPr>
          <w:lang w:eastAsia="fr-BE"/>
        </w:rPr>
        <w:t xml:space="preserve">. </w:t>
      </w:r>
      <w:r w:rsidRPr="007E4478">
        <w:rPr>
          <w:rFonts w:asciiTheme="majorHAnsi" w:hAnsiTheme="majorHAnsi"/>
          <w:lang w:eastAsia="fr-BE"/>
        </w:rPr>
        <w:t>The grants provided continue to have a leverage effect of approximately five times, with EUR</w:t>
      </w:r>
      <w:r>
        <w:rPr>
          <w:rFonts w:ascii="Arial" w:hAnsi="Arial" w:cs="Arial"/>
          <w:lang w:eastAsia="fr-BE"/>
        </w:rPr>
        <w:t> </w:t>
      </w:r>
      <w:r w:rsidRPr="007E4478">
        <w:rPr>
          <w:rFonts w:asciiTheme="majorHAnsi" w:hAnsiTheme="majorHAnsi"/>
          <w:lang w:eastAsia="fr-BE"/>
        </w:rPr>
        <w:t>11.7</w:t>
      </w:r>
      <w:r w:rsidR="005E0B24">
        <w:rPr>
          <w:rFonts w:ascii="Calibri" w:hAnsi="Calibri" w:cs="Calibri"/>
          <w:lang w:eastAsia="fr-BE"/>
        </w:rPr>
        <w:t> </w:t>
      </w:r>
      <w:r w:rsidRPr="007E4478">
        <w:rPr>
          <w:rFonts w:asciiTheme="majorHAnsi" w:hAnsiTheme="majorHAnsi"/>
          <w:lang w:eastAsia="fr-BE"/>
        </w:rPr>
        <w:t>billion of Innovation Fund support enabling around EUR</w:t>
      </w:r>
      <w:r w:rsidR="005E0B24">
        <w:rPr>
          <w:rFonts w:ascii="Calibri" w:hAnsi="Calibri" w:cs="Calibri"/>
          <w:lang w:eastAsia="fr-BE"/>
        </w:rPr>
        <w:t> </w:t>
      </w:r>
      <w:r w:rsidRPr="007E4478">
        <w:rPr>
          <w:rFonts w:asciiTheme="majorHAnsi" w:hAnsiTheme="majorHAnsi"/>
          <w:lang w:eastAsia="fr-BE"/>
        </w:rPr>
        <w:t>58</w:t>
      </w:r>
      <w:r w:rsidR="005E0B24">
        <w:rPr>
          <w:rFonts w:ascii="Calibri" w:hAnsi="Calibri" w:cs="Calibri"/>
          <w:lang w:eastAsia="fr-BE"/>
        </w:rPr>
        <w:t> </w:t>
      </w:r>
      <w:r w:rsidRPr="007E4478">
        <w:rPr>
          <w:rFonts w:asciiTheme="majorHAnsi" w:hAnsiTheme="majorHAnsi"/>
          <w:lang w:eastAsia="fr-BE"/>
        </w:rPr>
        <w:t>billion in</w:t>
      </w:r>
      <w:r>
        <w:rPr>
          <w:rFonts w:asciiTheme="majorHAnsi" w:hAnsiTheme="majorHAnsi"/>
          <w:lang w:eastAsia="fr-BE"/>
        </w:rPr>
        <w:t xml:space="preserve"> mobilised</w:t>
      </w:r>
      <w:r w:rsidRPr="007E4478">
        <w:rPr>
          <w:rFonts w:asciiTheme="majorHAnsi" w:hAnsiTheme="majorHAnsi"/>
          <w:lang w:eastAsia="fr-BE"/>
        </w:rPr>
        <w:t xml:space="preserve"> investments.</w:t>
      </w:r>
      <w:r>
        <w:rPr>
          <w:rFonts w:asciiTheme="majorHAnsi" w:hAnsiTheme="majorHAnsi"/>
          <w:lang w:eastAsia="fr-BE"/>
        </w:rPr>
        <w:t xml:space="preserve"> In 2025: </w:t>
      </w:r>
    </w:p>
    <w:p w14:paraId="2FA587C2" w14:textId="751713D4" w:rsidR="00D4309C" w:rsidRPr="003C0E3F" w:rsidRDefault="00D4309C" w:rsidP="0041545A">
      <w:pPr>
        <w:pStyle w:val="ListBulletorangeLevel1"/>
        <w:rPr>
          <w:rFonts w:cs="Arial"/>
          <w:lang w:eastAsia="fr-BE"/>
        </w:rPr>
      </w:pPr>
      <w:r w:rsidRPr="007E1512">
        <w:rPr>
          <w:lang w:eastAsia="fr-BE"/>
        </w:rPr>
        <w:t>83</w:t>
      </w:r>
      <w:r w:rsidR="00AA2DE4">
        <w:rPr>
          <w:lang w:eastAsia="fr-BE"/>
        </w:rPr>
        <w:t xml:space="preserve"> new</w:t>
      </w:r>
      <w:r w:rsidRPr="007E1512">
        <w:rPr>
          <w:lang w:eastAsia="fr-BE"/>
        </w:rPr>
        <w:t xml:space="preserve"> </w:t>
      </w:r>
      <w:r>
        <w:rPr>
          <w:lang w:eastAsia="fr-BE"/>
        </w:rPr>
        <w:t xml:space="preserve">grant agreements were signed for </w:t>
      </w:r>
      <w:r w:rsidRPr="007E1512">
        <w:rPr>
          <w:lang w:eastAsia="fr-BE"/>
        </w:rPr>
        <w:t>decarbonisation pro</w:t>
      </w:r>
      <w:r>
        <w:rPr>
          <w:lang w:eastAsia="fr-BE"/>
        </w:rPr>
        <w:t>jects;</w:t>
      </w:r>
    </w:p>
    <w:p w14:paraId="7C55E3AE" w14:textId="570495AD" w:rsidR="00D4309C" w:rsidRPr="0041545A" w:rsidRDefault="00D4309C" w:rsidP="0041545A">
      <w:pPr>
        <w:pStyle w:val="ListBulletorangeLevel1"/>
        <w:rPr>
          <w:lang w:eastAsia="fr-BE"/>
        </w:rPr>
      </w:pPr>
      <w:r>
        <w:rPr>
          <w:lang w:eastAsia="fr-BE"/>
        </w:rPr>
        <w:t>t</w:t>
      </w:r>
      <w:r w:rsidRPr="007E1512">
        <w:rPr>
          <w:lang w:eastAsia="fr-BE"/>
        </w:rPr>
        <w:t>he Innovation</w:t>
      </w:r>
      <w:r w:rsidRPr="007E1512">
        <w:rPr>
          <w:rFonts w:ascii="Arial" w:hAnsi="Arial" w:cs="Arial"/>
          <w:lang w:eastAsia="fr-BE"/>
        </w:rPr>
        <w:t> </w:t>
      </w:r>
      <w:r w:rsidRPr="007E1512">
        <w:rPr>
          <w:lang w:eastAsia="fr-BE"/>
        </w:rPr>
        <w:t>Fund 2024</w:t>
      </w:r>
      <w:r w:rsidRPr="007E1512">
        <w:rPr>
          <w:rFonts w:ascii="Arial" w:hAnsi="Arial" w:cs="Arial"/>
          <w:lang w:eastAsia="fr-BE"/>
        </w:rPr>
        <w:t> </w:t>
      </w:r>
      <w:r w:rsidRPr="007E1512">
        <w:rPr>
          <w:lang w:eastAsia="fr-BE"/>
        </w:rPr>
        <w:t>Net Zero Technology</w:t>
      </w:r>
      <w:r w:rsidRPr="007E1512">
        <w:rPr>
          <w:rFonts w:ascii="Arial" w:hAnsi="Arial" w:cs="Arial"/>
          <w:lang w:eastAsia="fr-BE"/>
        </w:rPr>
        <w:t> </w:t>
      </w:r>
      <w:r w:rsidRPr="0041545A">
        <w:rPr>
          <w:lang w:eastAsia="fr-BE"/>
        </w:rPr>
        <w:t xml:space="preserve">Call closed, </w:t>
      </w:r>
      <w:r w:rsidR="00657F45" w:rsidRPr="0041545A">
        <w:rPr>
          <w:lang w:eastAsia="fr-BE"/>
        </w:rPr>
        <w:t>allocating</w:t>
      </w:r>
      <w:r w:rsidRPr="0041545A">
        <w:rPr>
          <w:lang w:eastAsia="fr-BE"/>
        </w:rPr>
        <w:t xml:space="preserve"> EUR</w:t>
      </w:r>
      <w:r>
        <w:rPr>
          <w:rFonts w:ascii="Calibri" w:hAnsi="Calibri" w:cs="Calibri"/>
          <w:lang w:eastAsia="fr-BE"/>
        </w:rPr>
        <w:t> </w:t>
      </w:r>
      <w:r w:rsidRPr="0041545A">
        <w:rPr>
          <w:lang w:eastAsia="fr-BE"/>
        </w:rPr>
        <w:t>2.9</w:t>
      </w:r>
      <w:r w:rsidR="009D0075">
        <w:rPr>
          <w:rFonts w:ascii="Calibri" w:hAnsi="Calibri" w:cs="Calibri"/>
          <w:lang w:eastAsia="fr-BE"/>
        </w:rPr>
        <w:t> </w:t>
      </w:r>
      <w:r w:rsidRPr="0041545A">
        <w:rPr>
          <w:lang w:eastAsia="fr-BE"/>
        </w:rPr>
        <w:t xml:space="preserve">billion </w:t>
      </w:r>
      <w:r w:rsidR="002337B7" w:rsidRPr="0041545A">
        <w:rPr>
          <w:lang w:eastAsia="fr-BE"/>
        </w:rPr>
        <w:t>to select</w:t>
      </w:r>
      <w:r w:rsidRPr="0041545A">
        <w:rPr>
          <w:lang w:eastAsia="fr-BE"/>
        </w:rPr>
        <w:t xml:space="preserve"> 61 cutting-edge net zero technology products</w:t>
      </w:r>
      <w:r w:rsidR="00F7154C" w:rsidRPr="0041545A">
        <w:rPr>
          <w:lang w:eastAsia="fr-BE"/>
        </w:rPr>
        <w:t>;</w:t>
      </w:r>
    </w:p>
    <w:p w14:paraId="060C91FC" w14:textId="65EEE79C" w:rsidR="00D4309C" w:rsidRPr="0041545A" w:rsidRDefault="00D4309C" w:rsidP="0041545A">
      <w:pPr>
        <w:pStyle w:val="ListBulletorangeLevel1"/>
        <w:rPr>
          <w:lang w:eastAsia="fr-BE"/>
        </w:rPr>
      </w:pPr>
      <w:r w:rsidRPr="0041545A">
        <w:rPr>
          <w:lang w:eastAsia="fr-BE"/>
        </w:rPr>
        <w:t xml:space="preserve">the Innovation Fund also </w:t>
      </w:r>
      <w:r w:rsidR="00D81D33" w:rsidRPr="0041545A">
        <w:rPr>
          <w:lang w:eastAsia="fr-BE"/>
        </w:rPr>
        <w:t>committed</w:t>
      </w:r>
      <w:r w:rsidRPr="0041545A">
        <w:rPr>
          <w:lang w:eastAsia="fr-BE"/>
        </w:rPr>
        <w:t xml:space="preserve"> EUR</w:t>
      </w:r>
      <w:r w:rsidR="00F7154C">
        <w:rPr>
          <w:rFonts w:ascii="Calibri" w:hAnsi="Calibri" w:cs="Calibri"/>
          <w:lang w:eastAsia="fr-BE"/>
        </w:rPr>
        <w:t> </w:t>
      </w:r>
      <w:r w:rsidRPr="0041545A">
        <w:rPr>
          <w:lang w:eastAsia="fr-BE"/>
        </w:rPr>
        <w:t>643</w:t>
      </w:r>
      <w:r w:rsidR="00F7154C">
        <w:rPr>
          <w:rFonts w:ascii="Calibri" w:hAnsi="Calibri" w:cs="Calibri"/>
          <w:lang w:eastAsia="fr-BE"/>
        </w:rPr>
        <w:t> </w:t>
      </w:r>
      <w:r w:rsidRPr="0041545A">
        <w:rPr>
          <w:lang w:eastAsia="fr-BE"/>
        </w:rPr>
        <w:t xml:space="preserve">million to </w:t>
      </w:r>
      <w:r w:rsidR="00F7154C" w:rsidRPr="0041545A">
        <w:rPr>
          <w:lang w:eastAsia="fr-BE"/>
        </w:rPr>
        <w:t>five</w:t>
      </w:r>
      <w:r w:rsidRPr="0041545A">
        <w:rPr>
          <w:lang w:eastAsia="fr-BE"/>
        </w:rPr>
        <w:t xml:space="preserve"> projects under the call for electric vehicle battery manufacturing</w:t>
      </w:r>
      <w:r w:rsidR="00F7154C" w:rsidRPr="0041545A">
        <w:rPr>
          <w:lang w:eastAsia="fr-BE"/>
        </w:rPr>
        <w:t>;</w:t>
      </w:r>
    </w:p>
    <w:p w14:paraId="2B49291F" w14:textId="256F1B14" w:rsidR="00D4309C" w:rsidRPr="0041545A" w:rsidRDefault="00D4309C" w:rsidP="0041545A">
      <w:pPr>
        <w:pStyle w:val="ListBulletorangeLevel1"/>
        <w:rPr>
          <w:lang w:eastAsia="fr-BE"/>
        </w:rPr>
      </w:pPr>
      <w:r w:rsidRPr="0041545A">
        <w:rPr>
          <w:lang w:eastAsia="fr-BE"/>
        </w:rPr>
        <w:t>the</w:t>
      </w:r>
      <w:r w:rsidR="00900D92" w:rsidRPr="0041545A">
        <w:rPr>
          <w:lang w:eastAsia="fr-BE"/>
        </w:rPr>
        <w:t xml:space="preserve"> second</w:t>
      </w:r>
      <w:r w:rsidRPr="0041545A">
        <w:rPr>
          <w:lang w:eastAsia="fr-BE"/>
        </w:rPr>
        <w:t xml:space="preserve"> Innovation Fund Auction for renewable hydrogen production </w:t>
      </w:r>
      <w:r w:rsidR="003438C1" w:rsidRPr="0041545A">
        <w:rPr>
          <w:lang w:eastAsia="fr-BE"/>
        </w:rPr>
        <w:t xml:space="preserve">(Innovation Fund 2024 Auction) </w:t>
      </w:r>
      <w:r w:rsidRPr="0041545A">
        <w:rPr>
          <w:lang w:eastAsia="fr-BE"/>
        </w:rPr>
        <w:t xml:space="preserve">saw the signature of </w:t>
      </w:r>
      <w:r w:rsidR="00F7154C" w:rsidRPr="0041545A">
        <w:rPr>
          <w:lang w:eastAsia="fr-BE"/>
        </w:rPr>
        <w:t>six</w:t>
      </w:r>
      <w:r w:rsidRPr="0041545A">
        <w:rPr>
          <w:lang w:eastAsia="fr-BE"/>
        </w:rPr>
        <w:t xml:space="preserve"> projects for a total of EUR</w:t>
      </w:r>
      <w:r>
        <w:rPr>
          <w:rFonts w:ascii="Calibri" w:hAnsi="Calibri" w:cs="Calibri"/>
          <w:lang w:eastAsia="fr-BE"/>
        </w:rPr>
        <w:t> </w:t>
      </w:r>
      <w:r w:rsidRPr="0041545A">
        <w:rPr>
          <w:lang w:eastAsia="fr-BE"/>
        </w:rPr>
        <w:t>270.6</w:t>
      </w:r>
      <w:r w:rsidR="00F7154C">
        <w:rPr>
          <w:rFonts w:ascii="Calibri" w:hAnsi="Calibri" w:cs="Calibri"/>
          <w:lang w:eastAsia="fr-BE"/>
        </w:rPr>
        <w:t> </w:t>
      </w:r>
      <w:r w:rsidRPr="0041545A">
        <w:rPr>
          <w:lang w:eastAsia="fr-BE"/>
        </w:rPr>
        <w:t>million.</w:t>
      </w:r>
    </w:p>
    <w:p w14:paraId="30BB430F" w14:textId="4BCA800D" w:rsidR="00D4309C" w:rsidRDefault="00D4309C" w:rsidP="00D4309C">
      <w:pPr>
        <w:rPr>
          <w:noProof/>
          <w:lang w:val="en-IE" w:eastAsia="en-IE"/>
        </w:rPr>
      </w:pPr>
      <w:r w:rsidRPr="001510F1">
        <w:rPr>
          <w:rStyle w:val="Bold"/>
        </w:rPr>
        <w:t>Furthermore, in</w:t>
      </w:r>
      <w:r w:rsidRPr="001510F1" w:rsidDel="00CB128E">
        <w:rPr>
          <w:rStyle w:val="Bold"/>
        </w:rPr>
        <w:t xml:space="preserve"> </w:t>
      </w:r>
      <w:r w:rsidRPr="001510F1">
        <w:rPr>
          <w:rStyle w:val="Bold"/>
        </w:rPr>
        <w:t>2025, through the Innovation Fund, the Commission announced over EUR</w:t>
      </w:r>
      <w:r w:rsidRPr="001510F1">
        <w:rPr>
          <w:rStyle w:val="Bold"/>
          <w:rFonts w:ascii="Calibri" w:hAnsi="Calibri" w:cs="Calibri"/>
        </w:rPr>
        <w:t> </w:t>
      </w:r>
      <w:r w:rsidRPr="001510F1">
        <w:rPr>
          <w:rStyle w:val="Bold"/>
        </w:rPr>
        <w:t>3.5</w:t>
      </w:r>
      <w:r w:rsidR="002252F2" w:rsidRPr="46877EFD">
        <w:rPr>
          <w:rStyle w:val="Bold"/>
          <w:rFonts w:ascii="Calibri" w:hAnsi="Calibri" w:cs="Calibri"/>
        </w:rPr>
        <w:t> </w:t>
      </w:r>
      <w:r w:rsidRPr="001510F1">
        <w:rPr>
          <w:rStyle w:val="Bold"/>
        </w:rPr>
        <w:t>billion in funding for innovative low-carbon technologies, using revenues from the EU Emissions Trading System</w:t>
      </w:r>
      <w:r w:rsidR="6B10323F" w:rsidRPr="001510F1">
        <w:rPr>
          <w:rStyle w:val="Bold"/>
        </w:rPr>
        <w:t>.</w:t>
      </w:r>
      <w:r w:rsidRPr="009317BA">
        <w:rPr>
          <w:lang w:eastAsia="en-IE"/>
        </w:rPr>
        <w:t xml:space="preserve"> </w:t>
      </w:r>
      <w:r>
        <w:rPr>
          <w:lang w:eastAsia="en-IE"/>
        </w:rPr>
        <w:t xml:space="preserve">This includes, among other things, projects aimed at </w:t>
      </w:r>
      <w:r w:rsidR="00BC644D">
        <w:rPr>
          <w:lang w:eastAsia="en-IE"/>
        </w:rPr>
        <w:t>supporting electric vehicle battery cell production</w:t>
      </w:r>
      <w:r w:rsidR="00BC644D" w:rsidRPr="00D64BEA">
        <w:rPr>
          <w:rFonts w:ascii="Calibri" w:hAnsi="Calibri" w:cs="Calibri"/>
          <w:lang w:val="en-IE"/>
        </w:rPr>
        <w:t> </w:t>
      </w:r>
      <w:r w:rsidR="00BC644D" w:rsidRPr="00842D6D">
        <w:rPr>
          <w:lang w:val="en-IE"/>
        </w:rPr>
        <w:t>(</w:t>
      </w:r>
      <w:r w:rsidR="00BC644D">
        <w:rPr>
          <w:rStyle w:val="FootnoteReference"/>
          <w:lang w:val="en-IE"/>
        </w:rPr>
        <w:footnoteReference w:id="16"/>
      </w:r>
      <w:r w:rsidR="00BC644D">
        <w:rPr>
          <w:lang w:val="en-IE"/>
        </w:rPr>
        <w:t xml:space="preserve">), </w:t>
      </w:r>
      <w:r w:rsidR="007F4C76">
        <w:rPr>
          <w:lang w:val="en-IE"/>
        </w:rPr>
        <w:t xml:space="preserve">projects aimed at </w:t>
      </w:r>
      <w:r w:rsidR="00D42178">
        <w:rPr>
          <w:lang w:val="en-IE"/>
        </w:rPr>
        <w:t>decarbonising industrial processes (e.g.</w:t>
      </w:r>
      <w:r w:rsidR="003B0D89">
        <w:rPr>
          <w:lang w:val="en-IE"/>
        </w:rPr>
        <w:t xml:space="preserve"> </w:t>
      </w:r>
      <w:r w:rsidR="00BE32A2">
        <w:rPr>
          <w:lang w:val="en-IE"/>
        </w:rPr>
        <w:t>low-carbon cement production</w:t>
      </w:r>
      <w:r w:rsidR="00C824AF">
        <w:rPr>
          <w:rFonts w:ascii="Calibri" w:hAnsi="Calibri" w:cs="Calibri"/>
          <w:lang w:val="en-IE"/>
        </w:rPr>
        <w:t> </w:t>
      </w:r>
      <w:r w:rsidR="001A1B0E" w:rsidRPr="00A137E5">
        <w:rPr>
          <w:lang w:val="en-IE"/>
        </w:rPr>
        <w:t>(</w:t>
      </w:r>
      <w:r w:rsidR="001A1B0E">
        <w:rPr>
          <w:rStyle w:val="FootnoteReference"/>
          <w:lang w:val="en-IE"/>
        </w:rPr>
        <w:footnoteReference w:id="17"/>
      </w:r>
      <w:r w:rsidR="001A1B0E">
        <w:rPr>
          <w:lang w:val="en-IE"/>
        </w:rPr>
        <w:t>)</w:t>
      </w:r>
      <w:r w:rsidR="00BE32A2">
        <w:rPr>
          <w:lang w:val="en-IE"/>
        </w:rPr>
        <w:t>)</w:t>
      </w:r>
      <w:r w:rsidR="001A1B0E">
        <w:rPr>
          <w:lang w:val="en-IE"/>
        </w:rPr>
        <w:t xml:space="preserve">, </w:t>
      </w:r>
      <w:r w:rsidR="00A8506F" w:rsidRPr="7191C8C0">
        <w:rPr>
          <w:lang w:val="en-IE"/>
        </w:rPr>
        <w:t>renewable hydrogen production</w:t>
      </w:r>
      <w:r w:rsidR="00A8506F" w:rsidRPr="002600BD">
        <w:rPr>
          <w:rFonts w:cs="Calibri"/>
          <w:lang w:val="en-IE"/>
        </w:rPr>
        <w:t> </w:t>
      </w:r>
      <w:r w:rsidR="00A8506F" w:rsidRPr="7191C8C0">
        <w:rPr>
          <w:lang w:val="en-IE"/>
        </w:rPr>
        <w:t>(</w:t>
      </w:r>
      <w:r w:rsidR="00A8506F">
        <w:rPr>
          <w:rStyle w:val="FootnoteReference"/>
          <w:lang w:val="en-IE"/>
        </w:rPr>
        <w:footnoteReference w:id="18"/>
      </w:r>
      <w:r w:rsidR="00A8506F" w:rsidRPr="7191C8C0">
        <w:rPr>
          <w:lang w:val="en-IE"/>
        </w:rPr>
        <w:t>)</w:t>
      </w:r>
      <w:r w:rsidR="00267121">
        <w:rPr>
          <w:lang w:val="en-IE"/>
        </w:rPr>
        <w:t xml:space="preserve"> and </w:t>
      </w:r>
      <w:r w:rsidR="00267121" w:rsidRPr="7191C8C0">
        <w:rPr>
          <w:lang w:val="en-IE"/>
        </w:rPr>
        <w:t>a zero-emission ocean-going cruise ship capable of carrying 400 persons for 30</w:t>
      </w:r>
      <w:r w:rsidR="00DD6966">
        <w:rPr>
          <w:rFonts w:ascii="Calibri" w:hAnsi="Calibri" w:cs="Calibri"/>
          <w:lang w:val="en-IE"/>
        </w:rPr>
        <w:t> </w:t>
      </w:r>
      <w:r w:rsidR="00267121" w:rsidRPr="7191C8C0">
        <w:rPr>
          <w:lang w:val="en-IE"/>
        </w:rPr>
        <w:t>days</w:t>
      </w:r>
      <w:r w:rsidR="00C824AF">
        <w:rPr>
          <w:rFonts w:ascii="Calibri" w:hAnsi="Calibri" w:cs="Calibri"/>
          <w:lang w:val="en-IE"/>
        </w:rPr>
        <w:t> </w:t>
      </w:r>
      <w:r w:rsidR="00267121" w:rsidRPr="000648AE">
        <w:rPr>
          <w:lang w:val="en-IE"/>
        </w:rPr>
        <w:t>(</w:t>
      </w:r>
      <w:r w:rsidR="00267121">
        <w:rPr>
          <w:rStyle w:val="FootnoteReference"/>
          <w:lang w:val="en-IE"/>
        </w:rPr>
        <w:footnoteReference w:id="19"/>
      </w:r>
      <w:r w:rsidR="00267121">
        <w:rPr>
          <w:lang w:val="en-IE"/>
        </w:rPr>
        <w:t>).</w:t>
      </w:r>
      <w:r>
        <w:rPr>
          <w:lang w:val="en-IE"/>
        </w:rPr>
        <w:t xml:space="preserve"> Complementing this, </w:t>
      </w:r>
      <w:r w:rsidRPr="00044241">
        <w:rPr>
          <w:rStyle w:val="Bold"/>
        </w:rPr>
        <w:t xml:space="preserve">the Innovation Fund </w:t>
      </w:r>
      <w:r w:rsidR="002F49D9">
        <w:rPr>
          <w:rStyle w:val="Bold"/>
        </w:rPr>
        <w:t>is</w:t>
      </w:r>
      <w:r w:rsidRPr="00044241">
        <w:rPr>
          <w:rStyle w:val="Bold"/>
        </w:rPr>
        <w:t xml:space="preserve"> also support</w:t>
      </w:r>
      <w:r w:rsidR="002F49D9">
        <w:rPr>
          <w:rStyle w:val="Bold"/>
        </w:rPr>
        <w:t>ing</w:t>
      </w:r>
      <w:r w:rsidRPr="00044241">
        <w:rPr>
          <w:rStyle w:val="Bold"/>
        </w:rPr>
        <w:t xml:space="preserve"> the European battery</w:t>
      </w:r>
      <w:r w:rsidR="00FA14E6">
        <w:rPr>
          <w:rStyle w:val="Bold"/>
        </w:rPr>
        <w:t xml:space="preserve"> value chain</w:t>
      </w:r>
      <w:r>
        <w:rPr>
          <w:noProof/>
          <w:lang w:val="en-IE" w:eastAsia="en-IE"/>
        </w:rPr>
        <w:t xml:space="preserve">: the 2025 </w:t>
      </w:r>
      <w:r w:rsidR="00EA10A0" w:rsidRPr="46877EFD">
        <w:rPr>
          <w:noProof/>
          <w:lang w:val="en-IE" w:eastAsia="en-IE"/>
        </w:rPr>
        <w:t>b</w:t>
      </w:r>
      <w:r>
        <w:rPr>
          <w:noProof/>
          <w:lang w:val="en-IE" w:eastAsia="en-IE"/>
        </w:rPr>
        <w:t xml:space="preserve">attery </w:t>
      </w:r>
      <w:r w:rsidR="00EA10A0" w:rsidRPr="46877EFD">
        <w:rPr>
          <w:noProof/>
          <w:lang w:val="en-IE" w:eastAsia="en-IE"/>
        </w:rPr>
        <w:t>b</w:t>
      </w:r>
      <w:r>
        <w:rPr>
          <w:noProof/>
          <w:lang w:val="en-IE" w:eastAsia="en-IE"/>
        </w:rPr>
        <w:t>ooster strategy</w:t>
      </w:r>
      <w:r w:rsidRPr="007E7381">
        <w:rPr>
          <w:noProof/>
          <w:lang w:val="en-IE" w:eastAsia="en-IE"/>
        </w:rPr>
        <w:t xml:space="preserve"> </w:t>
      </w:r>
      <w:r>
        <w:rPr>
          <w:noProof/>
          <w:lang w:val="en-IE" w:eastAsia="en-IE"/>
        </w:rPr>
        <w:t xml:space="preserve">included </w:t>
      </w:r>
      <w:r w:rsidRPr="007E7381">
        <w:rPr>
          <w:noProof/>
          <w:lang w:val="en-IE" w:eastAsia="en-IE"/>
        </w:rPr>
        <w:t>a EUR</w:t>
      </w:r>
      <w:r>
        <w:rPr>
          <w:rFonts w:ascii="Calibri" w:hAnsi="Calibri" w:cs="Calibri"/>
          <w:noProof/>
          <w:lang w:val="en-IE" w:eastAsia="en-IE"/>
        </w:rPr>
        <w:t> </w:t>
      </w:r>
      <w:r w:rsidRPr="007E7381">
        <w:rPr>
          <w:noProof/>
          <w:lang w:val="en-IE" w:eastAsia="en-IE"/>
        </w:rPr>
        <w:t>1.5</w:t>
      </w:r>
      <w:r w:rsidR="00A00B0B" w:rsidRPr="46877EFD">
        <w:rPr>
          <w:rFonts w:ascii="Calibri" w:hAnsi="Calibri" w:cs="Calibri"/>
          <w:lang w:eastAsia="fr-BE"/>
        </w:rPr>
        <w:t> </w:t>
      </w:r>
      <w:r>
        <w:rPr>
          <w:noProof/>
          <w:lang w:val="en-IE" w:eastAsia="en-IE"/>
        </w:rPr>
        <w:t xml:space="preserve">billion </w:t>
      </w:r>
      <w:r w:rsidRPr="00044241">
        <w:rPr>
          <w:rStyle w:val="Bold"/>
        </w:rPr>
        <w:t>Battery Booster Facility</w:t>
      </w:r>
      <w:r w:rsidRPr="007E7381">
        <w:rPr>
          <w:noProof/>
          <w:lang w:val="en-IE" w:eastAsia="en-IE"/>
        </w:rPr>
        <w:t xml:space="preserve"> financed by the Innovation Fund</w:t>
      </w:r>
      <w:r w:rsidR="00947547">
        <w:rPr>
          <w:noProof/>
          <w:lang w:val="en-IE" w:eastAsia="en-IE"/>
        </w:rPr>
        <w:t>, which will provide</w:t>
      </w:r>
      <w:r w:rsidRPr="007E7381" w:rsidDel="00947547">
        <w:rPr>
          <w:noProof/>
          <w:lang w:val="en-IE" w:eastAsia="en-IE"/>
        </w:rPr>
        <w:t xml:space="preserve"> </w:t>
      </w:r>
      <w:r w:rsidRPr="007E7381">
        <w:rPr>
          <w:noProof/>
          <w:lang w:val="en-IE" w:eastAsia="en-IE"/>
        </w:rPr>
        <w:t>interest-free loans</w:t>
      </w:r>
      <w:r>
        <w:rPr>
          <w:noProof/>
          <w:lang w:val="en-IE" w:eastAsia="en-IE"/>
        </w:rPr>
        <w:t xml:space="preserve">. </w:t>
      </w:r>
    </w:p>
    <w:p w14:paraId="218E4EDE" w14:textId="7AAE16BA" w:rsidR="00712963" w:rsidRDefault="005E2803" w:rsidP="005E2803">
      <w:pPr>
        <w:rPr>
          <w:noProof/>
        </w:rPr>
      </w:pPr>
      <w:r w:rsidRPr="0026621C">
        <w:rPr>
          <w:rStyle w:val="Bold"/>
        </w:rPr>
        <w:t xml:space="preserve">InvestEU </w:t>
      </w:r>
      <w:r w:rsidR="00C5168A" w:rsidRPr="0026621C">
        <w:rPr>
          <w:rStyle w:val="Bold"/>
        </w:rPr>
        <w:t xml:space="preserve">helped to </w:t>
      </w:r>
      <w:r w:rsidRPr="0026621C">
        <w:rPr>
          <w:rStyle w:val="Bold"/>
        </w:rPr>
        <w:t>boost investments across</w:t>
      </w:r>
      <w:r w:rsidRPr="0026621C" w:rsidDel="0014677B">
        <w:rPr>
          <w:rStyle w:val="Bold"/>
        </w:rPr>
        <w:t xml:space="preserve"> </w:t>
      </w:r>
      <w:r w:rsidR="0014677B" w:rsidRPr="0026621C">
        <w:rPr>
          <w:rStyle w:val="Bold"/>
        </w:rPr>
        <w:t>Europe</w:t>
      </w:r>
      <w:r w:rsidR="00074465" w:rsidRPr="0026621C">
        <w:rPr>
          <w:rStyle w:val="Bold"/>
        </w:rPr>
        <w:t xml:space="preserve"> by lowering risk for financial institutions and </w:t>
      </w:r>
      <w:r w:rsidR="00005BEE" w:rsidRPr="0026621C">
        <w:rPr>
          <w:rStyle w:val="Bold"/>
        </w:rPr>
        <w:t xml:space="preserve">helping to </w:t>
      </w:r>
      <w:r w:rsidR="004252A8" w:rsidRPr="0026621C">
        <w:rPr>
          <w:rStyle w:val="Bold"/>
        </w:rPr>
        <w:t>attract</w:t>
      </w:r>
      <w:r w:rsidR="00074465" w:rsidRPr="0026621C">
        <w:rPr>
          <w:rStyle w:val="Bold"/>
        </w:rPr>
        <w:t xml:space="preserve"> private capital</w:t>
      </w:r>
      <w:r w:rsidR="006F1234" w:rsidRPr="0026621C">
        <w:rPr>
          <w:rStyle w:val="Bold"/>
        </w:rPr>
        <w:t>.</w:t>
      </w:r>
      <w:r w:rsidR="006F1234">
        <w:rPr>
          <w:noProof/>
          <w:lang w:val="en-IE" w:eastAsia="en-IE"/>
        </w:rPr>
        <w:t xml:space="preserve"> </w:t>
      </w:r>
      <w:r w:rsidR="00A165F4">
        <w:rPr>
          <w:noProof/>
          <w:lang w:val="en-IE" w:eastAsia="en-IE"/>
        </w:rPr>
        <w:t xml:space="preserve">Through guarantees backed by the EU budget, </w:t>
      </w:r>
      <w:r w:rsidR="009813BC">
        <w:rPr>
          <w:noProof/>
          <w:lang w:val="en-IE" w:eastAsia="en-IE"/>
        </w:rPr>
        <w:t>it supported</w:t>
      </w:r>
      <w:r w:rsidR="00074465">
        <w:rPr>
          <w:noProof/>
        </w:rPr>
        <w:t xml:space="preserve"> </w:t>
      </w:r>
      <w:r w:rsidR="009662A1">
        <w:rPr>
          <w:noProof/>
        </w:rPr>
        <w:t xml:space="preserve">projects in </w:t>
      </w:r>
      <w:r w:rsidR="00712963">
        <w:rPr>
          <w:noProof/>
        </w:rPr>
        <w:t xml:space="preserve">areas </w:t>
      </w:r>
      <w:r w:rsidR="00E03808">
        <w:rPr>
          <w:noProof/>
        </w:rPr>
        <w:t>such as</w:t>
      </w:r>
      <w:r w:rsidR="00712963">
        <w:rPr>
          <w:noProof/>
        </w:rPr>
        <w:t xml:space="preserve"> </w:t>
      </w:r>
      <w:r w:rsidR="00074465">
        <w:rPr>
          <w:noProof/>
        </w:rPr>
        <w:t xml:space="preserve">sustainable </w:t>
      </w:r>
      <w:r w:rsidR="009662A1">
        <w:rPr>
          <w:noProof/>
        </w:rPr>
        <w:t xml:space="preserve">infrastructure, social investment and skills, </w:t>
      </w:r>
      <w:r w:rsidR="00484406">
        <w:rPr>
          <w:noProof/>
        </w:rPr>
        <w:t>small and medium-sized enterprise</w:t>
      </w:r>
      <w:r w:rsidR="009662A1">
        <w:rPr>
          <w:noProof/>
        </w:rPr>
        <w:t>, research, innovation and digitalisation.</w:t>
      </w:r>
      <w:r w:rsidR="00712963">
        <w:rPr>
          <w:noProof/>
        </w:rPr>
        <w:t xml:space="preserve"> </w:t>
      </w:r>
      <w:r>
        <w:rPr>
          <w:noProof/>
          <w:lang w:val="en-IE" w:eastAsia="en-IE"/>
        </w:rPr>
        <w:t xml:space="preserve">By </w:t>
      </w:r>
      <w:r w:rsidR="00EB3996">
        <w:rPr>
          <w:noProof/>
          <w:lang w:val="en-IE" w:eastAsia="en-IE"/>
        </w:rPr>
        <w:t xml:space="preserve">the </w:t>
      </w:r>
      <w:r>
        <w:rPr>
          <w:noProof/>
          <w:lang w:val="en-IE" w:eastAsia="en-IE"/>
        </w:rPr>
        <w:t xml:space="preserve">end of 2025, the total </w:t>
      </w:r>
      <w:r w:rsidR="0074600F">
        <w:rPr>
          <w:noProof/>
          <w:lang w:val="en-IE" w:eastAsia="en-IE"/>
        </w:rPr>
        <w:t xml:space="preserve">approved </w:t>
      </w:r>
      <w:r>
        <w:rPr>
          <w:noProof/>
          <w:lang w:val="en-IE" w:eastAsia="en-IE"/>
        </w:rPr>
        <w:t xml:space="preserve">guarantee amount </w:t>
      </w:r>
      <w:r w:rsidR="0074600F">
        <w:rPr>
          <w:noProof/>
          <w:lang w:val="en-IE" w:eastAsia="en-IE"/>
        </w:rPr>
        <w:t xml:space="preserve">stood at </w:t>
      </w:r>
      <w:r>
        <w:rPr>
          <w:noProof/>
          <w:lang w:val="en-IE" w:eastAsia="en-IE"/>
        </w:rPr>
        <w:t>EUR</w:t>
      </w:r>
      <w:r>
        <w:rPr>
          <w:rFonts w:ascii="Calibri" w:hAnsi="Calibri" w:cs="Calibri"/>
          <w:noProof/>
          <w:lang w:val="en-IE" w:eastAsia="en-IE"/>
        </w:rPr>
        <w:t> </w:t>
      </w:r>
      <w:r>
        <w:rPr>
          <w:noProof/>
          <w:lang w:val="en-IE" w:eastAsia="en-IE"/>
        </w:rPr>
        <w:t>2</w:t>
      </w:r>
      <w:r w:rsidRPr="00521E3E">
        <w:rPr>
          <w:noProof/>
          <w:lang w:val="en-IE" w:eastAsia="en-IE"/>
        </w:rPr>
        <w:t>6.8</w:t>
      </w:r>
      <w:r w:rsidR="001F6299">
        <w:rPr>
          <w:rFonts w:ascii="Calibri" w:hAnsi="Calibri" w:cs="Calibri"/>
          <w:noProof/>
          <w:lang w:val="en-IE" w:eastAsia="en-IE"/>
        </w:rPr>
        <w:t> </w:t>
      </w:r>
      <w:r w:rsidRPr="00521E3E">
        <w:rPr>
          <w:noProof/>
          <w:lang w:val="en-IE" w:eastAsia="en-IE"/>
        </w:rPr>
        <w:t>billion</w:t>
      </w:r>
      <w:r w:rsidR="00ED272C">
        <w:rPr>
          <w:noProof/>
          <w:lang w:val="en-IE" w:eastAsia="en-IE"/>
        </w:rPr>
        <w:t xml:space="preserve">. </w:t>
      </w:r>
      <w:r w:rsidR="00ED272C">
        <w:rPr>
          <w:noProof/>
        </w:rPr>
        <w:t>The</w:t>
      </w:r>
      <w:r w:rsidR="00074465" w:rsidRPr="00E32AAC">
        <w:rPr>
          <w:noProof/>
        </w:rPr>
        <w:t xml:space="preserve"> volume of InvestEU operations approved by implementing partners reached EUR</w:t>
      </w:r>
      <w:r w:rsidR="00797061">
        <w:rPr>
          <w:rFonts w:ascii="Calibri" w:hAnsi="Calibri" w:cs="Calibri"/>
          <w:noProof/>
          <w:lang w:val="en-IE" w:eastAsia="en-IE"/>
        </w:rPr>
        <w:t> </w:t>
      </w:r>
      <w:r w:rsidR="00074465" w:rsidRPr="00E32AAC">
        <w:rPr>
          <w:noProof/>
        </w:rPr>
        <w:t>80.6</w:t>
      </w:r>
      <w:r w:rsidR="00797061">
        <w:rPr>
          <w:rFonts w:ascii="Calibri" w:hAnsi="Calibri" w:cs="Calibri"/>
          <w:noProof/>
          <w:lang w:val="en-IE" w:eastAsia="en-IE"/>
        </w:rPr>
        <w:t> </w:t>
      </w:r>
      <w:r w:rsidR="00074465" w:rsidRPr="00E32AAC">
        <w:rPr>
          <w:noProof/>
        </w:rPr>
        <w:t>billion and is expected to mobilise investments of EUR</w:t>
      </w:r>
      <w:r w:rsidR="00797061">
        <w:rPr>
          <w:rFonts w:ascii="Calibri" w:hAnsi="Calibri" w:cs="Calibri"/>
          <w:noProof/>
          <w:lang w:val="en-IE" w:eastAsia="en-IE"/>
        </w:rPr>
        <w:t> </w:t>
      </w:r>
      <w:r w:rsidR="00074465" w:rsidRPr="00E32AAC">
        <w:rPr>
          <w:noProof/>
        </w:rPr>
        <w:t>32</w:t>
      </w:r>
      <w:r w:rsidR="007F7736">
        <w:rPr>
          <w:noProof/>
        </w:rPr>
        <w:t>9</w:t>
      </w:r>
      <w:r w:rsidR="00074465" w:rsidRPr="00E32AAC">
        <w:rPr>
          <w:noProof/>
        </w:rPr>
        <w:t>.</w:t>
      </w:r>
      <w:r w:rsidR="00340339">
        <w:rPr>
          <w:noProof/>
        </w:rPr>
        <w:t>1</w:t>
      </w:r>
      <w:r w:rsidR="00797061">
        <w:rPr>
          <w:rFonts w:ascii="Calibri" w:hAnsi="Calibri" w:cs="Calibri"/>
          <w:noProof/>
          <w:lang w:val="en-IE" w:eastAsia="en-IE"/>
        </w:rPr>
        <w:t> </w:t>
      </w:r>
      <w:r w:rsidR="00074465" w:rsidRPr="00E32AAC">
        <w:rPr>
          <w:rFonts w:ascii="Arial" w:hAnsi="Arial" w:cs="Arial"/>
          <w:noProof/>
        </w:rPr>
        <w:t> </w:t>
      </w:r>
      <w:r w:rsidR="00074465" w:rsidRPr="00E32AAC">
        <w:rPr>
          <w:noProof/>
        </w:rPr>
        <w:t>billion, with 69.2% of this coming from the private sector.</w:t>
      </w:r>
      <w:r w:rsidR="00DD0220">
        <w:rPr>
          <w:noProof/>
        </w:rPr>
        <w:t xml:space="preserve"> </w:t>
      </w:r>
      <w:r w:rsidR="00853831">
        <w:rPr>
          <w:noProof/>
        </w:rPr>
        <w:t>With</w:t>
      </w:r>
      <w:r w:rsidR="00340339">
        <w:rPr>
          <w:noProof/>
        </w:rPr>
        <w:t xml:space="preserve"> InvestEU</w:t>
      </w:r>
      <w:r w:rsidR="00853831">
        <w:rPr>
          <w:noProof/>
        </w:rPr>
        <w:t xml:space="preserve"> support, by 2025</w:t>
      </w:r>
      <w:r w:rsidR="00872EFC">
        <w:rPr>
          <w:noProof/>
        </w:rPr>
        <w:t>,</w:t>
      </w:r>
      <w:r w:rsidR="00853831">
        <w:rPr>
          <w:noProof/>
        </w:rPr>
        <w:t xml:space="preserve"> 91</w:t>
      </w:r>
      <w:r w:rsidR="004F3ED3">
        <w:rPr>
          <w:rFonts w:ascii="Calibri" w:hAnsi="Calibri" w:cs="Calibri"/>
          <w:noProof/>
        </w:rPr>
        <w:t> </w:t>
      </w:r>
      <w:r w:rsidR="00853831">
        <w:rPr>
          <w:noProof/>
        </w:rPr>
        <w:t>294 enterprises have been supported</w:t>
      </w:r>
      <w:r w:rsidR="002D4137">
        <w:rPr>
          <w:noProof/>
        </w:rPr>
        <w:t xml:space="preserve"> and </w:t>
      </w:r>
      <w:r w:rsidR="00081B24">
        <w:rPr>
          <w:noProof/>
        </w:rPr>
        <w:t>2.1</w:t>
      </w:r>
      <w:r w:rsidR="003B482F">
        <w:rPr>
          <w:rFonts w:ascii="Calibri" w:hAnsi="Calibri" w:cs="Calibri"/>
          <w:noProof/>
          <w:lang w:val="en-IE" w:eastAsia="en-IE"/>
        </w:rPr>
        <w:t> </w:t>
      </w:r>
      <w:r w:rsidR="00081B24">
        <w:rPr>
          <w:noProof/>
        </w:rPr>
        <w:t xml:space="preserve">million households and enterprises gained </w:t>
      </w:r>
      <w:r w:rsidR="0076543C">
        <w:rPr>
          <w:noProof/>
        </w:rPr>
        <w:t xml:space="preserve">fast-access broadband. InvestEU </w:t>
      </w:r>
      <w:r w:rsidR="00521910">
        <w:rPr>
          <w:noProof/>
        </w:rPr>
        <w:t xml:space="preserve">appoved operations invest in energy, </w:t>
      </w:r>
      <w:r w:rsidR="00AC79CD">
        <w:rPr>
          <w:noProof/>
        </w:rPr>
        <w:t>for example</w:t>
      </w:r>
      <w:r w:rsidR="00DD6470">
        <w:rPr>
          <w:noProof/>
        </w:rPr>
        <w:t xml:space="preserve"> with EUR</w:t>
      </w:r>
      <w:r w:rsidR="00AC79CD">
        <w:rPr>
          <w:rFonts w:ascii="Calibri" w:hAnsi="Calibri" w:cs="Calibri"/>
          <w:noProof/>
        </w:rPr>
        <w:t> </w:t>
      </w:r>
      <w:r w:rsidR="00DD6470">
        <w:rPr>
          <w:noProof/>
        </w:rPr>
        <w:t>500</w:t>
      </w:r>
      <w:r w:rsidR="00BA5358">
        <w:rPr>
          <w:rFonts w:ascii="Calibri" w:hAnsi="Calibri" w:cs="Calibri"/>
          <w:noProof/>
          <w:lang w:val="en-IE" w:eastAsia="en-IE"/>
        </w:rPr>
        <w:t> </w:t>
      </w:r>
      <w:r w:rsidR="00DD6470">
        <w:rPr>
          <w:noProof/>
        </w:rPr>
        <w:t xml:space="preserve">million in the </w:t>
      </w:r>
      <w:r w:rsidR="001860FA">
        <w:rPr>
          <w:noProof/>
        </w:rPr>
        <w:t>‘</w:t>
      </w:r>
      <w:r w:rsidR="00DD6470" w:rsidRPr="00DD6470">
        <w:rPr>
          <w:noProof/>
        </w:rPr>
        <w:t>SG Pan EU Wind Package</w:t>
      </w:r>
      <w:r w:rsidR="001860FA">
        <w:rPr>
          <w:noProof/>
        </w:rPr>
        <w:t>’</w:t>
      </w:r>
      <w:r w:rsidR="00DD6470">
        <w:rPr>
          <w:noProof/>
        </w:rPr>
        <w:t xml:space="preserve"> p</w:t>
      </w:r>
      <w:r w:rsidR="00AC79CD">
        <w:rPr>
          <w:noProof/>
        </w:rPr>
        <w:t>roject</w:t>
      </w:r>
      <w:r w:rsidR="002364FD" w:rsidRPr="00956D28">
        <w:rPr>
          <w:rFonts w:cs="Calibri"/>
          <w:noProof/>
        </w:rPr>
        <w:t> </w:t>
      </w:r>
      <w:r w:rsidR="002364FD" w:rsidRPr="002364FD">
        <w:rPr>
          <w:noProof/>
        </w:rPr>
        <w:t>(</w:t>
      </w:r>
      <w:r w:rsidR="002364FD">
        <w:rPr>
          <w:rStyle w:val="FootnoteReference"/>
          <w:noProof/>
        </w:rPr>
        <w:footnoteReference w:id="20"/>
      </w:r>
      <w:r w:rsidR="002364FD">
        <w:rPr>
          <w:noProof/>
        </w:rPr>
        <w:t>)</w:t>
      </w:r>
      <w:r w:rsidR="00AC79CD">
        <w:rPr>
          <w:noProof/>
        </w:rPr>
        <w:t xml:space="preserve">, </w:t>
      </w:r>
      <w:r w:rsidR="007E51B1">
        <w:rPr>
          <w:noProof/>
        </w:rPr>
        <w:t xml:space="preserve">sustainable infrastructure, for example with </w:t>
      </w:r>
      <w:r w:rsidR="00251CF9">
        <w:rPr>
          <w:noProof/>
        </w:rPr>
        <w:t>EUR</w:t>
      </w:r>
      <w:r w:rsidR="00251CF9">
        <w:rPr>
          <w:rFonts w:ascii="Calibri" w:hAnsi="Calibri" w:cs="Calibri"/>
          <w:noProof/>
        </w:rPr>
        <w:t> </w:t>
      </w:r>
      <w:r w:rsidR="00251CF9">
        <w:rPr>
          <w:noProof/>
        </w:rPr>
        <w:t>100</w:t>
      </w:r>
      <w:r w:rsidR="001C4369">
        <w:rPr>
          <w:rFonts w:ascii="Calibri" w:hAnsi="Calibri" w:cs="Calibri"/>
          <w:noProof/>
          <w:lang w:val="en-IE" w:eastAsia="en-IE"/>
        </w:rPr>
        <w:t> </w:t>
      </w:r>
      <w:r w:rsidR="00251CF9">
        <w:rPr>
          <w:noProof/>
        </w:rPr>
        <w:t>million in</w:t>
      </w:r>
      <w:r w:rsidR="007E51B1">
        <w:rPr>
          <w:noProof/>
        </w:rPr>
        <w:t xml:space="preserve"> </w:t>
      </w:r>
      <w:r w:rsidR="00CE75D6">
        <w:rPr>
          <w:noProof/>
        </w:rPr>
        <w:t xml:space="preserve">the </w:t>
      </w:r>
      <w:r w:rsidR="00544E95">
        <w:rPr>
          <w:noProof/>
        </w:rPr>
        <w:t>‘</w:t>
      </w:r>
      <w:r w:rsidR="00CA5A74" w:rsidRPr="00CA5A74">
        <w:rPr>
          <w:noProof/>
        </w:rPr>
        <w:t>Marguerite III (CDPE)</w:t>
      </w:r>
      <w:r w:rsidR="00544E95">
        <w:rPr>
          <w:noProof/>
        </w:rPr>
        <w:t>’</w:t>
      </w:r>
      <w:r w:rsidR="00CA5A74">
        <w:rPr>
          <w:noProof/>
        </w:rPr>
        <w:t xml:space="preserve"> project</w:t>
      </w:r>
      <w:r w:rsidR="002364FD" w:rsidRPr="00956D28">
        <w:rPr>
          <w:rFonts w:cs="Calibri"/>
          <w:noProof/>
        </w:rPr>
        <w:t> </w:t>
      </w:r>
      <w:r w:rsidR="002364FD" w:rsidRPr="002364FD">
        <w:rPr>
          <w:noProof/>
        </w:rPr>
        <w:t>(</w:t>
      </w:r>
      <w:r w:rsidR="002364FD">
        <w:rPr>
          <w:rStyle w:val="FootnoteReference"/>
          <w:noProof/>
        </w:rPr>
        <w:footnoteReference w:id="21"/>
      </w:r>
      <w:r w:rsidR="002364FD">
        <w:rPr>
          <w:noProof/>
        </w:rPr>
        <w:t>)</w:t>
      </w:r>
      <w:r w:rsidR="00251CF9">
        <w:rPr>
          <w:noProof/>
        </w:rPr>
        <w:t>,</w:t>
      </w:r>
      <w:r w:rsidR="00CA5A74">
        <w:rPr>
          <w:noProof/>
        </w:rPr>
        <w:t xml:space="preserve"> </w:t>
      </w:r>
      <w:r w:rsidR="004F3ED3">
        <w:rPr>
          <w:noProof/>
        </w:rPr>
        <w:t>and digital connectivity and infrastructure, for example with EUR</w:t>
      </w:r>
      <w:r w:rsidR="004F3ED3">
        <w:rPr>
          <w:rFonts w:ascii="Calibri" w:hAnsi="Calibri" w:cs="Calibri"/>
          <w:noProof/>
        </w:rPr>
        <w:t> </w:t>
      </w:r>
      <w:r w:rsidR="004F3ED3">
        <w:rPr>
          <w:noProof/>
        </w:rPr>
        <w:t>350</w:t>
      </w:r>
      <w:r w:rsidR="00B401C8">
        <w:rPr>
          <w:rFonts w:ascii="Calibri" w:hAnsi="Calibri" w:cs="Calibri"/>
          <w:noProof/>
          <w:lang w:val="en-IE" w:eastAsia="en-IE"/>
        </w:rPr>
        <w:t> </w:t>
      </w:r>
      <w:r w:rsidR="004F3ED3">
        <w:rPr>
          <w:noProof/>
        </w:rPr>
        <w:t xml:space="preserve">million in the </w:t>
      </w:r>
      <w:r w:rsidR="003D0F6E">
        <w:rPr>
          <w:noProof/>
        </w:rPr>
        <w:t>c</w:t>
      </w:r>
      <w:r w:rsidR="004F3ED3" w:rsidRPr="004F3ED3">
        <w:rPr>
          <w:noProof/>
        </w:rPr>
        <w:t xml:space="preserve">ristal </w:t>
      </w:r>
      <w:r w:rsidR="003D0F6E">
        <w:rPr>
          <w:noProof/>
        </w:rPr>
        <w:t>f</w:t>
      </w:r>
      <w:r w:rsidR="004F3ED3" w:rsidRPr="004F3ED3">
        <w:rPr>
          <w:noProof/>
        </w:rPr>
        <w:t xml:space="preserve">ibre </w:t>
      </w:r>
      <w:r w:rsidR="003D0F6E">
        <w:rPr>
          <w:noProof/>
        </w:rPr>
        <w:t>r</w:t>
      </w:r>
      <w:r w:rsidR="004F3ED3" w:rsidRPr="004F3ED3">
        <w:rPr>
          <w:noProof/>
        </w:rPr>
        <w:t>ollout</w:t>
      </w:r>
      <w:r w:rsidR="004F3ED3">
        <w:rPr>
          <w:noProof/>
        </w:rPr>
        <w:t xml:space="preserve"> project</w:t>
      </w:r>
      <w:r w:rsidR="002364FD" w:rsidRPr="00956D28">
        <w:rPr>
          <w:rFonts w:cs="Calibri"/>
          <w:noProof/>
        </w:rPr>
        <w:t> </w:t>
      </w:r>
      <w:r w:rsidR="002364FD" w:rsidRPr="002364FD">
        <w:rPr>
          <w:noProof/>
        </w:rPr>
        <w:t>(</w:t>
      </w:r>
      <w:r w:rsidR="002364FD">
        <w:rPr>
          <w:rStyle w:val="FootnoteReference"/>
          <w:noProof/>
        </w:rPr>
        <w:footnoteReference w:id="22"/>
      </w:r>
      <w:r w:rsidR="002364FD">
        <w:rPr>
          <w:noProof/>
        </w:rPr>
        <w:t>)</w:t>
      </w:r>
      <w:r w:rsidR="004F3ED3">
        <w:rPr>
          <w:noProof/>
        </w:rPr>
        <w:t xml:space="preserve">. </w:t>
      </w:r>
    </w:p>
    <w:p w14:paraId="2B8BBB25" w14:textId="4ACA1AEF" w:rsidR="00A17EC5" w:rsidRPr="000245F7" w:rsidRDefault="00A17EC5" w:rsidP="00A17EC5">
      <w:pPr>
        <w:rPr>
          <w:lang w:val="en-IE"/>
        </w:rPr>
      </w:pPr>
      <w:r w:rsidRPr="001510F1">
        <w:rPr>
          <w:rStyle w:val="Bold"/>
        </w:rPr>
        <w:t>In 2025, cohesion policy strengthened Europe’s competitiveness</w:t>
      </w:r>
      <w:r w:rsidRPr="00AA4E0F">
        <w:rPr>
          <w:rStyle w:val="Bold"/>
          <w:b w:val="0"/>
          <w:bCs/>
        </w:rPr>
        <w:t>,</w:t>
      </w:r>
      <w:r>
        <w:rPr>
          <w:lang w:val="en-IE"/>
        </w:rPr>
        <w:t xml:space="preserve"> </w:t>
      </w:r>
      <w:r w:rsidR="00CB3D32">
        <w:rPr>
          <w:lang w:val="en-IE"/>
        </w:rPr>
        <w:t>more</w:t>
      </w:r>
      <w:r w:rsidR="009B4750">
        <w:rPr>
          <w:lang w:val="en-IE"/>
        </w:rPr>
        <w:t xml:space="preserve"> </w:t>
      </w:r>
      <w:r w:rsidR="00CB3D32">
        <w:rPr>
          <w:lang w:val="en-IE"/>
        </w:rPr>
        <w:t xml:space="preserve">so after the midterm review </w:t>
      </w:r>
      <w:r w:rsidR="00996C3D">
        <w:rPr>
          <w:lang w:val="en-IE"/>
        </w:rPr>
        <w:t>of the cohesion policy</w:t>
      </w:r>
      <w:r w:rsidR="00CB3D32">
        <w:rPr>
          <w:lang w:val="en-IE"/>
        </w:rPr>
        <w:t xml:space="preserve"> reallocat</w:t>
      </w:r>
      <w:r w:rsidR="00996C3D">
        <w:rPr>
          <w:lang w:val="en-IE"/>
        </w:rPr>
        <w:t>ed</w:t>
      </w:r>
      <w:r w:rsidR="00CB3D32">
        <w:rPr>
          <w:lang w:val="en-IE"/>
        </w:rPr>
        <w:t xml:space="preserve"> EUR</w:t>
      </w:r>
      <w:r w:rsidR="00996C3D">
        <w:rPr>
          <w:rFonts w:ascii="Calibri" w:hAnsi="Calibri" w:cs="Calibri"/>
          <w:lang w:val="en-IE"/>
        </w:rPr>
        <w:t> </w:t>
      </w:r>
      <w:r w:rsidR="00CB3D32">
        <w:rPr>
          <w:lang w:val="en-IE"/>
        </w:rPr>
        <w:t>1</w:t>
      </w:r>
      <w:r w:rsidR="00434269">
        <w:rPr>
          <w:lang w:val="en-IE"/>
        </w:rPr>
        <w:t>5.</w:t>
      </w:r>
      <w:r w:rsidR="00CB3D32">
        <w:rPr>
          <w:lang w:val="en-IE"/>
        </w:rPr>
        <w:t>2</w:t>
      </w:r>
      <w:r w:rsidR="00B401C8">
        <w:rPr>
          <w:rFonts w:ascii="Calibri" w:hAnsi="Calibri" w:cs="Calibri"/>
          <w:noProof/>
          <w:lang w:val="en-IE" w:eastAsia="en-IE"/>
        </w:rPr>
        <w:t> </w:t>
      </w:r>
      <w:r w:rsidR="00CB3D32">
        <w:rPr>
          <w:lang w:val="en-IE"/>
        </w:rPr>
        <w:t>billion to competitiveness</w:t>
      </w:r>
      <w:r w:rsidR="00BC5FDD">
        <w:rPr>
          <w:lang w:val="en-IE"/>
        </w:rPr>
        <w:t xml:space="preserve">, </w:t>
      </w:r>
      <w:r w:rsidR="00BC5FDD" w:rsidRPr="51499745">
        <w:rPr>
          <w:lang w:val="en-IE"/>
        </w:rPr>
        <w:t xml:space="preserve">with </w:t>
      </w:r>
      <w:r w:rsidR="00BC5FDD">
        <w:rPr>
          <w:lang w:val="en-IE"/>
        </w:rPr>
        <w:t>most</w:t>
      </w:r>
      <w:r w:rsidR="00BC5FDD" w:rsidRPr="51499745">
        <w:rPr>
          <w:lang w:val="en-IE"/>
        </w:rPr>
        <w:t xml:space="preserve"> investments </w:t>
      </w:r>
      <w:r w:rsidR="00BC5FDD">
        <w:rPr>
          <w:lang w:val="en-IE"/>
        </w:rPr>
        <w:t>going to</w:t>
      </w:r>
      <w:r w:rsidR="00BC5FDD" w:rsidRPr="51499745">
        <w:rPr>
          <w:lang w:val="en-IE"/>
        </w:rPr>
        <w:t xml:space="preserve"> critical technologies and industries under the</w:t>
      </w:r>
      <w:r w:rsidR="00FD7A28">
        <w:rPr>
          <w:lang w:val="en-IE"/>
        </w:rPr>
        <w:t xml:space="preserve"> </w:t>
      </w:r>
      <w:r w:rsidR="00B2095D">
        <w:rPr>
          <w:lang w:val="en-IE"/>
        </w:rPr>
        <w:t>s</w:t>
      </w:r>
      <w:r w:rsidR="00FD7A28">
        <w:rPr>
          <w:lang w:val="en-IE"/>
        </w:rPr>
        <w:t xml:space="preserve">trategic </w:t>
      </w:r>
      <w:r w:rsidR="00B2095D">
        <w:rPr>
          <w:lang w:val="en-IE"/>
        </w:rPr>
        <w:t>t</w:t>
      </w:r>
      <w:r w:rsidR="00FD7A28">
        <w:rPr>
          <w:lang w:val="en-IE"/>
        </w:rPr>
        <w:t xml:space="preserve">echnologies for Europe </w:t>
      </w:r>
      <w:r w:rsidR="00B2095D">
        <w:rPr>
          <w:lang w:val="en-IE"/>
        </w:rPr>
        <w:t>p</w:t>
      </w:r>
      <w:r w:rsidR="00FD7A28">
        <w:rPr>
          <w:lang w:val="en-IE"/>
        </w:rPr>
        <w:t>latform</w:t>
      </w:r>
      <w:r w:rsidR="00BC5FDD" w:rsidRPr="51499745">
        <w:rPr>
          <w:lang w:val="en-IE"/>
        </w:rPr>
        <w:t xml:space="preserve"> to reduce technological dependencies on non-EU countries. It also included investment in skills development linked to decarbonisation of production capacities.</w:t>
      </w:r>
      <w:r w:rsidR="00EC52AA">
        <w:rPr>
          <w:lang w:val="en-IE"/>
        </w:rPr>
        <w:t xml:space="preserve"> </w:t>
      </w:r>
      <w:r w:rsidR="00B016A8">
        <w:rPr>
          <w:lang w:val="en-IE"/>
        </w:rPr>
        <w:t>Cohesion policy supported</w:t>
      </w:r>
      <w:r w:rsidR="00B27FF1">
        <w:rPr>
          <w:lang w:val="en-IE"/>
        </w:rPr>
        <w:t xml:space="preserve"> </w:t>
      </w:r>
      <w:r w:rsidR="00F01444">
        <w:rPr>
          <w:lang w:val="en-IE"/>
        </w:rPr>
        <w:t xml:space="preserve">competitiveness funding </w:t>
      </w:r>
      <w:r w:rsidR="000228D7">
        <w:rPr>
          <w:lang w:val="en-IE"/>
        </w:rPr>
        <w:t>for</w:t>
      </w:r>
      <w:r w:rsidR="00563976">
        <w:rPr>
          <w:lang w:val="en-IE"/>
        </w:rPr>
        <w:t xml:space="preserve"> regional</w:t>
      </w:r>
      <w:r w:rsidR="003F6EA5">
        <w:rPr>
          <w:lang w:val="en-IE"/>
        </w:rPr>
        <w:t>-</w:t>
      </w:r>
      <w:r w:rsidR="00563976">
        <w:rPr>
          <w:lang w:val="en-IE"/>
        </w:rPr>
        <w:t xml:space="preserve"> and interregional</w:t>
      </w:r>
      <w:r w:rsidR="003F6EA5">
        <w:rPr>
          <w:lang w:val="en-IE"/>
        </w:rPr>
        <w:t>-</w:t>
      </w:r>
      <w:r w:rsidR="00563976">
        <w:rPr>
          <w:lang w:val="en-IE"/>
        </w:rPr>
        <w:t xml:space="preserve">level </w:t>
      </w:r>
      <w:r w:rsidR="00B27FF1">
        <w:rPr>
          <w:lang w:val="en-IE"/>
        </w:rPr>
        <w:t>research and innovation,</w:t>
      </w:r>
      <w:r w:rsidR="00B016A8">
        <w:rPr>
          <w:lang w:val="en-IE"/>
        </w:rPr>
        <w:t xml:space="preserve"> </w:t>
      </w:r>
      <w:r w:rsidR="00F86329">
        <w:rPr>
          <w:lang w:val="en-IE"/>
        </w:rPr>
        <w:t>decarbonisation</w:t>
      </w:r>
      <w:r w:rsidR="00563976">
        <w:rPr>
          <w:lang w:val="en-IE"/>
        </w:rPr>
        <w:t>,</w:t>
      </w:r>
      <w:r w:rsidR="00F86329">
        <w:rPr>
          <w:lang w:val="en-IE"/>
        </w:rPr>
        <w:t xml:space="preserve"> energy transition </w:t>
      </w:r>
      <w:r w:rsidR="00CC6757">
        <w:rPr>
          <w:lang w:val="en-IE"/>
        </w:rPr>
        <w:t xml:space="preserve">and </w:t>
      </w:r>
      <w:r w:rsidR="00AF65CA">
        <w:rPr>
          <w:lang w:val="en-IE"/>
        </w:rPr>
        <w:t xml:space="preserve">innovation, </w:t>
      </w:r>
      <w:r>
        <w:rPr>
          <w:lang w:val="en-IE"/>
        </w:rPr>
        <w:t>including</w:t>
      </w:r>
      <w:r w:rsidRPr="008877E2">
        <w:rPr>
          <w:lang w:val="en-IE"/>
        </w:rPr>
        <w:t xml:space="preserve"> through the Interregional Innovation Investments Instrument</w:t>
      </w:r>
      <w:r>
        <w:rPr>
          <w:lang w:val="en-IE"/>
        </w:rPr>
        <w:t xml:space="preserve">. This instrument </w:t>
      </w:r>
      <w:r w:rsidRPr="008877E2">
        <w:rPr>
          <w:lang w:val="en-IE"/>
        </w:rPr>
        <w:t>support</w:t>
      </w:r>
      <w:r>
        <w:rPr>
          <w:lang w:val="en-IE"/>
        </w:rPr>
        <w:t>ed</w:t>
      </w:r>
      <w:r w:rsidRPr="008877E2">
        <w:rPr>
          <w:lang w:val="en-IE"/>
        </w:rPr>
        <w:t xml:space="preserve"> 70 innovation projects in the scale-up and commercialisation phase, focusing on integrating less</w:t>
      </w:r>
      <w:r w:rsidR="008A2984">
        <w:rPr>
          <w:lang w:val="en-IE"/>
        </w:rPr>
        <w:t>-</w:t>
      </w:r>
      <w:r w:rsidRPr="008877E2">
        <w:rPr>
          <w:lang w:val="en-IE"/>
        </w:rPr>
        <w:t>developed regions into European value chains, representing</w:t>
      </w:r>
      <w:r w:rsidRPr="008877E2">
        <w:rPr>
          <w:rFonts w:ascii="Arial" w:hAnsi="Arial" w:cs="Arial"/>
          <w:lang w:val="en-IE"/>
        </w:rPr>
        <w:t> </w:t>
      </w:r>
      <w:r w:rsidRPr="008877E2">
        <w:rPr>
          <w:lang w:val="en-IE"/>
        </w:rPr>
        <w:t>EUR</w:t>
      </w:r>
      <w:r w:rsidR="00B401C8">
        <w:rPr>
          <w:rFonts w:ascii="Calibri" w:hAnsi="Calibri" w:cs="Calibri"/>
          <w:noProof/>
          <w:lang w:val="en-IE" w:eastAsia="en-IE"/>
        </w:rPr>
        <w:t> </w:t>
      </w:r>
      <w:r w:rsidRPr="008877E2">
        <w:rPr>
          <w:lang w:val="en-IE"/>
        </w:rPr>
        <w:t>301</w:t>
      </w:r>
      <w:r w:rsidR="00B401C8">
        <w:rPr>
          <w:rFonts w:ascii="Calibri" w:hAnsi="Calibri" w:cs="Calibri"/>
          <w:noProof/>
          <w:lang w:val="en-IE" w:eastAsia="en-IE"/>
        </w:rPr>
        <w:t> </w:t>
      </w:r>
      <w:r w:rsidRPr="008877E2">
        <w:rPr>
          <w:lang w:val="en-IE"/>
        </w:rPr>
        <w:t>million</w:t>
      </w:r>
      <w:r w:rsidRPr="008877E2">
        <w:rPr>
          <w:rFonts w:ascii="Arial" w:hAnsi="Arial" w:cs="Arial"/>
          <w:lang w:val="en-IE"/>
        </w:rPr>
        <w:t> </w:t>
      </w:r>
      <w:r w:rsidRPr="008877E2">
        <w:rPr>
          <w:lang w:val="en-IE"/>
        </w:rPr>
        <w:t>of EU funding invested so far</w:t>
      </w:r>
      <w:r>
        <w:rPr>
          <w:lang w:val="en-IE"/>
        </w:rPr>
        <w:t xml:space="preserve">. </w:t>
      </w:r>
    </w:p>
    <w:p w14:paraId="4C173B08" w14:textId="7CF11966" w:rsidR="001902EB" w:rsidRDefault="001902EB" w:rsidP="001902EB">
      <w:pPr>
        <w:rPr>
          <w:lang w:val="en-IE"/>
        </w:rPr>
      </w:pPr>
      <w:r w:rsidRPr="001510F1">
        <w:rPr>
          <w:rStyle w:val="Bold"/>
        </w:rPr>
        <w:t xml:space="preserve">To boost the competitiveness of regions most affected by decarbonisation efforts, the Commission also </w:t>
      </w:r>
      <w:r w:rsidR="00B524F8" w:rsidRPr="001510F1">
        <w:rPr>
          <w:rStyle w:val="Bold"/>
        </w:rPr>
        <w:t>relied on</w:t>
      </w:r>
      <w:r w:rsidRPr="001510F1">
        <w:rPr>
          <w:rStyle w:val="Bold"/>
        </w:rPr>
        <w:t xml:space="preserve"> </w:t>
      </w:r>
      <w:r w:rsidR="00B524F8" w:rsidRPr="001510F1">
        <w:rPr>
          <w:rStyle w:val="Bold"/>
        </w:rPr>
        <w:t xml:space="preserve">the </w:t>
      </w:r>
      <w:r w:rsidRPr="001510F1">
        <w:rPr>
          <w:rStyle w:val="Bold"/>
        </w:rPr>
        <w:t xml:space="preserve">Just Transition </w:t>
      </w:r>
      <w:r w:rsidR="000737BC">
        <w:rPr>
          <w:rStyle w:val="Bold"/>
        </w:rPr>
        <w:t>Mechanism</w:t>
      </w:r>
      <w:r w:rsidRPr="001510F1">
        <w:rPr>
          <w:rStyle w:val="Bold"/>
        </w:rPr>
        <w:t>.</w:t>
      </w:r>
      <w:r w:rsidRPr="008877E2">
        <w:rPr>
          <w:lang w:val="en-IE"/>
        </w:rPr>
        <w:t xml:space="preserve"> </w:t>
      </w:r>
      <w:r w:rsidR="00220849">
        <w:rPr>
          <w:lang w:val="en-IE"/>
        </w:rPr>
        <w:t>By</w:t>
      </w:r>
      <w:r w:rsidRPr="008877E2">
        <w:rPr>
          <w:lang w:val="en-IE"/>
        </w:rPr>
        <w:t xml:space="preserve"> the end of 2025, </w:t>
      </w:r>
      <w:r w:rsidR="00000EF5" w:rsidRPr="5D55E4DC">
        <w:rPr>
          <w:lang w:val="en-IE"/>
        </w:rPr>
        <w:t>58.4% of the total budget of the Just Transition Fund (EUR</w:t>
      </w:r>
      <w:r w:rsidR="00DE0F7D">
        <w:rPr>
          <w:rFonts w:ascii="Calibri" w:hAnsi="Calibri" w:cs="Calibri"/>
          <w:lang w:val="en-IE"/>
        </w:rPr>
        <w:t> </w:t>
      </w:r>
      <w:r w:rsidR="00000EF5" w:rsidRPr="5D55E4DC">
        <w:rPr>
          <w:lang w:val="en-IE"/>
        </w:rPr>
        <w:t>15.45</w:t>
      </w:r>
      <w:r w:rsidR="00DE0F7D">
        <w:rPr>
          <w:rFonts w:ascii="Calibri" w:hAnsi="Calibri" w:cs="Calibri"/>
          <w:lang w:val="en-IE"/>
        </w:rPr>
        <w:t> </w:t>
      </w:r>
      <w:r w:rsidR="00000EF5" w:rsidRPr="5D55E4DC">
        <w:rPr>
          <w:lang w:val="en-IE"/>
        </w:rPr>
        <w:t>billion), the 1</w:t>
      </w:r>
      <w:r w:rsidR="00000EF5" w:rsidRPr="00FE0257">
        <w:rPr>
          <w:lang w:val="en-IE"/>
        </w:rPr>
        <w:t>st</w:t>
      </w:r>
      <w:r w:rsidR="00000EF5" w:rsidRPr="5D55E4DC">
        <w:rPr>
          <w:lang w:val="en-IE"/>
        </w:rPr>
        <w:t xml:space="preserve"> pillar of the </w:t>
      </w:r>
      <w:r w:rsidR="00375D12">
        <w:rPr>
          <w:lang w:val="en-IE"/>
        </w:rPr>
        <w:t>mechanism</w:t>
      </w:r>
      <w:r w:rsidR="00000EF5" w:rsidRPr="5D55E4DC">
        <w:rPr>
          <w:lang w:val="en-IE"/>
        </w:rPr>
        <w:t>, was allocated to selected projects. Under</w:t>
      </w:r>
      <w:r w:rsidR="00375D12">
        <w:rPr>
          <w:lang w:val="en-IE"/>
        </w:rPr>
        <w:t xml:space="preserve"> </w:t>
      </w:r>
      <w:r w:rsidR="00DE0F7D">
        <w:rPr>
          <w:lang w:val="en-IE"/>
        </w:rPr>
        <w:t>the</w:t>
      </w:r>
      <w:r w:rsidR="00375D12">
        <w:rPr>
          <w:lang w:val="en-IE"/>
        </w:rPr>
        <w:t xml:space="preserve"> mechanism’s</w:t>
      </w:r>
      <w:r w:rsidR="00000EF5" w:rsidRPr="5D55E4DC">
        <w:rPr>
          <w:lang w:val="en-IE"/>
        </w:rPr>
        <w:t xml:space="preserve"> 2</w:t>
      </w:r>
      <w:r w:rsidR="00000EF5" w:rsidRPr="00FE0257">
        <w:rPr>
          <w:lang w:val="en-IE"/>
        </w:rPr>
        <w:t>nd</w:t>
      </w:r>
      <w:r w:rsidR="00000EF5" w:rsidRPr="5D55E4DC">
        <w:rPr>
          <w:lang w:val="en-IE"/>
        </w:rPr>
        <w:t xml:space="preserve"> pillar</w:t>
      </w:r>
      <w:r w:rsidR="00375D12">
        <w:rPr>
          <w:lang w:val="en-IE"/>
        </w:rPr>
        <w:t>,</w:t>
      </w:r>
      <w:r w:rsidR="00000EF5" w:rsidRPr="5D55E4DC">
        <w:rPr>
          <w:lang w:val="en-IE"/>
        </w:rPr>
        <w:t xml:space="preserve"> </w:t>
      </w:r>
      <w:r w:rsidRPr="008877E2">
        <w:rPr>
          <w:lang w:val="en-IE"/>
        </w:rPr>
        <w:t>the</w:t>
      </w:r>
      <w:r w:rsidRPr="008877E2">
        <w:rPr>
          <w:rFonts w:ascii="Arial" w:hAnsi="Arial" w:cs="Arial"/>
          <w:lang w:val="en-IE"/>
        </w:rPr>
        <w:t> </w:t>
      </w:r>
      <w:r w:rsidRPr="008877E2">
        <w:rPr>
          <w:lang w:val="en-IE"/>
        </w:rPr>
        <w:t>InvestEU</w:t>
      </w:r>
      <w:r w:rsidRPr="008877E2">
        <w:rPr>
          <w:rFonts w:ascii="Arial" w:hAnsi="Arial" w:cs="Arial"/>
          <w:lang w:val="en-IE"/>
        </w:rPr>
        <w:t> </w:t>
      </w:r>
      <w:r w:rsidRPr="008877E2">
        <w:rPr>
          <w:lang w:val="en-IE"/>
        </w:rPr>
        <w:t>Fund implementing partners reported a total of EUR</w:t>
      </w:r>
      <w:r w:rsidRPr="008877E2">
        <w:rPr>
          <w:rFonts w:ascii="Arial" w:hAnsi="Arial" w:cs="Arial"/>
          <w:lang w:val="en-IE"/>
        </w:rPr>
        <w:t> </w:t>
      </w:r>
      <w:r w:rsidRPr="008877E2">
        <w:rPr>
          <w:lang w:val="en-IE"/>
        </w:rPr>
        <w:t>9.13</w:t>
      </w:r>
      <w:r w:rsidR="00B401C8">
        <w:rPr>
          <w:rFonts w:ascii="Calibri" w:hAnsi="Calibri" w:cs="Calibri"/>
          <w:noProof/>
          <w:lang w:val="en-IE" w:eastAsia="en-IE"/>
        </w:rPr>
        <w:t> </w:t>
      </w:r>
      <w:r w:rsidRPr="008877E2">
        <w:rPr>
          <w:lang w:val="en-IE"/>
        </w:rPr>
        <w:t>billion</w:t>
      </w:r>
      <w:r w:rsidRPr="008877E2">
        <w:rPr>
          <w:rFonts w:ascii="Arial" w:hAnsi="Arial" w:cs="Arial"/>
          <w:lang w:val="en-IE"/>
        </w:rPr>
        <w:t> </w:t>
      </w:r>
      <w:r w:rsidRPr="008877E2">
        <w:rPr>
          <w:lang w:val="en-IE"/>
        </w:rPr>
        <w:t>of investment mobilised by</w:t>
      </w:r>
      <w:r w:rsidR="00505F17">
        <w:rPr>
          <w:lang w:val="en-IE"/>
        </w:rPr>
        <w:t xml:space="preserve"> its</w:t>
      </w:r>
      <w:r w:rsidRPr="008877E2">
        <w:rPr>
          <w:lang w:val="en-IE"/>
        </w:rPr>
        <w:t xml:space="preserve"> operations. </w:t>
      </w:r>
      <w:r w:rsidR="00B87408" w:rsidRPr="5D55E4DC">
        <w:rPr>
          <w:lang w:val="en-IE"/>
        </w:rPr>
        <w:t xml:space="preserve">Moreover, the Public Sector Loan Facility, the </w:t>
      </w:r>
      <w:r w:rsidR="00DE0F7D">
        <w:rPr>
          <w:lang w:val="en-IE"/>
        </w:rPr>
        <w:t>3rd</w:t>
      </w:r>
      <w:r w:rsidR="00B87408" w:rsidRPr="5D55E4DC">
        <w:rPr>
          <w:lang w:val="en-IE"/>
        </w:rPr>
        <w:t xml:space="preserve"> pillar of the </w:t>
      </w:r>
      <w:r w:rsidR="00B87408">
        <w:rPr>
          <w:lang w:val="en-IE"/>
        </w:rPr>
        <w:t>Just Transition Mechanism</w:t>
      </w:r>
      <w:r w:rsidR="00B87408" w:rsidRPr="5D55E4DC">
        <w:rPr>
          <w:lang w:val="en-IE"/>
        </w:rPr>
        <w:t xml:space="preserve">, provided support via a combination of European Investment Bank loans and grants from the </w:t>
      </w:r>
      <w:r w:rsidR="00DE0F7D">
        <w:rPr>
          <w:lang w:val="en-IE"/>
        </w:rPr>
        <w:t>E</w:t>
      </w:r>
      <w:r w:rsidR="00B87408" w:rsidRPr="5D55E4DC">
        <w:rPr>
          <w:lang w:val="en-IE"/>
        </w:rPr>
        <w:t>U budget, which in 2025 amounted to EUR</w:t>
      </w:r>
      <w:r w:rsidR="009C12DF">
        <w:rPr>
          <w:rFonts w:ascii="Calibri" w:hAnsi="Calibri" w:cs="Calibri"/>
          <w:lang w:val="en-IE"/>
        </w:rPr>
        <w:t> </w:t>
      </w:r>
      <w:r w:rsidR="00B87408" w:rsidRPr="5D55E4DC">
        <w:rPr>
          <w:lang w:val="en-IE"/>
        </w:rPr>
        <w:t>679</w:t>
      </w:r>
      <w:r w:rsidR="009C12DF">
        <w:rPr>
          <w:rFonts w:ascii="Calibri" w:hAnsi="Calibri" w:cs="Calibri"/>
          <w:lang w:val="en-IE"/>
        </w:rPr>
        <w:t> </w:t>
      </w:r>
      <w:r w:rsidR="00B87408" w:rsidRPr="5D55E4DC">
        <w:rPr>
          <w:lang w:val="en-IE"/>
        </w:rPr>
        <w:t>million, supporting investments worth EUR</w:t>
      </w:r>
      <w:r w:rsidR="009C12DF">
        <w:rPr>
          <w:rFonts w:ascii="Calibri" w:hAnsi="Calibri" w:cs="Calibri"/>
          <w:lang w:val="en-IE"/>
        </w:rPr>
        <w:t> </w:t>
      </w:r>
      <w:r w:rsidR="00B87408" w:rsidRPr="5D55E4DC">
        <w:rPr>
          <w:lang w:val="en-IE"/>
        </w:rPr>
        <w:t>868</w:t>
      </w:r>
      <w:r w:rsidR="009C12DF">
        <w:rPr>
          <w:rFonts w:ascii="Calibri" w:hAnsi="Calibri" w:cs="Calibri"/>
          <w:lang w:val="en-IE"/>
        </w:rPr>
        <w:t> </w:t>
      </w:r>
      <w:r w:rsidR="00B87408" w:rsidRPr="5D55E4DC">
        <w:rPr>
          <w:lang w:val="en-IE"/>
        </w:rPr>
        <w:t xml:space="preserve">million. </w:t>
      </w:r>
      <w:r w:rsidRPr="008877E2">
        <w:rPr>
          <w:lang w:val="en-IE"/>
        </w:rPr>
        <w:t>The</w:t>
      </w:r>
      <w:r w:rsidR="0019510B">
        <w:rPr>
          <w:lang w:val="en-IE"/>
        </w:rPr>
        <w:t xml:space="preserve"> mechanism supported </w:t>
      </w:r>
      <w:r w:rsidRPr="008877E2" w:rsidDel="00F77619">
        <w:rPr>
          <w:lang w:val="en-IE"/>
        </w:rPr>
        <w:t>projects</w:t>
      </w:r>
      <w:r w:rsidRPr="008877E2">
        <w:rPr>
          <w:lang w:val="en-IE"/>
        </w:rPr>
        <w:t xml:space="preserve"> </w:t>
      </w:r>
      <w:r w:rsidR="006320DF">
        <w:rPr>
          <w:lang w:val="en-IE"/>
        </w:rPr>
        <w:t xml:space="preserve">such as </w:t>
      </w:r>
      <w:r w:rsidR="00957DE4">
        <w:rPr>
          <w:lang w:val="en-IE"/>
        </w:rPr>
        <w:t>a university hospital in Spain</w:t>
      </w:r>
      <w:r w:rsidR="005874DC" w:rsidRPr="00B82D15">
        <w:rPr>
          <w:rFonts w:ascii="Calibri" w:hAnsi="Calibri" w:cs="Calibri"/>
          <w:color w:val="003399" w:themeColor="text2"/>
          <w:lang w:val="en-IE"/>
        </w:rPr>
        <w:t> </w:t>
      </w:r>
      <w:r w:rsidR="005874DC" w:rsidRPr="009021D7">
        <w:rPr>
          <w:color w:val="003399" w:themeColor="text2"/>
          <w:lang w:val="en-IE"/>
        </w:rPr>
        <w:t>(</w:t>
      </w:r>
      <w:r w:rsidR="005874DC">
        <w:rPr>
          <w:rStyle w:val="FootnoteReference"/>
          <w:lang w:val="en-IE"/>
        </w:rPr>
        <w:footnoteReference w:id="23"/>
      </w:r>
      <w:r w:rsidR="005874DC">
        <w:rPr>
          <w:lang w:val="en-IE"/>
        </w:rPr>
        <w:t>)</w:t>
      </w:r>
      <w:r w:rsidR="00957DE4">
        <w:rPr>
          <w:lang w:val="en-IE"/>
        </w:rPr>
        <w:t xml:space="preserve"> and a </w:t>
      </w:r>
      <w:r w:rsidR="005874DC">
        <w:rPr>
          <w:lang w:val="en-IE"/>
        </w:rPr>
        <w:t xml:space="preserve">rare-earth </w:t>
      </w:r>
      <w:r w:rsidR="00957DE4">
        <w:rPr>
          <w:lang w:val="en-IE"/>
        </w:rPr>
        <w:t xml:space="preserve">magnet factory </w:t>
      </w:r>
      <w:r w:rsidR="005874DC">
        <w:rPr>
          <w:lang w:val="en-IE"/>
        </w:rPr>
        <w:t xml:space="preserve">in </w:t>
      </w:r>
      <w:r w:rsidR="00065894">
        <w:rPr>
          <w:lang w:val="en-IE"/>
        </w:rPr>
        <w:t>Estonia</w:t>
      </w:r>
      <w:r w:rsidR="005874DC" w:rsidRPr="00B82D15">
        <w:rPr>
          <w:rFonts w:ascii="Calibri" w:hAnsi="Calibri" w:cs="Calibri"/>
          <w:color w:val="003399" w:themeColor="text2"/>
          <w:lang w:val="en-IE"/>
        </w:rPr>
        <w:t> </w:t>
      </w:r>
      <w:r w:rsidR="005874DC" w:rsidRPr="00124750">
        <w:rPr>
          <w:color w:val="003399" w:themeColor="text2"/>
          <w:lang w:val="en-IE"/>
        </w:rPr>
        <w:t>(</w:t>
      </w:r>
      <w:r w:rsidR="005874DC">
        <w:rPr>
          <w:rStyle w:val="FootnoteReference"/>
          <w:lang w:val="en-IE"/>
        </w:rPr>
        <w:footnoteReference w:id="24"/>
      </w:r>
      <w:r w:rsidR="005874DC">
        <w:rPr>
          <w:lang w:val="en-IE"/>
        </w:rPr>
        <w:t>).</w:t>
      </w:r>
      <w:r w:rsidR="007445A1">
        <w:rPr>
          <w:lang w:val="en-IE"/>
        </w:rPr>
        <w:t xml:space="preserve"> Moreover,</w:t>
      </w:r>
      <w:r w:rsidR="00F30E47">
        <w:rPr>
          <w:lang w:val="en-IE"/>
        </w:rPr>
        <w:t xml:space="preserve"> </w:t>
      </w:r>
      <w:r w:rsidR="00CD0881">
        <w:rPr>
          <w:lang w:val="en-IE"/>
        </w:rPr>
        <w:t>t</w:t>
      </w:r>
      <w:r w:rsidR="009A0B2D" w:rsidRPr="008877E2">
        <w:rPr>
          <w:lang w:val="en-IE"/>
        </w:rPr>
        <w:t>he Public Sector Loan Facility pillar of the Just Transition Mechanism</w:t>
      </w:r>
      <w:r w:rsidRPr="008877E2">
        <w:rPr>
          <w:lang w:val="en-IE"/>
        </w:rPr>
        <w:t xml:space="preserve"> provide</w:t>
      </w:r>
      <w:r w:rsidR="00E84244">
        <w:rPr>
          <w:lang w:val="en-IE"/>
        </w:rPr>
        <w:t>d</w:t>
      </w:r>
      <w:r w:rsidRPr="008877E2">
        <w:rPr>
          <w:lang w:val="en-IE"/>
        </w:rPr>
        <w:t xml:space="preserve"> vital support to public authorities in regions facing socio-economic challenges from the transition to climate neutrality</w:t>
      </w:r>
      <w:r w:rsidR="00EE2BC2">
        <w:rPr>
          <w:lang w:val="en-IE"/>
        </w:rPr>
        <w:t>, via</w:t>
      </w:r>
      <w:r w:rsidRPr="008877E2">
        <w:rPr>
          <w:lang w:val="en-IE"/>
        </w:rPr>
        <w:t xml:space="preserve"> a combination of European Investment Bank loans and </w:t>
      </w:r>
      <w:r w:rsidR="002F0FF6">
        <w:rPr>
          <w:lang w:val="en-IE"/>
        </w:rPr>
        <w:t xml:space="preserve">grants from the </w:t>
      </w:r>
      <w:r w:rsidR="003C0BB8">
        <w:rPr>
          <w:lang w:val="en-IE"/>
        </w:rPr>
        <w:t>E</w:t>
      </w:r>
      <w:r w:rsidR="00F15493">
        <w:rPr>
          <w:lang w:val="en-IE"/>
        </w:rPr>
        <w:t>U budget</w:t>
      </w:r>
      <w:r w:rsidRPr="008877E2">
        <w:rPr>
          <w:lang w:val="en-IE"/>
        </w:rPr>
        <w:t>, which in 2025 amounted to EUR</w:t>
      </w:r>
      <w:r w:rsidR="000F6AF7">
        <w:rPr>
          <w:rFonts w:ascii="Calibri" w:hAnsi="Calibri" w:cs="Calibri"/>
          <w:noProof/>
          <w:lang w:val="en-IE" w:eastAsia="en-IE"/>
        </w:rPr>
        <w:t> </w:t>
      </w:r>
      <w:r w:rsidRPr="008877E2">
        <w:rPr>
          <w:lang w:val="en-IE"/>
        </w:rPr>
        <w:t>86</w:t>
      </w:r>
      <w:r w:rsidR="000F6AF7">
        <w:rPr>
          <w:rFonts w:ascii="Calibri" w:hAnsi="Calibri" w:cs="Calibri"/>
          <w:noProof/>
          <w:lang w:val="en-IE" w:eastAsia="en-IE"/>
        </w:rPr>
        <w:t> </w:t>
      </w:r>
      <w:r w:rsidRPr="008877E2">
        <w:rPr>
          <w:lang w:val="en-IE"/>
        </w:rPr>
        <w:t>million, supporting investments worth EUR</w:t>
      </w:r>
      <w:r w:rsidR="000F6AF7">
        <w:rPr>
          <w:rFonts w:ascii="Calibri" w:hAnsi="Calibri" w:cs="Calibri"/>
          <w:noProof/>
          <w:lang w:val="en-IE" w:eastAsia="en-IE"/>
        </w:rPr>
        <w:t> </w:t>
      </w:r>
      <w:r w:rsidRPr="008877E2">
        <w:rPr>
          <w:lang w:val="en-IE"/>
        </w:rPr>
        <w:t>868</w:t>
      </w:r>
      <w:r w:rsidR="000F6AF7">
        <w:rPr>
          <w:rFonts w:ascii="Calibri" w:hAnsi="Calibri" w:cs="Calibri"/>
          <w:noProof/>
          <w:lang w:val="en-IE" w:eastAsia="en-IE"/>
        </w:rPr>
        <w:t> </w:t>
      </w:r>
      <w:r w:rsidRPr="008877E2">
        <w:rPr>
          <w:lang w:val="en-IE"/>
        </w:rPr>
        <w:t>million.</w:t>
      </w:r>
    </w:p>
    <w:p w14:paraId="5D2B802A" w14:textId="383DEF24" w:rsidR="00E4693D" w:rsidRDefault="002B0C9C" w:rsidP="00E4693D">
      <w:pPr>
        <w:rPr>
          <w:noProof/>
          <w:lang w:eastAsia="en-IE"/>
        </w:rPr>
      </w:pPr>
      <w:r w:rsidRPr="00044241">
        <w:rPr>
          <w:rStyle w:val="Bold"/>
        </w:rPr>
        <w:t xml:space="preserve">The EU budget has also been supporting competitiveness via the </w:t>
      </w:r>
      <w:r w:rsidR="00E76AC0">
        <w:rPr>
          <w:rStyle w:val="Bold"/>
        </w:rPr>
        <w:t>d</w:t>
      </w:r>
      <w:r w:rsidRPr="00044241">
        <w:rPr>
          <w:rStyle w:val="Bold"/>
        </w:rPr>
        <w:t xml:space="preserve">igital Europe </w:t>
      </w:r>
      <w:r w:rsidR="00E76AC0">
        <w:rPr>
          <w:rStyle w:val="Bold"/>
        </w:rPr>
        <w:t>p</w:t>
      </w:r>
      <w:r w:rsidRPr="00044241">
        <w:rPr>
          <w:rStyle w:val="Bold"/>
        </w:rPr>
        <w:t>rogramme</w:t>
      </w:r>
      <w:r w:rsidR="006E1A17" w:rsidRPr="00044241">
        <w:rPr>
          <w:rStyle w:val="Bold"/>
        </w:rPr>
        <w:t xml:space="preserve">, </w:t>
      </w:r>
      <w:r w:rsidR="00E4693D" w:rsidRPr="00044241">
        <w:rPr>
          <w:rStyle w:val="Bold"/>
        </w:rPr>
        <w:t>helping to bring digital technology to citizens, businesses and public administrations</w:t>
      </w:r>
      <w:r w:rsidR="00E4693D" w:rsidRPr="00FE0257">
        <w:rPr>
          <w:b/>
          <w:lang w:eastAsia="en-IE"/>
        </w:rPr>
        <w:t>.</w:t>
      </w:r>
      <w:r w:rsidR="00E4693D">
        <w:rPr>
          <w:noProof/>
          <w:lang w:eastAsia="en-IE"/>
        </w:rPr>
        <w:t xml:space="preserve"> By the end of 2025, the </w:t>
      </w:r>
      <w:r w:rsidR="00C7025C">
        <w:rPr>
          <w:noProof/>
          <w:lang w:eastAsia="en-IE"/>
        </w:rPr>
        <w:t>p</w:t>
      </w:r>
      <w:r w:rsidR="00E4693D">
        <w:rPr>
          <w:noProof/>
          <w:lang w:eastAsia="en-IE"/>
        </w:rPr>
        <w:t>rogramme delivered achievements such as</w:t>
      </w:r>
      <w:r w:rsidR="0046356B">
        <w:rPr>
          <w:noProof/>
          <w:lang w:eastAsia="en-IE"/>
        </w:rPr>
        <w:t xml:space="preserve"> the following.</w:t>
      </w:r>
    </w:p>
    <w:p w14:paraId="7E04CAC9" w14:textId="376C7C0A" w:rsidR="00E5410C" w:rsidRDefault="00E4693D" w:rsidP="0041545A">
      <w:pPr>
        <w:pStyle w:val="ListBulletorangeLevel1"/>
        <w:rPr>
          <w:lang w:eastAsia="en-IE"/>
        </w:rPr>
      </w:pPr>
      <w:r>
        <w:rPr>
          <w:lang w:eastAsia="en-IE"/>
        </w:rPr>
        <w:t xml:space="preserve">19 AI factories started to be deployed in 16 Member </w:t>
      </w:r>
      <w:r w:rsidR="00F20ADB">
        <w:rPr>
          <w:lang w:eastAsia="en-IE"/>
        </w:rPr>
        <w:t>S</w:t>
      </w:r>
      <w:r>
        <w:rPr>
          <w:lang w:eastAsia="en-IE"/>
        </w:rPr>
        <w:t>tates</w:t>
      </w:r>
      <w:r w:rsidR="005B5BB1" w:rsidRPr="639A5B46">
        <w:rPr>
          <w:rFonts w:eastAsia="EC Square Sans Pro"/>
        </w:rPr>
        <w:t xml:space="preserve">, featuring the procurement of 15 new supercomputers </w:t>
      </w:r>
      <w:r w:rsidR="005B5BB1">
        <w:rPr>
          <w:rFonts w:eastAsia="EC Square Sans Pro"/>
        </w:rPr>
        <w:t>optimised for artificial intelligence</w:t>
      </w:r>
      <w:r w:rsidR="00BC3DB2">
        <w:rPr>
          <w:rFonts w:eastAsia="EC Square Sans Pro"/>
        </w:rPr>
        <w:t xml:space="preserve">, </w:t>
      </w:r>
      <w:r w:rsidR="005B5BB1" w:rsidRPr="639A5B46">
        <w:rPr>
          <w:rFonts w:eastAsia="EC Square Sans Pro"/>
        </w:rPr>
        <w:t xml:space="preserve">and one major system upgrade for a fivefold increase in the EU’s </w:t>
      </w:r>
      <w:r w:rsidR="00BC3DB2">
        <w:rPr>
          <w:rFonts w:eastAsia="EC Square Sans Pro"/>
        </w:rPr>
        <w:t>artificial intelligence</w:t>
      </w:r>
      <w:r w:rsidR="005B5BB1" w:rsidRPr="639A5B46">
        <w:rPr>
          <w:rFonts w:eastAsia="EC Square Sans Pro"/>
        </w:rPr>
        <w:t xml:space="preserve"> computing capacity.</w:t>
      </w:r>
      <w:r w:rsidR="005B5BB1">
        <w:rPr>
          <w:rFonts w:eastAsia="EC Square Sans Pro"/>
        </w:rPr>
        <w:t xml:space="preserve"> </w:t>
      </w:r>
      <w:r w:rsidR="00A04485">
        <w:rPr>
          <w:rFonts w:eastAsia="EC Square Sans Pro"/>
        </w:rPr>
        <w:t>Thirteen</w:t>
      </w:r>
      <w:r w:rsidR="005B5BB1" w:rsidRPr="000321E7">
        <w:rPr>
          <w:rFonts w:eastAsia="EC Square Sans Pro"/>
        </w:rPr>
        <w:t xml:space="preserve"> AI Factory Antennas were also selected to </w:t>
      </w:r>
      <w:r w:rsidR="005B5BB1" w:rsidRPr="639A5B46">
        <w:rPr>
          <w:rFonts w:eastAsia="EC Square Sans Pro"/>
        </w:rPr>
        <w:t>e</w:t>
      </w:r>
      <w:r w:rsidR="005B5BB1" w:rsidRPr="000321E7">
        <w:rPr>
          <w:rFonts w:eastAsia="EC Square Sans Pro"/>
        </w:rPr>
        <w:t>xtend AI Factory services to SMEs, startups, local research bodies, and public institutions</w:t>
      </w:r>
      <w:r w:rsidR="005B5BB1" w:rsidRPr="639A5B46">
        <w:rPr>
          <w:rFonts w:eastAsia="EC Square Sans Pro"/>
        </w:rPr>
        <w:t xml:space="preserve"> across Europe</w:t>
      </w:r>
      <w:r w:rsidR="0046356B" w:rsidRPr="639A5B46" w:rsidDel="005B5BB1">
        <w:rPr>
          <w:rFonts w:eastAsia="EC Square Sans Pro"/>
        </w:rPr>
        <w:t>.</w:t>
      </w:r>
    </w:p>
    <w:p w14:paraId="7CFA89B8" w14:textId="3347C3A3" w:rsidR="009B18B4" w:rsidRDefault="009B190E" w:rsidP="0041545A">
      <w:pPr>
        <w:pStyle w:val="ListBulletorangeLevel1"/>
        <w:rPr>
          <w:rFonts w:eastAsia="EC Square Sans Pro"/>
        </w:rPr>
      </w:pPr>
      <w:r>
        <w:rPr>
          <w:rFonts w:eastAsia="EC Square Sans Pro"/>
        </w:rPr>
        <w:t xml:space="preserve">Conclusion of </w:t>
      </w:r>
      <w:r w:rsidR="00427CD5">
        <w:rPr>
          <w:rFonts w:eastAsia="EC Square Sans Pro"/>
        </w:rPr>
        <w:t xml:space="preserve">contracts for </w:t>
      </w:r>
      <w:r w:rsidR="00855436">
        <w:rPr>
          <w:rFonts w:eastAsia="EC Square Sans Pro"/>
        </w:rPr>
        <w:t xml:space="preserve">three </w:t>
      </w:r>
      <w:r w:rsidR="00427CD5">
        <w:rPr>
          <w:rFonts w:eastAsia="EC Square Sans Pro"/>
        </w:rPr>
        <w:t>new supercomputers (</w:t>
      </w:r>
      <w:r w:rsidR="009B18B4" w:rsidRPr="478F62F3">
        <w:rPr>
          <w:rFonts w:eastAsia="EC Square Sans Pro"/>
        </w:rPr>
        <w:t>Daedalus</w:t>
      </w:r>
      <w:r w:rsidR="00855436">
        <w:rPr>
          <w:rFonts w:eastAsia="EC Square Sans Pro"/>
        </w:rPr>
        <w:t xml:space="preserve"> in </w:t>
      </w:r>
      <w:r w:rsidR="009B18B4" w:rsidRPr="478F62F3">
        <w:rPr>
          <w:rFonts w:eastAsia="EC Square Sans Pro"/>
        </w:rPr>
        <w:t>Greece</w:t>
      </w:r>
      <w:r w:rsidR="00855436">
        <w:rPr>
          <w:rFonts w:eastAsia="EC Square Sans Pro"/>
        </w:rPr>
        <w:t>;</w:t>
      </w:r>
      <w:r w:rsidR="009B18B4" w:rsidRPr="478F62F3">
        <w:rPr>
          <w:rFonts w:eastAsia="EC Square Sans Pro"/>
        </w:rPr>
        <w:t xml:space="preserve"> Arrhenius</w:t>
      </w:r>
      <w:r w:rsidR="00855436">
        <w:rPr>
          <w:rFonts w:eastAsia="EC Square Sans Pro"/>
        </w:rPr>
        <w:t xml:space="preserve"> in Sweden</w:t>
      </w:r>
      <w:r w:rsidR="009B18B4" w:rsidRPr="478F62F3">
        <w:rPr>
          <w:rFonts w:eastAsia="EC Square Sans Pro"/>
        </w:rPr>
        <w:t xml:space="preserve"> and Alice Recoque</w:t>
      </w:r>
      <w:r w:rsidR="00855436">
        <w:rPr>
          <w:rFonts w:eastAsia="EC Square Sans Pro"/>
        </w:rPr>
        <w:t xml:space="preserve"> in France</w:t>
      </w:r>
      <w:r w:rsidR="009B18B4" w:rsidRPr="478F62F3">
        <w:rPr>
          <w:rFonts w:eastAsia="EC Square Sans Pro"/>
        </w:rPr>
        <w:t>)</w:t>
      </w:r>
      <w:r w:rsidR="00855436">
        <w:rPr>
          <w:rFonts w:eastAsia="EC Square Sans Pro"/>
        </w:rPr>
        <w:t>,</w:t>
      </w:r>
      <w:r w:rsidR="009B18B4" w:rsidRPr="478F62F3">
        <w:rPr>
          <w:rFonts w:eastAsia="EC Square Sans Pro"/>
        </w:rPr>
        <w:t xml:space="preserve"> a</w:t>
      </w:r>
      <w:r w:rsidR="00D14F5E">
        <w:rPr>
          <w:rFonts w:eastAsia="EC Square Sans Pro"/>
        </w:rPr>
        <w:t>long with</w:t>
      </w:r>
      <w:r w:rsidR="009B18B4" w:rsidRPr="478F62F3">
        <w:rPr>
          <w:rFonts w:eastAsia="EC Square Sans Pro"/>
        </w:rPr>
        <w:t xml:space="preserve"> upgrades of </w:t>
      </w:r>
      <w:r w:rsidR="00855436">
        <w:rPr>
          <w:rFonts w:eastAsia="EC Square Sans Pro"/>
        </w:rPr>
        <w:t>existing ones (</w:t>
      </w:r>
      <w:r w:rsidR="009B18B4" w:rsidRPr="478F62F3">
        <w:rPr>
          <w:rFonts w:eastAsia="EC Square Sans Pro"/>
        </w:rPr>
        <w:t>L</w:t>
      </w:r>
      <w:r w:rsidR="00F83F7E">
        <w:rPr>
          <w:rFonts w:eastAsia="EC Square Sans Pro"/>
        </w:rPr>
        <w:t>eonardo</w:t>
      </w:r>
      <w:r w:rsidR="009B18B4" w:rsidRPr="478F62F3">
        <w:rPr>
          <w:rFonts w:eastAsia="EC Square Sans Pro"/>
        </w:rPr>
        <w:t xml:space="preserve"> to L</w:t>
      </w:r>
      <w:r w:rsidR="00F83F7E">
        <w:rPr>
          <w:rFonts w:eastAsia="EC Square Sans Pro"/>
        </w:rPr>
        <w:t>isa</w:t>
      </w:r>
      <w:r w:rsidR="00855436">
        <w:rPr>
          <w:rFonts w:eastAsia="EC Square Sans Pro"/>
        </w:rPr>
        <w:t xml:space="preserve"> in Italy; </w:t>
      </w:r>
      <w:r w:rsidR="009B18B4" w:rsidRPr="478F62F3">
        <w:rPr>
          <w:rFonts w:eastAsia="EC Square Sans Pro"/>
        </w:rPr>
        <w:t>Discoverer to Discoverer+</w:t>
      </w:r>
      <w:r>
        <w:rPr>
          <w:rFonts w:eastAsia="EC Square Sans Pro"/>
        </w:rPr>
        <w:t xml:space="preserve"> in Bulgaria)</w:t>
      </w:r>
      <w:r w:rsidR="009B18B4" w:rsidRPr="478F62F3">
        <w:rPr>
          <w:rFonts w:eastAsia="EC Square Sans Pro"/>
        </w:rPr>
        <w:t>.</w:t>
      </w:r>
    </w:p>
    <w:p w14:paraId="3282659C" w14:textId="3356237C" w:rsidR="009B18B4" w:rsidRDefault="009B190E" w:rsidP="0041545A">
      <w:pPr>
        <w:pStyle w:val="ListBulletorangeLevel1"/>
        <w:rPr>
          <w:rFonts w:eastAsia="EC Square Sans Pro"/>
        </w:rPr>
      </w:pPr>
      <w:r>
        <w:rPr>
          <w:rFonts w:eastAsia="EC Square Sans Pro"/>
        </w:rPr>
        <w:t>J</w:t>
      </w:r>
      <w:r w:rsidR="006804D6">
        <w:rPr>
          <w:rFonts w:eastAsia="EC Square Sans Pro"/>
        </w:rPr>
        <w:t>upiter</w:t>
      </w:r>
      <w:r>
        <w:rPr>
          <w:rFonts w:eastAsia="EC Square Sans Pro"/>
        </w:rPr>
        <w:t>, the EU’s</w:t>
      </w:r>
      <w:r w:rsidR="009B18B4" w:rsidRPr="4F3E7B79">
        <w:rPr>
          <w:rFonts w:eastAsia="EC Square Sans Pro"/>
        </w:rPr>
        <w:t xml:space="preserve"> first EU exascale supercomputer</w:t>
      </w:r>
      <w:r>
        <w:rPr>
          <w:rFonts w:eastAsia="EC Square Sans Pro"/>
        </w:rPr>
        <w:t>,</w:t>
      </w:r>
      <w:r w:rsidR="009B18B4" w:rsidRPr="4F3E7B79">
        <w:rPr>
          <w:rFonts w:eastAsia="EC Square Sans Pro"/>
        </w:rPr>
        <w:t xml:space="preserve"> reached its full performance of one </w:t>
      </w:r>
      <w:r w:rsidR="009B18B4">
        <w:rPr>
          <w:rFonts w:eastAsia="EC Square Sans Pro"/>
        </w:rPr>
        <w:t>e</w:t>
      </w:r>
      <w:r w:rsidR="009B18B4" w:rsidRPr="4F3E7B79">
        <w:rPr>
          <w:rFonts w:eastAsia="EC Square Sans Pro"/>
        </w:rPr>
        <w:t>xa</w:t>
      </w:r>
      <w:r w:rsidR="009204DD">
        <w:rPr>
          <w:rFonts w:eastAsia="EC Square Sans Pro"/>
        </w:rPr>
        <w:t>flop</w:t>
      </w:r>
      <w:r w:rsidR="009B18B4" w:rsidRPr="4F3E7B79">
        <w:rPr>
          <w:rFonts w:eastAsia="EC Square Sans Pro"/>
        </w:rPr>
        <w:t>, or more than 1</w:t>
      </w:r>
      <w:r w:rsidR="004251FD">
        <w:rPr>
          <w:rFonts w:ascii="Calibri" w:eastAsia="EC Square Sans Pro" w:hAnsi="Calibri" w:cs="Calibri"/>
        </w:rPr>
        <w:t> </w:t>
      </w:r>
      <w:r w:rsidR="009B18B4" w:rsidRPr="3537BD79">
        <w:rPr>
          <w:rFonts w:eastAsia="EC Square Sans Pro"/>
        </w:rPr>
        <w:t>quintillion</w:t>
      </w:r>
      <w:r w:rsidR="009B18B4" w:rsidRPr="4F3E7B79">
        <w:rPr>
          <w:rFonts w:eastAsia="EC Square Sans Pro"/>
        </w:rPr>
        <w:t xml:space="preserve"> operations per second</w:t>
      </w:r>
      <w:r w:rsidR="009B18B4">
        <w:rPr>
          <w:rFonts w:eastAsia="EC Square Sans Pro"/>
        </w:rPr>
        <w:t>.</w:t>
      </w:r>
    </w:p>
    <w:p w14:paraId="4F80DE9F" w14:textId="27210211" w:rsidR="009B18B4" w:rsidRDefault="009B18B4" w:rsidP="0041545A">
      <w:pPr>
        <w:pStyle w:val="ListBulletorangeLevel1"/>
        <w:rPr>
          <w:rFonts w:eastAsia="EC Square Sans Pro"/>
        </w:rPr>
      </w:pPr>
      <w:r>
        <w:rPr>
          <w:rFonts w:eastAsia="EC Square Sans Pro"/>
        </w:rPr>
        <w:t xml:space="preserve">The </w:t>
      </w:r>
      <w:r w:rsidRPr="4F3E7B79">
        <w:rPr>
          <w:rFonts w:eastAsia="EC Square Sans Pro"/>
        </w:rPr>
        <w:t xml:space="preserve">EuroHPC </w:t>
      </w:r>
      <w:r>
        <w:rPr>
          <w:rFonts w:eastAsia="EC Square Sans Pro"/>
        </w:rPr>
        <w:t>J</w:t>
      </w:r>
      <w:r w:rsidRPr="4F3E7B79">
        <w:rPr>
          <w:rFonts w:eastAsia="EC Square Sans Pro"/>
        </w:rPr>
        <w:t xml:space="preserve">oint </w:t>
      </w:r>
      <w:r>
        <w:rPr>
          <w:rFonts w:eastAsia="EC Square Sans Pro"/>
        </w:rPr>
        <w:t>U</w:t>
      </w:r>
      <w:r w:rsidRPr="4F3E7B79">
        <w:rPr>
          <w:rFonts w:eastAsia="EC Square Sans Pro"/>
        </w:rPr>
        <w:t xml:space="preserve">ndertaking procured 6 quantum computers, of which 2 were inaugurated in 2025, and 2 additional analogue quantum simulators were inaugurated under the HPCQS </w:t>
      </w:r>
      <w:r w:rsidR="00BF5082">
        <w:rPr>
          <w:rFonts w:eastAsia="EC Square Sans Pro"/>
        </w:rPr>
        <w:t>(</w:t>
      </w:r>
      <w:r w:rsidR="00BF5082" w:rsidRPr="002B7C88">
        <w:rPr>
          <w:rFonts w:eastAsia="EC Square Sans Pro"/>
        </w:rPr>
        <w:t>h</w:t>
      </w:r>
      <w:r w:rsidR="00BF5082" w:rsidRPr="00FE0257">
        <w:rPr>
          <w:rFonts w:eastAsia="EC Square Sans Pro"/>
        </w:rPr>
        <w:t xml:space="preserve">igh </w:t>
      </w:r>
      <w:r w:rsidR="00BF5082" w:rsidRPr="002B7C88">
        <w:rPr>
          <w:rFonts w:eastAsia="EC Square Sans Pro"/>
        </w:rPr>
        <w:t>p</w:t>
      </w:r>
      <w:r w:rsidR="00BF5082" w:rsidRPr="00FE0257">
        <w:rPr>
          <w:rFonts w:eastAsia="EC Square Sans Pro"/>
        </w:rPr>
        <w:t xml:space="preserve">erformance </w:t>
      </w:r>
      <w:r w:rsidR="00BF5082" w:rsidRPr="002B7C88">
        <w:rPr>
          <w:rFonts w:eastAsia="EC Square Sans Pro"/>
        </w:rPr>
        <w:t>c</w:t>
      </w:r>
      <w:r w:rsidR="00BF5082" w:rsidRPr="00FE0257">
        <w:rPr>
          <w:rFonts w:eastAsia="EC Square Sans Pro"/>
        </w:rPr>
        <w:t>omputer</w:t>
      </w:r>
      <w:r w:rsidR="00BF5082" w:rsidRPr="00172088">
        <w:rPr>
          <w:rFonts w:ascii="Calibri" w:eastAsia="EC Square Sans Pro" w:hAnsi="Calibri" w:cs="Calibri"/>
        </w:rPr>
        <w:t> </w:t>
      </w:r>
      <w:r w:rsidR="00BF5082" w:rsidRPr="00FE0257">
        <w:rPr>
          <w:rFonts w:eastAsia="EC Square Sans Pro" w:hint="eastAsia"/>
        </w:rPr>
        <w:t>–</w:t>
      </w:r>
      <w:r w:rsidR="00BF5082" w:rsidRPr="00FE0257">
        <w:rPr>
          <w:rFonts w:eastAsia="EC Square Sans Pro"/>
        </w:rPr>
        <w:t xml:space="preserve"> </w:t>
      </w:r>
      <w:r w:rsidR="00BF5082" w:rsidRPr="002B7C88">
        <w:rPr>
          <w:rFonts w:eastAsia="EC Square Sans Pro"/>
        </w:rPr>
        <w:t>q</w:t>
      </w:r>
      <w:r w:rsidR="00BF5082" w:rsidRPr="00FE0257">
        <w:rPr>
          <w:rFonts w:eastAsia="EC Square Sans Pro"/>
        </w:rPr>
        <w:t xml:space="preserve">uantum </w:t>
      </w:r>
      <w:r w:rsidR="00BF5082" w:rsidRPr="002B7C88">
        <w:rPr>
          <w:rFonts w:eastAsia="EC Square Sans Pro"/>
        </w:rPr>
        <w:t>s</w:t>
      </w:r>
      <w:r w:rsidR="00BF5082" w:rsidRPr="00FE0257">
        <w:rPr>
          <w:rFonts w:eastAsia="EC Square Sans Pro"/>
        </w:rPr>
        <w:t>imulator</w:t>
      </w:r>
      <w:r w:rsidR="00172088" w:rsidRPr="00FE0257">
        <w:rPr>
          <w:rFonts w:eastAsia="EC Square Sans Pro"/>
        </w:rPr>
        <w:t>)</w:t>
      </w:r>
      <w:r w:rsidR="00BF5082" w:rsidRPr="4F3E7B79">
        <w:rPr>
          <w:rFonts w:eastAsia="EC Square Sans Pro"/>
        </w:rPr>
        <w:t xml:space="preserve"> </w:t>
      </w:r>
      <w:r w:rsidRPr="4F3E7B79">
        <w:rPr>
          <w:rFonts w:eastAsia="EC Square Sans Pro"/>
        </w:rPr>
        <w:t>project</w:t>
      </w:r>
      <w:r>
        <w:rPr>
          <w:rFonts w:eastAsia="EC Square Sans Pro"/>
        </w:rPr>
        <w:t>.</w:t>
      </w:r>
    </w:p>
    <w:p w14:paraId="1B478AAE" w14:textId="57E88570" w:rsidR="002F3FC2" w:rsidRDefault="002F3FC2" w:rsidP="0041545A">
      <w:pPr>
        <w:pStyle w:val="ListBulletorangeLevel1"/>
        <w:rPr>
          <w:rFonts w:eastAsia="EC Square Sans Pro"/>
        </w:rPr>
      </w:pPr>
      <w:r w:rsidRPr="00B83F00">
        <w:rPr>
          <w:lang w:eastAsia="en-IE"/>
        </w:rPr>
        <w:t>14 common European Data Spaces are being deployed</w:t>
      </w:r>
      <w:r w:rsidR="00DF51D5">
        <w:rPr>
          <w:lang w:eastAsia="en-IE"/>
        </w:rPr>
        <w:t xml:space="preserve">, </w:t>
      </w:r>
      <w:r w:rsidR="00DF51D5" w:rsidRPr="00670115">
        <w:rPr>
          <w:lang w:eastAsia="en-IE"/>
        </w:rPr>
        <w:t>including infrastructures that can benefit from interoperable language resources and multilingual data services</w:t>
      </w:r>
      <w:r w:rsidRPr="00B83F00">
        <w:rPr>
          <w:lang w:eastAsia="en-IE"/>
        </w:rPr>
        <w:t xml:space="preserve">. </w:t>
      </w:r>
    </w:p>
    <w:p w14:paraId="1E5B088A" w14:textId="0A9C1614" w:rsidR="009B18B4" w:rsidRDefault="009B18B4" w:rsidP="0041545A">
      <w:pPr>
        <w:pStyle w:val="ListBulletorangeLevel1"/>
        <w:rPr>
          <w:rFonts w:eastAsia="EC Square Sans Pro"/>
        </w:rPr>
      </w:pPr>
      <w:r w:rsidRPr="59214FBE">
        <w:rPr>
          <w:rFonts w:eastAsia="EC Square Sans Pro"/>
        </w:rPr>
        <w:t xml:space="preserve">Five semiconductor pilot lines </w:t>
      </w:r>
      <w:r w:rsidR="001054D3">
        <w:rPr>
          <w:rFonts w:eastAsia="EC Square Sans Pro"/>
        </w:rPr>
        <w:t xml:space="preserve">were </w:t>
      </w:r>
      <w:r w:rsidRPr="59214FBE">
        <w:rPr>
          <w:rFonts w:eastAsia="EC Square Sans Pro"/>
        </w:rPr>
        <w:t>launched</w:t>
      </w:r>
      <w:r w:rsidR="00DB6595">
        <w:rPr>
          <w:rFonts w:eastAsia="EC Square Sans Pro"/>
        </w:rPr>
        <w:t>,</w:t>
      </w:r>
      <w:r w:rsidRPr="59214FBE">
        <w:rPr>
          <w:rFonts w:eastAsia="EC Square Sans Pro"/>
        </w:rPr>
        <w:t xml:space="preserve"> where EU industry can test, experiment and validate next-generation chip technologies and designs.</w:t>
      </w:r>
    </w:p>
    <w:p w14:paraId="25634A49" w14:textId="41BA9C2D" w:rsidR="009B18B4" w:rsidRDefault="009B18B4" w:rsidP="0041545A">
      <w:pPr>
        <w:pStyle w:val="ListBulletorangeLevel1"/>
        <w:rPr>
          <w:rFonts w:eastAsia="EC Square Sans Pro"/>
        </w:rPr>
      </w:pPr>
      <w:r>
        <w:rPr>
          <w:rFonts w:eastAsia="EC Square Sans Pro"/>
        </w:rPr>
        <w:t>30 competence centres were launched in all Member States (and Norway) to support companies, in particular SMEs and start-ups, in getting access to semiconductor technologies via training, technology transfer and development support.</w:t>
      </w:r>
    </w:p>
    <w:p w14:paraId="4497665C" w14:textId="2B9FC21C" w:rsidR="00E4693D" w:rsidRDefault="00E4693D" w:rsidP="00E4693D">
      <w:pPr>
        <w:rPr>
          <w:noProof/>
          <w:lang w:eastAsia="en-IE"/>
        </w:rPr>
      </w:pPr>
      <w:r w:rsidRPr="006C47AA">
        <w:rPr>
          <w:rStyle w:val="Bold"/>
        </w:rPr>
        <w:t xml:space="preserve">The </w:t>
      </w:r>
      <w:r w:rsidR="00E76AC0">
        <w:rPr>
          <w:rStyle w:val="Bold"/>
        </w:rPr>
        <w:t>d</w:t>
      </w:r>
      <w:r w:rsidRPr="006C47AA">
        <w:rPr>
          <w:rStyle w:val="Bold"/>
        </w:rPr>
        <w:t>igital Europe</w:t>
      </w:r>
      <w:r w:rsidR="00893A0A">
        <w:rPr>
          <w:rStyle w:val="Bold"/>
        </w:rPr>
        <w:t xml:space="preserve"> programme</w:t>
      </w:r>
      <w:r w:rsidRPr="006C47AA">
        <w:rPr>
          <w:rStyle w:val="Bold"/>
        </w:rPr>
        <w:t xml:space="preserve"> budget is also supporting strategic digital technologies, including semiconductors, via financial instruments.</w:t>
      </w:r>
      <w:r>
        <w:rPr>
          <w:noProof/>
          <w:lang w:eastAsia="en-IE"/>
        </w:rPr>
        <w:t xml:space="preserve"> </w:t>
      </w:r>
      <w:r w:rsidRPr="002A545A">
        <w:rPr>
          <w:noProof/>
          <w:lang w:eastAsia="en-IE"/>
        </w:rPr>
        <w:t>EUR</w:t>
      </w:r>
      <w:r w:rsidR="00435D56">
        <w:rPr>
          <w:rFonts w:ascii="Calibri" w:hAnsi="Calibri" w:cs="Calibri"/>
          <w:noProof/>
          <w:lang w:val="en-IE" w:eastAsia="en-IE"/>
        </w:rPr>
        <w:t> </w:t>
      </w:r>
      <w:r w:rsidRPr="002A545A">
        <w:rPr>
          <w:noProof/>
          <w:lang w:eastAsia="en-IE"/>
        </w:rPr>
        <w:t>83.63</w:t>
      </w:r>
      <w:r w:rsidR="00435D56">
        <w:rPr>
          <w:rFonts w:ascii="Calibri" w:hAnsi="Calibri" w:cs="Calibri"/>
          <w:noProof/>
          <w:lang w:val="en-IE" w:eastAsia="en-IE"/>
        </w:rPr>
        <w:t> </w:t>
      </w:r>
      <w:r>
        <w:rPr>
          <w:noProof/>
          <w:lang w:eastAsia="en-IE"/>
        </w:rPr>
        <w:t>mil</w:t>
      </w:r>
      <w:r w:rsidR="00435D56">
        <w:rPr>
          <w:noProof/>
          <w:lang w:eastAsia="en-IE"/>
        </w:rPr>
        <w:t>l</w:t>
      </w:r>
      <w:r>
        <w:rPr>
          <w:noProof/>
          <w:lang w:eastAsia="en-IE"/>
        </w:rPr>
        <w:t>ion</w:t>
      </w:r>
      <w:r w:rsidRPr="002A545A">
        <w:rPr>
          <w:noProof/>
          <w:lang w:eastAsia="en-IE"/>
        </w:rPr>
        <w:t xml:space="preserve"> w</w:t>
      </w:r>
      <w:r w:rsidR="008D1546">
        <w:rPr>
          <w:noProof/>
          <w:lang w:eastAsia="en-IE"/>
        </w:rPr>
        <w:t>as</w:t>
      </w:r>
      <w:r w:rsidRPr="002A545A">
        <w:rPr>
          <w:noProof/>
          <w:lang w:eastAsia="en-IE"/>
        </w:rPr>
        <w:t xml:space="preserve"> </w:t>
      </w:r>
      <w:r w:rsidRPr="007D4CA9">
        <w:t>committed</w:t>
      </w:r>
      <w:r w:rsidRPr="002A545A">
        <w:rPr>
          <w:noProof/>
          <w:lang w:eastAsia="en-IE"/>
        </w:rPr>
        <w:t xml:space="preserve"> to support strategic digital technologies, such as AI, quantum or cybersecurity. Under the Chips Fund, EUR</w:t>
      </w:r>
      <w:r w:rsidR="008D1546">
        <w:rPr>
          <w:rFonts w:ascii="Calibri" w:hAnsi="Calibri" w:cs="Calibri"/>
          <w:noProof/>
          <w:lang w:val="en-IE" w:eastAsia="en-IE"/>
        </w:rPr>
        <w:t> </w:t>
      </w:r>
      <w:r w:rsidRPr="002A545A">
        <w:rPr>
          <w:noProof/>
          <w:lang w:eastAsia="en-IE"/>
        </w:rPr>
        <w:t>98</w:t>
      </w:r>
      <w:r w:rsidR="008D1546">
        <w:rPr>
          <w:rFonts w:ascii="Calibri" w:hAnsi="Calibri" w:cs="Calibri"/>
          <w:noProof/>
          <w:lang w:val="en-IE" w:eastAsia="en-IE"/>
        </w:rPr>
        <w:t> </w:t>
      </w:r>
      <w:r>
        <w:rPr>
          <w:noProof/>
          <w:lang w:eastAsia="en-IE"/>
        </w:rPr>
        <w:t>million</w:t>
      </w:r>
      <w:r w:rsidRPr="002A545A">
        <w:rPr>
          <w:noProof/>
          <w:lang w:eastAsia="en-IE"/>
        </w:rPr>
        <w:t xml:space="preserve"> w</w:t>
      </w:r>
      <w:r w:rsidR="008D1546">
        <w:rPr>
          <w:noProof/>
          <w:lang w:eastAsia="en-IE"/>
        </w:rPr>
        <w:t>as</w:t>
      </w:r>
      <w:r w:rsidRPr="002A545A">
        <w:rPr>
          <w:noProof/>
          <w:lang w:eastAsia="en-IE"/>
        </w:rPr>
        <w:t xml:space="preserve"> committed for investments in semiconductor technologies and applications. These investments are expected to mobilise 14.2 times the amounts committed, facilitating access to finance to key companies across Europe.</w:t>
      </w:r>
    </w:p>
    <w:p w14:paraId="7F3EB0CF" w14:textId="6FF664EF" w:rsidR="00E4693D" w:rsidRDefault="00E4693D" w:rsidP="00E4693D">
      <w:pPr>
        <w:rPr>
          <w:lang w:eastAsia="en-IE"/>
        </w:rPr>
      </w:pPr>
      <w:r w:rsidRPr="006C47AA">
        <w:rPr>
          <w:rStyle w:val="Bold"/>
        </w:rPr>
        <w:t>In 2025, the digital strand of the Connecting Europe Facility awarded projects totalling EUR</w:t>
      </w:r>
      <w:r w:rsidR="006413F4">
        <w:rPr>
          <w:rStyle w:val="Bold"/>
          <w:rFonts w:ascii="Calibri" w:hAnsi="Calibri" w:cs="Calibri"/>
        </w:rPr>
        <w:t> </w:t>
      </w:r>
      <w:r w:rsidRPr="006C47AA">
        <w:rPr>
          <w:rStyle w:val="Bold"/>
        </w:rPr>
        <w:t>389</w:t>
      </w:r>
      <w:r w:rsidR="006413F4">
        <w:rPr>
          <w:rStyle w:val="Bold"/>
          <w:rFonts w:ascii="Calibri" w:hAnsi="Calibri" w:cs="Calibri"/>
        </w:rPr>
        <w:t> </w:t>
      </w:r>
      <w:r w:rsidRPr="006C47AA">
        <w:rPr>
          <w:rStyle w:val="Bold"/>
        </w:rPr>
        <w:t>million</w:t>
      </w:r>
      <w:r w:rsidRPr="003D792C">
        <w:rPr>
          <w:rStyle w:val="Bold"/>
        </w:rPr>
        <w:t>.</w:t>
      </w:r>
      <w:r w:rsidRPr="00BA4DDA">
        <w:rPr>
          <w:lang w:eastAsia="en-IE"/>
        </w:rPr>
        <w:t xml:space="preserve"> </w:t>
      </w:r>
      <w:r>
        <w:rPr>
          <w:lang w:eastAsia="en-IE"/>
        </w:rPr>
        <w:t>Grant agreements concluded in the year included funding for</w:t>
      </w:r>
      <w:r w:rsidRPr="00BA4DDA">
        <w:rPr>
          <w:lang w:eastAsia="en-IE"/>
        </w:rPr>
        <w:t xml:space="preserve"> projects concerning the deployment of global gateways (mainly submarine cables), deployment of 5G </w:t>
      </w:r>
      <w:r w:rsidR="00E70FB2">
        <w:rPr>
          <w:lang w:eastAsia="en-IE"/>
        </w:rPr>
        <w:t>l</w:t>
      </w:r>
      <w:r w:rsidRPr="00BA4DDA">
        <w:rPr>
          <w:lang w:eastAsia="en-IE"/>
        </w:rPr>
        <w:t>arge</w:t>
      </w:r>
      <w:r w:rsidR="00C87475">
        <w:rPr>
          <w:lang w:eastAsia="en-IE"/>
        </w:rPr>
        <w:t>-s</w:t>
      </w:r>
      <w:r w:rsidRPr="00BA4DDA">
        <w:rPr>
          <w:lang w:eastAsia="en-IE"/>
        </w:rPr>
        <w:t xml:space="preserve">cale </w:t>
      </w:r>
      <w:r w:rsidR="00C87475">
        <w:rPr>
          <w:lang w:eastAsia="en-IE"/>
        </w:rPr>
        <w:t>p</w:t>
      </w:r>
      <w:r w:rsidRPr="00BA4DDA">
        <w:rPr>
          <w:lang w:eastAsia="en-IE"/>
        </w:rPr>
        <w:t>ilots in smart communities and along major transport paths</w:t>
      </w:r>
      <w:r w:rsidR="00324310">
        <w:rPr>
          <w:lang w:eastAsia="en-IE"/>
        </w:rPr>
        <w:t>,</w:t>
      </w:r>
      <w:r w:rsidRPr="00BA4DDA">
        <w:rPr>
          <w:lang w:eastAsia="en-IE"/>
        </w:rPr>
        <w:t xml:space="preserve"> and </w:t>
      </w:r>
      <w:r w:rsidR="0026351B" w:rsidRPr="478F62F3">
        <w:rPr>
          <w:rFonts w:eastAsia="EC Square Sans Pro" w:cs="EC Square Sans Pro"/>
          <w:color w:val="000000" w:themeColor="text1"/>
        </w:rPr>
        <w:t xml:space="preserve">the further deployment of an interconnected European </w:t>
      </w:r>
      <w:r>
        <w:rPr>
          <w:lang w:eastAsia="en-IE"/>
        </w:rPr>
        <w:t>quantum communication</w:t>
      </w:r>
      <w:r w:rsidR="00F60436">
        <w:rPr>
          <w:lang w:eastAsia="en-IE"/>
        </w:rPr>
        <w:t xml:space="preserve"> infrastructure </w:t>
      </w:r>
      <w:r w:rsidR="008B40EB">
        <w:rPr>
          <w:lang w:eastAsia="en-IE"/>
        </w:rPr>
        <w:t>(EuroQCI)</w:t>
      </w:r>
      <w:r>
        <w:rPr>
          <w:lang w:eastAsia="en-IE"/>
        </w:rPr>
        <w:t>.</w:t>
      </w:r>
    </w:p>
    <w:p w14:paraId="03455224" w14:textId="512BD3FA" w:rsidR="00C94D20" w:rsidRDefault="00C94D20" w:rsidP="00C94D20">
      <w:pPr>
        <w:rPr>
          <w:noProof/>
          <w:lang w:eastAsia="en-IE"/>
        </w:rPr>
      </w:pPr>
      <w:r w:rsidRPr="00D027EE">
        <w:rPr>
          <w:rStyle w:val="Bold"/>
        </w:rPr>
        <w:t>In 2025, the Commission financed transport infrastructure with the Connecting Europe Facility.</w:t>
      </w:r>
      <w:r>
        <w:rPr>
          <w:lang w:eastAsia="fr-BE"/>
        </w:rPr>
        <w:t xml:space="preserve"> </w:t>
      </w:r>
      <w:r w:rsidRPr="00DB335D">
        <w:rPr>
          <w:noProof/>
          <w:lang w:eastAsia="en-IE"/>
        </w:rPr>
        <w:t>EUR</w:t>
      </w:r>
      <w:r w:rsidR="00AD0CB9">
        <w:rPr>
          <w:rFonts w:ascii="Calibri" w:hAnsi="Calibri" w:cs="Calibri"/>
          <w:noProof/>
          <w:lang w:eastAsia="en-IE"/>
        </w:rPr>
        <w:t> </w:t>
      </w:r>
      <w:r w:rsidRPr="00DB335D">
        <w:rPr>
          <w:noProof/>
          <w:lang w:eastAsia="en-IE"/>
        </w:rPr>
        <w:t>3.02</w:t>
      </w:r>
      <w:r w:rsidR="006B04C3">
        <w:rPr>
          <w:rFonts w:ascii="Calibri" w:hAnsi="Calibri" w:cs="Calibri"/>
          <w:noProof/>
          <w:lang w:eastAsia="en-IE"/>
        </w:rPr>
        <w:t> </w:t>
      </w:r>
      <w:r w:rsidRPr="00DB335D">
        <w:rPr>
          <w:noProof/>
          <w:lang w:eastAsia="en-IE"/>
        </w:rPr>
        <w:t>billion w</w:t>
      </w:r>
      <w:r w:rsidR="006B04C3">
        <w:rPr>
          <w:noProof/>
          <w:lang w:eastAsia="en-IE"/>
        </w:rPr>
        <w:t>as</w:t>
      </w:r>
      <w:r w:rsidRPr="00DB335D">
        <w:rPr>
          <w:noProof/>
          <w:lang w:eastAsia="en-IE"/>
        </w:rPr>
        <w:t xml:space="preserve"> allocated to projects</w:t>
      </w:r>
      <w:r>
        <w:rPr>
          <w:noProof/>
          <w:lang w:eastAsia="en-IE"/>
        </w:rPr>
        <w:t xml:space="preserve"> </w:t>
      </w:r>
      <w:r w:rsidRPr="00DB335D">
        <w:rPr>
          <w:noProof/>
          <w:lang w:eastAsia="en-IE"/>
        </w:rPr>
        <w:t>advancing a sustainable, intelligent, eco-friendly and resilient transport network</w:t>
      </w:r>
      <w:r>
        <w:rPr>
          <w:noProof/>
          <w:lang w:eastAsia="en-IE"/>
        </w:rPr>
        <w:t xml:space="preserve">. Examples of support by the </w:t>
      </w:r>
      <w:r w:rsidR="00324310">
        <w:rPr>
          <w:noProof/>
          <w:lang w:eastAsia="en-IE"/>
        </w:rPr>
        <w:t>f</w:t>
      </w:r>
      <w:r w:rsidR="00F74603">
        <w:rPr>
          <w:noProof/>
          <w:lang w:eastAsia="en-IE"/>
        </w:rPr>
        <w:t>acility</w:t>
      </w:r>
      <w:r>
        <w:rPr>
          <w:noProof/>
          <w:lang w:eastAsia="en-IE"/>
        </w:rPr>
        <w:t xml:space="preserve"> include the Rail Baltica </w:t>
      </w:r>
      <w:r>
        <w:t>standard gauge railway line development in Estonia, Latvia and Lithuania</w:t>
      </w:r>
      <w:r w:rsidRPr="00564482">
        <w:rPr>
          <w:rFonts w:ascii="Calibri" w:hAnsi="Calibri" w:cs="Calibri"/>
        </w:rPr>
        <w:t> </w:t>
      </w:r>
      <w:r w:rsidRPr="00DA5B5B">
        <w:t>(</w:t>
      </w:r>
      <w:r>
        <w:rPr>
          <w:rStyle w:val="FootnoteReference"/>
        </w:rPr>
        <w:footnoteReference w:id="25"/>
      </w:r>
      <w:r>
        <w:t xml:space="preserve">), </w:t>
      </w:r>
      <w:r w:rsidR="00531E26">
        <w:t xml:space="preserve">along with </w:t>
      </w:r>
      <w:r>
        <w:t xml:space="preserve">the development of a pan-European network of publicly accessible and interoperable recharging infrastructure dedicated to electric </w:t>
      </w:r>
      <w:r w:rsidR="00531E26">
        <w:t>h</w:t>
      </w:r>
      <w:r>
        <w:t>eavy-</w:t>
      </w:r>
      <w:r w:rsidR="00531E26">
        <w:t>d</w:t>
      </w:r>
      <w:r>
        <w:t xml:space="preserve">uty </w:t>
      </w:r>
      <w:r w:rsidR="00531E26">
        <w:t>v</w:t>
      </w:r>
      <w:r>
        <w:t>ehicles</w:t>
      </w:r>
      <w:r w:rsidRPr="00564482">
        <w:rPr>
          <w:rFonts w:ascii="Calibri" w:hAnsi="Calibri" w:cs="Calibri"/>
        </w:rPr>
        <w:t> </w:t>
      </w:r>
      <w:r w:rsidRPr="00AC5E43">
        <w:t>(</w:t>
      </w:r>
      <w:r>
        <w:rPr>
          <w:rStyle w:val="FootnoteReference"/>
        </w:rPr>
        <w:footnoteReference w:id="26"/>
      </w:r>
      <w:r>
        <w:t>).</w:t>
      </w:r>
    </w:p>
    <w:p w14:paraId="42669EA7" w14:textId="0E748C87" w:rsidR="0079535D" w:rsidRDefault="0079535D" w:rsidP="005A2DDA">
      <w:pPr>
        <w:pStyle w:val="Heading4"/>
        <w:rPr>
          <w:lang w:eastAsia="fr-BE"/>
        </w:rPr>
      </w:pPr>
      <w:r>
        <w:rPr>
          <w:lang w:eastAsia="fr-BE"/>
        </w:rPr>
        <w:t xml:space="preserve">The </w:t>
      </w:r>
      <w:r w:rsidR="0058407F">
        <w:rPr>
          <w:lang w:eastAsia="fr-BE"/>
        </w:rPr>
        <w:t>s</w:t>
      </w:r>
      <w:r>
        <w:rPr>
          <w:lang w:eastAsia="fr-BE"/>
        </w:rPr>
        <w:t xml:space="preserve">trategic </w:t>
      </w:r>
      <w:r w:rsidR="0058407F">
        <w:rPr>
          <w:lang w:eastAsia="fr-BE"/>
        </w:rPr>
        <w:t>t</w:t>
      </w:r>
      <w:r>
        <w:rPr>
          <w:lang w:eastAsia="fr-BE"/>
        </w:rPr>
        <w:t xml:space="preserve">echnologies for Europe </w:t>
      </w:r>
      <w:r w:rsidR="0058407F">
        <w:rPr>
          <w:lang w:eastAsia="fr-BE"/>
        </w:rPr>
        <w:t>p</w:t>
      </w:r>
      <w:r>
        <w:rPr>
          <w:lang w:eastAsia="fr-BE"/>
        </w:rPr>
        <w:t>latform</w:t>
      </w:r>
    </w:p>
    <w:p w14:paraId="15256896" w14:textId="18D85390" w:rsidR="00956D28" w:rsidRDefault="00330269" w:rsidP="00D44ED7">
      <w:pPr>
        <w:rPr>
          <w:lang w:eastAsia="en-IE"/>
        </w:rPr>
      </w:pPr>
      <w:r w:rsidRPr="00F11A93">
        <w:rPr>
          <w:rStyle w:val="Bold"/>
        </w:rPr>
        <w:t xml:space="preserve">The </w:t>
      </w:r>
      <w:r w:rsidR="0058407F" w:rsidRPr="00F11A93">
        <w:rPr>
          <w:rStyle w:val="Bold"/>
        </w:rPr>
        <w:t>s</w:t>
      </w:r>
      <w:r w:rsidRPr="00F11A93">
        <w:rPr>
          <w:rStyle w:val="Bold"/>
        </w:rPr>
        <w:t xml:space="preserve">trategic </w:t>
      </w:r>
      <w:r w:rsidR="0058407F" w:rsidRPr="00F11A93">
        <w:rPr>
          <w:rStyle w:val="Bold"/>
        </w:rPr>
        <w:t>t</w:t>
      </w:r>
      <w:r w:rsidRPr="00F11A93">
        <w:rPr>
          <w:rStyle w:val="Bold"/>
        </w:rPr>
        <w:t xml:space="preserve">echnologies for Europe </w:t>
      </w:r>
      <w:r w:rsidR="0058407F" w:rsidRPr="00F11A93">
        <w:rPr>
          <w:rStyle w:val="Bold"/>
        </w:rPr>
        <w:t>p</w:t>
      </w:r>
      <w:r w:rsidRPr="00F11A93">
        <w:rPr>
          <w:rStyle w:val="Bold"/>
        </w:rPr>
        <w:t>latform (STEP) is designed to strengthen the EU’s ability to create and ramp up strategic technologies, making it more competitive globally</w:t>
      </w:r>
      <w:r w:rsidRPr="004C2E72">
        <w:rPr>
          <w:rStyle w:val="Bold"/>
        </w:rPr>
        <w:t>.</w:t>
      </w:r>
      <w:r>
        <w:rPr>
          <w:lang w:eastAsia="en-IE"/>
        </w:rPr>
        <w:t xml:space="preserve"> </w:t>
      </w:r>
      <w:r w:rsidR="00294BC3">
        <w:rPr>
          <w:lang w:eastAsia="en-IE"/>
        </w:rPr>
        <w:t>A</w:t>
      </w:r>
      <w:r w:rsidR="005A2DDA" w:rsidRPr="00C94D20">
        <w:t xml:space="preserve">s of </w:t>
      </w:r>
      <w:r w:rsidR="00294BC3">
        <w:t xml:space="preserve">the </w:t>
      </w:r>
      <w:r w:rsidR="005A2DDA" w:rsidRPr="00C94D20">
        <w:t>end of 2025 and since its inception in 2024</w:t>
      </w:r>
      <w:r w:rsidR="00863992">
        <w:t>,</w:t>
      </w:r>
      <w:r w:rsidR="00FC3420">
        <w:rPr>
          <w:lang w:eastAsia="en-IE"/>
        </w:rPr>
        <w:t xml:space="preserve"> </w:t>
      </w:r>
      <w:r w:rsidR="00294BC3">
        <w:rPr>
          <w:lang w:eastAsia="en-IE"/>
        </w:rPr>
        <w:t xml:space="preserve">STEP </w:t>
      </w:r>
      <w:r w:rsidR="00FC3420">
        <w:rPr>
          <w:lang w:eastAsia="en-IE"/>
        </w:rPr>
        <w:t xml:space="preserve">has cumulatively pooled resources across </w:t>
      </w:r>
      <w:r w:rsidR="00863992">
        <w:rPr>
          <w:rStyle w:val="Bold"/>
        </w:rPr>
        <w:t>11</w:t>
      </w:r>
      <w:r w:rsidR="00FC3420" w:rsidRPr="00D027EE">
        <w:rPr>
          <w:rStyle w:val="Bold"/>
        </w:rPr>
        <w:t xml:space="preserve"> EU funding programmes amounting to EUR</w:t>
      </w:r>
      <w:r w:rsidR="00863992">
        <w:rPr>
          <w:rStyle w:val="Bold"/>
          <w:rFonts w:ascii="Calibri" w:hAnsi="Calibri" w:cs="Calibri"/>
        </w:rPr>
        <w:t> </w:t>
      </w:r>
      <w:r w:rsidR="00FC3420" w:rsidRPr="00D027EE">
        <w:rPr>
          <w:rStyle w:val="Bold"/>
        </w:rPr>
        <w:t>24</w:t>
      </w:r>
      <w:r w:rsidR="00863992">
        <w:rPr>
          <w:rStyle w:val="Bold"/>
          <w:rFonts w:ascii="Calibri" w:hAnsi="Calibri" w:cs="Calibri"/>
        </w:rPr>
        <w:t> </w:t>
      </w:r>
      <w:r w:rsidR="00FC3420" w:rsidRPr="00D027EE">
        <w:rPr>
          <w:rStyle w:val="Bold"/>
        </w:rPr>
        <w:t>billion</w:t>
      </w:r>
      <w:r w:rsidR="00FC3420">
        <w:rPr>
          <w:noProof/>
        </w:rPr>
        <w:t xml:space="preserve">, to support strategic technologies across sectors such as </w:t>
      </w:r>
      <w:r w:rsidR="00FC3420">
        <w:rPr>
          <w:lang w:eastAsia="en-IE"/>
        </w:rPr>
        <w:t xml:space="preserve">digital and deep tech innovation, clean and resource efficient technologies and biotech. This is the result of the combined efforts of the five </w:t>
      </w:r>
      <w:r w:rsidR="00DF4D4E">
        <w:rPr>
          <w:lang w:eastAsia="en-IE"/>
        </w:rPr>
        <w:t>EU</w:t>
      </w:r>
      <w:r w:rsidR="00FC3420">
        <w:rPr>
          <w:lang w:eastAsia="en-IE"/>
        </w:rPr>
        <w:t xml:space="preserve"> programmes directly managed by the Commission and the reprogramming of financial envelopes by Member States and </w:t>
      </w:r>
      <w:r w:rsidR="00303458">
        <w:rPr>
          <w:lang w:eastAsia="en-IE"/>
        </w:rPr>
        <w:t xml:space="preserve">EU </w:t>
      </w:r>
      <w:r w:rsidR="00FC3420">
        <w:rPr>
          <w:lang w:eastAsia="en-IE"/>
        </w:rPr>
        <w:t xml:space="preserve">regions under </w:t>
      </w:r>
      <w:r w:rsidR="00003C48">
        <w:rPr>
          <w:lang w:eastAsia="en-IE"/>
        </w:rPr>
        <w:t xml:space="preserve">the </w:t>
      </w:r>
      <w:r w:rsidR="00FC3420">
        <w:rPr>
          <w:lang w:eastAsia="en-IE"/>
        </w:rPr>
        <w:t xml:space="preserve">cohesion </w:t>
      </w:r>
      <w:r w:rsidR="009F447F">
        <w:rPr>
          <w:lang w:eastAsia="en-IE"/>
        </w:rPr>
        <w:t xml:space="preserve">policy. </w:t>
      </w:r>
      <w:r w:rsidR="00FC3420" w:rsidRPr="004D5720">
        <w:rPr>
          <w:rFonts w:eastAsia="Calibri" w:cs="Arial"/>
          <w:spacing w:val="-4"/>
        </w:rPr>
        <w:t>In total</w:t>
      </w:r>
      <w:r w:rsidR="00FC3420">
        <w:rPr>
          <w:rFonts w:eastAsia="Calibri" w:cs="Arial"/>
          <w:spacing w:val="-4"/>
        </w:rPr>
        <w:t xml:space="preserve"> for 2025 </w:t>
      </w:r>
      <w:r w:rsidR="006F3281">
        <w:rPr>
          <w:rFonts w:eastAsia="Calibri" w:cs="Arial"/>
          <w:spacing w:val="-4"/>
        </w:rPr>
        <w:t>alone</w:t>
      </w:r>
      <w:r w:rsidR="00FC3420" w:rsidRPr="004D5720">
        <w:rPr>
          <w:rFonts w:eastAsia="Calibri" w:cs="Arial"/>
          <w:spacing w:val="-4"/>
        </w:rPr>
        <w:t xml:space="preserve">, the </w:t>
      </w:r>
      <w:r w:rsidR="00FC3420" w:rsidRPr="00B13211">
        <w:rPr>
          <w:rFonts w:eastAsia="Calibri" w:cs="Arial"/>
          <w:spacing w:val="-4"/>
        </w:rPr>
        <w:t xml:space="preserve">initial budget earmarked </w:t>
      </w:r>
      <w:r w:rsidR="00FC3420">
        <w:rPr>
          <w:rFonts w:eastAsia="Calibri" w:cs="Arial"/>
          <w:spacing w:val="-4"/>
        </w:rPr>
        <w:t xml:space="preserve">by programmes in direct management in </w:t>
      </w:r>
      <w:r w:rsidR="00FC3420" w:rsidRPr="00D027EE">
        <w:rPr>
          <w:rStyle w:val="Bold"/>
        </w:rPr>
        <w:t>support of STEP-relevant technologies amounted to EUR</w:t>
      </w:r>
      <w:r w:rsidR="00B50B11">
        <w:rPr>
          <w:rFonts w:ascii="Calibri" w:hAnsi="Calibri" w:cs="Calibri"/>
          <w:noProof/>
          <w:lang w:val="en-IE" w:eastAsia="en-IE"/>
        </w:rPr>
        <w:t> </w:t>
      </w:r>
      <w:r w:rsidR="00FC3420" w:rsidRPr="00D027EE">
        <w:rPr>
          <w:rStyle w:val="Bold"/>
        </w:rPr>
        <w:t>5.3</w:t>
      </w:r>
      <w:r w:rsidR="00B50B11">
        <w:rPr>
          <w:rFonts w:ascii="Calibri" w:hAnsi="Calibri" w:cs="Calibri"/>
          <w:noProof/>
          <w:lang w:val="en-IE" w:eastAsia="en-IE"/>
        </w:rPr>
        <w:t> </w:t>
      </w:r>
      <w:r w:rsidR="00FC3420" w:rsidRPr="00D027EE">
        <w:rPr>
          <w:rStyle w:val="Bold"/>
        </w:rPr>
        <w:t>billion</w:t>
      </w:r>
      <w:r w:rsidR="00FC3420" w:rsidRPr="004C2E72">
        <w:rPr>
          <w:rStyle w:val="Bold"/>
          <w:b w:val="0"/>
          <w:bCs/>
        </w:rPr>
        <w:t>,</w:t>
      </w:r>
      <w:r w:rsidR="00FC3420" w:rsidRPr="004D5720">
        <w:rPr>
          <w:rFonts w:eastAsia="Calibri" w:cs="Arial"/>
          <w:spacing w:val="-4"/>
        </w:rPr>
        <w:t xml:space="preserve"> representing a 1</w:t>
      </w:r>
      <w:r w:rsidR="00FC3420">
        <w:rPr>
          <w:rFonts w:eastAsia="Calibri" w:cs="Arial"/>
          <w:spacing w:val="-4"/>
        </w:rPr>
        <w:t>4</w:t>
      </w:r>
      <w:r w:rsidR="00FC3420" w:rsidRPr="004D5720">
        <w:rPr>
          <w:rFonts w:eastAsia="Calibri" w:cs="Arial"/>
          <w:spacing w:val="-4"/>
        </w:rPr>
        <w:t>.</w:t>
      </w:r>
      <w:r w:rsidR="00FC3420">
        <w:rPr>
          <w:rFonts w:eastAsia="Calibri" w:cs="Arial"/>
          <w:spacing w:val="-4"/>
        </w:rPr>
        <w:t>6</w:t>
      </w:r>
      <w:r w:rsidR="00FC3420" w:rsidRPr="004D5720">
        <w:rPr>
          <w:rFonts w:eastAsia="Calibri" w:cs="Arial"/>
          <w:spacing w:val="-4"/>
        </w:rPr>
        <w:t>% year-on-year increase to the figure of EUR</w:t>
      </w:r>
      <w:r w:rsidR="003B0E08">
        <w:rPr>
          <w:rFonts w:ascii="Calibri" w:eastAsia="Calibri" w:hAnsi="Calibri" w:cs="Calibri"/>
          <w:spacing w:val="-4"/>
        </w:rPr>
        <w:t> </w:t>
      </w:r>
      <w:r w:rsidR="00FC3420" w:rsidRPr="004D5720">
        <w:rPr>
          <w:rFonts w:eastAsia="Calibri" w:cs="Arial"/>
          <w:spacing w:val="-4"/>
        </w:rPr>
        <w:t>4.6</w:t>
      </w:r>
      <w:r w:rsidR="00B50B11">
        <w:rPr>
          <w:rFonts w:ascii="Calibri" w:hAnsi="Calibri" w:cs="Calibri"/>
          <w:noProof/>
          <w:lang w:val="en-IE" w:eastAsia="en-IE"/>
        </w:rPr>
        <w:t> </w:t>
      </w:r>
      <w:r w:rsidR="00FC3420" w:rsidRPr="004D5720">
        <w:rPr>
          <w:rFonts w:eastAsia="Calibri" w:cs="Arial"/>
          <w:spacing w:val="-4"/>
        </w:rPr>
        <w:t xml:space="preserve">billion reported for 2024. Cumulatively, this represents a </w:t>
      </w:r>
      <w:r w:rsidR="00FC3420" w:rsidRPr="00B13211">
        <w:rPr>
          <w:rFonts w:eastAsia="Calibri" w:cs="Arial"/>
          <w:spacing w:val="-4"/>
        </w:rPr>
        <w:t>total budget of around EUR</w:t>
      </w:r>
      <w:r w:rsidR="00B50B11">
        <w:rPr>
          <w:rFonts w:ascii="Calibri" w:hAnsi="Calibri" w:cs="Calibri"/>
          <w:noProof/>
          <w:lang w:val="en-IE" w:eastAsia="en-IE"/>
        </w:rPr>
        <w:t> </w:t>
      </w:r>
      <w:r w:rsidR="00FC3420">
        <w:rPr>
          <w:rFonts w:eastAsia="Calibri" w:cs="Arial"/>
          <w:spacing w:val="-4"/>
        </w:rPr>
        <w:t>10</w:t>
      </w:r>
      <w:r w:rsidR="00B50B11">
        <w:rPr>
          <w:rFonts w:ascii="Calibri" w:hAnsi="Calibri" w:cs="Calibri"/>
          <w:noProof/>
          <w:lang w:val="en-IE" w:eastAsia="en-IE"/>
        </w:rPr>
        <w:t> </w:t>
      </w:r>
      <w:r w:rsidR="00FC3420" w:rsidRPr="00B13211">
        <w:rPr>
          <w:rFonts w:eastAsia="Calibri" w:cs="Arial"/>
          <w:spacing w:val="-4"/>
        </w:rPr>
        <w:t>billion</w:t>
      </w:r>
      <w:r w:rsidR="00FC3420" w:rsidRPr="004D5720">
        <w:rPr>
          <w:rFonts w:eastAsia="Calibri" w:cs="Arial"/>
          <w:spacing w:val="-4"/>
        </w:rPr>
        <w:t xml:space="preserve"> allocated to STEP-relevant calls for proposals across the five </w:t>
      </w:r>
      <w:r w:rsidR="00176221">
        <w:rPr>
          <w:rFonts w:eastAsia="Calibri" w:cs="Arial"/>
          <w:spacing w:val="-4"/>
        </w:rPr>
        <w:t>EU</w:t>
      </w:r>
      <w:r w:rsidR="00FC3420" w:rsidRPr="004D5720">
        <w:rPr>
          <w:rFonts w:eastAsia="Calibri" w:cs="Arial"/>
          <w:spacing w:val="-4"/>
        </w:rPr>
        <w:t xml:space="preserve"> programmes since the inception of STEP in March 2024.</w:t>
      </w:r>
    </w:p>
    <w:p w14:paraId="3DD18E27" w14:textId="6A852697" w:rsidR="00C61A97" w:rsidRPr="00B13211" w:rsidRDefault="00B940FC" w:rsidP="00E72FA6">
      <w:pPr>
        <w:rPr>
          <w:rFonts w:eastAsia="Calibri"/>
          <w:color w:val="002060"/>
        </w:rPr>
      </w:pPr>
      <w:r w:rsidRPr="00B940FC">
        <w:rPr>
          <w:rFonts w:ascii="EC Square Sans Pro Medium" w:hAnsi="EC Square Sans Pro Medium"/>
          <w:color w:val="DC3903"/>
          <w:sz w:val="22"/>
          <w:lang w:val="en-IE"/>
        </w:rPr>
        <w:t xml:space="preserve">Resources earmarked for STEP by programmes in direct management, by sector in 2024 and 2025 (in </w:t>
      </w:r>
      <w:r w:rsidR="00B50B11" w:rsidRPr="00B940FC">
        <w:rPr>
          <w:rFonts w:ascii="EC Square Sans Pro Medium" w:hAnsi="EC Square Sans Pro Medium"/>
          <w:color w:val="DC3903"/>
          <w:sz w:val="22"/>
          <w:lang w:val="en-IE"/>
        </w:rPr>
        <w:t xml:space="preserve">million </w:t>
      </w:r>
      <w:r w:rsidRPr="00B940FC">
        <w:rPr>
          <w:rFonts w:ascii="EC Square Sans Pro Medium" w:hAnsi="EC Square Sans Pro Medium"/>
          <w:color w:val="DC3903"/>
          <w:sz w:val="22"/>
          <w:lang w:val="en-IE"/>
        </w:rPr>
        <w:t>EUR)</w:t>
      </w:r>
      <w:r w:rsidR="00F413DA">
        <w:rPr>
          <w:rFonts w:ascii="Calibri" w:hAnsi="Calibri" w:cs="Calibri"/>
          <w:color w:val="DC3903"/>
          <w:sz w:val="22"/>
          <w:lang w:val="en-IE"/>
        </w:rPr>
        <w:t> </w:t>
      </w:r>
      <w:r w:rsidR="00C61A97" w:rsidRPr="00F413DA">
        <w:rPr>
          <w:rFonts w:ascii="EC Square Sans Pro Medium" w:hAnsi="EC Square Sans Pro Medium"/>
          <w:color w:val="DC3903"/>
          <w:sz w:val="22"/>
          <w:lang w:val="en-IE"/>
        </w:rPr>
        <w:t>(</w:t>
      </w:r>
      <w:r w:rsidR="00C61A97" w:rsidRPr="00F413DA">
        <w:rPr>
          <w:rFonts w:ascii="EC Square Sans Pro Medium" w:hAnsi="EC Square Sans Pro Medium"/>
          <w:color w:val="DC3903"/>
          <w:sz w:val="22"/>
          <w:vertAlign w:val="superscript"/>
          <w:lang w:val="en-IE"/>
        </w:rPr>
        <w:footnoteReference w:id="27"/>
      </w:r>
      <w:r w:rsidR="00C61A97" w:rsidRPr="00F413DA">
        <w:rPr>
          <w:rFonts w:ascii="EC Square Sans Pro Medium" w:hAnsi="EC Square Sans Pro Medium"/>
          <w:color w:val="DC3903"/>
          <w:sz w:val="22"/>
          <w:lang w:val="en-IE"/>
        </w:rPr>
        <w:t>)</w:t>
      </w:r>
    </w:p>
    <w:p w14:paraId="0A060DE2" w14:textId="33A9CC64" w:rsidR="002E0F80" w:rsidRDefault="00B52708" w:rsidP="00AD1F11">
      <w:pPr>
        <w:jc w:val="center"/>
        <w:rPr>
          <w:lang w:eastAsia="en-IE"/>
        </w:rPr>
      </w:pPr>
      <w:r w:rsidRPr="00B52708">
        <w:rPr>
          <w:noProof/>
        </w:rPr>
        <w:t xml:space="preserve"> </w:t>
      </w:r>
      <w:r w:rsidRPr="00B52708">
        <w:rPr>
          <w:noProof/>
          <w:lang w:eastAsia="en-IE"/>
        </w:rPr>
        <w:drawing>
          <wp:inline distT="0" distB="0" distL="0" distR="0" wp14:anchorId="6B513DF6" wp14:editId="1BF25A19">
            <wp:extent cx="4967785" cy="3429538"/>
            <wp:effectExtent l="0" t="0" r="4445" b="0"/>
            <wp:docPr id="1271918379" name="Picture 5" descr="Graph showing the resources earmarked for STEP by programmes in direct management, by sector in 2024 and 2025 (in million EUR). For Biotech 154 were earmarked in 2024 and 509.2 in 2025; for Cleantech 4040 in 2024 and 3525 in 2025; for Digital and deep tech 461.3 in 2024 and 745.5 in 2025; and finally in multi-sector 553 in 2025.">
              <a:extLst xmlns:a="http://schemas.openxmlformats.org/drawingml/2006/main">
                <a:ext uri="{FF2B5EF4-FFF2-40B4-BE49-F238E27FC236}">
                  <a16:creationId xmlns:a16="http://schemas.microsoft.com/office/drawing/2014/main" id="{1BFE9700-F1D6-9DBE-A42B-F64777EEBA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918379" name="Picture 5" descr="Graph showing the resources earmarked for STEP by programmes in direct management, by sector in 2024 and 2025 (in million EUR). For Biotech 154 were earmarked in 2024 and 509.2 in 2025; for Cleantech 4040 in 2024 and 3525 in 2025; for Digital and deep tech 461.3 in 2024 and 745.5 in 2025; and finally in multi-sector 553 in 2025.">
                      <a:extLst>
                        <a:ext uri="{FF2B5EF4-FFF2-40B4-BE49-F238E27FC236}">
                          <a16:creationId xmlns:a16="http://schemas.microsoft.com/office/drawing/2014/main" id="{1BFE9700-F1D6-9DBE-A42B-F64777EEBA1E}"/>
                        </a:ext>
                      </a:extLst>
                    </pic:cNvPr>
                    <pic:cNvPicPr>
                      <a:picLocks noChangeAspect="1"/>
                    </pic:cNvPicPr>
                  </pic:nvPicPr>
                  <pic:blipFill>
                    <a:blip r:embed="rId60"/>
                    <a:srcRect l="8254" t="2473" r="8360" b="4691"/>
                    <a:stretch>
                      <a:fillRect/>
                    </a:stretch>
                  </pic:blipFill>
                  <pic:spPr>
                    <a:xfrm>
                      <a:off x="0" y="0"/>
                      <a:ext cx="4988328" cy="3443720"/>
                    </a:xfrm>
                    <a:prstGeom prst="rect">
                      <a:avLst/>
                    </a:prstGeom>
                  </pic:spPr>
                </pic:pic>
              </a:graphicData>
            </a:graphic>
          </wp:inline>
        </w:drawing>
      </w:r>
    </w:p>
    <w:p w14:paraId="2D57AD32" w14:textId="386FE388" w:rsidR="00F350C3" w:rsidRPr="009F447F" w:rsidRDefault="00436ADF" w:rsidP="00F350C3">
      <w:pPr>
        <w:rPr>
          <w:lang w:val="en-IE"/>
        </w:rPr>
      </w:pPr>
      <w:r>
        <w:rPr>
          <w:rFonts w:eastAsia="Calibri" w:cs="Arial"/>
          <w:lang w:eastAsia="ja-JP"/>
        </w:rPr>
        <w:t xml:space="preserve">Regarding cohesion policy </w:t>
      </w:r>
      <w:r w:rsidR="00EB5C03">
        <w:rPr>
          <w:rFonts w:eastAsia="Calibri" w:cs="Arial"/>
          <w:lang w:eastAsia="ja-JP"/>
        </w:rPr>
        <w:t>funds,</w:t>
      </w:r>
      <w:r w:rsidR="00EB5C03">
        <w:rPr>
          <w:lang w:eastAsia="en-IE"/>
        </w:rPr>
        <w:t xml:space="preserve"> </w:t>
      </w:r>
      <w:r w:rsidR="00E72FA6" w:rsidRPr="2FDE0B4F">
        <w:rPr>
          <w:rFonts w:eastAsia="Calibri" w:cs="Arial"/>
          <w:lang w:eastAsia="ja-JP"/>
        </w:rPr>
        <w:t xml:space="preserve">as of the end of December 2025, </w:t>
      </w:r>
      <w:r w:rsidR="00E72FA6" w:rsidRPr="00D027EE">
        <w:rPr>
          <w:rStyle w:val="Bold"/>
        </w:rPr>
        <w:t>96 STEP amendments were adopted in 19 Member States</w:t>
      </w:r>
      <w:r w:rsidR="00E72FA6" w:rsidRPr="2FDE0B4F">
        <w:rPr>
          <w:rFonts w:eastAsia="Calibri" w:cs="Arial"/>
          <w:lang w:eastAsia="ja-JP"/>
        </w:rPr>
        <w:t xml:space="preserve">, amounting to </w:t>
      </w:r>
      <w:r w:rsidR="00E72FA6" w:rsidRPr="00D027EE">
        <w:rPr>
          <w:rStyle w:val="Bold"/>
        </w:rPr>
        <w:t>EUR</w:t>
      </w:r>
      <w:r w:rsidR="00E72FA6" w:rsidRPr="00D027EE">
        <w:rPr>
          <w:rStyle w:val="Bold"/>
          <w:rFonts w:ascii="Calibri" w:hAnsi="Calibri" w:cs="Calibri"/>
        </w:rPr>
        <w:t> </w:t>
      </w:r>
      <w:r w:rsidR="00E72FA6" w:rsidRPr="00D027EE">
        <w:rPr>
          <w:rStyle w:val="Bold"/>
        </w:rPr>
        <w:t>13.9</w:t>
      </w:r>
      <w:r w:rsidR="00E72FA6" w:rsidRPr="00D027EE">
        <w:rPr>
          <w:rStyle w:val="Bold"/>
          <w:rFonts w:ascii="Calibri" w:hAnsi="Calibri" w:cs="Calibri"/>
        </w:rPr>
        <w:t> </w:t>
      </w:r>
      <w:r w:rsidR="00E72FA6" w:rsidRPr="00D027EE">
        <w:rPr>
          <w:rStyle w:val="Bold"/>
        </w:rPr>
        <w:t>billion</w:t>
      </w:r>
      <w:r w:rsidR="00E72FA6" w:rsidRPr="2FDE0B4F">
        <w:rPr>
          <w:rFonts w:eastAsia="Calibri" w:cs="Arial"/>
          <w:lang w:eastAsia="ja-JP"/>
        </w:rPr>
        <w:t xml:space="preserve">. This represents more than a doubling </w:t>
      </w:r>
      <w:r w:rsidR="00E14D25">
        <w:rPr>
          <w:rFonts w:eastAsia="Calibri" w:cs="Arial"/>
          <w:lang w:eastAsia="ja-JP"/>
        </w:rPr>
        <w:t>compared to</w:t>
      </w:r>
      <w:r w:rsidR="00E72FA6" w:rsidRPr="2FDE0B4F">
        <w:rPr>
          <w:rFonts w:eastAsia="Calibri" w:cs="Arial"/>
          <w:lang w:eastAsia="ja-JP"/>
        </w:rPr>
        <w:t xml:space="preserve"> 2024.</w:t>
      </w:r>
      <w:r w:rsidR="00F350C3">
        <w:rPr>
          <w:rFonts w:eastAsia="Calibri" w:cs="Arial"/>
          <w:lang w:eastAsia="ja-JP"/>
        </w:rPr>
        <w:t xml:space="preserve"> </w:t>
      </w:r>
      <w:r w:rsidR="00F350C3">
        <w:rPr>
          <w:lang w:eastAsia="en-IE"/>
        </w:rPr>
        <w:t xml:space="preserve">In 2025, a </w:t>
      </w:r>
      <w:r w:rsidR="00F350C3" w:rsidRPr="00D027EE">
        <w:rPr>
          <w:rStyle w:val="Bold"/>
        </w:rPr>
        <w:t>new STEP Sector for defence technologies</w:t>
      </w:r>
      <w:r w:rsidR="00F350C3">
        <w:rPr>
          <w:rFonts w:eastAsia="Calibri"/>
        </w:rPr>
        <w:t xml:space="preserve"> was introduced via the </w:t>
      </w:r>
      <w:r w:rsidR="00003C48">
        <w:rPr>
          <w:rFonts w:eastAsia="Calibri"/>
        </w:rPr>
        <w:t>c</w:t>
      </w:r>
      <w:r w:rsidR="00F350C3">
        <w:rPr>
          <w:rFonts w:eastAsia="Calibri"/>
        </w:rPr>
        <w:t xml:space="preserve">ohesion policy midterm review adopted in </w:t>
      </w:r>
      <w:r w:rsidR="00F350C3" w:rsidRPr="003C305B">
        <w:rPr>
          <w:rFonts w:eastAsia="Calibri"/>
        </w:rPr>
        <w:t>September 2025</w:t>
      </w:r>
      <w:r w:rsidR="00F350C3" w:rsidRPr="003C305B">
        <w:rPr>
          <w:rFonts w:eastAsia="Calibri" w:cs="Calibri"/>
        </w:rPr>
        <w:t> </w:t>
      </w:r>
      <w:r w:rsidR="00F350C3" w:rsidRPr="007C2C0F">
        <w:rPr>
          <w:rFonts w:eastAsia="Calibri"/>
        </w:rPr>
        <w:t>(</w:t>
      </w:r>
      <w:r w:rsidR="00F350C3">
        <w:rPr>
          <w:rStyle w:val="FootnoteReference"/>
          <w:rFonts w:eastAsia="Calibri"/>
        </w:rPr>
        <w:footnoteReference w:id="28"/>
      </w:r>
      <w:r w:rsidR="00F350C3">
        <w:rPr>
          <w:rFonts w:eastAsia="Calibri"/>
        </w:rPr>
        <w:t xml:space="preserve">) and the </w:t>
      </w:r>
      <w:r w:rsidR="00F350C3" w:rsidRPr="2FDE0B4F">
        <w:rPr>
          <w:rFonts w:eastAsia="Calibri"/>
        </w:rPr>
        <w:t xml:space="preserve">Defence </w:t>
      </w:r>
      <w:r w:rsidR="00A343DF">
        <w:rPr>
          <w:rFonts w:eastAsia="Calibri"/>
        </w:rPr>
        <w:t>M</w:t>
      </w:r>
      <w:r w:rsidR="00F350C3">
        <w:rPr>
          <w:rFonts w:eastAsia="Calibri"/>
        </w:rPr>
        <w:t>ini-omnibus</w:t>
      </w:r>
      <w:r w:rsidR="00F350C3" w:rsidRPr="2FDE0B4F">
        <w:rPr>
          <w:rFonts w:eastAsia="Calibri"/>
        </w:rPr>
        <w:t xml:space="preserve"> Regulation</w:t>
      </w:r>
      <w:r w:rsidR="00F350C3">
        <w:rPr>
          <w:rFonts w:eastAsia="Calibri"/>
        </w:rPr>
        <w:t xml:space="preserve"> adopted in </w:t>
      </w:r>
      <w:r w:rsidR="00F350C3" w:rsidRPr="003C305B">
        <w:rPr>
          <w:rFonts w:eastAsia="Calibri"/>
        </w:rPr>
        <w:t>December 2025</w:t>
      </w:r>
      <w:r w:rsidR="00F350C3" w:rsidRPr="003C305B">
        <w:rPr>
          <w:rFonts w:eastAsia="Calibri" w:cs="Calibri"/>
        </w:rPr>
        <w:t> </w:t>
      </w:r>
      <w:r w:rsidR="00F350C3" w:rsidRPr="00CB5228">
        <w:rPr>
          <w:rFonts w:eastAsia="Calibri"/>
        </w:rPr>
        <w:t>(</w:t>
      </w:r>
      <w:r w:rsidR="00F350C3">
        <w:rPr>
          <w:rStyle w:val="FootnoteReference"/>
          <w:rFonts w:eastAsia="Calibri"/>
        </w:rPr>
        <w:footnoteReference w:id="29"/>
      </w:r>
      <w:r w:rsidR="00F350C3">
        <w:rPr>
          <w:rFonts w:eastAsia="Calibri"/>
        </w:rPr>
        <w:t xml:space="preserve">). </w:t>
      </w:r>
    </w:p>
    <w:p w14:paraId="7FFF19CE" w14:textId="002CEA16" w:rsidR="00BA779B" w:rsidRDefault="00E72FA6" w:rsidP="00D44ED7">
      <w:pPr>
        <w:rPr>
          <w:lang w:eastAsia="en-IE"/>
        </w:rPr>
      </w:pPr>
      <w:r>
        <w:rPr>
          <w:lang w:eastAsia="en-IE"/>
        </w:rPr>
        <w:t xml:space="preserve">To date, the Commission </w:t>
      </w:r>
      <w:r w:rsidR="002A0AA3">
        <w:rPr>
          <w:lang w:eastAsia="en-IE"/>
        </w:rPr>
        <w:t xml:space="preserve">has </w:t>
      </w:r>
      <w:r>
        <w:rPr>
          <w:lang w:eastAsia="en-IE"/>
        </w:rPr>
        <w:t xml:space="preserve">awarded </w:t>
      </w:r>
      <w:r w:rsidRPr="00D027EE">
        <w:rPr>
          <w:rStyle w:val="Bold"/>
        </w:rPr>
        <w:t>more than 600 STEP Seals</w:t>
      </w:r>
      <w:r w:rsidRPr="003C305B">
        <w:rPr>
          <w:rFonts w:eastAsia="Calibri" w:cs="Arial"/>
          <w:b/>
          <w:color w:val="00165C"/>
          <w:spacing w:val="-2"/>
        </w:rPr>
        <w:t xml:space="preserve"> </w:t>
      </w:r>
      <w:r>
        <w:rPr>
          <w:lang w:eastAsia="en-IE"/>
        </w:rPr>
        <w:t>to the best</w:t>
      </w:r>
      <w:r w:rsidR="00CB78F1">
        <w:rPr>
          <w:lang w:eastAsia="en-IE"/>
        </w:rPr>
        <w:t>-</w:t>
      </w:r>
      <w:r>
        <w:rPr>
          <w:lang w:eastAsia="en-IE"/>
        </w:rPr>
        <w:t xml:space="preserve">performing projects in their respective evaluations. Among these, a majority of 451 seals were awarded in 2025 </w:t>
      </w:r>
      <w:r w:rsidR="00192188">
        <w:rPr>
          <w:lang w:eastAsia="en-IE"/>
        </w:rPr>
        <w:t>alone</w:t>
      </w:r>
      <w:r>
        <w:rPr>
          <w:lang w:eastAsia="en-IE"/>
        </w:rPr>
        <w:t>. This quality label will help project promoters in securing complementary funding for their projects, both in case they were already awarded funding by the Commission to cover part of the project costs or in the case they were not retained for funding, due to the limited budget of the call.</w:t>
      </w:r>
    </w:p>
    <w:p w14:paraId="3669F5F3" w14:textId="06966D14" w:rsidR="00534360" w:rsidRPr="00534360" w:rsidRDefault="00C506BA" w:rsidP="00D44ED7">
      <w:pPr>
        <w:rPr>
          <w:rFonts w:ascii="EC Square Sans Pro Medium" w:hAnsi="EC Square Sans Pro Medium"/>
          <w:color w:val="DC3903"/>
          <w:sz w:val="22"/>
          <w:lang w:val="en-IE"/>
        </w:rPr>
      </w:pPr>
      <w:r w:rsidRPr="00534360">
        <w:rPr>
          <w:rFonts w:ascii="EC Square Sans Pro Medium" w:hAnsi="EC Square Sans Pro Medium"/>
          <w:color w:val="DC3903"/>
          <w:sz w:val="22"/>
          <w:lang w:val="en-IE"/>
        </w:rPr>
        <w:t xml:space="preserve">Total STEP allocations in adopted </w:t>
      </w:r>
      <w:r w:rsidR="00003C48" w:rsidRPr="00534360">
        <w:rPr>
          <w:rFonts w:ascii="EC Square Sans Pro Medium" w:hAnsi="EC Square Sans Pro Medium"/>
          <w:color w:val="DC3903"/>
          <w:sz w:val="22"/>
          <w:lang w:val="en-IE"/>
        </w:rPr>
        <w:t>c</w:t>
      </w:r>
      <w:r w:rsidRPr="00534360">
        <w:rPr>
          <w:rFonts w:ascii="EC Square Sans Pro Medium" w:hAnsi="EC Square Sans Pro Medium"/>
          <w:color w:val="DC3903"/>
          <w:sz w:val="22"/>
          <w:lang w:val="en-IE"/>
        </w:rPr>
        <w:t xml:space="preserve">ohesion policy programmes as of </w:t>
      </w:r>
      <w:r w:rsidR="00FD3A2C" w:rsidRPr="00534360">
        <w:rPr>
          <w:rFonts w:ascii="EC Square Sans Pro Medium" w:hAnsi="EC Square Sans Pro Medium"/>
          <w:color w:val="DC3903"/>
          <w:sz w:val="22"/>
          <w:lang w:val="en-IE"/>
        </w:rPr>
        <w:t xml:space="preserve">the </w:t>
      </w:r>
      <w:r w:rsidRPr="00534360">
        <w:rPr>
          <w:rFonts w:ascii="EC Square Sans Pro Medium" w:hAnsi="EC Square Sans Pro Medium"/>
          <w:color w:val="DC3903"/>
          <w:sz w:val="22"/>
          <w:lang w:val="en-IE"/>
        </w:rPr>
        <w:t>end</w:t>
      </w:r>
      <w:r w:rsidR="00FD3A2C" w:rsidRPr="00534360">
        <w:rPr>
          <w:rFonts w:ascii="EC Square Sans Pro Medium" w:hAnsi="EC Square Sans Pro Medium"/>
          <w:color w:val="DC3903"/>
          <w:sz w:val="22"/>
          <w:lang w:val="en-IE"/>
        </w:rPr>
        <w:t xml:space="preserve"> of </w:t>
      </w:r>
      <w:r w:rsidRPr="00534360">
        <w:rPr>
          <w:rFonts w:ascii="EC Square Sans Pro Medium" w:hAnsi="EC Square Sans Pro Medium"/>
          <w:color w:val="DC3903"/>
          <w:sz w:val="22"/>
          <w:lang w:val="en-IE"/>
        </w:rPr>
        <w:t>2025</w:t>
      </w:r>
      <w:r w:rsidR="008D6B8B">
        <w:rPr>
          <w:rFonts w:ascii="EC Square Sans Pro Medium" w:hAnsi="EC Square Sans Pro Medium"/>
          <w:color w:val="DC3903"/>
          <w:sz w:val="22"/>
          <w:lang w:val="en-IE"/>
        </w:rPr>
        <w:br/>
      </w:r>
      <w:r w:rsidRPr="00534360">
        <w:rPr>
          <w:rFonts w:ascii="EC Square Sans Pro Medium" w:hAnsi="EC Square Sans Pro Medium"/>
          <w:color w:val="DC3903"/>
          <w:sz w:val="22"/>
          <w:lang w:val="en-IE"/>
        </w:rPr>
        <w:t xml:space="preserve"> (in </w:t>
      </w:r>
      <w:r w:rsidR="00EB0E5C" w:rsidRPr="00534360">
        <w:rPr>
          <w:rFonts w:ascii="EC Square Sans Pro Medium" w:hAnsi="EC Square Sans Pro Medium"/>
          <w:color w:val="DC3903"/>
          <w:sz w:val="22"/>
          <w:lang w:val="en-IE"/>
        </w:rPr>
        <w:t xml:space="preserve">million </w:t>
      </w:r>
      <w:r w:rsidRPr="00534360">
        <w:rPr>
          <w:rFonts w:ascii="EC Square Sans Pro Medium" w:hAnsi="EC Square Sans Pro Medium"/>
          <w:color w:val="DC3903"/>
          <w:sz w:val="22"/>
          <w:lang w:val="en-IE"/>
        </w:rPr>
        <w:t>EUR)</w:t>
      </w:r>
    </w:p>
    <w:p w14:paraId="288DA41C" w14:textId="36CCEA95" w:rsidR="005F695B" w:rsidRDefault="008838AA" w:rsidP="009109A0">
      <w:pPr>
        <w:pStyle w:val="ImageTitle"/>
        <w:spacing w:before="0" w:after="0"/>
        <w:jc w:val="center"/>
        <w:rPr>
          <w:lang w:eastAsia="en-IE"/>
        </w:rPr>
      </w:pPr>
      <w:r w:rsidRPr="008838AA">
        <w:rPr>
          <w:rFonts w:ascii="EC Square Sans Pro" w:hAnsi="EC Square Sans Pro"/>
          <w:noProof/>
          <w:color w:val="auto"/>
          <w:sz w:val="20"/>
        </w:rPr>
        <w:drawing>
          <wp:inline distT="0" distB="0" distL="0" distR="0" wp14:anchorId="7531C65A" wp14:editId="1CDAE586">
            <wp:extent cx="5250173" cy="3111887"/>
            <wp:effectExtent l="0" t="0" r="8255" b="0"/>
            <wp:docPr id="10" name="Picture 9" descr="This graphic shows the total of 13859 million euro of STEP allocations in adopted cohesion policy programmes as of the end of 2025. Of this total, the share of the European Social Fund Plus represents 2075 million euro; Just Transition Fund represents 946 million euro; and European Regional Development Fund represents 10838 million euro.">
              <a:extLst xmlns:a="http://schemas.openxmlformats.org/drawingml/2006/main">
                <a:ext uri="{FF2B5EF4-FFF2-40B4-BE49-F238E27FC236}">
                  <a16:creationId xmlns:a16="http://schemas.microsoft.com/office/drawing/2014/main" id="{3C92AD30-F5A8-DD3D-67EB-DBF3EE64E5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This graphic shows the total of 13859 million euro of STEP allocations in adopted cohesion policy programmes as of the end of 2025. Of this total, the share of the European Social Fund Plus represents 2075 million euro; Just Transition Fund represents 946 million euro; and European Regional Development Fund represents 10838 million euro.">
                      <a:extLst>
                        <a:ext uri="{FF2B5EF4-FFF2-40B4-BE49-F238E27FC236}">
                          <a16:creationId xmlns:a16="http://schemas.microsoft.com/office/drawing/2014/main" id="{3C92AD30-F5A8-DD3D-67EB-DBF3EE64E5FC}"/>
                        </a:ext>
                      </a:extLst>
                    </pic:cNvPr>
                    <pic:cNvPicPr>
                      <a:picLocks noChangeAspect="1"/>
                    </pic:cNvPicPr>
                  </pic:nvPicPr>
                  <pic:blipFill>
                    <a:blip r:embed="rId61"/>
                    <a:srcRect l="10417" t="5583" r="9444" b="7613"/>
                    <a:stretch>
                      <a:fillRect/>
                    </a:stretch>
                  </pic:blipFill>
                  <pic:spPr>
                    <a:xfrm>
                      <a:off x="0" y="0"/>
                      <a:ext cx="5255267" cy="3114906"/>
                    </a:xfrm>
                    <a:prstGeom prst="rect">
                      <a:avLst/>
                    </a:prstGeom>
                  </pic:spPr>
                </pic:pic>
              </a:graphicData>
            </a:graphic>
          </wp:inline>
        </w:drawing>
      </w:r>
    </w:p>
    <w:p w14:paraId="0D6A657F" w14:textId="28E8D566" w:rsidR="00594CCF" w:rsidRDefault="00351283" w:rsidP="008C668B">
      <w:pPr>
        <w:rPr>
          <w:lang w:eastAsia="en-IE"/>
        </w:rPr>
      </w:pPr>
      <w:r>
        <w:rPr>
          <w:lang w:eastAsia="en-IE"/>
        </w:rPr>
        <w:t xml:space="preserve">The </w:t>
      </w:r>
      <w:r w:rsidRPr="00952787">
        <w:rPr>
          <w:rStyle w:val="Bold"/>
        </w:rPr>
        <w:t xml:space="preserve">interim evaluation </w:t>
      </w:r>
      <w:r w:rsidR="00594CCF" w:rsidRPr="00952787">
        <w:rPr>
          <w:rStyle w:val="Bold"/>
        </w:rPr>
        <w:t>of STEP</w:t>
      </w:r>
      <w:r w:rsidR="005E5209">
        <w:rPr>
          <w:lang w:eastAsia="en-IE"/>
        </w:rPr>
        <w:t xml:space="preserve"> was</w:t>
      </w:r>
      <w:r>
        <w:rPr>
          <w:lang w:eastAsia="en-IE"/>
        </w:rPr>
        <w:t xml:space="preserve"> published in July 2025</w:t>
      </w:r>
      <w:r w:rsidR="00F05277">
        <w:rPr>
          <w:lang w:eastAsia="en-IE"/>
        </w:rPr>
        <w:t>, and it</w:t>
      </w:r>
      <w:r>
        <w:rPr>
          <w:lang w:eastAsia="en-IE"/>
        </w:rPr>
        <w:t xml:space="preserve"> points</w:t>
      </w:r>
      <w:r w:rsidR="00594CCF">
        <w:rPr>
          <w:lang w:eastAsia="en-IE"/>
        </w:rPr>
        <w:t xml:space="preserve"> to </w:t>
      </w:r>
      <w:r w:rsidR="008B56E9">
        <w:rPr>
          <w:lang w:eastAsia="en-IE"/>
        </w:rPr>
        <w:t xml:space="preserve">STEP’s </w:t>
      </w:r>
      <w:r w:rsidR="00594CCF">
        <w:rPr>
          <w:lang w:eastAsia="en-IE"/>
        </w:rPr>
        <w:t>success in effectively steering EU investment to innovative technologies and simplifying access to EU funding via a one-stop shop online portal</w:t>
      </w:r>
      <w:r>
        <w:rPr>
          <w:lang w:eastAsia="en-IE"/>
        </w:rPr>
        <w:t>, the STEP Portal</w:t>
      </w:r>
      <w:r w:rsidR="00594CCF">
        <w:rPr>
          <w:lang w:eastAsia="en-IE"/>
        </w:rPr>
        <w:t xml:space="preserve">. </w:t>
      </w:r>
    </w:p>
    <w:p w14:paraId="5691B7EC" w14:textId="6B0F1E8F" w:rsidR="00127BDE" w:rsidRDefault="00127BDE" w:rsidP="00564482">
      <w:pPr>
        <w:pStyle w:val="amprboxbulletlist"/>
      </w:pPr>
      <w:r>
        <w:br w:type="page"/>
      </w:r>
    </w:p>
    <w:bookmarkEnd w:id="39"/>
    <w:p w14:paraId="01D498F7" w14:textId="53A7D3A5" w:rsidR="000D7D9F" w:rsidRPr="003E29CF" w:rsidRDefault="00CD4679" w:rsidP="000D7D9F">
      <w:pPr>
        <w:pStyle w:val="Heading3"/>
        <w:rPr>
          <w:rFonts w:ascii="EC Square Sans Pro" w:hAnsi="EC Square Sans Pro"/>
          <w:noProof/>
          <w:highlight w:val="lightGray"/>
        </w:rPr>
      </w:pPr>
      <w:r w:rsidRPr="00CD4679">
        <w:rPr>
          <w:rFonts w:ascii="EC Square Sans Pro" w:hAnsi="EC Square Sans Pro"/>
          <w:noProof/>
        </w:rPr>
        <w:t xml:space="preserve">A new era for European </w:t>
      </w:r>
      <w:r w:rsidR="00BD624F">
        <w:rPr>
          <w:rFonts w:ascii="EC Square Sans Pro" w:hAnsi="EC Square Sans Pro"/>
          <w:noProof/>
        </w:rPr>
        <w:t>d</w:t>
      </w:r>
      <w:r w:rsidRPr="00CD4679">
        <w:rPr>
          <w:rFonts w:ascii="EC Square Sans Pro" w:hAnsi="EC Square Sans Pro"/>
          <w:noProof/>
        </w:rPr>
        <w:t xml:space="preserve">efence and </w:t>
      </w:r>
      <w:r w:rsidR="00BD624F">
        <w:rPr>
          <w:rFonts w:ascii="EC Square Sans Pro" w:hAnsi="EC Square Sans Pro"/>
          <w:noProof/>
        </w:rPr>
        <w:t>s</w:t>
      </w:r>
      <w:r w:rsidRPr="00CD4679">
        <w:rPr>
          <w:rFonts w:ascii="EC Square Sans Pro" w:hAnsi="EC Square Sans Pro"/>
          <w:noProof/>
        </w:rPr>
        <w:t>ecurity</w:t>
      </w:r>
    </w:p>
    <w:p w14:paraId="53FCDA13" w14:textId="789C7AAA" w:rsidR="000D7D9F" w:rsidRPr="003E29CF" w:rsidRDefault="00B1059D" w:rsidP="000D7D9F">
      <w:pPr>
        <w:pStyle w:val="amprquotetext"/>
        <w:rPr>
          <w:rFonts w:ascii="EC Square Sans Pro" w:hAnsi="EC Square Sans Pro"/>
          <w:noProof/>
          <w:highlight w:val="lightGray"/>
        </w:rPr>
      </w:pPr>
      <w:r>
        <w:t xml:space="preserve">This must be Europe's Independence Moment. I believe </w:t>
      </w:r>
      <w:r w:rsidRPr="00B1059D">
        <w:t>this is our Union's mission. To be able to take care of our own defence and security</w:t>
      </w:r>
      <w:r w:rsidR="000D7D9F" w:rsidRPr="00B1059D">
        <w:rPr>
          <w:rFonts w:ascii="Calibri" w:hAnsi="Calibri" w:cs="Calibri"/>
          <w:noProof/>
        </w:rPr>
        <w:t> </w:t>
      </w:r>
      <w:r w:rsidR="000D7D9F" w:rsidRPr="004E072A">
        <w:rPr>
          <w:rFonts w:ascii="EC Square Sans Pro" w:hAnsi="EC Square Sans Pro"/>
          <w:i w:val="0"/>
          <w:noProof/>
        </w:rPr>
        <w:t>(</w:t>
      </w:r>
      <w:r w:rsidR="000D7D9F" w:rsidRPr="004C2E72">
        <w:rPr>
          <w:rStyle w:val="FootnoteReference"/>
          <w:i w:val="0"/>
        </w:rPr>
        <w:footnoteReference w:id="30"/>
      </w:r>
      <w:r w:rsidR="000D7D9F" w:rsidRPr="004E072A">
        <w:rPr>
          <w:rFonts w:ascii="EC Square Sans Pro" w:hAnsi="EC Square Sans Pro"/>
          <w:i w:val="0"/>
          <w:noProof/>
        </w:rPr>
        <w:t>)</w:t>
      </w:r>
      <w:r w:rsidR="000D7D9F" w:rsidRPr="00B1059D">
        <w:rPr>
          <w:rFonts w:ascii="EC Square Sans Pro" w:hAnsi="EC Square Sans Pro"/>
          <w:noProof/>
        </w:rPr>
        <w:t>.</w:t>
      </w:r>
    </w:p>
    <w:p w14:paraId="2646FA66" w14:textId="77777777" w:rsidR="000D7D9F" w:rsidRPr="004C2E72" w:rsidRDefault="000D7D9F" w:rsidP="000D7D9F">
      <w:pPr>
        <w:pStyle w:val="amprquoteauthor"/>
        <w:rPr>
          <w:i w:val="0"/>
          <w:iCs w:val="0"/>
          <w:noProof/>
        </w:rPr>
      </w:pPr>
      <w:r w:rsidRPr="004C2E72">
        <w:rPr>
          <w:i w:val="0"/>
          <w:iCs w:val="0"/>
          <w:noProof/>
        </w:rPr>
        <w:t>Ursula von der Leyen</w:t>
      </w:r>
    </w:p>
    <w:p w14:paraId="0C00F054" w14:textId="77777777" w:rsidR="000D7D9F" w:rsidRPr="00A606BC" w:rsidRDefault="000D7D9F" w:rsidP="000D7D9F">
      <w:pPr>
        <w:pStyle w:val="amprquoteauthortitle"/>
        <w:rPr>
          <w:rFonts w:ascii="EC Square Sans Pro" w:hAnsi="EC Square Sans Pro"/>
          <w:noProof/>
        </w:rPr>
      </w:pPr>
      <w:r w:rsidRPr="00A606BC">
        <w:rPr>
          <w:rFonts w:ascii="EC Square Sans Pro" w:hAnsi="EC Square Sans Pro"/>
          <w:noProof/>
        </w:rPr>
        <w:t>President of the European Commission</w:t>
      </w:r>
    </w:p>
    <w:p w14:paraId="1B106EC1" w14:textId="602A9BDC" w:rsidR="000D7D9F" w:rsidRPr="00A606BC" w:rsidRDefault="003E10E1" w:rsidP="000D7D9F">
      <w:pPr>
        <w:pStyle w:val="Heading4"/>
        <w:rPr>
          <w:rFonts w:ascii="EC Square Sans Pro" w:hAnsi="EC Square Sans Pro"/>
          <w:noProof/>
        </w:rPr>
      </w:pPr>
      <w:r>
        <w:rPr>
          <w:rFonts w:ascii="EC Square Sans Pro" w:hAnsi="EC Square Sans Pro"/>
          <w:noProof/>
        </w:rPr>
        <w:t>Investing in defence</w:t>
      </w:r>
    </w:p>
    <w:p w14:paraId="53A4A29E" w14:textId="7096AB5A" w:rsidR="00FB2086" w:rsidRDefault="0090451F" w:rsidP="000D7D9F">
      <w:pPr>
        <w:rPr>
          <w:noProof/>
        </w:rPr>
      </w:pPr>
      <w:r w:rsidRPr="00616A68">
        <w:rPr>
          <w:rStyle w:val="Bold"/>
        </w:rPr>
        <w:t xml:space="preserve">The EU </w:t>
      </w:r>
      <w:r w:rsidR="00804FA6" w:rsidRPr="00616A68">
        <w:rPr>
          <w:rStyle w:val="Bold"/>
        </w:rPr>
        <w:t>stepped up</w:t>
      </w:r>
      <w:r w:rsidR="00B4207C" w:rsidRPr="00616A68">
        <w:rPr>
          <w:rStyle w:val="Bold"/>
        </w:rPr>
        <w:t xml:space="preserve"> its defence efforts </w:t>
      </w:r>
      <w:r w:rsidR="0027685F" w:rsidRPr="00616A68">
        <w:rPr>
          <w:rStyle w:val="Bold"/>
        </w:rPr>
        <w:t>in 2025 th</w:t>
      </w:r>
      <w:r w:rsidR="00B8723B" w:rsidRPr="00616A68">
        <w:rPr>
          <w:rStyle w:val="Bold"/>
        </w:rPr>
        <w:t>r</w:t>
      </w:r>
      <w:r w:rsidR="0027685F" w:rsidRPr="00616A68">
        <w:rPr>
          <w:rStyle w:val="Bold"/>
        </w:rPr>
        <w:t xml:space="preserve">ough the </w:t>
      </w:r>
      <w:r w:rsidR="00C24A44">
        <w:rPr>
          <w:rStyle w:val="Bold"/>
        </w:rPr>
        <w:t>r</w:t>
      </w:r>
      <w:r w:rsidR="003913D3" w:rsidRPr="00616A68">
        <w:rPr>
          <w:rStyle w:val="Bold"/>
        </w:rPr>
        <w:t>e</w:t>
      </w:r>
      <w:r w:rsidR="002E25FB">
        <w:rPr>
          <w:rStyle w:val="Bold"/>
        </w:rPr>
        <w:t>a</w:t>
      </w:r>
      <w:r w:rsidR="003913D3" w:rsidRPr="00616A68">
        <w:rPr>
          <w:rStyle w:val="Bold"/>
        </w:rPr>
        <w:t>rm Europe plan</w:t>
      </w:r>
      <w:r w:rsidR="003913D3" w:rsidRPr="004C2E72">
        <w:rPr>
          <w:rStyle w:val="Bold"/>
          <w:b w:val="0"/>
          <w:bCs/>
        </w:rPr>
        <w:t>,</w:t>
      </w:r>
      <w:r w:rsidR="003913D3">
        <w:rPr>
          <w:noProof/>
        </w:rPr>
        <w:t xml:space="preserve"> </w:t>
      </w:r>
      <w:r w:rsidR="0028271E">
        <w:rPr>
          <w:noProof/>
        </w:rPr>
        <w:t xml:space="preserve">which </w:t>
      </w:r>
      <w:r w:rsidR="00AF32D2">
        <w:rPr>
          <w:noProof/>
        </w:rPr>
        <w:t>mobilised new financial in</w:t>
      </w:r>
      <w:r w:rsidR="00981DA5">
        <w:rPr>
          <w:noProof/>
        </w:rPr>
        <w:t>s</w:t>
      </w:r>
      <w:r w:rsidR="00AF32D2">
        <w:rPr>
          <w:noProof/>
        </w:rPr>
        <w:t xml:space="preserve">truments </w:t>
      </w:r>
      <w:r w:rsidR="00A54A38">
        <w:rPr>
          <w:noProof/>
        </w:rPr>
        <w:t xml:space="preserve">to </w:t>
      </w:r>
      <w:r w:rsidR="00A54A38" w:rsidRPr="002B25FB">
        <w:t>streng</w:t>
      </w:r>
      <w:r w:rsidR="00804FA6" w:rsidRPr="002B25FB">
        <w:t>t</w:t>
      </w:r>
      <w:r w:rsidR="00A54A38" w:rsidRPr="002B25FB">
        <w:t>hen</w:t>
      </w:r>
      <w:r w:rsidR="00A54A38">
        <w:rPr>
          <w:noProof/>
        </w:rPr>
        <w:t xml:space="preserve"> Europe’s defence capabilities</w:t>
      </w:r>
      <w:r w:rsidR="00AF452A">
        <w:rPr>
          <w:noProof/>
        </w:rPr>
        <w:t xml:space="preserve"> and close in</w:t>
      </w:r>
      <w:r w:rsidR="00B4207C">
        <w:rPr>
          <w:noProof/>
        </w:rPr>
        <w:t>v</w:t>
      </w:r>
      <w:r w:rsidR="00AF452A">
        <w:rPr>
          <w:noProof/>
        </w:rPr>
        <w:t>estment gaps</w:t>
      </w:r>
      <w:r w:rsidR="005A37D6">
        <w:rPr>
          <w:noProof/>
        </w:rPr>
        <w:t xml:space="preserve"> for full defence readiness by 2030.</w:t>
      </w:r>
      <w:r w:rsidR="003E7375">
        <w:rPr>
          <w:noProof/>
        </w:rPr>
        <w:t xml:space="preserve"> The </w:t>
      </w:r>
      <w:r w:rsidR="00C24A44">
        <w:rPr>
          <w:noProof/>
        </w:rPr>
        <w:t>r</w:t>
      </w:r>
      <w:r w:rsidR="003E7375">
        <w:rPr>
          <w:noProof/>
        </w:rPr>
        <w:t>e</w:t>
      </w:r>
      <w:r w:rsidR="002E25FB">
        <w:rPr>
          <w:noProof/>
        </w:rPr>
        <w:t>a</w:t>
      </w:r>
      <w:r w:rsidR="003E7375">
        <w:rPr>
          <w:noProof/>
        </w:rPr>
        <w:t>rm Europe plan includ</w:t>
      </w:r>
      <w:r w:rsidR="00753B60">
        <w:rPr>
          <w:noProof/>
        </w:rPr>
        <w:t>es</w:t>
      </w:r>
      <w:r w:rsidR="003E7375">
        <w:rPr>
          <w:noProof/>
        </w:rPr>
        <w:t xml:space="preserve"> Security Action for </w:t>
      </w:r>
      <w:r w:rsidR="009F4B71">
        <w:rPr>
          <w:noProof/>
        </w:rPr>
        <w:t>E</w:t>
      </w:r>
      <w:r w:rsidR="003E7375">
        <w:rPr>
          <w:noProof/>
        </w:rPr>
        <w:t xml:space="preserve">urope, </w:t>
      </w:r>
      <w:r w:rsidR="00AC3197">
        <w:rPr>
          <w:noProof/>
        </w:rPr>
        <w:t xml:space="preserve">which </w:t>
      </w:r>
      <w:r w:rsidR="00A948F7">
        <w:rPr>
          <w:noProof/>
        </w:rPr>
        <w:t>will provide up to EUR</w:t>
      </w:r>
      <w:r w:rsidR="00A948F7">
        <w:rPr>
          <w:rFonts w:ascii="Calibri" w:hAnsi="Calibri" w:cs="Calibri"/>
          <w:noProof/>
        </w:rPr>
        <w:t> </w:t>
      </w:r>
      <w:r w:rsidR="00A948F7">
        <w:rPr>
          <w:noProof/>
        </w:rPr>
        <w:t>150</w:t>
      </w:r>
      <w:r w:rsidR="004E072A">
        <w:rPr>
          <w:rFonts w:ascii="Calibri" w:hAnsi="Calibri" w:cs="Calibri"/>
          <w:noProof/>
          <w:lang w:val="en-IE" w:eastAsia="en-IE"/>
        </w:rPr>
        <w:t> </w:t>
      </w:r>
      <w:r w:rsidR="00A948F7">
        <w:rPr>
          <w:noProof/>
        </w:rPr>
        <w:t xml:space="preserve">billion </w:t>
      </w:r>
      <w:r w:rsidR="00D6198F">
        <w:rPr>
          <w:noProof/>
        </w:rPr>
        <w:t>in loans</w:t>
      </w:r>
      <w:r w:rsidR="00A948F7">
        <w:rPr>
          <w:noProof/>
        </w:rPr>
        <w:t xml:space="preserve"> </w:t>
      </w:r>
      <w:r w:rsidR="00AC3197" w:rsidRPr="00FC0F8B">
        <w:t>to support urgent defence investments and address critical capability gaps. Member States</w:t>
      </w:r>
      <w:r w:rsidR="0067130C">
        <w:t xml:space="preserve"> demonstrated</w:t>
      </w:r>
      <w:r w:rsidR="001609DF">
        <w:t xml:space="preserve"> </w:t>
      </w:r>
      <w:r w:rsidR="00D849D1">
        <w:t>strong</w:t>
      </w:r>
      <w:r w:rsidR="001609DF">
        <w:t xml:space="preserve"> </w:t>
      </w:r>
      <w:r w:rsidR="00AC3197" w:rsidRPr="00FC0F8B">
        <w:t xml:space="preserve">interest </w:t>
      </w:r>
      <w:r w:rsidR="001609DF">
        <w:t xml:space="preserve">in the instrument, </w:t>
      </w:r>
      <w:r w:rsidR="00AC3197" w:rsidRPr="00FC0F8B">
        <w:t xml:space="preserve">with 19 Member States submitting national </w:t>
      </w:r>
      <w:r w:rsidR="00881662">
        <w:t>d</w:t>
      </w:r>
      <w:r w:rsidR="00AC3197" w:rsidRPr="00FC0F8B">
        <w:t xml:space="preserve">efence </w:t>
      </w:r>
      <w:r w:rsidR="00881662">
        <w:t>i</w:t>
      </w:r>
      <w:r w:rsidR="00AC3197" w:rsidRPr="00FC0F8B">
        <w:t xml:space="preserve">ndustry </w:t>
      </w:r>
      <w:r w:rsidR="00881662">
        <w:t>i</w:t>
      </w:r>
      <w:r w:rsidR="00AC3197" w:rsidRPr="00FC0F8B">
        <w:t xml:space="preserve">nvestment </w:t>
      </w:r>
      <w:r w:rsidR="00881662">
        <w:t>p</w:t>
      </w:r>
      <w:r w:rsidR="00AC3197" w:rsidRPr="00FC0F8B">
        <w:t>lans by 30</w:t>
      </w:r>
      <w:r w:rsidR="004E072A">
        <w:rPr>
          <w:rFonts w:ascii="Calibri" w:hAnsi="Calibri" w:cs="Calibri"/>
          <w:noProof/>
          <w:lang w:val="en-IE" w:eastAsia="en-IE"/>
        </w:rPr>
        <w:t> </w:t>
      </w:r>
      <w:r w:rsidR="00AC3197" w:rsidRPr="00FC0F8B">
        <w:t>November</w:t>
      </w:r>
      <w:r w:rsidR="00A65DC8">
        <w:t xml:space="preserve"> 2025</w:t>
      </w:r>
      <w:r w:rsidR="00AC3197" w:rsidRPr="00FC0F8B">
        <w:t>, covering 691 projects, 65% of which involved joint procurement.</w:t>
      </w:r>
    </w:p>
    <w:p w14:paraId="46770766" w14:textId="550C6896" w:rsidR="00D832DC" w:rsidRDefault="009772D4" w:rsidP="00DA6127">
      <w:pPr>
        <w:rPr>
          <w:noProof/>
        </w:rPr>
      </w:pPr>
      <w:r w:rsidRPr="006A3719">
        <w:rPr>
          <w:rStyle w:val="Bold"/>
        </w:rPr>
        <w:t xml:space="preserve">The EU </w:t>
      </w:r>
      <w:r w:rsidR="00D849D1" w:rsidRPr="006A3719">
        <w:rPr>
          <w:rStyle w:val="Bold"/>
        </w:rPr>
        <w:t>also</w:t>
      </w:r>
      <w:r w:rsidRPr="006A3719">
        <w:rPr>
          <w:rStyle w:val="Bold"/>
        </w:rPr>
        <w:t xml:space="preserve"> </w:t>
      </w:r>
      <w:r w:rsidR="005F420F" w:rsidRPr="006A3719">
        <w:rPr>
          <w:rStyle w:val="Bold"/>
        </w:rPr>
        <w:t xml:space="preserve">invested in </w:t>
      </w:r>
      <w:r w:rsidR="008F03B3" w:rsidRPr="006A3719">
        <w:rPr>
          <w:rStyle w:val="Bold"/>
        </w:rPr>
        <w:t>defence collaborative research, development and innovation</w:t>
      </w:r>
      <w:r w:rsidR="00D849D1" w:rsidRPr="006A3719">
        <w:rPr>
          <w:rStyle w:val="Bold"/>
        </w:rPr>
        <w:t xml:space="preserve"> through</w:t>
      </w:r>
      <w:r w:rsidR="008F03B3" w:rsidRPr="006A3719">
        <w:rPr>
          <w:rStyle w:val="Bold"/>
        </w:rPr>
        <w:t xml:space="preserve"> the European Defence Fund</w:t>
      </w:r>
      <w:r w:rsidR="00D832DC" w:rsidRPr="006A3719">
        <w:rPr>
          <w:rStyle w:val="Bold"/>
        </w:rPr>
        <w:t>.</w:t>
      </w:r>
      <w:r w:rsidR="00D832DC">
        <w:rPr>
          <w:noProof/>
        </w:rPr>
        <w:t xml:space="preserve"> </w:t>
      </w:r>
      <w:r w:rsidR="00556258">
        <w:rPr>
          <w:noProof/>
        </w:rPr>
        <w:t>In its 2025 work programme, t</w:t>
      </w:r>
      <w:r w:rsidR="00D832DC">
        <w:rPr>
          <w:noProof/>
        </w:rPr>
        <w:t xml:space="preserve">he </w:t>
      </w:r>
      <w:r w:rsidR="00FF757B" w:rsidRPr="004C2E72">
        <w:rPr>
          <w:rStyle w:val="Bold"/>
          <w:b w:val="0"/>
          <w:bCs/>
        </w:rPr>
        <w:t>European Defence Fund</w:t>
      </w:r>
      <w:r w:rsidR="00123F6A">
        <w:rPr>
          <w:rStyle w:val="Bold"/>
          <w:b w:val="0"/>
          <w:bCs/>
        </w:rPr>
        <w:t xml:space="preserve"> (EDF)</w:t>
      </w:r>
      <w:r w:rsidR="008F03B3">
        <w:rPr>
          <w:noProof/>
        </w:rPr>
        <w:t xml:space="preserve"> allocat</w:t>
      </w:r>
      <w:r w:rsidR="005013BE">
        <w:rPr>
          <w:noProof/>
        </w:rPr>
        <w:t xml:space="preserve">ed </w:t>
      </w:r>
      <w:r w:rsidR="00614CB0">
        <w:rPr>
          <w:noProof/>
        </w:rPr>
        <w:t>close to EUR</w:t>
      </w:r>
      <w:r w:rsidR="00614CB0">
        <w:rPr>
          <w:rFonts w:ascii="Calibri" w:hAnsi="Calibri" w:cs="Calibri"/>
          <w:noProof/>
        </w:rPr>
        <w:t> </w:t>
      </w:r>
      <w:r w:rsidR="00614CB0">
        <w:rPr>
          <w:noProof/>
        </w:rPr>
        <w:t>1</w:t>
      </w:r>
      <w:r w:rsidR="00CD1DC0">
        <w:rPr>
          <w:rFonts w:ascii="Calibri" w:hAnsi="Calibri" w:cs="Calibri"/>
          <w:noProof/>
          <w:lang w:val="en-IE" w:eastAsia="en-IE"/>
        </w:rPr>
        <w:t> </w:t>
      </w:r>
      <w:r w:rsidR="00614CB0">
        <w:rPr>
          <w:noProof/>
        </w:rPr>
        <w:t>billion</w:t>
      </w:r>
      <w:r w:rsidR="005013BE">
        <w:rPr>
          <w:noProof/>
        </w:rPr>
        <w:t xml:space="preserve"> in fun</w:t>
      </w:r>
      <w:r w:rsidR="008A5280">
        <w:rPr>
          <w:noProof/>
        </w:rPr>
        <w:t>d</w:t>
      </w:r>
      <w:r w:rsidR="005013BE">
        <w:rPr>
          <w:noProof/>
        </w:rPr>
        <w:t>ing</w:t>
      </w:r>
      <w:r w:rsidR="001B712A">
        <w:rPr>
          <w:noProof/>
        </w:rPr>
        <w:t xml:space="preserve"> and </w:t>
      </w:r>
      <w:r w:rsidR="00291094">
        <w:rPr>
          <w:noProof/>
        </w:rPr>
        <w:t>receiv</w:t>
      </w:r>
      <w:r w:rsidR="005013BE">
        <w:rPr>
          <w:noProof/>
        </w:rPr>
        <w:t>ed</w:t>
      </w:r>
      <w:r w:rsidR="00291094">
        <w:rPr>
          <w:noProof/>
        </w:rPr>
        <w:t xml:space="preserve"> a record 410 project proposals in response</w:t>
      </w:r>
      <w:r w:rsidR="005013BE">
        <w:rPr>
          <w:noProof/>
        </w:rPr>
        <w:t xml:space="preserve">, </w:t>
      </w:r>
      <w:r w:rsidR="00ED3D0A">
        <w:rPr>
          <w:noProof/>
        </w:rPr>
        <w:t xml:space="preserve">which will </w:t>
      </w:r>
      <w:r w:rsidR="1020ACE6" w:rsidRPr="6C1A42AD">
        <w:rPr>
          <w:noProof/>
        </w:rPr>
        <w:t>lead</w:t>
      </w:r>
      <w:r w:rsidR="003E3D43">
        <w:rPr>
          <w:noProof/>
        </w:rPr>
        <w:t xml:space="preserve"> to funding </w:t>
      </w:r>
      <w:r w:rsidR="39FD13B7" w:rsidRPr="6C1A42AD">
        <w:rPr>
          <w:noProof/>
        </w:rPr>
        <w:t>projects</w:t>
      </w:r>
      <w:r w:rsidR="6444B788" w:rsidRPr="6C1A42AD">
        <w:rPr>
          <w:noProof/>
        </w:rPr>
        <w:t xml:space="preserve"> </w:t>
      </w:r>
      <w:r w:rsidR="006A5C3F">
        <w:rPr>
          <w:noProof/>
        </w:rPr>
        <w:t xml:space="preserve">in the course of </w:t>
      </w:r>
      <w:r w:rsidR="6444B788" w:rsidRPr="6C1A42AD">
        <w:rPr>
          <w:noProof/>
        </w:rPr>
        <w:t>2026</w:t>
      </w:r>
      <w:r w:rsidR="6AC13BD3" w:rsidRPr="6C1A42AD">
        <w:rPr>
          <w:noProof/>
        </w:rPr>
        <w:t>.</w:t>
      </w:r>
      <w:r w:rsidR="00F75BD7">
        <w:rPr>
          <w:noProof/>
        </w:rPr>
        <w:t xml:space="preserve"> </w:t>
      </w:r>
      <w:r w:rsidR="00F75BD7" w:rsidRPr="00F75BD7">
        <w:rPr>
          <w:noProof/>
        </w:rPr>
        <w:t>By 2025, EUR</w:t>
      </w:r>
      <w:r w:rsidR="00CD1DC0">
        <w:rPr>
          <w:rFonts w:ascii="Calibri" w:hAnsi="Calibri" w:cs="Calibri"/>
          <w:noProof/>
          <w:lang w:val="en-IE" w:eastAsia="en-IE"/>
        </w:rPr>
        <w:t> </w:t>
      </w:r>
      <w:r w:rsidR="00F75BD7" w:rsidRPr="00F75BD7">
        <w:rPr>
          <w:noProof/>
        </w:rPr>
        <w:t>5.</w:t>
      </w:r>
      <w:r w:rsidR="113D88AB" w:rsidRPr="6C1A42AD">
        <w:rPr>
          <w:noProof/>
        </w:rPr>
        <w:t>1</w:t>
      </w:r>
      <w:r w:rsidR="00CD1DC0">
        <w:rPr>
          <w:rFonts w:ascii="Calibri" w:hAnsi="Calibri" w:cs="Calibri"/>
          <w:noProof/>
          <w:lang w:val="en-IE" w:eastAsia="en-IE"/>
        </w:rPr>
        <w:t> </w:t>
      </w:r>
      <w:r w:rsidR="00F75BD7" w:rsidRPr="00F75BD7">
        <w:rPr>
          <w:noProof/>
        </w:rPr>
        <w:t xml:space="preserve">billion had been committed to defence </w:t>
      </w:r>
      <w:r w:rsidR="00E858B1">
        <w:rPr>
          <w:noProof/>
        </w:rPr>
        <w:t>research and development</w:t>
      </w:r>
      <w:r w:rsidR="00F75BD7" w:rsidRPr="00F75BD7">
        <w:rPr>
          <w:noProof/>
        </w:rPr>
        <w:t xml:space="preserve">, supporting 225 collaborative </w:t>
      </w:r>
      <w:r w:rsidR="0038203B" w:rsidRPr="005C0AB1">
        <w:rPr>
          <w:rStyle w:val="Bold"/>
          <w:b w:val="0"/>
          <w:bCs/>
        </w:rPr>
        <w:t>European Defence Fund</w:t>
      </w:r>
      <w:r w:rsidR="0038203B">
        <w:rPr>
          <w:noProof/>
        </w:rPr>
        <w:t xml:space="preserve"> </w:t>
      </w:r>
      <w:r w:rsidR="00F75BD7" w:rsidRPr="00F75BD7">
        <w:rPr>
          <w:noProof/>
        </w:rPr>
        <w:t xml:space="preserve">projects and </w:t>
      </w:r>
      <w:r w:rsidR="00D60F4A">
        <w:rPr>
          <w:noProof/>
        </w:rPr>
        <w:t xml:space="preserve">including </w:t>
      </w:r>
      <w:r w:rsidR="008768D3">
        <w:rPr>
          <w:noProof/>
        </w:rPr>
        <w:t xml:space="preserve">the 2025 commitment. </w:t>
      </w:r>
      <w:r w:rsidR="6E650CE5" w:rsidRPr="6C1A42AD">
        <w:rPr>
          <w:noProof/>
        </w:rPr>
        <w:t>This</w:t>
      </w:r>
      <w:r w:rsidR="1E1B7DCA" w:rsidRPr="6C1A42AD">
        <w:rPr>
          <w:noProof/>
        </w:rPr>
        <w:t xml:space="preserve"> </w:t>
      </w:r>
      <w:r w:rsidR="23B577E3" w:rsidRPr="6C1A42AD">
        <w:rPr>
          <w:noProof/>
        </w:rPr>
        <w:t>position</w:t>
      </w:r>
      <w:r w:rsidR="1E1B7DCA" w:rsidRPr="6C1A42AD">
        <w:rPr>
          <w:noProof/>
        </w:rPr>
        <w:t>s</w:t>
      </w:r>
      <w:r w:rsidR="00F75BD7" w:rsidRPr="00F75BD7">
        <w:rPr>
          <w:noProof/>
        </w:rPr>
        <w:t xml:space="preserve"> the </w:t>
      </w:r>
      <w:r w:rsidR="001E2581">
        <w:rPr>
          <w:noProof/>
        </w:rPr>
        <w:t>f</w:t>
      </w:r>
      <w:r w:rsidR="00FF757B" w:rsidRPr="005C0AB1">
        <w:rPr>
          <w:rStyle w:val="Bold"/>
          <w:b w:val="0"/>
          <w:bCs/>
        </w:rPr>
        <w:t>und</w:t>
      </w:r>
      <w:r w:rsidR="00FF757B">
        <w:rPr>
          <w:noProof/>
        </w:rPr>
        <w:t xml:space="preserve"> </w:t>
      </w:r>
      <w:r w:rsidR="00F75BD7" w:rsidRPr="00F75BD7">
        <w:rPr>
          <w:noProof/>
        </w:rPr>
        <w:t xml:space="preserve">among the EU’s top defence </w:t>
      </w:r>
      <w:r w:rsidR="00B40AF8">
        <w:rPr>
          <w:noProof/>
        </w:rPr>
        <w:t>research and development</w:t>
      </w:r>
      <w:r w:rsidR="00F75BD7" w:rsidRPr="00F75BD7">
        <w:rPr>
          <w:noProof/>
        </w:rPr>
        <w:t xml:space="preserve"> investor</w:t>
      </w:r>
      <w:r w:rsidR="00010C33">
        <w:rPr>
          <w:noProof/>
        </w:rPr>
        <w:t>s.</w:t>
      </w:r>
      <w:r w:rsidR="00F80D23">
        <w:rPr>
          <w:noProof/>
        </w:rPr>
        <w:t xml:space="preserve"> </w:t>
      </w:r>
      <w:r w:rsidR="00F80D23" w:rsidRPr="0B5F44FE">
        <w:rPr>
          <w:noProof/>
        </w:rPr>
        <w:t xml:space="preserve">As part of the EDF, the EU Defence Innovation Scheme (EUDIS) continued to support non-traditional defence players, including SMEs. </w:t>
      </w:r>
      <w:r w:rsidR="6E650CE5" w:rsidRPr="6C1A42AD">
        <w:rPr>
          <w:noProof/>
        </w:rPr>
        <w:t>Two</w:t>
      </w:r>
      <w:r w:rsidR="00F80D23" w:rsidRPr="0B5F44FE">
        <w:rPr>
          <w:noProof/>
        </w:rPr>
        <w:t xml:space="preserve"> defence hackathons were organised across 16 locations in Europe and two new initiatives were launched: the EUDIS Business Accelerator, an </w:t>
      </w:r>
      <w:r w:rsidR="6E650CE5" w:rsidRPr="6C1A42AD">
        <w:rPr>
          <w:noProof/>
        </w:rPr>
        <w:t>eight</w:t>
      </w:r>
      <w:r w:rsidR="00F80D23" w:rsidRPr="0B5F44FE">
        <w:rPr>
          <w:noProof/>
        </w:rPr>
        <w:t>-month support programme providing targeted and tailored support to defence and dual use start-ups and</w:t>
      </w:r>
      <w:r w:rsidR="00B734C2">
        <w:rPr>
          <w:noProof/>
        </w:rPr>
        <w:t xml:space="preserve"> small and medium-sized enterprises</w:t>
      </w:r>
      <w:r w:rsidR="00F80D23" w:rsidRPr="0B5F44FE">
        <w:rPr>
          <w:noProof/>
        </w:rPr>
        <w:t xml:space="preserve"> (supporting 20 companies in 2025); and EUDIS Matchmaking, establishing a platform to foster connections between defence innovators, investors, end</w:t>
      </w:r>
      <w:r w:rsidR="202C4D8E" w:rsidRPr="6C1A42AD">
        <w:rPr>
          <w:noProof/>
        </w:rPr>
        <w:t xml:space="preserve"> </w:t>
      </w:r>
      <w:r w:rsidR="00F80D23" w:rsidRPr="0B5F44FE">
        <w:rPr>
          <w:noProof/>
        </w:rPr>
        <w:t xml:space="preserve">users, corporates and other relevant defence stakeholders, and organising </w:t>
      </w:r>
      <w:r w:rsidR="77A91D36" w:rsidRPr="6C1A42AD">
        <w:rPr>
          <w:noProof/>
        </w:rPr>
        <w:t>four</w:t>
      </w:r>
      <w:r w:rsidR="00F80D23" w:rsidRPr="0B5F44FE">
        <w:rPr>
          <w:noProof/>
        </w:rPr>
        <w:t xml:space="preserve"> events across Member States in 2025.</w:t>
      </w:r>
    </w:p>
    <w:p w14:paraId="54A48E1F" w14:textId="1F48B583" w:rsidR="00336423" w:rsidRDefault="00090402" w:rsidP="000742D9">
      <w:pPr>
        <w:rPr>
          <w:noProof/>
        </w:rPr>
      </w:pPr>
      <w:r w:rsidRPr="006A3719">
        <w:rPr>
          <w:rStyle w:val="Bold"/>
        </w:rPr>
        <w:t>In 2025, t</w:t>
      </w:r>
      <w:r w:rsidR="007B130D" w:rsidRPr="006A3719">
        <w:rPr>
          <w:rStyle w:val="Bold"/>
        </w:rPr>
        <w:t xml:space="preserve">he </w:t>
      </w:r>
      <w:r w:rsidR="000742D9" w:rsidRPr="006A3719">
        <w:rPr>
          <w:rStyle w:val="Bold"/>
        </w:rPr>
        <w:t xml:space="preserve">Act in </w:t>
      </w:r>
      <w:r w:rsidR="004B1F6C">
        <w:rPr>
          <w:rStyle w:val="Bold"/>
        </w:rPr>
        <w:t>S</w:t>
      </w:r>
      <w:r w:rsidR="000742D9" w:rsidRPr="006A3719">
        <w:rPr>
          <w:rStyle w:val="Bold"/>
        </w:rPr>
        <w:t>upport of Ammunition and Production</w:t>
      </w:r>
      <w:r w:rsidR="000742D9">
        <w:rPr>
          <w:noProof/>
        </w:rPr>
        <w:t xml:space="preserve"> </w:t>
      </w:r>
      <w:r w:rsidR="00574C4F">
        <w:rPr>
          <w:noProof/>
        </w:rPr>
        <w:t xml:space="preserve">helped to </w:t>
      </w:r>
      <w:r w:rsidR="009367E8">
        <w:rPr>
          <w:noProof/>
        </w:rPr>
        <w:t xml:space="preserve">ramp up the production of ammunication </w:t>
      </w:r>
      <w:r w:rsidR="00B42D41">
        <w:rPr>
          <w:noProof/>
        </w:rPr>
        <w:t>in the EU, contributing to its strategic autonomy a</w:t>
      </w:r>
      <w:r w:rsidR="000C60AE">
        <w:rPr>
          <w:noProof/>
        </w:rPr>
        <w:t xml:space="preserve">nd </w:t>
      </w:r>
      <w:r w:rsidR="006E4AB3">
        <w:rPr>
          <w:noProof/>
        </w:rPr>
        <w:t xml:space="preserve">to the competitiveness of its </w:t>
      </w:r>
      <w:r w:rsidR="00643D71">
        <w:rPr>
          <w:noProof/>
        </w:rPr>
        <w:t xml:space="preserve">defence technological and industrial base. </w:t>
      </w:r>
      <w:r w:rsidR="005E026A">
        <w:rPr>
          <w:noProof/>
        </w:rPr>
        <w:t xml:space="preserve">It </w:t>
      </w:r>
      <w:r w:rsidR="000742D9">
        <w:rPr>
          <w:noProof/>
        </w:rPr>
        <w:t xml:space="preserve">supported the implementation of </w:t>
      </w:r>
      <w:r>
        <w:rPr>
          <w:noProof/>
        </w:rPr>
        <w:t xml:space="preserve">31 </w:t>
      </w:r>
      <w:r w:rsidR="000742D9">
        <w:rPr>
          <w:noProof/>
        </w:rPr>
        <w:t xml:space="preserve">projects in areas </w:t>
      </w:r>
      <w:r>
        <w:rPr>
          <w:noProof/>
        </w:rPr>
        <w:t xml:space="preserve">such as explosives, powder, shells, missiles and testing and reconditioning, providing total support of </w:t>
      </w:r>
      <w:r w:rsidR="00E22472">
        <w:rPr>
          <w:noProof/>
        </w:rPr>
        <w:t>about EUR</w:t>
      </w:r>
      <w:r w:rsidR="00703187">
        <w:rPr>
          <w:rFonts w:ascii="Calibri" w:hAnsi="Calibri" w:cs="Calibri"/>
          <w:noProof/>
          <w:lang w:val="en-IE" w:eastAsia="en-IE"/>
        </w:rPr>
        <w:t> </w:t>
      </w:r>
      <w:r w:rsidR="00E22472">
        <w:rPr>
          <w:noProof/>
        </w:rPr>
        <w:t>514</w:t>
      </w:r>
      <w:r w:rsidR="00703187">
        <w:rPr>
          <w:rFonts w:ascii="Calibri" w:hAnsi="Calibri" w:cs="Calibri"/>
          <w:noProof/>
          <w:lang w:val="en-IE" w:eastAsia="en-IE"/>
        </w:rPr>
        <w:t> </w:t>
      </w:r>
      <w:r w:rsidR="00E22472">
        <w:rPr>
          <w:noProof/>
        </w:rPr>
        <w:t>million.</w:t>
      </w:r>
      <w:r w:rsidR="00F84D5E">
        <w:rPr>
          <w:noProof/>
        </w:rPr>
        <w:t xml:space="preserve"> </w:t>
      </w:r>
    </w:p>
    <w:p w14:paraId="26F8B516" w14:textId="4880B85B" w:rsidR="00272FC1" w:rsidRDefault="00272FC1" w:rsidP="00272FC1">
      <w:pPr>
        <w:jc w:val="both"/>
      </w:pPr>
      <w:r w:rsidRPr="5A14CE9B">
        <w:rPr>
          <w:b/>
          <w:bCs/>
          <w:noProof/>
        </w:rPr>
        <w:t xml:space="preserve">In 2025 the mid-term review of cohesion policy </w:t>
      </w:r>
      <w:r w:rsidRPr="5A14CE9B">
        <w:rPr>
          <w:noProof/>
        </w:rPr>
        <w:t>resulted in EUR 11.9 billion shifted toward supporting defence related projects</w:t>
      </w:r>
      <w:r w:rsidR="00722E34">
        <w:rPr>
          <w:noProof/>
        </w:rPr>
        <w:t>,</w:t>
      </w:r>
      <w:r w:rsidRPr="5A14CE9B">
        <w:rPr>
          <w:noProof/>
        </w:rPr>
        <w:t xml:space="preserve"> from military mobility to defence industry and civil preparedness. Of this amount EUR</w:t>
      </w:r>
      <w:r w:rsidR="00722E34">
        <w:rPr>
          <w:rFonts w:ascii="Calibri" w:hAnsi="Calibri" w:cs="Calibri"/>
          <w:noProof/>
        </w:rPr>
        <w:t> </w:t>
      </w:r>
      <w:r w:rsidRPr="5A14CE9B">
        <w:rPr>
          <w:noProof/>
        </w:rPr>
        <w:t xml:space="preserve">1.3 billion was specifically allocated to support the defence industry’s capacities. </w:t>
      </w:r>
    </w:p>
    <w:p w14:paraId="0505AA45" w14:textId="77777777" w:rsidR="00471209" w:rsidRDefault="00471209">
      <w:pPr>
        <w:suppressAutoHyphens w:val="0"/>
        <w:rPr>
          <w:noProof/>
        </w:rPr>
      </w:pPr>
      <w:r>
        <w:rPr>
          <w:noProof/>
        </w:rPr>
        <w:br w:type="page"/>
      </w:r>
    </w:p>
    <w:p w14:paraId="1F0AF9F0" w14:textId="77777777" w:rsidR="005A2D44" w:rsidRDefault="005A2D44" w:rsidP="005A2D44">
      <w:pPr>
        <w:pStyle w:val="amprboxBLUEBoxTitle"/>
        <w:rPr>
          <w:noProof/>
        </w:rPr>
      </w:pPr>
      <w:r>
        <w:rPr>
          <w:noProof/>
          <w:lang w:eastAsia="en-IE"/>
        </w:rPr>
        <w:t xml:space="preserve">Investing in space </w:t>
      </w:r>
      <w:r w:rsidRPr="001927C0">
        <w:t>ca</w:t>
      </w:r>
      <w:r>
        <w:t>pa</w:t>
      </w:r>
      <w:r w:rsidRPr="001927C0">
        <w:t>bilities</w:t>
      </w:r>
    </w:p>
    <w:p w14:paraId="032340C9" w14:textId="43FCE174" w:rsidR="005A2D44" w:rsidRDefault="005A2D44" w:rsidP="005A2D44">
      <w:pPr>
        <w:pStyle w:val="amprboxBLUEtext"/>
        <w:rPr>
          <w:noProof/>
          <w:lang w:eastAsia="en-IE"/>
        </w:rPr>
      </w:pPr>
      <w:r w:rsidRPr="00CC01AF">
        <w:rPr>
          <w:noProof/>
          <w:lang w:eastAsia="en-IE"/>
        </w:rPr>
        <w:t xml:space="preserve">In a world first, the Galileo </w:t>
      </w:r>
      <w:r w:rsidR="00ED1A0B">
        <w:rPr>
          <w:noProof/>
          <w:lang w:eastAsia="en-IE"/>
        </w:rPr>
        <w:t>o</w:t>
      </w:r>
      <w:r w:rsidRPr="00CC01AF">
        <w:rPr>
          <w:noProof/>
          <w:lang w:eastAsia="en-IE"/>
        </w:rPr>
        <w:t xml:space="preserve">pen </w:t>
      </w:r>
      <w:r w:rsidR="00ED1A0B">
        <w:rPr>
          <w:noProof/>
          <w:lang w:eastAsia="en-IE"/>
        </w:rPr>
        <w:t>s</w:t>
      </w:r>
      <w:r w:rsidRPr="00CC01AF">
        <w:rPr>
          <w:noProof/>
          <w:lang w:eastAsia="en-IE"/>
        </w:rPr>
        <w:t xml:space="preserve">ervice </w:t>
      </w:r>
      <w:r w:rsidR="00ED1A0B">
        <w:rPr>
          <w:noProof/>
          <w:lang w:eastAsia="en-IE"/>
        </w:rPr>
        <w:t>n</w:t>
      </w:r>
      <w:r w:rsidRPr="00CC01AF">
        <w:rPr>
          <w:noProof/>
          <w:lang w:eastAsia="en-IE"/>
        </w:rPr>
        <w:t xml:space="preserve">avigation </w:t>
      </w:r>
      <w:r w:rsidR="00ED1A0B">
        <w:rPr>
          <w:noProof/>
          <w:lang w:eastAsia="en-IE"/>
        </w:rPr>
        <w:t>m</w:t>
      </w:r>
      <w:r w:rsidRPr="00CC01AF">
        <w:rPr>
          <w:noProof/>
          <w:lang w:eastAsia="en-IE"/>
        </w:rPr>
        <w:t xml:space="preserve">essage </w:t>
      </w:r>
      <w:r w:rsidR="00ED1A0B">
        <w:rPr>
          <w:noProof/>
          <w:lang w:eastAsia="en-IE"/>
        </w:rPr>
        <w:t>a</w:t>
      </w:r>
      <w:r w:rsidRPr="00CC01AF">
        <w:rPr>
          <w:noProof/>
          <w:lang w:eastAsia="en-IE"/>
        </w:rPr>
        <w:t xml:space="preserve">uthentication function was declared operational in July 2025, after adding </w:t>
      </w:r>
      <w:r w:rsidR="00C347C9">
        <w:rPr>
          <w:noProof/>
          <w:lang w:eastAsia="en-IE"/>
        </w:rPr>
        <w:t>two</w:t>
      </w:r>
      <w:r w:rsidRPr="00CC01AF">
        <w:rPr>
          <w:noProof/>
          <w:lang w:eastAsia="en-IE"/>
        </w:rPr>
        <w:t xml:space="preserve"> satellites to its costellation. It introduces a mechanism to verify the authenticity of navigation data transmitted from Galileo satellites, helping protect against spoofing (the transmission of false signals), and significantly enhances trust in the EU’s Galileo satellite system, the only system in the world with this security feature.</w:t>
      </w:r>
    </w:p>
    <w:p w14:paraId="7A791544" w14:textId="3B3C94B0" w:rsidR="00BA779B" w:rsidRDefault="005A2D44" w:rsidP="005A2D44">
      <w:pPr>
        <w:pStyle w:val="amprboxBLUEtext"/>
        <w:rPr>
          <w:noProof/>
          <w:lang w:eastAsia="en-IE"/>
        </w:rPr>
      </w:pPr>
      <w:r>
        <w:rPr>
          <w:noProof/>
          <w:lang w:eastAsia="en-IE"/>
        </w:rPr>
        <w:t>Moreover, delivering on the Union Secure Connectivity priority flagship, the development of a multi-orbital satellite constellation of around 290 satellites</w:t>
      </w:r>
      <w:r w:rsidR="00EB0F42">
        <w:rPr>
          <w:rFonts w:ascii="Calibri" w:hAnsi="Calibri" w:cs="Calibri"/>
          <w:noProof/>
          <w:lang w:eastAsia="en-IE"/>
        </w:rPr>
        <w:t> –</w:t>
      </w:r>
      <w:r>
        <w:rPr>
          <w:noProof/>
          <w:lang w:eastAsia="en-IE"/>
        </w:rPr>
        <w:t xml:space="preserve"> IRIS² (Infrastructure for Resilience, Interconnectivity and Security by Satellite)</w:t>
      </w:r>
      <w:r w:rsidR="00EB0F42">
        <w:rPr>
          <w:rFonts w:ascii="Calibri" w:hAnsi="Calibri" w:cs="Calibri"/>
          <w:noProof/>
          <w:lang w:eastAsia="en-IE"/>
        </w:rPr>
        <w:t> –</w:t>
      </w:r>
      <w:r>
        <w:rPr>
          <w:noProof/>
          <w:lang w:eastAsia="en-IE"/>
        </w:rPr>
        <w:t xml:space="preserve"> continued at full speed on the basis of a competitive and innovative public</w:t>
      </w:r>
      <w:r w:rsidR="009729AC">
        <w:rPr>
          <w:noProof/>
          <w:lang w:eastAsia="en-IE"/>
        </w:rPr>
        <w:t>–</w:t>
      </w:r>
      <w:r>
        <w:rPr>
          <w:noProof/>
          <w:lang w:eastAsia="en-IE"/>
        </w:rPr>
        <w:t xml:space="preserve">private partnership established under a 12-year concession contract signed with the SpaceRISE consortium in 2024. In 2025, several important sub-contracts were signed with core consortium team members and key suppliers. </w:t>
      </w:r>
    </w:p>
    <w:p w14:paraId="1231BF07" w14:textId="77585DE5" w:rsidR="005A2D44" w:rsidRDefault="005A2D44" w:rsidP="005A2D44">
      <w:pPr>
        <w:pStyle w:val="amprboxBLUEtext"/>
        <w:rPr>
          <w:rFonts w:ascii="Calibri" w:hAnsi="Calibri" w:cs="Calibri"/>
        </w:rPr>
      </w:pPr>
      <w:r>
        <w:rPr>
          <w:noProof/>
          <w:lang w:eastAsia="en-IE"/>
        </w:rPr>
        <w:t xml:space="preserve">The Commission also </w:t>
      </w:r>
      <w:r w:rsidRPr="008E0BA7">
        <w:rPr>
          <w:noProof/>
          <w:lang w:eastAsia="en-IE"/>
        </w:rPr>
        <w:t xml:space="preserve">pursued establishing international agreements with </w:t>
      </w:r>
      <w:r w:rsidR="00997843">
        <w:rPr>
          <w:noProof/>
          <w:lang w:eastAsia="en-IE"/>
        </w:rPr>
        <w:t xml:space="preserve">Iceland and </w:t>
      </w:r>
      <w:r w:rsidRPr="008E0BA7">
        <w:rPr>
          <w:noProof/>
          <w:lang w:eastAsia="en-IE"/>
        </w:rPr>
        <w:t xml:space="preserve">Norway for their participation in the </w:t>
      </w:r>
      <w:r>
        <w:rPr>
          <w:noProof/>
          <w:lang w:eastAsia="en-IE"/>
        </w:rPr>
        <w:t>EU</w:t>
      </w:r>
      <w:r w:rsidRPr="008E0BA7">
        <w:rPr>
          <w:noProof/>
          <w:lang w:eastAsia="en-IE"/>
        </w:rPr>
        <w:t xml:space="preserve"> secure connectivity programme and in </w:t>
      </w:r>
      <w:r>
        <w:rPr>
          <w:noProof/>
          <w:lang w:eastAsia="en-IE"/>
        </w:rPr>
        <w:t>the EU’s governmental satellite communication program</w:t>
      </w:r>
      <w:r w:rsidR="00362331">
        <w:rPr>
          <w:noProof/>
          <w:lang w:eastAsia="en-IE"/>
        </w:rPr>
        <w:t>me</w:t>
      </w:r>
      <w:r>
        <w:rPr>
          <w:noProof/>
          <w:lang w:eastAsia="en-IE"/>
        </w:rPr>
        <w:t xml:space="preserve"> (</w:t>
      </w:r>
      <w:r w:rsidRPr="008E0BA7">
        <w:rPr>
          <w:noProof/>
          <w:lang w:eastAsia="en-IE"/>
        </w:rPr>
        <w:t>GOVSATCOM</w:t>
      </w:r>
      <w:r>
        <w:rPr>
          <w:noProof/>
          <w:lang w:eastAsia="en-IE"/>
        </w:rPr>
        <w:t>)</w:t>
      </w:r>
      <w:r w:rsidRPr="008E0BA7">
        <w:rPr>
          <w:noProof/>
          <w:lang w:eastAsia="en-IE"/>
        </w:rPr>
        <w:t>. A similar process i</w:t>
      </w:r>
      <w:r w:rsidR="00CF45C6">
        <w:rPr>
          <w:noProof/>
          <w:lang w:eastAsia="en-IE"/>
        </w:rPr>
        <w:t>s</w:t>
      </w:r>
      <w:r w:rsidRPr="008E0BA7">
        <w:rPr>
          <w:noProof/>
          <w:lang w:eastAsia="en-IE"/>
        </w:rPr>
        <w:t xml:space="preserve"> underway to allow for the opening of formal negotiations with Ukraine.</w:t>
      </w:r>
    </w:p>
    <w:p w14:paraId="6B66AF5D" w14:textId="1274D561" w:rsidR="006B625B" w:rsidRDefault="006B625B" w:rsidP="005A2D44">
      <w:pPr>
        <w:pStyle w:val="amprboxBLUEtext"/>
        <w:rPr>
          <w:noProof/>
          <w:lang w:eastAsia="en-IE"/>
        </w:rPr>
      </w:pPr>
      <w:r>
        <w:rPr>
          <w:noProof/>
          <w:lang w:eastAsia="en-IE"/>
        </w:rPr>
        <w:t>For the next multiannual financial framework,</w:t>
      </w:r>
      <w:r w:rsidRPr="006B625B">
        <w:rPr>
          <w:noProof/>
          <w:lang w:eastAsia="en-IE"/>
        </w:rPr>
        <w:t xml:space="preserve"> the Commission </w:t>
      </w:r>
      <w:r>
        <w:rPr>
          <w:noProof/>
          <w:lang w:eastAsia="en-IE"/>
        </w:rPr>
        <w:t xml:space="preserve">has proposed </w:t>
      </w:r>
      <w:r w:rsidRPr="006B625B">
        <w:rPr>
          <w:noProof/>
          <w:lang w:eastAsia="en-IE"/>
        </w:rPr>
        <w:t>boosting the defence and space budget to EUR</w:t>
      </w:r>
      <w:r w:rsidR="004F77B6">
        <w:rPr>
          <w:rFonts w:ascii="Calibri" w:hAnsi="Calibri" w:cs="Calibri"/>
          <w:noProof/>
          <w:lang w:val="en-IE" w:eastAsia="en-IE"/>
        </w:rPr>
        <w:t> </w:t>
      </w:r>
      <w:r w:rsidRPr="006B625B">
        <w:rPr>
          <w:noProof/>
          <w:lang w:eastAsia="en-IE"/>
        </w:rPr>
        <w:t>131</w:t>
      </w:r>
      <w:r w:rsidR="004F77B6">
        <w:rPr>
          <w:rFonts w:ascii="Calibri" w:hAnsi="Calibri" w:cs="Calibri"/>
          <w:noProof/>
          <w:lang w:val="en-IE" w:eastAsia="en-IE"/>
        </w:rPr>
        <w:t> </w:t>
      </w:r>
      <w:r w:rsidRPr="006B625B">
        <w:rPr>
          <w:noProof/>
          <w:lang w:eastAsia="en-IE"/>
        </w:rPr>
        <w:t>billion</w:t>
      </w:r>
      <w:r>
        <w:rPr>
          <w:noProof/>
          <w:lang w:eastAsia="en-IE"/>
        </w:rPr>
        <w:t>, five times the current budget,</w:t>
      </w:r>
      <w:r w:rsidRPr="006B625B">
        <w:rPr>
          <w:noProof/>
          <w:lang w:eastAsia="en-IE"/>
        </w:rPr>
        <w:t xml:space="preserve"> within the European Competitiveness Fund</w:t>
      </w:r>
      <w:r>
        <w:rPr>
          <w:noProof/>
          <w:lang w:eastAsia="en-IE"/>
        </w:rPr>
        <w:t>.</w:t>
      </w:r>
      <w:r w:rsidRPr="006B625B">
        <w:rPr>
          <w:noProof/>
          <w:lang w:eastAsia="en-IE"/>
        </w:rPr>
        <w:t xml:space="preserve"> </w:t>
      </w:r>
    </w:p>
    <w:p w14:paraId="341A923B" w14:textId="305CAA4E" w:rsidR="00ED6C90" w:rsidRDefault="00ED6C90" w:rsidP="00ED6C90">
      <w:pPr>
        <w:pStyle w:val="Heading4"/>
        <w:rPr>
          <w:lang w:eastAsia="fr-BE"/>
        </w:rPr>
      </w:pPr>
      <w:r>
        <w:rPr>
          <w:lang w:eastAsia="fr-BE"/>
        </w:rPr>
        <w:t>Enhancing the EU’s preparedness and crisis management</w:t>
      </w:r>
    </w:p>
    <w:p w14:paraId="2F0C4282" w14:textId="5B510D6F" w:rsidR="00B27506" w:rsidRDefault="00ED6C90" w:rsidP="00B27506">
      <w:pPr>
        <w:suppressAutoHyphens w:val="0"/>
        <w:rPr>
          <w:noProof/>
          <w:lang w:val="en-IE"/>
        </w:rPr>
      </w:pPr>
      <w:r w:rsidRPr="00A61528">
        <w:rPr>
          <w:rStyle w:val="Bold"/>
        </w:rPr>
        <w:t xml:space="preserve">Learning from past challenges and </w:t>
      </w:r>
      <w:r w:rsidR="00C8544B" w:rsidRPr="00A61528">
        <w:rPr>
          <w:rStyle w:val="Bold"/>
        </w:rPr>
        <w:t>faced with</w:t>
      </w:r>
      <w:r w:rsidRPr="00A61528">
        <w:rPr>
          <w:rStyle w:val="Bold"/>
        </w:rPr>
        <w:t xml:space="preserve"> unprecedented threats, the EU continuously aims to enhance its ability to anticip</w:t>
      </w:r>
      <w:r w:rsidR="003A3DC4" w:rsidRPr="00A61528">
        <w:rPr>
          <w:rStyle w:val="Bold"/>
        </w:rPr>
        <w:t>a</w:t>
      </w:r>
      <w:r w:rsidRPr="00A61528">
        <w:rPr>
          <w:rStyle w:val="Bold"/>
        </w:rPr>
        <w:t>te, prevent and respond to the</w:t>
      </w:r>
      <w:r w:rsidR="004D3F36">
        <w:rPr>
          <w:rStyle w:val="Bold"/>
        </w:rPr>
        <w:t>m</w:t>
      </w:r>
      <w:r w:rsidRPr="00A61528">
        <w:rPr>
          <w:rStyle w:val="Bold"/>
        </w:rPr>
        <w:t>.</w:t>
      </w:r>
      <w:r>
        <w:rPr>
          <w:noProof/>
        </w:rPr>
        <w:t xml:space="preserve"> </w:t>
      </w:r>
      <w:r w:rsidR="00B27506" w:rsidRPr="006A3719">
        <w:t xml:space="preserve">In 2025, the </w:t>
      </w:r>
      <w:r w:rsidR="002F496F" w:rsidRPr="006A3719">
        <w:t>EU</w:t>
      </w:r>
      <w:r w:rsidR="00B27506" w:rsidRPr="006A3719">
        <w:t xml:space="preserve"> made available over EUR</w:t>
      </w:r>
      <w:r w:rsidR="00B27506" w:rsidRPr="006A3719">
        <w:rPr>
          <w:rFonts w:ascii="Calibri" w:hAnsi="Calibri" w:cs="Calibri"/>
        </w:rPr>
        <w:t> </w:t>
      </w:r>
      <w:r w:rsidR="00B27506" w:rsidRPr="006A3719">
        <w:t>245</w:t>
      </w:r>
      <w:r w:rsidR="00B27506" w:rsidRPr="006A3719">
        <w:rPr>
          <w:rFonts w:ascii="Calibri" w:hAnsi="Calibri" w:cs="Calibri"/>
        </w:rPr>
        <w:t> </w:t>
      </w:r>
      <w:r w:rsidR="00B27506" w:rsidRPr="006A3719">
        <w:t>million for the Union Civil Protection Mechanism</w:t>
      </w:r>
      <w:r w:rsidR="00B27506">
        <w:rPr>
          <w:noProof/>
        </w:rPr>
        <w:t xml:space="preserve">. In </w:t>
      </w:r>
      <w:r w:rsidR="002B415F">
        <w:rPr>
          <w:noProof/>
        </w:rPr>
        <w:t>addition</w:t>
      </w:r>
      <w:r w:rsidR="00B27506">
        <w:rPr>
          <w:noProof/>
        </w:rPr>
        <w:t>, t</w:t>
      </w:r>
      <w:r w:rsidR="00B27506" w:rsidRPr="002074C6">
        <w:rPr>
          <w:noProof/>
        </w:rPr>
        <w:t xml:space="preserve">o support resilience in Member States and </w:t>
      </w:r>
      <w:r w:rsidR="00B27506">
        <w:rPr>
          <w:noProof/>
        </w:rPr>
        <w:t xml:space="preserve">non-EU </w:t>
      </w:r>
      <w:r w:rsidR="00902651">
        <w:rPr>
          <w:noProof/>
        </w:rPr>
        <w:t>countries</w:t>
      </w:r>
      <w:r w:rsidR="00B27506">
        <w:rPr>
          <w:noProof/>
        </w:rPr>
        <w:t xml:space="preserve"> participating in the </w:t>
      </w:r>
      <w:r w:rsidR="00C062A0">
        <w:rPr>
          <w:noProof/>
        </w:rPr>
        <w:t>mechanism</w:t>
      </w:r>
      <w:r w:rsidR="00B27506">
        <w:rPr>
          <w:noProof/>
        </w:rPr>
        <w:t>,</w:t>
      </w:r>
      <w:r w:rsidR="00B27506" w:rsidRPr="002074C6">
        <w:rPr>
          <w:noProof/>
        </w:rPr>
        <w:t xml:space="preserve"> </w:t>
      </w:r>
      <w:r w:rsidR="00B27506">
        <w:rPr>
          <w:noProof/>
        </w:rPr>
        <w:t>the Commission</w:t>
      </w:r>
      <w:r w:rsidR="00B27506" w:rsidRPr="002074C6">
        <w:rPr>
          <w:noProof/>
        </w:rPr>
        <w:t xml:space="preserve"> co-financed 27 prevention and preparedness projects, including 13 under the single-country grants to disaster risk management authorities and 14 under the multi-country grants.</w:t>
      </w:r>
      <w:r w:rsidR="00B27506">
        <w:rPr>
          <w:noProof/>
        </w:rPr>
        <w:t xml:space="preserve"> </w:t>
      </w:r>
      <w:r w:rsidR="00B27506" w:rsidRPr="00D27678">
        <w:rPr>
          <w:noProof/>
          <w:lang w:val="en-IE"/>
        </w:rPr>
        <w:t xml:space="preserve">The European Civil Protection Pool was further strengthened as the primary reserve of response capacities available for </w:t>
      </w:r>
      <w:r w:rsidR="00AC2C2F" w:rsidRPr="006A3719">
        <w:t>Union Civil Protection Mechanism</w:t>
      </w:r>
      <w:r w:rsidR="00AC2C2F" w:rsidRPr="00D27678" w:rsidDel="00AC2C2F">
        <w:rPr>
          <w:noProof/>
          <w:lang w:val="en-IE"/>
        </w:rPr>
        <w:t xml:space="preserve"> </w:t>
      </w:r>
      <w:r w:rsidR="00B27506" w:rsidRPr="00D27678">
        <w:rPr>
          <w:noProof/>
          <w:lang w:val="en-IE"/>
        </w:rPr>
        <w:t xml:space="preserve">response operations. The </w:t>
      </w:r>
      <w:r w:rsidR="003D0940">
        <w:rPr>
          <w:noProof/>
          <w:lang w:val="en-IE"/>
        </w:rPr>
        <w:t xml:space="preserve">resources </w:t>
      </w:r>
      <w:r w:rsidR="008669E1">
        <w:rPr>
          <w:noProof/>
          <w:lang w:val="en-IE"/>
        </w:rPr>
        <w:t>under the</w:t>
      </w:r>
      <w:r w:rsidR="00B27506" w:rsidRPr="00D27678">
        <w:rPr>
          <w:noProof/>
          <w:lang w:val="en-IE"/>
        </w:rPr>
        <w:t xml:space="preserve"> </w:t>
      </w:r>
      <w:r w:rsidR="00C3437D" w:rsidRPr="00D27678">
        <w:rPr>
          <w:noProof/>
          <w:lang w:val="en-IE"/>
        </w:rPr>
        <w:t>European Civil Protection Pool</w:t>
      </w:r>
      <w:r w:rsidR="00C3437D" w:rsidRPr="00D27678" w:rsidDel="00C3437D">
        <w:rPr>
          <w:noProof/>
          <w:lang w:val="en-IE"/>
        </w:rPr>
        <w:t xml:space="preserve"> </w:t>
      </w:r>
      <w:r w:rsidR="00B27506" w:rsidRPr="00D27678">
        <w:rPr>
          <w:noProof/>
          <w:lang w:val="en-IE"/>
        </w:rPr>
        <w:t xml:space="preserve">increased by 19.4% in the past year. In 2025, </w:t>
      </w:r>
      <w:r w:rsidR="00F171AF" w:rsidRPr="00D27678">
        <w:rPr>
          <w:noProof/>
          <w:lang w:val="en-IE"/>
        </w:rPr>
        <w:t xml:space="preserve">European Civil Protection Pool </w:t>
      </w:r>
      <w:r w:rsidR="00B27506" w:rsidRPr="00D27678">
        <w:rPr>
          <w:noProof/>
          <w:lang w:val="en-IE"/>
        </w:rPr>
        <w:t>capacities were deployed for consular and medical evacuations, forest firefighting and emergency medical support.</w:t>
      </w:r>
    </w:p>
    <w:p w14:paraId="4B13F873" w14:textId="656CA0C6" w:rsidR="00230F39" w:rsidRDefault="00230F39" w:rsidP="00230F39">
      <w:pPr>
        <w:pStyle w:val="amprboxBLUEBoxTitle"/>
        <w:rPr>
          <w:noProof/>
        </w:rPr>
      </w:pPr>
      <w:r>
        <w:rPr>
          <w:noProof/>
        </w:rPr>
        <w:t>Union Civil Protection Mechanism respon</w:t>
      </w:r>
      <w:r w:rsidR="0024167B">
        <w:rPr>
          <w:noProof/>
        </w:rPr>
        <w:t>s</w:t>
      </w:r>
      <w:r>
        <w:rPr>
          <w:noProof/>
        </w:rPr>
        <w:t>e to wildfires in 2025</w:t>
      </w:r>
    </w:p>
    <w:p w14:paraId="582F400C" w14:textId="7F3157CF" w:rsidR="00230F39" w:rsidRDefault="00230F39" w:rsidP="00230F39">
      <w:pPr>
        <w:pStyle w:val="amprboxBLUEtext"/>
        <w:rPr>
          <w:noProof/>
        </w:rPr>
      </w:pPr>
      <w:r w:rsidRPr="00BF1EB6">
        <w:rPr>
          <w:noProof/>
        </w:rPr>
        <w:t>During the 2025 European wildfire season</w:t>
      </w:r>
      <w:r w:rsidR="00C8720D">
        <w:rPr>
          <w:noProof/>
        </w:rPr>
        <w:t>,</w:t>
      </w:r>
      <w:r w:rsidRPr="00BF1EB6">
        <w:rPr>
          <w:noProof/>
        </w:rPr>
        <w:t xml:space="preserve"> the </w:t>
      </w:r>
      <w:r w:rsidR="00C8720D" w:rsidRPr="006A3719">
        <w:t>Union Civil Protection Mechanism</w:t>
      </w:r>
      <w:r w:rsidR="00C8720D" w:rsidRPr="00BF1EB6" w:rsidDel="00C8720D">
        <w:rPr>
          <w:noProof/>
        </w:rPr>
        <w:t xml:space="preserve"> </w:t>
      </w:r>
      <w:r w:rsidRPr="00BF1EB6">
        <w:rPr>
          <w:noProof/>
        </w:rPr>
        <w:t xml:space="preserve">was activated 18 times in response to wildfires, with 16 activations in Europe and two activations outside of Europe. </w:t>
      </w:r>
    </w:p>
    <w:p w14:paraId="27B8F842" w14:textId="63334980" w:rsidR="00230F39" w:rsidRDefault="00230F39" w:rsidP="00230F39">
      <w:pPr>
        <w:pStyle w:val="amprboxBLUEtext"/>
        <w:rPr>
          <w:noProof/>
        </w:rPr>
      </w:pPr>
      <w:r w:rsidRPr="00BF1EB6">
        <w:rPr>
          <w:noProof/>
        </w:rPr>
        <w:t xml:space="preserve">Countries affected included Albania, Bosnia and Herzegovina, </w:t>
      </w:r>
      <w:r w:rsidR="00C8720D" w:rsidRPr="00BF1EB6">
        <w:rPr>
          <w:noProof/>
        </w:rPr>
        <w:t>Bulgaria</w:t>
      </w:r>
      <w:r w:rsidR="00C8720D">
        <w:rPr>
          <w:noProof/>
        </w:rPr>
        <w:t>,</w:t>
      </w:r>
      <w:r w:rsidR="00C8720D" w:rsidRPr="00BF1EB6">
        <w:rPr>
          <w:noProof/>
        </w:rPr>
        <w:t xml:space="preserve"> Greece</w:t>
      </w:r>
      <w:r w:rsidR="009941E9">
        <w:rPr>
          <w:noProof/>
        </w:rPr>
        <w:t>,</w:t>
      </w:r>
      <w:r w:rsidR="00C8720D" w:rsidRPr="00BF1EB6">
        <w:rPr>
          <w:noProof/>
        </w:rPr>
        <w:t xml:space="preserve"> Montenegro</w:t>
      </w:r>
      <w:r w:rsidR="00C8720D">
        <w:rPr>
          <w:noProof/>
        </w:rPr>
        <w:t>,</w:t>
      </w:r>
      <w:r w:rsidR="00C8720D" w:rsidRPr="00BF1EB6">
        <w:rPr>
          <w:noProof/>
        </w:rPr>
        <w:t xml:space="preserve"> </w:t>
      </w:r>
      <w:r w:rsidRPr="00BF1EB6">
        <w:rPr>
          <w:noProof/>
        </w:rPr>
        <w:t xml:space="preserve">Portugal, Spain and Syria. </w:t>
      </w:r>
      <w:r>
        <w:rPr>
          <w:noProof/>
        </w:rPr>
        <w:t xml:space="preserve">The Commission also </w:t>
      </w:r>
      <w:r w:rsidRPr="00BF1EB6">
        <w:rPr>
          <w:noProof/>
        </w:rPr>
        <w:t>co-financed the stand-by availability of rescEU aerial forest fire-fighting capacities, including 18 firefighting planes and 4 helicopters in case of requests for assistance.</w:t>
      </w:r>
    </w:p>
    <w:p w14:paraId="1819F849" w14:textId="08495F7D" w:rsidR="0051597C" w:rsidRPr="0051597C" w:rsidRDefault="00416586" w:rsidP="00B35932">
      <w:pPr>
        <w:pStyle w:val="amprboxBLUEBoxTitle"/>
        <w:spacing w:after="240"/>
        <w:rPr>
          <w:noProof/>
          <w:lang w:val="en-IE"/>
        </w:rPr>
      </w:pPr>
      <w:r w:rsidRPr="00416586">
        <w:rPr>
          <w:noProof/>
          <w:lang w:val="en-IE"/>
        </w:rPr>
        <w:t>Forest fires</w:t>
      </w:r>
      <w:r w:rsidR="000E264F">
        <w:rPr>
          <w:rFonts w:ascii="Calibri" w:hAnsi="Calibri" w:cs="Calibri"/>
          <w:noProof/>
          <w:lang w:val="en-IE"/>
        </w:rPr>
        <w:t> </w:t>
      </w:r>
      <w:r w:rsidR="00D774E7">
        <w:rPr>
          <w:noProof/>
          <w:lang w:val="en-IE"/>
        </w:rPr>
        <w:t xml:space="preserve">– </w:t>
      </w:r>
      <w:r w:rsidR="00986FDA">
        <w:rPr>
          <w:noProof/>
          <w:lang w:val="en-IE"/>
        </w:rPr>
        <w:t xml:space="preserve">burnt </w:t>
      </w:r>
      <w:r w:rsidR="00DB7B5A">
        <w:rPr>
          <w:noProof/>
          <w:lang w:val="en-IE"/>
        </w:rPr>
        <w:t xml:space="preserve">areas in the </w:t>
      </w:r>
      <w:r w:rsidR="00A40FC4">
        <w:rPr>
          <w:noProof/>
          <w:lang w:val="en-IE"/>
        </w:rPr>
        <w:t xml:space="preserve">EU </w:t>
      </w:r>
      <w:r w:rsidR="00986FDA">
        <w:rPr>
          <w:noProof/>
          <w:lang w:val="en-IE"/>
        </w:rPr>
        <w:t>in 2025</w:t>
      </w:r>
      <w:r w:rsidRPr="00416586">
        <w:rPr>
          <w:noProof/>
          <w:lang w:val="en-IE"/>
        </w:rPr>
        <w:t xml:space="preserve"> (in h</w:t>
      </w:r>
      <w:r w:rsidR="005F73B5">
        <w:rPr>
          <w:noProof/>
          <w:lang w:val="en-IE"/>
        </w:rPr>
        <w:t>ectares</w:t>
      </w:r>
      <w:r w:rsidRPr="00416586">
        <w:rPr>
          <w:noProof/>
          <w:lang w:val="en-IE"/>
        </w:rPr>
        <w:t>)</w:t>
      </w:r>
    </w:p>
    <w:p w14:paraId="4A3DE8B4" w14:textId="38260F0C" w:rsidR="00B35932" w:rsidRDefault="00C13CAC" w:rsidP="00513A56">
      <w:pPr>
        <w:pStyle w:val="amprboxBLUEtext"/>
        <w:jc w:val="center"/>
        <w:rPr>
          <w:noProof/>
        </w:rPr>
      </w:pPr>
      <w:r w:rsidRPr="00C13CAC">
        <w:rPr>
          <w:noProof/>
        </w:rPr>
        <w:drawing>
          <wp:inline distT="0" distB="0" distL="0" distR="0" wp14:anchorId="5F99659C" wp14:editId="72CAF934">
            <wp:extent cx="5363570" cy="2429010"/>
            <wp:effectExtent l="0" t="0" r="8890" b="0"/>
            <wp:docPr id="928967930" name="Picture 15" descr="This visual represents the burnt areas caused by forest fires in the EU in 2025, in hectares compared to the average burnt between 2026 and 2025. There are two different graphics, the first on the left showing us two tendency curves that span from January to December, representing the average forest fires burnt areas from 2006 to 2025 and in the year 2025 on its own. The two curves are quite aligned for the majority of months but the comparison in the summer months, notably August, shows the total area burnt in 2025 alone (around 650 000 ha) was substantially higher than the average burnt from 2006 to 2025 (around 150 000 ha) &#10;The second graph shows the average area burnt per year (from 2006 to 2025) which is of 388 624 ha ; compared to the total area burnt in 2025 which is of 1 034 552 ha.">
              <a:extLst xmlns:a="http://schemas.openxmlformats.org/drawingml/2006/main">
                <a:ext uri="{FF2B5EF4-FFF2-40B4-BE49-F238E27FC236}">
                  <a16:creationId xmlns:a16="http://schemas.microsoft.com/office/drawing/2014/main" id="{ABA90535-CADE-3A73-0815-88F0F7862D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967930" name="Picture 15" descr="This visual represents the burnt areas caused by forest fires in the EU in 2025, in hectares compared to the average burnt between 2026 and 2025. There are two different graphics, the first on the left showing us two tendency curves that span from January to December, representing the average forest fires burnt areas from 2006 to 2025 and in the year 2025 on its own. The two curves are quite aligned for the majority of months but the comparison in the summer months, notably August, shows the total area burnt in 2025 alone (around 650 000 ha) was substantially higher than the average burnt from 2006 to 2025 (around 150 000 ha) &#10;The second graph shows the average area burnt per year (from 2006 to 2025) which is of 388 624 ha ; compared to the total area burnt in 2025 which is of 1 034 552 ha.">
                      <a:extLst>
                        <a:ext uri="{FF2B5EF4-FFF2-40B4-BE49-F238E27FC236}">
                          <a16:creationId xmlns:a16="http://schemas.microsoft.com/office/drawing/2014/main" id="{ABA90535-CADE-3A73-0815-88F0F7862D45}"/>
                        </a:ext>
                      </a:extLst>
                    </pic:cNvPr>
                    <pic:cNvPicPr>
                      <a:picLocks noChangeAspect="1"/>
                    </pic:cNvPicPr>
                  </pic:nvPicPr>
                  <pic:blipFill>
                    <a:blip r:embed="rId62"/>
                    <a:stretch>
                      <a:fillRect/>
                    </a:stretch>
                  </pic:blipFill>
                  <pic:spPr>
                    <a:xfrm>
                      <a:off x="0" y="0"/>
                      <a:ext cx="5375048" cy="2434208"/>
                    </a:xfrm>
                    <a:prstGeom prst="rect">
                      <a:avLst/>
                    </a:prstGeom>
                  </pic:spPr>
                </pic:pic>
              </a:graphicData>
            </a:graphic>
          </wp:inline>
        </w:drawing>
      </w:r>
    </w:p>
    <w:p w14:paraId="1D6421B3" w14:textId="56E553CB" w:rsidR="00DC7518" w:rsidRPr="00D27678" w:rsidRDefault="008F4B25" w:rsidP="00D27678">
      <w:pPr>
        <w:suppressAutoHyphens w:val="0"/>
        <w:rPr>
          <w:noProof/>
          <w:lang w:val="en-IE"/>
        </w:rPr>
      </w:pPr>
      <w:r w:rsidRPr="00A61528">
        <w:rPr>
          <w:rStyle w:val="Bold"/>
        </w:rPr>
        <w:t xml:space="preserve">RescEU, </w:t>
      </w:r>
      <w:r w:rsidR="00E432B5" w:rsidRPr="00A61528">
        <w:rPr>
          <w:rStyle w:val="Bold"/>
        </w:rPr>
        <w:t>the C</w:t>
      </w:r>
      <w:r w:rsidRPr="00A61528">
        <w:rPr>
          <w:rStyle w:val="Bold"/>
        </w:rPr>
        <w:t>ommission’s own preparedness reserve, was strengthened in 2025</w:t>
      </w:r>
      <w:r w:rsidR="00BA6592" w:rsidRPr="00A61528">
        <w:rPr>
          <w:rStyle w:val="Bold"/>
        </w:rPr>
        <w:t>, moving closer to a</w:t>
      </w:r>
      <w:r w:rsidRPr="00A61528">
        <w:rPr>
          <w:rStyle w:val="Bold"/>
        </w:rPr>
        <w:t xml:space="preserve"> fully-fledged aerial firefighting fleet at </w:t>
      </w:r>
      <w:r w:rsidR="00D40BFC">
        <w:rPr>
          <w:rStyle w:val="Bold"/>
        </w:rPr>
        <w:t xml:space="preserve">the </w:t>
      </w:r>
      <w:r w:rsidRPr="00A61528">
        <w:rPr>
          <w:rStyle w:val="Bold"/>
        </w:rPr>
        <w:t>European level</w:t>
      </w:r>
      <w:r w:rsidR="006574F7" w:rsidRPr="00A61528">
        <w:rPr>
          <w:rStyle w:val="Bold"/>
        </w:rPr>
        <w:t>.</w:t>
      </w:r>
      <w:r w:rsidR="006574F7">
        <w:rPr>
          <w:rStyle w:val="BoldAccent1"/>
          <w:rFonts w:eastAsia="Times New Roman"/>
        </w:rPr>
        <w:t xml:space="preserve"> </w:t>
      </w:r>
      <w:r w:rsidR="006574F7">
        <w:rPr>
          <w:noProof/>
          <w:lang w:val="en-IE"/>
        </w:rPr>
        <w:t>T</w:t>
      </w:r>
      <w:r w:rsidR="00902C60">
        <w:rPr>
          <w:noProof/>
          <w:lang w:val="en-IE"/>
        </w:rPr>
        <w:t>he Commission</w:t>
      </w:r>
      <w:r w:rsidRPr="008F4B25">
        <w:rPr>
          <w:noProof/>
          <w:lang w:val="en-IE"/>
        </w:rPr>
        <w:t xml:space="preserve"> continued the work with the rescEU transition</w:t>
      </w:r>
      <w:r w:rsidR="00205FB0">
        <w:rPr>
          <w:noProof/>
          <w:lang w:val="en-IE"/>
        </w:rPr>
        <w:t>al</w:t>
      </w:r>
      <w:r w:rsidRPr="008F4B25">
        <w:rPr>
          <w:noProof/>
          <w:lang w:val="en-IE"/>
        </w:rPr>
        <w:t xml:space="preserve"> arrangement to combat the increasing wildfire threat across Europe. During</w:t>
      </w:r>
      <w:r w:rsidR="00205FB0">
        <w:rPr>
          <w:noProof/>
          <w:lang w:val="en-IE"/>
        </w:rPr>
        <w:t xml:space="preserve"> the</w:t>
      </w:r>
      <w:r w:rsidRPr="008F4B25">
        <w:rPr>
          <w:noProof/>
          <w:lang w:val="en-IE"/>
        </w:rPr>
        <w:t xml:space="preserve"> spring </w:t>
      </w:r>
      <w:r w:rsidR="00205FB0">
        <w:rPr>
          <w:noProof/>
          <w:lang w:val="en-IE"/>
        </w:rPr>
        <w:t xml:space="preserve">of </w:t>
      </w:r>
      <w:r w:rsidRPr="008F4B25">
        <w:rPr>
          <w:noProof/>
          <w:lang w:val="en-IE"/>
        </w:rPr>
        <w:t xml:space="preserve">2025, the </w:t>
      </w:r>
      <w:r w:rsidR="007C6C92" w:rsidRPr="007C6C92">
        <w:rPr>
          <w:noProof/>
          <w:lang w:val="en-IE"/>
        </w:rPr>
        <w:t>Emergency Response Coordination Centre</w:t>
      </w:r>
      <w:r w:rsidRPr="008F4B25">
        <w:rPr>
          <w:noProof/>
          <w:lang w:val="en-IE"/>
        </w:rPr>
        <w:t xml:space="preserve"> pre</w:t>
      </w:r>
      <w:r w:rsidR="006574F7">
        <w:rPr>
          <w:noProof/>
          <w:lang w:val="en-IE"/>
        </w:rPr>
        <w:t>-</w:t>
      </w:r>
      <w:r w:rsidRPr="008F4B25">
        <w:rPr>
          <w:noProof/>
          <w:lang w:val="en-IE"/>
        </w:rPr>
        <w:t>positioned firefighting capacities across the EU ahead of the summer’s wildfire season.</w:t>
      </w:r>
    </w:p>
    <w:p w14:paraId="48381E52" w14:textId="77777777" w:rsidR="007D36CF" w:rsidRDefault="007D36CF" w:rsidP="007D36CF">
      <w:pPr>
        <w:pStyle w:val="amprboxBLUEBoxTitle"/>
      </w:pPr>
      <w:r>
        <w:rPr>
          <w:noProof/>
        </w:rPr>
        <w:t>Helping people cope with natural disasters</w:t>
      </w:r>
    </w:p>
    <w:p w14:paraId="104BD507" w14:textId="0638349E" w:rsidR="007D36CF" w:rsidRPr="00ED6C90" w:rsidRDefault="007D36CF" w:rsidP="007D36CF">
      <w:pPr>
        <w:pStyle w:val="amprboxBLUEtext"/>
      </w:pPr>
      <w:r w:rsidRPr="002101C8">
        <w:rPr>
          <w:noProof/>
        </w:rPr>
        <w:t>In 2025, the European Union Solidarity Fund mobilised EUR</w:t>
      </w:r>
      <w:r w:rsidR="005F73B5">
        <w:rPr>
          <w:rFonts w:ascii="Calibri" w:hAnsi="Calibri" w:cs="Calibri"/>
          <w:noProof/>
          <w:lang w:val="en-IE" w:eastAsia="en-IE"/>
        </w:rPr>
        <w:t> </w:t>
      </w:r>
      <w:r w:rsidRPr="002101C8">
        <w:rPr>
          <w:noProof/>
        </w:rPr>
        <w:t>1.3</w:t>
      </w:r>
      <w:r w:rsidR="005F73B5">
        <w:rPr>
          <w:rFonts w:ascii="Calibri" w:hAnsi="Calibri" w:cs="Calibri"/>
          <w:noProof/>
          <w:lang w:val="en-IE" w:eastAsia="en-IE"/>
        </w:rPr>
        <w:t> </w:t>
      </w:r>
      <w:r w:rsidRPr="002101C8">
        <w:rPr>
          <w:noProof/>
        </w:rPr>
        <w:t xml:space="preserve">billion to assist recovery and reconstruction in </w:t>
      </w:r>
      <w:r w:rsidR="00F239B3">
        <w:rPr>
          <w:noProof/>
        </w:rPr>
        <w:t>six</w:t>
      </w:r>
      <w:r w:rsidRPr="002101C8">
        <w:rPr>
          <w:noProof/>
        </w:rPr>
        <w:t xml:space="preserve"> Member States and </w:t>
      </w:r>
      <w:r w:rsidR="00F239B3">
        <w:rPr>
          <w:noProof/>
        </w:rPr>
        <w:t>two</w:t>
      </w:r>
      <w:r w:rsidRPr="002101C8">
        <w:rPr>
          <w:noProof/>
        </w:rPr>
        <w:t xml:space="preserve"> accession countries struck by natural disasters in 2024 and 2025. The </w:t>
      </w:r>
      <w:r w:rsidR="00E67DBA">
        <w:rPr>
          <w:noProof/>
        </w:rPr>
        <w:t>f</w:t>
      </w:r>
      <w:r w:rsidRPr="002101C8">
        <w:rPr>
          <w:noProof/>
        </w:rPr>
        <w:t>und allocated EUR</w:t>
      </w:r>
      <w:r w:rsidR="005879A0">
        <w:rPr>
          <w:rFonts w:ascii="Calibri" w:hAnsi="Calibri" w:cs="Calibri"/>
          <w:noProof/>
          <w:lang w:val="en-IE" w:eastAsia="en-IE"/>
        </w:rPr>
        <w:t> </w:t>
      </w:r>
      <w:r w:rsidRPr="002101C8">
        <w:rPr>
          <w:noProof/>
        </w:rPr>
        <w:t>280</w:t>
      </w:r>
      <w:r w:rsidR="005879A0">
        <w:rPr>
          <w:rFonts w:ascii="Calibri" w:hAnsi="Calibri" w:cs="Calibri"/>
          <w:noProof/>
          <w:lang w:val="en-IE" w:eastAsia="en-IE"/>
        </w:rPr>
        <w:t> </w:t>
      </w:r>
      <w:r w:rsidRPr="002101C8">
        <w:rPr>
          <w:noProof/>
        </w:rPr>
        <w:t>million</w:t>
      </w:r>
      <w:r w:rsidRPr="002101C8">
        <w:rPr>
          <w:rFonts w:ascii="Arial" w:hAnsi="Arial" w:cs="Arial"/>
          <w:noProof/>
        </w:rPr>
        <w:t> </w:t>
      </w:r>
      <w:r w:rsidRPr="002101C8">
        <w:rPr>
          <w:noProof/>
        </w:rPr>
        <w:t xml:space="preserve">to Austria, </w:t>
      </w:r>
      <w:r w:rsidR="00E67DBA" w:rsidRPr="002101C8">
        <w:rPr>
          <w:noProof/>
        </w:rPr>
        <w:t>Bosnia and Herzegovina</w:t>
      </w:r>
      <w:r w:rsidR="00E67DBA">
        <w:rPr>
          <w:noProof/>
        </w:rPr>
        <w:t>,</w:t>
      </w:r>
      <w:r w:rsidR="00E67DBA" w:rsidRPr="002101C8">
        <w:rPr>
          <w:noProof/>
        </w:rPr>
        <w:t xml:space="preserve"> Czech</w:t>
      </w:r>
      <w:r w:rsidR="00E67DBA">
        <w:rPr>
          <w:noProof/>
        </w:rPr>
        <w:t>ia</w:t>
      </w:r>
      <w:r w:rsidR="002B6F70">
        <w:rPr>
          <w:noProof/>
        </w:rPr>
        <w:t>,</w:t>
      </w:r>
      <w:r w:rsidR="00E67DBA" w:rsidRPr="002101C8">
        <w:rPr>
          <w:noProof/>
        </w:rPr>
        <w:t xml:space="preserve"> Moldova</w:t>
      </w:r>
      <w:r w:rsidR="00E67DBA">
        <w:rPr>
          <w:noProof/>
        </w:rPr>
        <w:t>,</w:t>
      </w:r>
      <w:r w:rsidR="00E67DBA" w:rsidRPr="002101C8">
        <w:rPr>
          <w:noProof/>
        </w:rPr>
        <w:t xml:space="preserve"> </w:t>
      </w:r>
      <w:r w:rsidRPr="002101C8">
        <w:rPr>
          <w:noProof/>
        </w:rPr>
        <w:t>Poland</w:t>
      </w:r>
      <w:r w:rsidR="002B6F70">
        <w:rPr>
          <w:noProof/>
        </w:rPr>
        <w:t xml:space="preserve"> and</w:t>
      </w:r>
      <w:r w:rsidRPr="002101C8">
        <w:rPr>
          <w:noProof/>
        </w:rPr>
        <w:t xml:space="preserve"> Slovakia following floods, and made available EUR</w:t>
      </w:r>
      <w:r w:rsidR="005879A0">
        <w:rPr>
          <w:rFonts w:ascii="Calibri" w:hAnsi="Calibri" w:cs="Calibri"/>
          <w:noProof/>
          <w:lang w:val="en-IE" w:eastAsia="en-IE"/>
        </w:rPr>
        <w:t> </w:t>
      </w:r>
      <w:r w:rsidRPr="002101C8">
        <w:rPr>
          <w:noProof/>
        </w:rPr>
        <w:t>1</w:t>
      </w:r>
      <w:r w:rsidR="005879A0">
        <w:rPr>
          <w:rFonts w:ascii="Calibri" w:hAnsi="Calibri" w:cs="Calibri"/>
          <w:noProof/>
          <w:lang w:val="en-IE" w:eastAsia="en-IE"/>
        </w:rPr>
        <w:t> </w:t>
      </w:r>
      <w:r w:rsidRPr="002101C8">
        <w:rPr>
          <w:noProof/>
        </w:rPr>
        <w:t>057</w:t>
      </w:r>
      <w:r w:rsidR="005879A0">
        <w:rPr>
          <w:rFonts w:ascii="Calibri" w:hAnsi="Calibri" w:cs="Calibri"/>
          <w:noProof/>
          <w:lang w:val="en-IE" w:eastAsia="en-IE"/>
        </w:rPr>
        <w:t> </w:t>
      </w:r>
      <w:r w:rsidRPr="002101C8">
        <w:rPr>
          <w:noProof/>
        </w:rPr>
        <w:t>million for Spain (floods) and France (two cyclones). In the case of Spain, after storm D</w:t>
      </w:r>
      <w:r w:rsidR="00E67DBA">
        <w:rPr>
          <w:noProof/>
        </w:rPr>
        <w:t>ana</w:t>
      </w:r>
      <w:r w:rsidRPr="002101C8">
        <w:rPr>
          <w:noProof/>
        </w:rPr>
        <w:t xml:space="preserve"> hit the Valencia region in October 2024, the </w:t>
      </w:r>
      <w:r w:rsidR="000064DC">
        <w:rPr>
          <w:noProof/>
        </w:rPr>
        <w:t xml:space="preserve">fund </w:t>
      </w:r>
      <w:r w:rsidRPr="002101C8">
        <w:rPr>
          <w:noProof/>
        </w:rPr>
        <w:t>mobilised EUR</w:t>
      </w:r>
      <w:r w:rsidR="00C50865">
        <w:rPr>
          <w:rFonts w:ascii="Calibri" w:hAnsi="Calibri" w:cs="Calibri"/>
          <w:noProof/>
          <w:lang w:val="en-IE" w:eastAsia="en-IE"/>
        </w:rPr>
        <w:t> </w:t>
      </w:r>
      <w:r w:rsidRPr="002101C8">
        <w:rPr>
          <w:noProof/>
        </w:rPr>
        <w:t>94</w:t>
      </w:r>
      <w:r w:rsidR="004B6BA6">
        <w:rPr>
          <w:noProof/>
        </w:rPr>
        <w:t>6</w:t>
      </w:r>
      <w:r w:rsidR="00C50865">
        <w:rPr>
          <w:rFonts w:ascii="Calibri" w:hAnsi="Calibri" w:cs="Calibri"/>
          <w:noProof/>
          <w:lang w:val="en-IE" w:eastAsia="en-IE"/>
        </w:rPr>
        <w:t> </w:t>
      </w:r>
      <w:r w:rsidRPr="002101C8">
        <w:rPr>
          <w:noProof/>
        </w:rPr>
        <w:t xml:space="preserve">million, which is the second-largest contribution in the </w:t>
      </w:r>
      <w:r w:rsidR="00E67DBA">
        <w:rPr>
          <w:noProof/>
        </w:rPr>
        <w:t>f</w:t>
      </w:r>
      <w:r w:rsidRPr="002101C8">
        <w:rPr>
          <w:noProof/>
        </w:rPr>
        <w:t>und’s history.</w:t>
      </w:r>
    </w:p>
    <w:p w14:paraId="45DE3A4B" w14:textId="2F74C4DA" w:rsidR="007F754E" w:rsidRDefault="005B7604" w:rsidP="007F754E">
      <w:pPr>
        <w:pStyle w:val="Heading4"/>
        <w:rPr>
          <w:lang w:eastAsia="fr-BE"/>
        </w:rPr>
      </w:pPr>
      <w:r>
        <w:rPr>
          <w:lang w:eastAsia="fr-BE"/>
        </w:rPr>
        <w:t>Enhancing internal security, border control and migration management</w:t>
      </w:r>
    </w:p>
    <w:p w14:paraId="3C279B01" w14:textId="680D3D52" w:rsidR="009C543C" w:rsidRDefault="00234383" w:rsidP="00590989">
      <w:pPr>
        <w:rPr>
          <w:noProof/>
        </w:rPr>
      </w:pPr>
      <w:r>
        <w:rPr>
          <w:noProof/>
        </w:rPr>
        <w:t>To enhance safety and security across Europe,</w:t>
      </w:r>
      <w:r w:rsidR="00B44E14">
        <w:rPr>
          <w:noProof/>
        </w:rPr>
        <w:t xml:space="preserve"> </w:t>
      </w:r>
      <w:r w:rsidR="00A11581">
        <w:rPr>
          <w:noProof/>
        </w:rPr>
        <w:t xml:space="preserve">border control, </w:t>
      </w:r>
      <w:r w:rsidR="00B44E14">
        <w:rPr>
          <w:noProof/>
        </w:rPr>
        <w:t>and</w:t>
      </w:r>
      <w:r>
        <w:rPr>
          <w:noProof/>
        </w:rPr>
        <w:t xml:space="preserve"> </w:t>
      </w:r>
      <w:r w:rsidR="00B44E14">
        <w:rPr>
          <w:noProof/>
        </w:rPr>
        <w:t xml:space="preserve">manage migration, </w:t>
      </w:r>
      <w:r w:rsidR="00AE77D1">
        <w:rPr>
          <w:noProof/>
        </w:rPr>
        <w:t xml:space="preserve">the </w:t>
      </w:r>
      <w:r w:rsidR="003958D9">
        <w:rPr>
          <w:noProof/>
        </w:rPr>
        <w:t xml:space="preserve">EU budget funds actions through a </w:t>
      </w:r>
      <w:r w:rsidR="009C543C">
        <w:rPr>
          <w:noProof/>
        </w:rPr>
        <w:t>number of funds</w:t>
      </w:r>
      <w:r w:rsidR="009A5FE8">
        <w:rPr>
          <w:noProof/>
        </w:rPr>
        <w:t>, such as</w:t>
      </w:r>
      <w:r w:rsidR="009C543C">
        <w:rPr>
          <w:noProof/>
        </w:rPr>
        <w:t xml:space="preserve">: </w:t>
      </w:r>
    </w:p>
    <w:p w14:paraId="4FCCAA7D" w14:textId="017C1845" w:rsidR="009A5FE8" w:rsidRDefault="000F397C" w:rsidP="0018546C">
      <w:pPr>
        <w:pStyle w:val="ListBullet"/>
        <w:rPr>
          <w:lang w:eastAsia="en-IE"/>
        </w:rPr>
      </w:pPr>
      <w:r>
        <w:t>the Internal Security Fund</w:t>
      </w:r>
      <w:r w:rsidR="00137263">
        <w:t>,</w:t>
      </w:r>
      <w:r>
        <w:t xml:space="preserve"> </w:t>
      </w:r>
      <w:r w:rsidR="009A5FE8">
        <w:rPr>
          <w:lang w:eastAsia="en-IE"/>
        </w:rPr>
        <w:t xml:space="preserve">focused on </w:t>
      </w:r>
      <w:r w:rsidR="00DA7861">
        <w:t>preventing and com</w:t>
      </w:r>
      <w:r w:rsidR="00BF6221">
        <w:t>b</w:t>
      </w:r>
      <w:r w:rsidR="00DA7861">
        <w:t>ating terrorism and radicalisation, organised crime and cybercrime</w:t>
      </w:r>
      <w:r w:rsidR="00EC199F">
        <w:t>;</w:t>
      </w:r>
      <w:r>
        <w:t xml:space="preserve"> </w:t>
      </w:r>
    </w:p>
    <w:p w14:paraId="0405AC91" w14:textId="10BBD0A2" w:rsidR="009A5FE8" w:rsidRDefault="000F397C" w:rsidP="0018546C">
      <w:pPr>
        <w:pStyle w:val="ListBullet"/>
        <w:rPr>
          <w:lang w:eastAsia="en-IE"/>
        </w:rPr>
      </w:pPr>
      <w:r>
        <w:t>the Asylum, Migration and Integration Fund</w:t>
      </w:r>
      <w:r w:rsidR="00137263">
        <w:t xml:space="preserve">, </w:t>
      </w:r>
      <w:r w:rsidR="00206BE9">
        <w:t>promoting effici</w:t>
      </w:r>
      <w:r w:rsidR="00BF6221">
        <w:t>e</w:t>
      </w:r>
      <w:r w:rsidR="00206BE9">
        <w:t>nt management of migration flows;</w:t>
      </w:r>
      <w:r w:rsidR="00137263">
        <w:t xml:space="preserve"> </w:t>
      </w:r>
      <w:r w:rsidR="00CA4FB4">
        <w:t>and</w:t>
      </w:r>
    </w:p>
    <w:p w14:paraId="0847CF2F" w14:textId="704BB9F4" w:rsidR="00490CAA" w:rsidRDefault="00137263" w:rsidP="0018546C">
      <w:pPr>
        <w:pStyle w:val="ListBullet"/>
      </w:pPr>
      <w:r>
        <w:t>the Border Ma</w:t>
      </w:r>
      <w:r w:rsidR="00E001CD">
        <w:t>n</w:t>
      </w:r>
      <w:r>
        <w:t>agement and Visa Instrument</w:t>
      </w:r>
      <w:r w:rsidR="00405019">
        <w:t xml:space="preserve">, </w:t>
      </w:r>
      <w:r w:rsidR="00742580">
        <w:t>addressing external border managemen</w:t>
      </w:r>
      <w:r w:rsidR="00E001CD">
        <w:t>t</w:t>
      </w:r>
      <w:r w:rsidR="00742580">
        <w:t xml:space="preserve"> challenges</w:t>
      </w:r>
      <w:r w:rsidR="000F397C">
        <w:t>.</w:t>
      </w:r>
    </w:p>
    <w:p w14:paraId="69525754" w14:textId="7D1A9266" w:rsidR="00DC4108" w:rsidRDefault="00DC4108" w:rsidP="000D7D9F">
      <w:pPr>
        <w:rPr>
          <w:noProof/>
        </w:rPr>
      </w:pPr>
      <w:r w:rsidRPr="00A61528">
        <w:rPr>
          <w:rStyle w:val="Bold"/>
        </w:rPr>
        <w:t>The 2025</w:t>
      </w:r>
      <w:r w:rsidRPr="00A61528" w:rsidDel="00471772">
        <w:rPr>
          <w:rStyle w:val="Bold"/>
        </w:rPr>
        <w:t xml:space="preserve"> </w:t>
      </w:r>
      <w:r w:rsidRPr="00A61528">
        <w:rPr>
          <w:rStyle w:val="Bold"/>
        </w:rPr>
        <w:t>budget for the Internal Security Fund amounted to EUR</w:t>
      </w:r>
      <w:r w:rsidR="00C50865">
        <w:rPr>
          <w:rFonts w:ascii="Calibri" w:hAnsi="Calibri" w:cs="Calibri"/>
          <w:noProof/>
          <w:lang w:val="en-IE" w:eastAsia="en-IE"/>
        </w:rPr>
        <w:t> </w:t>
      </w:r>
      <w:r w:rsidRPr="00A61528">
        <w:rPr>
          <w:rStyle w:val="Bold"/>
        </w:rPr>
        <w:t>336.6</w:t>
      </w:r>
      <w:r w:rsidR="00C50865">
        <w:rPr>
          <w:rFonts w:ascii="Calibri" w:hAnsi="Calibri" w:cs="Calibri"/>
          <w:noProof/>
          <w:lang w:val="en-IE" w:eastAsia="en-IE"/>
        </w:rPr>
        <w:t> </w:t>
      </w:r>
      <w:r w:rsidRPr="00F11A93">
        <w:rPr>
          <w:rStyle w:val="Bold"/>
        </w:rPr>
        <w:t>million</w:t>
      </w:r>
      <w:r w:rsidRPr="00E02B30">
        <w:rPr>
          <w:rStyle w:val="Bold"/>
        </w:rPr>
        <w:t>.</w:t>
      </w:r>
      <w:r>
        <w:rPr>
          <w:noProof/>
        </w:rPr>
        <w:t xml:space="preserve"> This amount included EUR</w:t>
      </w:r>
      <w:r w:rsidR="00A96F72">
        <w:rPr>
          <w:rFonts w:ascii="Calibri" w:hAnsi="Calibri" w:cs="Calibri"/>
          <w:noProof/>
          <w:lang w:val="en-IE" w:eastAsia="en-IE"/>
        </w:rPr>
        <w:t> </w:t>
      </w:r>
      <w:r>
        <w:rPr>
          <w:noProof/>
        </w:rPr>
        <w:t>195.5</w:t>
      </w:r>
      <w:r w:rsidR="00A96F72">
        <w:rPr>
          <w:rFonts w:ascii="Calibri" w:hAnsi="Calibri" w:cs="Calibri"/>
          <w:noProof/>
          <w:lang w:val="en-IE" w:eastAsia="en-IE"/>
        </w:rPr>
        <w:t> </w:t>
      </w:r>
      <w:r>
        <w:rPr>
          <w:noProof/>
        </w:rPr>
        <w:t xml:space="preserve">million for initial allocations to Member States’ programmes, </w:t>
      </w:r>
      <w:r w:rsidR="00296F2D">
        <w:rPr>
          <w:noProof/>
        </w:rPr>
        <w:t>t</w:t>
      </w:r>
      <w:r>
        <w:rPr>
          <w:noProof/>
        </w:rPr>
        <w:t xml:space="preserve">he largest share of </w:t>
      </w:r>
      <w:r w:rsidR="00296F2D">
        <w:rPr>
          <w:noProof/>
        </w:rPr>
        <w:t>which</w:t>
      </w:r>
      <w:r>
        <w:rPr>
          <w:noProof/>
        </w:rPr>
        <w:t xml:space="preserve"> </w:t>
      </w:r>
      <w:r w:rsidR="0094719F">
        <w:rPr>
          <w:noProof/>
        </w:rPr>
        <w:t xml:space="preserve">is </w:t>
      </w:r>
      <w:r>
        <w:rPr>
          <w:noProof/>
        </w:rPr>
        <w:t>destined to</w:t>
      </w:r>
      <w:r>
        <w:rPr>
          <w:rFonts w:ascii="Arial" w:hAnsi="Arial" w:cs="Arial"/>
          <w:noProof/>
        </w:rPr>
        <w:t> </w:t>
      </w:r>
      <w:r>
        <w:rPr>
          <w:noProof/>
        </w:rPr>
        <w:t>strengthen Member States</w:t>
      </w:r>
      <w:r>
        <w:rPr>
          <w:rFonts w:cs="EC Square Sans Pro"/>
          <w:noProof/>
        </w:rPr>
        <w:t>’</w:t>
      </w:r>
      <w:r>
        <w:rPr>
          <w:rFonts w:ascii="Arial" w:hAnsi="Arial" w:cs="Arial"/>
          <w:noProof/>
        </w:rPr>
        <w:t> </w:t>
      </w:r>
      <w:r>
        <w:rPr>
          <w:noProof/>
        </w:rPr>
        <w:t>capabilities in fighting</w:t>
      </w:r>
      <w:r>
        <w:rPr>
          <w:rFonts w:ascii="Arial" w:hAnsi="Arial" w:cs="Arial"/>
          <w:noProof/>
        </w:rPr>
        <w:t> </w:t>
      </w:r>
      <w:r>
        <w:rPr>
          <w:noProof/>
        </w:rPr>
        <w:t>organised</w:t>
      </w:r>
      <w:r>
        <w:rPr>
          <w:rFonts w:ascii="Arial" w:hAnsi="Arial" w:cs="Arial"/>
          <w:noProof/>
        </w:rPr>
        <w:t> </w:t>
      </w:r>
      <w:r>
        <w:rPr>
          <w:noProof/>
        </w:rPr>
        <w:t>crime and terrorism (41%).</w:t>
      </w:r>
      <w:r w:rsidR="00296F2D">
        <w:rPr>
          <w:noProof/>
        </w:rPr>
        <w:t xml:space="preserve"> </w:t>
      </w:r>
      <w:r w:rsidR="00C57E60">
        <w:rPr>
          <w:noProof/>
        </w:rPr>
        <w:t>T</w:t>
      </w:r>
      <w:r w:rsidR="00193133">
        <w:rPr>
          <w:noProof/>
        </w:rPr>
        <w:t xml:space="preserve">he </w:t>
      </w:r>
      <w:r w:rsidR="0094719F">
        <w:rPr>
          <w:noProof/>
        </w:rPr>
        <w:t>f</w:t>
      </w:r>
      <w:r w:rsidR="00193133">
        <w:rPr>
          <w:noProof/>
        </w:rPr>
        <w:t>und</w:t>
      </w:r>
      <w:r w:rsidR="0094719F">
        <w:rPr>
          <w:noProof/>
        </w:rPr>
        <w:t xml:space="preserve"> </w:t>
      </w:r>
      <w:r w:rsidR="00193133">
        <w:rPr>
          <w:noProof/>
        </w:rPr>
        <w:t xml:space="preserve">notably </w:t>
      </w:r>
      <w:r w:rsidR="00CE2CB5">
        <w:rPr>
          <w:noProof/>
        </w:rPr>
        <w:t>advances the interopeprability of communication techno</w:t>
      </w:r>
      <w:r w:rsidR="00C57E60">
        <w:rPr>
          <w:noProof/>
        </w:rPr>
        <w:t>logy</w:t>
      </w:r>
      <w:r w:rsidR="00CE2CB5">
        <w:rPr>
          <w:noProof/>
        </w:rPr>
        <w:t xml:space="preserve"> systems </w:t>
      </w:r>
      <w:r w:rsidR="00C57E60">
        <w:rPr>
          <w:noProof/>
        </w:rPr>
        <w:t xml:space="preserve">and </w:t>
      </w:r>
      <w:r w:rsidR="00E03E9F">
        <w:rPr>
          <w:noProof/>
        </w:rPr>
        <w:t>the information exchange mechanisms across</w:t>
      </w:r>
      <w:r w:rsidR="00CE2CB5">
        <w:rPr>
          <w:noProof/>
        </w:rPr>
        <w:t xml:space="preserve"> Member </w:t>
      </w:r>
      <w:r w:rsidR="00E03E9F">
        <w:rPr>
          <w:noProof/>
        </w:rPr>
        <w:t>states,</w:t>
      </w:r>
      <w:r w:rsidR="005B1191">
        <w:rPr>
          <w:noProof/>
        </w:rPr>
        <w:t xml:space="preserve"> </w:t>
      </w:r>
      <w:r w:rsidR="000100AD">
        <w:rPr>
          <w:noProof/>
        </w:rPr>
        <w:t xml:space="preserve">while also supporting cross-border operations aimed at </w:t>
      </w:r>
      <w:r w:rsidR="008C7340">
        <w:rPr>
          <w:noProof/>
        </w:rPr>
        <w:t>seizing drugs (</w:t>
      </w:r>
      <w:r w:rsidR="0028518E">
        <w:rPr>
          <w:noProof/>
        </w:rPr>
        <w:t>22</w:t>
      </w:r>
      <w:r w:rsidR="0028518E">
        <w:rPr>
          <w:rFonts w:ascii="Calibri" w:hAnsi="Calibri" w:cs="Calibri"/>
          <w:noProof/>
        </w:rPr>
        <w:t> </w:t>
      </w:r>
      <w:r w:rsidR="0028518E">
        <w:rPr>
          <w:noProof/>
        </w:rPr>
        <w:t xml:space="preserve">196 kg by 2025) </w:t>
      </w:r>
      <w:r w:rsidR="008C7340">
        <w:rPr>
          <w:noProof/>
        </w:rPr>
        <w:t xml:space="preserve">or weapons (302 by 2025). </w:t>
      </w:r>
      <w:r w:rsidR="00B96C2C">
        <w:rPr>
          <w:noProof/>
        </w:rPr>
        <w:t xml:space="preserve">Under the </w:t>
      </w:r>
      <w:r w:rsidR="00DB7FD6">
        <w:t>Internal Security Fund</w:t>
      </w:r>
      <w:r w:rsidR="0079699B">
        <w:rPr>
          <w:noProof/>
        </w:rPr>
        <w:t>’s Thematic Facility</w:t>
      </w:r>
      <w:r w:rsidR="00B96C2C">
        <w:rPr>
          <w:noProof/>
        </w:rPr>
        <w:t xml:space="preserve">, the Commission has also </w:t>
      </w:r>
      <w:r w:rsidR="00CF2CFF">
        <w:rPr>
          <w:noProof/>
        </w:rPr>
        <w:t xml:space="preserve">funded 13 projects </w:t>
      </w:r>
      <w:r w:rsidR="00590989">
        <w:rPr>
          <w:noProof/>
        </w:rPr>
        <w:t>starting in 2025</w:t>
      </w:r>
      <w:r w:rsidR="00290062">
        <w:rPr>
          <w:noProof/>
        </w:rPr>
        <w:t>,</w:t>
      </w:r>
      <w:r w:rsidR="00590989">
        <w:rPr>
          <w:noProof/>
        </w:rPr>
        <w:t xml:space="preserve"> with EUR</w:t>
      </w:r>
      <w:r w:rsidR="00590989">
        <w:rPr>
          <w:rFonts w:ascii="Calibri" w:hAnsi="Calibri" w:cs="Calibri"/>
          <w:noProof/>
        </w:rPr>
        <w:t> </w:t>
      </w:r>
      <w:r>
        <w:rPr>
          <w:noProof/>
        </w:rPr>
        <w:t>30</w:t>
      </w:r>
      <w:r w:rsidR="00A96F72">
        <w:rPr>
          <w:rFonts w:ascii="Calibri" w:hAnsi="Calibri" w:cs="Calibri"/>
          <w:noProof/>
          <w:lang w:val="en-IE" w:eastAsia="en-IE"/>
        </w:rPr>
        <w:t> </w:t>
      </w:r>
      <w:r>
        <w:rPr>
          <w:noProof/>
        </w:rPr>
        <w:t xml:space="preserve">million </w:t>
      </w:r>
      <w:r w:rsidR="00590989">
        <w:rPr>
          <w:noProof/>
        </w:rPr>
        <w:t>to</w:t>
      </w:r>
      <w:r>
        <w:rPr>
          <w:noProof/>
        </w:rPr>
        <w:t xml:space="preserve"> strengthen the protection of public spaces such as shopping centres, public transportation, entertainment venues and places of worship</w:t>
      </w:r>
      <w:r w:rsidR="00590989" w:rsidRPr="004C7E25">
        <w:rPr>
          <w:rFonts w:cs="Calibri"/>
          <w:noProof/>
        </w:rPr>
        <w:t> </w:t>
      </w:r>
      <w:r w:rsidR="00590989" w:rsidRPr="00590989">
        <w:rPr>
          <w:noProof/>
        </w:rPr>
        <w:t>(</w:t>
      </w:r>
      <w:r w:rsidR="00590989">
        <w:rPr>
          <w:rStyle w:val="FootnoteReference"/>
          <w:noProof/>
        </w:rPr>
        <w:footnoteReference w:id="31"/>
      </w:r>
      <w:r w:rsidR="00590989">
        <w:rPr>
          <w:noProof/>
        </w:rPr>
        <w:t>)</w:t>
      </w:r>
      <w:r>
        <w:rPr>
          <w:noProof/>
        </w:rPr>
        <w:t>.</w:t>
      </w:r>
    </w:p>
    <w:p w14:paraId="532C4E3B" w14:textId="76E737A0" w:rsidR="00E11A68" w:rsidRDefault="00C22796" w:rsidP="000D7D9F">
      <w:pPr>
        <w:rPr>
          <w:noProof/>
        </w:rPr>
      </w:pPr>
      <w:r w:rsidRPr="00A61528">
        <w:rPr>
          <w:rStyle w:val="Bold"/>
        </w:rPr>
        <w:t>The 2025 budget for the A</w:t>
      </w:r>
      <w:r w:rsidR="00300A84" w:rsidRPr="00A61528">
        <w:rPr>
          <w:rStyle w:val="Bold"/>
        </w:rPr>
        <w:t xml:space="preserve">sylum, </w:t>
      </w:r>
      <w:r w:rsidRPr="00A61528">
        <w:rPr>
          <w:rStyle w:val="Bold"/>
        </w:rPr>
        <w:t>M</w:t>
      </w:r>
      <w:r w:rsidR="00300A84" w:rsidRPr="00A61528">
        <w:rPr>
          <w:rStyle w:val="Bold"/>
        </w:rPr>
        <w:t xml:space="preserve">igration and </w:t>
      </w:r>
      <w:r w:rsidRPr="00A61528">
        <w:rPr>
          <w:rStyle w:val="Bold"/>
        </w:rPr>
        <w:t>I</w:t>
      </w:r>
      <w:r w:rsidR="00300A84" w:rsidRPr="00A61528">
        <w:rPr>
          <w:rStyle w:val="Bold"/>
        </w:rPr>
        <w:t xml:space="preserve">ntegration </w:t>
      </w:r>
      <w:r w:rsidRPr="00A61528">
        <w:rPr>
          <w:rStyle w:val="Bold"/>
        </w:rPr>
        <w:t>F</w:t>
      </w:r>
      <w:r w:rsidR="00300A84" w:rsidRPr="00A61528">
        <w:rPr>
          <w:rStyle w:val="Bold"/>
        </w:rPr>
        <w:t>und</w:t>
      </w:r>
      <w:r w:rsidRPr="00A61528">
        <w:rPr>
          <w:rStyle w:val="Bold"/>
        </w:rPr>
        <w:t xml:space="preserve"> amounted to EUR</w:t>
      </w:r>
      <w:r w:rsidR="00D27374">
        <w:rPr>
          <w:rFonts w:ascii="Calibri" w:hAnsi="Calibri" w:cs="Calibri"/>
          <w:noProof/>
          <w:lang w:val="en-IE" w:eastAsia="en-IE"/>
        </w:rPr>
        <w:t> </w:t>
      </w:r>
      <w:r w:rsidRPr="00A61528">
        <w:rPr>
          <w:rStyle w:val="Bold"/>
        </w:rPr>
        <w:t>1</w:t>
      </w:r>
      <w:r w:rsidR="007B0BAB" w:rsidRPr="00A61528">
        <w:rPr>
          <w:rStyle w:val="Bold"/>
        </w:rPr>
        <w:t>.</w:t>
      </w:r>
      <w:r w:rsidRPr="00A61528">
        <w:rPr>
          <w:rStyle w:val="Bold"/>
        </w:rPr>
        <w:t>9</w:t>
      </w:r>
      <w:r w:rsidR="00D27374">
        <w:rPr>
          <w:rFonts w:ascii="Calibri" w:hAnsi="Calibri" w:cs="Calibri"/>
          <w:noProof/>
          <w:lang w:val="en-IE" w:eastAsia="en-IE"/>
        </w:rPr>
        <w:t> </w:t>
      </w:r>
      <w:r w:rsidR="007B0BAB" w:rsidRPr="00F11A93">
        <w:rPr>
          <w:rStyle w:val="Bold"/>
        </w:rPr>
        <w:t>b</w:t>
      </w:r>
      <w:r w:rsidRPr="00F11A93">
        <w:rPr>
          <w:rStyle w:val="Bold"/>
        </w:rPr>
        <w:t>illio</w:t>
      </w:r>
      <w:r w:rsidR="008C697F" w:rsidRPr="00F11A93">
        <w:rPr>
          <w:rStyle w:val="Bold"/>
        </w:rPr>
        <w:t>n</w:t>
      </w:r>
      <w:r w:rsidRPr="00E02B30">
        <w:rPr>
          <w:rStyle w:val="Bold"/>
        </w:rPr>
        <w:t>.</w:t>
      </w:r>
      <w:r w:rsidRPr="00C22796">
        <w:rPr>
          <w:noProof/>
        </w:rPr>
        <w:t xml:space="preserve"> This amount included </w:t>
      </w:r>
      <w:r w:rsidR="00EB0E5C">
        <w:rPr>
          <w:noProof/>
        </w:rPr>
        <w:t>EUR</w:t>
      </w:r>
      <w:r w:rsidR="00EB0E5C">
        <w:rPr>
          <w:rFonts w:ascii="Calibri" w:hAnsi="Calibri" w:cs="Calibri"/>
          <w:noProof/>
        </w:rPr>
        <w:t> </w:t>
      </w:r>
      <w:r w:rsidRPr="00C22796">
        <w:rPr>
          <w:noProof/>
        </w:rPr>
        <w:t>972.9</w:t>
      </w:r>
      <w:r w:rsidR="00EB0E5C">
        <w:rPr>
          <w:rFonts w:ascii="Calibri" w:hAnsi="Calibri" w:cs="Calibri"/>
          <w:noProof/>
        </w:rPr>
        <w:t> </w:t>
      </w:r>
      <w:r w:rsidR="00EB0E5C">
        <w:rPr>
          <w:noProof/>
        </w:rPr>
        <w:t>million</w:t>
      </w:r>
      <w:r w:rsidRPr="00C22796">
        <w:rPr>
          <w:noProof/>
        </w:rPr>
        <w:t xml:space="preserve"> for initial allocations to Member State programmes</w:t>
      </w:r>
      <w:r w:rsidR="001D00D0">
        <w:rPr>
          <w:noProof/>
        </w:rPr>
        <w:t xml:space="preserve">, </w:t>
      </w:r>
      <w:r w:rsidR="00D00984">
        <w:rPr>
          <w:noProof/>
        </w:rPr>
        <w:t>t</w:t>
      </w:r>
      <w:r w:rsidR="00E11A68" w:rsidRPr="00E11A68">
        <w:rPr>
          <w:noProof/>
        </w:rPr>
        <w:t xml:space="preserve">he largest share of </w:t>
      </w:r>
      <w:r w:rsidR="00CC717B">
        <w:rPr>
          <w:noProof/>
        </w:rPr>
        <w:t>which</w:t>
      </w:r>
      <w:r w:rsidR="00E11A68" w:rsidRPr="00E11A68">
        <w:rPr>
          <w:noProof/>
        </w:rPr>
        <w:t xml:space="preserve"> </w:t>
      </w:r>
      <w:r w:rsidR="00875A95">
        <w:rPr>
          <w:noProof/>
        </w:rPr>
        <w:t xml:space="preserve">is for </w:t>
      </w:r>
      <w:r w:rsidR="00415015">
        <w:rPr>
          <w:noProof/>
        </w:rPr>
        <w:t>s</w:t>
      </w:r>
      <w:r w:rsidR="00E11A68" w:rsidRPr="00E11A68">
        <w:rPr>
          <w:noProof/>
        </w:rPr>
        <w:t xml:space="preserve">trengthening and developing the Common European Asylum System (36%). </w:t>
      </w:r>
      <w:r w:rsidR="00F81686">
        <w:rPr>
          <w:noProof/>
        </w:rPr>
        <w:t>B</w:t>
      </w:r>
      <w:r w:rsidR="0062528F">
        <w:rPr>
          <w:noProof/>
        </w:rPr>
        <w:t xml:space="preserve">y 2025, </w:t>
      </w:r>
      <w:r w:rsidR="00CE7888">
        <w:t xml:space="preserve">the Asylum, Migration and Integration Fund </w:t>
      </w:r>
      <w:r w:rsidR="0062528F">
        <w:rPr>
          <w:noProof/>
        </w:rPr>
        <w:t xml:space="preserve">registered </w:t>
      </w:r>
      <w:r w:rsidR="00EC199F">
        <w:rPr>
          <w:noProof/>
        </w:rPr>
        <w:t>15</w:t>
      </w:r>
      <w:r w:rsidR="00EC199F">
        <w:rPr>
          <w:rFonts w:ascii="Calibri" w:hAnsi="Calibri" w:cs="Calibri"/>
          <w:noProof/>
        </w:rPr>
        <w:t> </w:t>
      </w:r>
      <w:r w:rsidR="00EC199F">
        <w:rPr>
          <w:noProof/>
        </w:rPr>
        <w:t>635 participants who applied for long-term status,</w:t>
      </w:r>
      <w:r w:rsidR="0062528F">
        <w:rPr>
          <w:noProof/>
        </w:rPr>
        <w:t xml:space="preserve"> </w:t>
      </w:r>
      <w:r w:rsidR="00885A18">
        <w:rPr>
          <w:noProof/>
        </w:rPr>
        <w:t>107</w:t>
      </w:r>
      <w:r w:rsidR="00F81686">
        <w:rPr>
          <w:rFonts w:ascii="Calibri" w:hAnsi="Calibri" w:cs="Calibri"/>
          <w:noProof/>
        </w:rPr>
        <w:t> </w:t>
      </w:r>
      <w:r w:rsidR="00885A18">
        <w:rPr>
          <w:noProof/>
        </w:rPr>
        <w:t>739 voluntary returnees, 14</w:t>
      </w:r>
      <w:r w:rsidR="00F81686">
        <w:rPr>
          <w:rFonts w:ascii="Calibri" w:hAnsi="Calibri" w:cs="Calibri"/>
          <w:noProof/>
        </w:rPr>
        <w:t> </w:t>
      </w:r>
      <w:r w:rsidR="00885A18">
        <w:rPr>
          <w:noProof/>
        </w:rPr>
        <w:t>602 returnees removed and 4</w:t>
      </w:r>
      <w:r w:rsidR="00F81686">
        <w:rPr>
          <w:rFonts w:ascii="Calibri" w:hAnsi="Calibri" w:cs="Calibri"/>
          <w:noProof/>
        </w:rPr>
        <w:t> </w:t>
      </w:r>
      <w:r w:rsidR="00885A18">
        <w:rPr>
          <w:noProof/>
        </w:rPr>
        <w:t>771 applicants for and benefi</w:t>
      </w:r>
      <w:r w:rsidR="00875A95">
        <w:rPr>
          <w:noProof/>
        </w:rPr>
        <w:t>ci</w:t>
      </w:r>
      <w:r w:rsidR="00885A18">
        <w:rPr>
          <w:noProof/>
        </w:rPr>
        <w:t xml:space="preserve">aries of </w:t>
      </w:r>
      <w:r w:rsidR="00F81686">
        <w:rPr>
          <w:noProof/>
        </w:rPr>
        <w:t>international protection transferred from one Memb</w:t>
      </w:r>
      <w:r w:rsidR="006018F3">
        <w:rPr>
          <w:noProof/>
        </w:rPr>
        <w:t>e</w:t>
      </w:r>
      <w:r w:rsidR="00F81686">
        <w:rPr>
          <w:noProof/>
        </w:rPr>
        <w:t>r State to another.</w:t>
      </w:r>
    </w:p>
    <w:p w14:paraId="7E6FBA63" w14:textId="04040E13" w:rsidR="009B04E5" w:rsidRDefault="00C7077A" w:rsidP="000D7D9F">
      <w:pPr>
        <w:rPr>
          <w:noProof/>
        </w:rPr>
      </w:pPr>
      <w:r w:rsidRPr="00A61528">
        <w:rPr>
          <w:rStyle w:val="Bold"/>
        </w:rPr>
        <w:t>The 2025 budget for the Border Management and Visa Instrument amounted to EUR</w:t>
      </w:r>
      <w:r w:rsidR="00D27374">
        <w:rPr>
          <w:rFonts w:ascii="Calibri" w:hAnsi="Calibri" w:cs="Calibri"/>
          <w:noProof/>
          <w:lang w:val="en-IE" w:eastAsia="en-IE"/>
        </w:rPr>
        <w:t> </w:t>
      </w:r>
      <w:r w:rsidRPr="00A61528">
        <w:rPr>
          <w:rStyle w:val="Bold"/>
        </w:rPr>
        <w:t>1</w:t>
      </w:r>
      <w:r w:rsidR="00055041" w:rsidRPr="00A61528">
        <w:rPr>
          <w:rStyle w:val="Bold"/>
        </w:rPr>
        <w:t>.2</w:t>
      </w:r>
      <w:r w:rsidR="00D27374">
        <w:rPr>
          <w:rFonts w:ascii="Calibri" w:hAnsi="Calibri" w:cs="Calibri"/>
          <w:noProof/>
          <w:lang w:val="en-IE" w:eastAsia="en-IE"/>
        </w:rPr>
        <w:t> </w:t>
      </w:r>
      <w:r w:rsidR="00055041" w:rsidRPr="00A61528">
        <w:rPr>
          <w:rStyle w:val="Bold"/>
        </w:rPr>
        <w:t>bi</w:t>
      </w:r>
      <w:r w:rsidRPr="00A61528">
        <w:rPr>
          <w:rStyle w:val="Bold"/>
        </w:rPr>
        <w:t>llion.</w:t>
      </w:r>
      <w:r>
        <w:rPr>
          <w:rFonts w:ascii="Calibri" w:hAnsi="Calibri" w:cs="Calibri"/>
        </w:rPr>
        <w:t xml:space="preserve"> </w:t>
      </w:r>
      <w:r w:rsidRPr="00C7077A">
        <w:rPr>
          <w:noProof/>
        </w:rPr>
        <w:t xml:space="preserve">The largest share of the </w:t>
      </w:r>
      <w:r w:rsidR="00F6640C">
        <w:rPr>
          <w:noProof/>
        </w:rPr>
        <w:t>E</w:t>
      </w:r>
      <w:r w:rsidRPr="00C7077A">
        <w:rPr>
          <w:noProof/>
        </w:rPr>
        <w:t xml:space="preserve">U’s financial contribution </w:t>
      </w:r>
      <w:r w:rsidR="007F15B0">
        <w:rPr>
          <w:noProof/>
        </w:rPr>
        <w:t>to</w:t>
      </w:r>
      <w:r w:rsidRPr="00C7077A">
        <w:rPr>
          <w:noProof/>
        </w:rPr>
        <w:t xml:space="preserve"> Member State programmes is</w:t>
      </w:r>
      <w:r w:rsidR="007F15B0">
        <w:rPr>
          <w:rFonts w:ascii="Calibri" w:hAnsi="Calibri" w:cs="Calibri"/>
          <w:noProof/>
        </w:rPr>
        <w:t xml:space="preserve"> </w:t>
      </w:r>
      <w:r w:rsidRPr="00C7077A">
        <w:rPr>
          <w:noProof/>
        </w:rPr>
        <w:t>allocated</w:t>
      </w:r>
      <w:r w:rsidR="007F15B0">
        <w:rPr>
          <w:rFonts w:ascii="Calibri" w:hAnsi="Calibri" w:cs="Calibri"/>
          <w:noProof/>
        </w:rPr>
        <w:t xml:space="preserve"> </w:t>
      </w:r>
      <w:r w:rsidR="003360D0" w:rsidRPr="00110A07">
        <w:rPr>
          <w:noProof/>
        </w:rPr>
        <w:t>to</w:t>
      </w:r>
      <w:r w:rsidR="00734BBB">
        <w:rPr>
          <w:rFonts w:ascii="Calibri" w:hAnsi="Calibri" w:cs="Calibri"/>
          <w:noProof/>
        </w:rPr>
        <w:t xml:space="preserve"> </w:t>
      </w:r>
      <w:r w:rsidRPr="00C7077A">
        <w:rPr>
          <w:noProof/>
        </w:rPr>
        <w:t>European integrated border management</w:t>
      </w:r>
      <w:r w:rsidR="00D27374">
        <w:rPr>
          <w:rFonts w:ascii="Calibri" w:hAnsi="Calibri" w:cs="Calibri"/>
          <w:noProof/>
        </w:rPr>
        <w:t xml:space="preserve"> </w:t>
      </w:r>
      <w:r w:rsidRPr="00C7077A">
        <w:rPr>
          <w:noProof/>
        </w:rPr>
        <w:t>(87%)</w:t>
      </w:r>
      <w:r w:rsidR="00390E7C">
        <w:rPr>
          <w:noProof/>
        </w:rPr>
        <w:t>.</w:t>
      </w:r>
      <w:r w:rsidR="009B04E5">
        <w:rPr>
          <w:noProof/>
        </w:rPr>
        <w:t xml:space="preserve"> </w:t>
      </w:r>
      <w:r w:rsidR="00B66044">
        <w:rPr>
          <w:noProof/>
        </w:rPr>
        <w:t>The co</w:t>
      </w:r>
      <w:r w:rsidRPr="00C7077A">
        <w:rPr>
          <w:noProof/>
        </w:rPr>
        <w:t>mmon visa policy</w:t>
      </w:r>
      <w:r w:rsidR="007F15B0">
        <w:rPr>
          <w:rFonts w:ascii="Calibri" w:hAnsi="Calibri" w:cs="Calibri"/>
          <w:noProof/>
        </w:rPr>
        <w:t xml:space="preserve"> </w:t>
      </w:r>
      <w:r w:rsidR="00390E7C" w:rsidRPr="00110A07">
        <w:rPr>
          <w:noProof/>
        </w:rPr>
        <w:t xml:space="preserve">accounts for </w:t>
      </w:r>
      <w:r w:rsidRPr="00C7077A">
        <w:rPr>
          <w:noProof/>
        </w:rPr>
        <w:t>8%</w:t>
      </w:r>
      <w:r w:rsidR="00390E7C">
        <w:rPr>
          <w:noProof/>
        </w:rPr>
        <w:t xml:space="preserve"> of the</w:t>
      </w:r>
      <w:r w:rsidR="007A5E26">
        <w:rPr>
          <w:noProof/>
        </w:rPr>
        <w:t xml:space="preserve"> allocated budget for Member State programmes</w:t>
      </w:r>
      <w:r w:rsidR="002A3EFF">
        <w:rPr>
          <w:noProof/>
        </w:rPr>
        <w:t xml:space="preserve">, with </w:t>
      </w:r>
      <w:r w:rsidR="00EC62FE">
        <w:rPr>
          <w:noProof/>
        </w:rPr>
        <w:t xml:space="preserve">the </w:t>
      </w:r>
      <w:r w:rsidRPr="00C7077A">
        <w:rPr>
          <w:noProof/>
        </w:rPr>
        <w:t>main achievements relat</w:t>
      </w:r>
      <w:r w:rsidR="009B3DB2">
        <w:rPr>
          <w:noProof/>
        </w:rPr>
        <w:t xml:space="preserve">ing </w:t>
      </w:r>
      <w:r w:rsidRPr="00C7077A">
        <w:rPr>
          <w:noProof/>
        </w:rPr>
        <w:t>to the digitalisation of visa processing</w:t>
      </w:r>
      <w:r w:rsidR="002A3EFF">
        <w:rPr>
          <w:noProof/>
        </w:rPr>
        <w:t>.</w:t>
      </w:r>
      <w:r w:rsidR="00301510">
        <w:rPr>
          <w:noProof/>
        </w:rPr>
        <w:t xml:space="preserve"> </w:t>
      </w:r>
    </w:p>
    <w:p w14:paraId="2E3272E4" w14:textId="6C7462FA" w:rsidR="00A7635E" w:rsidRDefault="00E505BD" w:rsidP="007E6DBD">
      <w:pPr>
        <w:rPr>
          <w:noProof/>
        </w:rPr>
      </w:pPr>
      <w:r w:rsidRPr="00F11A93">
        <w:rPr>
          <w:rStyle w:val="Bold"/>
        </w:rPr>
        <w:t xml:space="preserve">Considering the rapidly evolving threat landscape and risks at the EU external borders, additional funding was made available </w:t>
      </w:r>
      <w:r w:rsidR="00E84DD1" w:rsidRPr="00F11A93">
        <w:rPr>
          <w:rStyle w:val="Bold"/>
        </w:rPr>
        <w:t>from</w:t>
      </w:r>
      <w:r w:rsidR="00166B43" w:rsidRPr="00F11A93">
        <w:rPr>
          <w:rStyle w:val="Bold"/>
        </w:rPr>
        <w:t xml:space="preserve"> the </w:t>
      </w:r>
      <w:r w:rsidR="00371D72" w:rsidRPr="00E02B30">
        <w:rPr>
          <w:rStyle w:val="Bold"/>
        </w:rPr>
        <w:t>Border Management and Visa Instrument</w:t>
      </w:r>
      <w:r w:rsidR="00371D72">
        <w:t xml:space="preserve"> </w:t>
      </w:r>
      <w:r w:rsidRPr="00A61528">
        <w:rPr>
          <w:rStyle w:val="Bold"/>
        </w:rPr>
        <w:t>to further enhance border control capabilities</w:t>
      </w:r>
      <w:r w:rsidRPr="00E02B30">
        <w:rPr>
          <w:rStyle w:val="Bold"/>
          <w:b w:val="0"/>
          <w:bCs/>
        </w:rPr>
        <w:t>,</w:t>
      </w:r>
      <w:r w:rsidRPr="00E505BD">
        <w:rPr>
          <w:noProof/>
        </w:rPr>
        <w:t xml:space="preserve"> with EUR</w:t>
      </w:r>
      <w:r w:rsidR="00990B9A">
        <w:rPr>
          <w:rFonts w:ascii="Calibri" w:hAnsi="Calibri" w:cs="Calibri"/>
          <w:noProof/>
        </w:rPr>
        <w:t> </w:t>
      </w:r>
      <w:r w:rsidRPr="00E505BD">
        <w:rPr>
          <w:noProof/>
        </w:rPr>
        <w:t>1</w:t>
      </w:r>
      <w:r w:rsidR="0051385F">
        <w:rPr>
          <w:noProof/>
        </w:rPr>
        <w:t>6</w:t>
      </w:r>
      <w:r w:rsidR="009D581A">
        <w:rPr>
          <w:noProof/>
        </w:rPr>
        <w:t>9</w:t>
      </w:r>
      <w:r w:rsidR="0051385F">
        <w:rPr>
          <w:noProof/>
        </w:rPr>
        <w:t>.6</w:t>
      </w:r>
      <w:r w:rsidR="00EB0E5C">
        <w:rPr>
          <w:rFonts w:ascii="Calibri" w:hAnsi="Calibri" w:cs="Calibri"/>
          <w:noProof/>
        </w:rPr>
        <w:t> </w:t>
      </w:r>
      <w:r w:rsidR="00EB0E5C">
        <w:rPr>
          <w:noProof/>
        </w:rPr>
        <w:t>million</w:t>
      </w:r>
      <w:r w:rsidRPr="00E505BD">
        <w:rPr>
          <w:noProof/>
        </w:rPr>
        <w:t xml:space="preserve"> for the purchase of various uncrewed equipment to be used for border surveillance at </w:t>
      </w:r>
      <w:r w:rsidR="00D47452">
        <w:rPr>
          <w:noProof/>
        </w:rPr>
        <w:t xml:space="preserve">the </w:t>
      </w:r>
      <w:r w:rsidRPr="00E505BD">
        <w:rPr>
          <w:noProof/>
        </w:rPr>
        <w:t xml:space="preserve">national level and put at the disposal of the European Border and Coast Guard Agency (Frontex equipment) and </w:t>
      </w:r>
      <w:r w:rsidR="00EB0E5C">
        <w:rPr>
          <w:noProof/>
        </w:rPr>
        <w:t>EUR</w:t>
      </w:r>
      <w:r w:rsidR="00EB0E5C">
        <w:rPr>
          <w:rFonts w:ascii="Calibri" w:hAnsi="Calibri" w:cs="Calibri"/>
          <w:noProof/>
        </w:rPr>
        <w:t> </w:t>
      </w:r>
      <w:r w:rsidRPr="00E505BD">
        <w:rPr>
          <w:noProof/>
        </w:rPr>
        <w:t>250</w:t>
      </w:r>
      <w:r w:rsidR="00EB0E5C">
        <w:rPr>
          <w:rFonts w:ascii="Calibri" w:hAnsi="Calibri" w:cs="Calibri"/>
          <w:noProof/>
        </w:rPr>
        <w:t> </w:t>
      </w:r>
      <w:r w:rsidR="00EB0E5C">
        <w:rPr>
          <w:noProof/>
        </w:rPr>
        <w:t>million</w:t>
      </w:r>
      <w:r w:rsidRPr="00E505BD">
        <w:rPr>
          <w:noProof/>
        </w:rPr>
        <w:t xml:space="preserve"> for the purchase of drones and counter-drone systems.</w:t>
      </w:r>
      <w:r w:rsidR="002336A8">
        <w:rPr>
          <w:noProof/>
        </w:rPr>
        <w:t xml:space="preserve"> </w:t>
      </w:r>
      <w:r w:rsidR="00420B6E">
        <w:rPr>
          <w:noProof/>
        </w:rPr>
        <w:t>U</w:t>
      </w:r>
      <w:r w:rsidR="00420B6E" w:rsidRPr="00301510">
        <w:rPr>
          <w:noProof/>
        </w:rPr>
        <w:t xml:space="preserve">nder the </w:t>
      </w:r>
      <w:r w:rsidR="00371D72">
        <w:t>Border Management and Visa Instrument</w:t>
      </w:r>
      <w:r w:rsidR="00420B6E">
        <w:rPr>
          <w:noProof/>
        </w:rPr>
        <w:t>,</w:t>
      </w:r>
      <w:r w:rsidR="00420B6E">
        <w:rPr>
          <w:rFonts w:ascii="Calibri" w:hAnsi="Calibri" w:cs="Calibri"/>
          <w:noProof/>
        </w:rPr>
        <w:t xml:space="preserve"> </w:t>
      </w:r>
      <w:r w:rsidR="00420B6E" w:rsidRPr="00C217A3">
        <w:rPr>
          <w:noProof/>
        </w:rPr>
        <w:t>EUR</w:t>
      </w:r>
      <w:r w:rsidR="00420B6E" w:rsidRPr="00C217A3">
        <w:rPr>
          <w:rFonts w:ascii="Calibri" w:hAnsi="Calibri" w:cs="Calibri"/>
          <w:noProof/>
        </w:rPr>
        <w:t> </w:t>
      </w:r>
      <w:r w:rsidR="00420B6E" w:rsidRPr="00C217A3">
        <w:rPr>
          <w:noProof/>
        </w:rPr>
        <w:t>50.55</w:t>
      </w:r>
      <w:r w:rsidR="00EB0E5C">
        <w:rPr>
          <w:rFonts w:ascii="Calibri" w:hAnsi="Calibri" w:cs="Calibri"/>
          <w:noProof/>
        </w:rPr>
        <w:t> </w:t>
      </w:r>
      <w:r w:rsidR="00EB0E5C">
        <w:rPr>
          <w:noProof/>
        </w:rPr>
        <w:t>million</w:t>
      </w:r>
      <w:r w:rsidR="00420B6E">
        <w:rPr>
          <w:rFonts w:ascii="Calibri" w:hAnsi="Calibri" w:cs="Calibri"/>
          <w:noProof/>
        </w:rPr>
        <w:t xml:space="preserve"> </w:t>
      </w:r>
      <w:r w:rsidR="00420B6E" w:rsidRPr="00C65260">
        <w:rPr>
          <w:rFonts w:cs="Calibri"/>
        </w:rPr>
        <w:t>w</w:t>
      </w:r>
      <w:r w:rsidR="00D47452">
        <w:rPr>
          <w:rFonts w:cs="Calibri"/>
        </w:rPr>
        <w:t>as</w:t>
      </w:r>
      <w:r w:rsidR="00420B6E" w:rsidRPr="00C65260">
        <w:rPr>
          <w:rFonts w:cs="Calibri"/>
        </w:rPr>
        <w:t xml:space="preserve"> </w:t>
      </w:r>
      <w:r w:rsidR="00420B6E">
        <w:rPr>
          <w:rFonts w:cs="Calibri"/>
        </w:rPr>
        <w:t xml:space="preserve">also </w:t>
      </w:r>
      <w:r w:rsidR="00420B6E" w:rsidRPr="00C65260">
        <w:rPr>
          <w:rFonts w:cs="Calibri"/>
        </w:rPr>
        <w:t>made available to</w:t>
      </w:r>
      <w:r w:rsidR="00420B6E">
        <w:rPr>
          <w:rFonts w:ascii="Calibri" w:hAnsi="Calibri" w:cs="Calibri"/>
          <w:noProof/>
        </w:rPr>
        <w:t xml:space="preserve"> </w:t>
      </w:r>
      <w:r w:rsidR="00420B6E" w:rsidRPr="00C217A3">
        <w:rPr>
          <w:noProof/>
        </w:rPr>
        <w:t>support the</w:t>
      </w:r>
      <w:r w:rsidR="00420B6E">
        <w:rPr>
          <w:rFonts w:ascii="Calibri" w:hAnsi="Calibri" w:cs="Calibri"/>
          <w:noProof/>
        </w:rPr>
        <w:t xml:space="preserve"> </w:t>
      </w:r>
      <w:r w:rsidR="00420B6E" w:rsidRPr="00C217A3">
        <w:rPr>
          <w:noProof/>
        </w:rPr>
        <w:t>Schengen</w:t>
      </w:r>
      <w:r w:rsidR="00D47452">
        <w:rPr>
          <w:noProof/>
        </w:rPr>
        <w:t>-</w:t>
      </w:r>
      <w:r w:rsidR="00420B6E" w:rsidRPr="00C217A3">
        <w:rPr>
          <w:noProof/>
        </w:rPr>
        <w:t>associated countries</w:t>
      </w:r>
      <w:r w:rsidR="00420B6E">
        <w:rPr>
          <w:rFonts w:ascii="Calibri" w:hAnsi="Calibri" w:cs="Calibri"/>
          <w:noProof/>
        </w:rPr>
        <w:t xml:space="preserve"> </w:t>
      </w:r>
      <w:r w:rsidR="00420B6E" w:rsidRPr="00C65260">
        <w:rPr>
          <w:rFonts w:cs="Calibri"/>
        </w:rPr>
        <w:t>in the</w:t>
      </w:r>
      <w:r w:rsidR="00420B6E">
        <w:rPr>
          <w:rFonts w:ascii="Calibri" w:hAnsi="Calibri" w:cs="Calibri"/>
          <w:noProof/>
        </w:rPr>
        <w:t xml:space="preserve"> </w:t>
      </w:r>
      <w:r w:rsidR="00420B6E" w:rsidRPr="00C217A3">
        <w:rPr>
          <w:noProof/>
        </w:rPr>
        <w:t xml:space="preserve">implementation of the </w:t>
      </w:r>
      <w:r w:rsidR="00B668E4">
        <w:rPr>
          <w:noProof/>
        </w:rPr>
        <w:t xml:space="preserve">EU </w:t>
      </w:r>
      <w:r w:rsidR="00F67445">
        <w:rPr>
          <w:noProof/>
        </w:rPr>
        <w:t>P</w:t>
      </w:r>
      <w:r w:rsidR="00420B6E" w:rsidRPr="00C217A3">
        <w:rPr>
          <w:noProof/>
        </w:rPr>
        <w:t>act</w:t>
      </w:r>
      <w:r w:rsidR="00B668E4">
        <w:rPr>
          <w:noProof/>
        </w:rPr>
        <w:t xml:space="preserve"> </w:t>
      </w:r>
      <w:r w:rsidR="006502A2">
        <w:rPr>
          <w:noProof/>
        </w:rPr>
        <w:t xml:space="preserve">on </w:t>
      </w:r>
      <w:r w:rsidR="00F67445">
        <w:rPr>
          <w:noProof/>
        </w:rPr>
        <w:t>M</w:t>
      </w:r>
      <w:r w:rsidR="006502A2">
        <w:rPr>
          <w:noProof/>
        </w:rPr>
        <w:t xml:space="preserve">igration and </w:t>
      </w:r>
      <w:r w:rsidR="00F67445">
        <w:rPr>
          <w:noProof/>
        </w:rPr>
        <w:t>A</w:t>
      </w:r>
      <w:r w:rsidR="006502A2">
        <w:rPr>
          <w:noProof/>
        </w:rPr>
        <w:t>sylum</w:t>
      </w:r>
      <w:r w:rsidR="00420B6E">
        <w:rPr>
          <w:rFonts w:cs="Calibri"/>
          <w:noProof/>
        </w:rPr>
        <w:t>.</w:t>
      </w:r>
      <w:r w:rsidR="002336A8">
        <w:rPr>
          <w:rFonts w:cs="Calibri"/>
        </w:rPr>
        <w:t xml:space="preserve"> </w:t>
      </w:r>
      <w:r w:rsidR="000D7749">
        <w:rPr>
          <w:noProof/>
        </w:rPr>
        <w:t>Funding for border management was also provided by the</w:t>
      </w:r>
      <w:r w:rsidR="004C4B94">
        <w:rPr>
          <w:noProof/>
        </w:rPr>
        <w:t xml:space="preserve"> Customs</w:t>
      </w:r>
      <w:r w:rsidR="004C4B94" w:rsidDel="004F72F5">
        <w:rPr>
          <w:noProof/>
        </w:rPr>
        <w:t xml:space="preserve"> </w:t>
      </w:r>
      <w:r w:rsidR="004C4B94">
        <w:rPr>
          <w:noProof/>
        </w:rPr>
        <w:t>programme</w:t>
      </w:r>
      <w:r w:rsidR="005F7843">
        <w:rPr>
          <w:noProof/>
        </w:rPr>
        <w:t>, which helped to kick</w:t>
      </w:r>
      <w:r w:rsidR="00AA73B3">
        <w:rPr>
          <w:noProof/>
        </w:rPr>
        <w:t xml:space="preserve"> </w:t>
      </w:r>
      <w:r w:rsidR="005F7843">
        <w:rPr>
          <w:noProof/>
        </w:rPr>
        <w:t>off the</w:t>
      </w:r>
      <w:r w:rsidR="00736CB4" w:rsidRPr="00736CB4">
        <w:rPr>
          <w:noProof/>
        </w:rPr>
        <w:t xml:space="preserve"> E</w:t>
      </w:r>
      <w:r w:rsidR="007C4EC0">
        <w:rPr>
          <w:noProof/>
        </w:rPr>
        <w:t xml:space="preserve">uropean </w:t>
      </w:r>
      <w:r w:rsidR="00736CB4" w:rsidRPr="00736CB4">
        <w:rPr>
          <w:noProof/>
        </w:rPr>
        <w:t>U</w:t>
      </w:r>
      <w:r w:rsidR="007C4EC0">
        <w:rPr>
          <w:noProof/>
        </w:rPr>
        <w:t>nion</w:t>
      </w:r>
      <w:r w:rsidR="00736CB4" w:rsidRPr="00736CB4">
        <w:rPr>
          <w:noProof/>
        </w:rPr>
        <w:t xml:space="preserve"> Customs Alliance for Borders expert team</w:t>
      </w:r>
      <w:r w:rsidR="005F7843">
        <w:rPr>
          <w:noProof/>
        </w:rPr>
        <w:t>,</w:t>
      </w:r>
      <w:r w:rsidR="00736CB4" w:rsidRPr="00736CB4">
        <w:rPr>
          <w:rFonts w:ascii="Arial" w:hAnsi="Arial" w:cs="Arial"/>
          <w:noProof/>
        </w:rPr>
        <w:t> </w:t>
      </w:r>
      <w:r w:rsidR="00736CB4" w:rsidRPr="00736CB4">
        <w:rPr>
          <w:noProof/>
        </w:rPr>
        <w:t xml:space="preserve">enhancing operational cooperation </w:t>
      </w:r>
      <w:r w:rsidR="00353AD6">
        <w:rPr>
          <w:noProof/>
        </w:rPr>
        <w:t>among</w:t>
      </w:r>
      <w:r w:rsidR="00736CB4" w:rsidRPr="00736CB4">
        <w:rPr>
          <w:noProof/>
        </w:rPr>
        <w:t xml:space="preserve"> Member State</w:t>
      </w:r>
      <w:r w:rsidR="00353AD6">
        <w:rPr>
          <w:noProof/>
        </w:rPr>
        <w:t xml:space="preserve"> customs authorities</w:t>
      </w:r>
      <w:r w:rsidR="00736CB4" w:rsidRPr="00736CB4">
        <w:rPr>
          <w:noProof/>
        </w:rPr>
        <w:t>.</w:t>
      </w:r>
      <w:r w:rsidR="003A11D9">
        <w:rPr>
          <w:noProof/>
        </w:rPr>
        <w:t xml:space="preserve"> </w:t>
      </w:r>
    </w:p>
    <w:p w14:paraId="22B92E2F" w14:textId="717ECB6B" w:rsidR="00A7635E" w:rsidRDefault="002649BD" w:rsidP="00A7635E">
      <w:pPr>
        <w:rPr>
          <w:noProof/>
        </w:rPr>
      </w:pPr>
      <w:r w:rsidRPr="00A61528">
        <w:rPr>
          <w:rStyle w:val="Bold"/>
        </w:rPr>
        <w:t xml:space="preserve">Moreover, the EU has been enhancing internal security by </w:t>
      </w:r>
      <w:r w:rsidR="000E42A6" w:rsidRPr="00A61528">
        <w:rPr>
          <w:rStyle w:val="Bold"/>
        </w:rPr>
        <w:t>investing in the security of submarine data cables.</w:t>
      </w:r>
      <w:r w:rsidR="000E42A6">
        <w:rPr>
          <w:noProof/>
        </w:rPr>
        <w:t xml:space="preserve"> These </w:t>
      </w:r>
      <w:r w:rsidR="00A7635E">
        <w:rPr>
          <w:noProof/>
        </w:rPr>
        <w:t xml:space="preserve">cables carry 99% of intercontinental internet traffic, making them essential for modern life and the European economy. In 2025, the Commission intesified efforts to increase the security and resilience of this critical infrastructure. In the </w:t>
      </w:r>
      <w:r w:rsidR="00A7635E" w:rsidRPr="006A3719">
        <w:t xml:space="preserve">EU </w:t>
      </w:r>
      <w:r w:rsidR="00030B7F">
        <w:t>a</w:t>
      </w:r>
      <w:r w:rsidR="00A7635E" w:rsidRPr="006A3719">
        <w:t xml:space="preserve">ction </w:t>
      </w:r>
      <w:r w:rsidR="00030B7F">
        <w:t>p</w:t>
      </w:r>
      <w:r w:rsidR="00A7635E" w:rsidRPr="006A3719">
        <w:t xml:space="preserve">lan on </w:t>
      </w:r>
      <w:r w:rsidR="00030B7F">
        <w:t>c</w:t>
      </w:r>
      <w:r w:rsidR="00A7635E" w:rsidRPr="006A3719">
        <w:t xml:space="preserve">able </w:t>
      </w:r>
      <w:r w:rsidR="00030B7F">
        <w:t>s</w:t>
      </w:r>
      <w:r w:rsidR="00A7635E" w:rsidRPr="006A3719">
        <w:t>ecurity</w:t>
      </w:r>
      <w:r w:rsidR="00A7635E">
        <w:rPr>
          <w:noProof/>
        </w:rPr>
        <w:t xml:space="preserve"> adopted in 2025, the EU set aside </w:t>
      </w:r>
      <w:r w:rsidR="00EB0E5C">
        <w:rPr>
          <w:noProof/>
        </w:rPr>
        <w:t>EUR</w:t>
      </w:r>
      <w:r w:rsidR="00EB0E5C">
        <w:rPr>
          <w:rFonts w:ascii="Calibri" w:hAnsi="Calibri" w:cs="Calibri"/>
          <w:noProof/>
        </w:rPr>
        <w:t> </w:t>
      </w:r>
      <w:r w:rsidR="00A7635E">
        <w:rPr>
          <w:noProof/>
        </w:rPr>
        <w:t>20</w:t>
      </w:r>
      <w:r w:rsidR="00EB0E5C">
        <w:rPr>
          <w:rFonts w:ascii="Calibri" w:hAnsi="Calibri" w:cs="Calibri"/>
          <w:noProof/>
        </w:rPr>
        <w:t> </w:t>
      </w:r>
      <w:r w:rsidR="00EB0E5C">
        <w:rPr>
          <w:noProof/>
        </w:rPr>
        <w:t>million</w:t>
      </w:r>
      <w:r w:rsidR="00A7635E">
        <w:rPr>
          <w:noProof/>
        </w:rPr>
        <w:t xml:space="preserve"> to strengthen the security of Europe’s submarine cables, via the </w:t>
      </w:r>
      <w:r w:rsidR="00E76AC0">
        <w:rPr>
          <w:noProof/>
        </w:rPr>
        <w:t>d</w:t>
      </w:r>
      <w:r w:rsidR="00A7635E">
        <w:rPr>
          <w:noProof/>
        </w:rPr>
        <w:t xml:space="preserve">igital Europe </w:t>
      </w:r>
      <w:r w:rsidR="00E76AC0">
        <w:rPr>
          <w:noProof/>
        </w:rPr>
        <w:t>p</w:t>
      </w:r>
      <w:r w:rsidR="00A7635E">
        <w:rPr>
          <w:noProof/>
        </w:rPr>
        <w:t xml:space="preserve">rogramme, to support the creation of regional cable hubs and stress-testing of the resilience of undersea cable infrastructure. </w:t>
      </w:r>
      <w:r w:rsidR="007E7377">
        <w:rPr>
          <w:noProof/>
        </w:rPr>
        <w:t xml:space="preserve">Moreover, under the Connecting Europe Facility, </w:t>
      </w:r>
      <w:r w:rsidR="00A7635E" w:rsidRPr="005F11BC">
        <w:rPr>
          <w:noProof/>
        </w:rPr>
        <w:t>25 projects</w:t>
      </w:r>
      <w:r w:rsidR="00B526F3">
        <w:rPr>
          <w:noProof/>
        </w:rPr>
        <w:t xml:space="preserve"> aimed at boosting the resilience and security of submarine cables </w:t>
      </w:r>
      <w:r w:rsidR="001F334F">
        <w:rPr>
          <w:noProof/>
        </w:rPr>
        <w:t xml:space="preserve">and key terrestrial connections </w:t>
      </w:r>
      <w:r w:rsidR="00B526F3">
        <w:rPr>
          <w:noProof/>
        </w:rPr>
        <w:t>were selected in 2025, totalling</w:t>
      </w:r>
      <w:r w:rsidR="00A7635E" w:rsidRPr="005F11BC">
        <w:rPr>
          <w:noProof/>
        </w:rPr>
        <w:t xml:space="preserve"> </w:t>
      </w:r>
      <w:r w:rsidR="00EB0E5C">
        <w:rPr>
          <w:noProof/>
        </w:rPr>
        <w:t>EUR</w:t>
      </w:r>
      <w:r w:rsidR="00EB0E5C">
        <w:rPr>
          <w:rFonts w:ascii="Calibri" w:hAnsi="Calibri" w:cs="Calibri"/>
          <w:noProof/>
        </w:rPr>
        <w:t> </w:t>
      </w:r>
      <w:r w:rsidR="00A7635E" w:rsidRPr="005F11BC">
        <w:rPr>
          <w:noProof/>
        </w:rPr>
        <w:t>186</w:t>
      </w:r>
      <w:r w:rsidR="00EB0E5C">
        <w:rPr>
          <w:rFonts w:ascii="Calibri" w:hAnsi="Calibri" w:cs="Calibri"/>
          <w:noProof/>
        </w:rPr>
        <w:t> </w:t>
      </w:r>
      <w:r w:rsidR="00EB0E5C">
        <w:rPr>
          <w:noProof/>
        </w:rPr>
        <w:t>million</w:t>
      </w:r>
      <w:r w:rsidR="0062398C">
        <w:rPr>
          <w:noProof/>
        </w:rPr>
        <w:t xml:space="preserve"> in </w:t>
      </w:r>
      <w:r w:rsidR="00A7635E" w:rsidRPr="005F11BC">
        <w:rPr>
          <w:noProof/>
        </w:rPr>
        <w:t>EU contribution</w:t>
      </w:r>
      <w:r w:rsidR="0062398C">
        <w:rPr>
          <w:noProof/>
        </w:rPr>
        <w:t>s</w:t>
      </w:r>
      <w:r w:rsidR="00A7635E" w:rsidRPr="005F11BC">
        <w:rPr>
          <w:noProof/>
        </w:rPr>
        <w:t xml:space="preserve">. </w:t>
      </w:r>
    </w:p>
    <w:p w14:paraId="4EF377FB" w14:textId="0F1B87B9" w:rsidR="000D7D9F" w:rsidRPr="00AE331F" w:rsidRDefault="000D7D9F" w:rsidP="00F11A93">
      <w:pPr>
        <w:rPr>
          <w:noProof/>
        </w:rPr>
      </w:pPr>
      <w:r w:rsidRPr="00E02B30">
        <w:rPr>
          <w:highlight w:val="lightGray"/>
        </w:rPr>
        <w:br w:type="page"/>
      </w:r>
    </w:p>
    <w:p w14:paraId="361561BB" w14:textId="63275B8C" w:rsidR="00A606BC" w:rsidRDefault="00E409B4" w:rsidP="00A606BC">
      <w:pPr>
        <w:pStyle w:val="Heading3"/>
        <w:rPr>
          <w:noProof/>
          <w:highlight w:val="lightGray"/>
        </w:rPr>
      </w:pPr>
      <w:r w:rsidRPr="00E409B4">
        <w:rPr>
          <w:noProof/>
        </w:rPr>
        <w:t>Supporting people, strengthening our societies and our social model</w:t>
      </w:r>
      <w:r w:rsidRPr="00E409B4">
        <w:rPr>
          <w:noProof/>
          <w:highlight w:val="lightGray"/>
        </w:rPr>
        <w:t xml:space="preserve"> </w:t>
      </w:r>
    </w:p>
    <w:p w14:paraId="6E8CA353" w14:textId="3E965254" w:rsidR="00E409B4" w:rsidRPr="003D3D80" w:rsidRDefault="00E20C9E" w:rsidP="00E409B4">
      <w:pPr>
        <w:pStyle w:val="amprquotetext"/>
        <w:rPr>
          <w:lang w:val="en-IE"/>
        </w:rPr>
      </w:pPr>
      <w:r>
        <w:t>Our economy must work for people and business alike. And if we modernise the business, the industry, and the workplace, we also have to modernise the labour market and the working conditions. Europe must deliver for all of its people</w:t>
      </w:r>
      <w:r w:rsidR="003D3D80" w:rsidRPr="001E3B51">
        <w:rPr>
          <w:rFonts w:ascii="EC Square Sans Pro" w:hAnsi="EC Square Sans Pro" w:cs="Calibri"/>
          <w:noProof/>
          <w:lang w:val="en-IE"/>
        </w:rPr>
        <w:t> </w:t>
      </w:r>
      <w:r w:rsidR="00B42D89" w:rsidRPr="006844D2">
        <w:rPr>
          <w:rFonts w:ascii="EC Square Sans Pro" w:hAnsi="EC Square Sans Pro"/>
          <w:i w:val="0"/>
          <w:lang w:val="en-IE"/>
        </w:rPr>
        <w:t>(</w:t>
      </w:r>
      <w:r w:rsidR="00B42D89" w:rsidRPr="00E02B30">
        <w:rPr>
          <w:rStyle w:val="FootnoteReference"/>
          <w:i w:val="0"/>
        </w:rPr>
        <w:footnoteReference w:id="32"/>
      </w:r>
      <w:r w:rsidR="00B42D89" w:rsidRPr="006844D2">
        <w:rPr>
          <w:rFonts w:ascii="EC Square Sans Pro" w:hAnsi="EC Square Sans Pro"/>
          <w:i w:val="0"/>
          <w:lang w:val="en-IE"/>
        </w:rPr>
        <w:t>)</w:t>
      </w:r>
      <w:r w:rsidR="00FB0FDF">
        <w:rPr>
          <w:rFonts w:ascii="EC Square Sans Pro" w:hAnsi="EC Square Sans Pro"/>
          <w:i w:val="0"/>
          <w:lang w:val="en-IE"/>
        </w:rPr>
        <w:t>.</w:t>
      </w:r>
    </w:p>
    <w:p w14:paraId="15377CAC" w14:textId="77777777" w:rsidR="00E409B4" w:rsidRPr="00E02B30" w:rsidRDefault="00E409B4" w:rsidP="00E409B4">
      <w:pPr>
        <w:pStyle w:val="amprquoteauthor"/>
        <w:rPr>
          <w:i w:val="0"/>
          <w:iCs w:val="0"/>
          <w:lang w:val="en-IE"/>
        </w:rPr>
      </w:pPr>
      <w:r w:rsidRPr="00E02B30">
        <w:rPr>
          <w:i w:val="0"/>
          <w:iCs w:val="0"/>
          <w:lang w:val="en-IE"/>
        </w:rPr>
        <w:t>Ursula von der Leyen</w:t>
      </w:r>
    </w:p>
    <w:p w14:paraId="0CB68810" w14:textId="77777777" w:rsidR="00E409B4" w:rsidRPr="00A606BC" w:rsidRDefault="00E409B4" w:rsidP="00E409B4">
      <w:pPr>
        <w:pStyle w:val="amprquoteauthortitle"/>
        <w:rPr>
          <w:rFonts w:ascii="EC Square Sans Pro" w:hAnsi="EC Square Sans Pro"/>
          <w:noProof/>
        </w:rPr>
      </w:pPr>
      <w:r w:rsidRPr="00A606BC">
        <w:rPr>
          <w:rFonts w:ascii="EC Square Sans Pro" w:hAnsi="EC Square Sans Pro"/>
          <w:noProof/>
        </w:rPr>
        <w:t>President of the European Commission</w:t>
      </w:r>
    </w:p>
    <w:p w14:paraId="541746B6" w14:textId="7EB714A4" w:rsidR="00521842" w:rsidRDefault="00521842" w:rsidP="00521842">
      <w:pPr>
        <w:pStyle w:val="Heading4"/>
        <w:rPr>
          <w:lang w:eastAsia="fr-BE"/>
        </w:rPr>
      </w:pPr>
      <w:r>
        <w:rPr>
          <w:lang w:eastAsia="fr-BE"/>
        </w:rPr>
        <w:t xml:space="preserve">Providing </w:t>
      </w:r>
      <w:r w:rsidR="003D49C5">
        <w:rPr>
          <w:lang w:eastAsia="fr-BE"/>
        </w:rPr>
        <w:t xml:space="preserve">clean and </w:t>
      </w:r>
      <w:r>
        <w:rPr>
          <w:lang w:eastAsia="fr-BE"/>
        </w:rPr>
        <w:t>affordable energy</w:t>
      </w:r>
    </w:p>
    <w:p w14:paraId="16C30EB0" w14:textId="635F160E" w:rsidR="00521842" w:rsidRDefault="00FA72D8" w:rsidP="000D7D9F">
      <w:pPr>
        <w:rPr>
          <w:noProof/>
        </w:rPr>
      </w:pPr>
      <w:r w:rsidRPr="00A61528">
        <w:rPr>
          <w:rStyle w:val="Bold"/>
        </w:rPr>
        <w:t>In 2025</w:t>
      </w:r>
      <w:r w:rsidR="00E64B12" w:rsidRPr="00A61528">
        <w:rPr>
          <w:rStyle w:val="Bold"/>
        </w:rPr>
        <w:t>,</w:t>
      </w:r>
      <w:r w:rsidRPr="00A61528">
        <w:rPr>
          <w:rStyle w:val="Bold"/>
        </w:rPr>
        <w:t xml:space="preserve"> the Commission took action aimed at providing immediate relief to consumers while </w:t>
      </w:r>
      <w:r w:rsidR="00526CE0" w:rsidRPr="00A61528">
        <w:rPr>
          <w:rStyle w:val="Bold"/>
        </w:rPr>
        <w:t>pursuing</w:t>
      </w:r>
      <w:r w:rsidRPr="00A61528">
        <w:rPr>
          <w:rStyle w:val="Bold"/>
        </w:rPr>
        <w:t xml:space="preserve"> a long-term transformation towards a decarbonised, competitive and secure energy system.</w:t>
      </w:r>
      <w:r w:rsidR="00ED0075">
        <w:rPr>
          <w:noProof/>
        </w:rPr>
        <w:t xml:space="preserve"> </w:t>
      </w:r>
      <w:r w:rsidR="008122BE">
        <w:rPr>
          <w:noProof/>
        </w:rPr>
        <w:t xml:space="preserve">In February, the Commission presented an </w:t>
      </w:r>
      <w:r w:rsidR="0025008E">
        <w:rPr>
          <w:noProof/>
        </w:rPr>
        <w:t>a</w:t>
      </w:r>
      <w:r w:rsidR="008122BE">
        <w:rPr>
          <w:noProof/>
        </w:rPr>
        <w:t xml:space="preserve">ction </w:t>
      </w:r>
      <w:r w:rsidR="0025008E">
        <w:rPr>
          <w:noProof/>
        </w:rPr>
        <w:t>p</w:t>
      </w:r>
      <w:r w:rsidR="008122BE">
        <w:rPr>
          <w:noProof/>
        </w:rPr>
        <w:t xml:space="preserve">lan for </w:t>
      </w:r>
      <w:r w:rsidR="0025008E">
        <w:rPr>
          <w:noProof/>
        </w:rPr>
        <w:t>a</w:t>
      </w:r>
      <w:r w:rsidR="008122BE">
        <w:rPr>
          <w:noProof/>
        </w:rPr>
        <w:t xml:space="preserve">ffordable </w:t>
      </w:r>
      <w:r w:rsidR="0025008E">
        <w:rPr>
          <w:noProof/>
        </w:rPr>
        <w:t>e</w:t>
      </w:r>
      <w:r w:rsidR="008122BE">
        <w:rPr>
          <w:noProof/>
        </w:rPr>
        <w:t>nergy</w:t>
      </w:r>
      <w:r w:rsidR="00B65810" w:rsidRPr="009C54C4">
        <w:rPr>
          <w:rFonts w:cs="Calibri"/>
          <w:noProof/>
        </w:rPr>
        <w:t> </w:t>
      </w:r>
      <w:r w:rsidR="00B65810" w:rsidRPr="00B65810">
        <w:rPr>
          <w:noProof/>
        </w:rPr>
        <w:t>(</w:t>
      </w:r>
      <w:r w:rsidR="00B65810">
        <w:rPr>
          <w:rStyle w:val="FootnoteReference"/>
          <w:noProof/>
        </w:rPr>
        <w:footnoteReference w:id="33"/>
      </w:r>
      <w:r w:rsidR="00B65810">
        <w:rPr>
          <w:noProof/>
        </w:rPr>
        <w:t>)</w:t>
      </w:r>
      <w:r w:rsidR="008122BE">
        <w:rPr>
          <w:noProof/>
        </w:rPr>
        <w:t xml:space="preserve">. The plan aims to provide relief to households facing high energy bills and to industries struggling with high production costs. Overall savings are projected at </w:t>
      </w:r>
      <w:r w:rsidR="00EB0E5C">
        <w:rPr>
          <w:noProof/>
        </w:rPr>
        <w:t>EUR</w:t>
      </w:r>
      <w:r w:rsidR="00EB0E5C">
        <w:rPr>
          <w:rFonts w:ascii="Calibri" w:hAnsi="Calibri" w:cs="Calibri"/>
          <w:noProof/>
        </w:rPr>
        <w:t> </w:t>
      </w:r>
      <w:r w:rsidR="008122BE">
        <w:rPr>
          <w:noProof/>
        </w:rPr>
        <w:t>45</w:t>
      </w:r>
      <w:r w:rsidR="00167E3A">
        <w:rPr>
          <w:rFonts w:ascii="Calibri" w:hAnsi="Calibri" w:cs="Calibri"/>
          <w:noProof/>
        </w:rPr>
        <w:t> </w:t>
      </w:r>
      <w:r w:rsidR="00167E3A">
        <w:rPr>
          <w:noProof/>
        </w:rPr>
        <w:t>billion</w:t>
      </w:r>
      <w:r w:rsidR="008122BE">
        <w:rPr>
          <w:noProof/>
        </w:rPr>
        <w:t xml:space="preserve"> in 2025, rising to </w:t>
      </w:r>
      <w:r w:rsidR="00EB0E5C">
        <w:rPr>
          <w:noProof/>
        </w:rPr>
        <w:t>EUR</w:t>
      </w:r>
      <w:r w:rsidR="00EB0E5C">
        <w:rPr>
          <w:rFonts w:ascii="Calibri" w:hAnsi="Calibri" w:cs="Calibri"/>
          <w:noProof/>
        </w:rPr>
        <w:t> </w:t>
      </w:r>
      <w:r w:rsidR="008122BE">
        <w:rPr>
          <w:noProof/>
        </w:rPr>
        <w:t>130</w:t>
      </w:r>
      <w:r w:rsidR="00167E3A">
        <w:rPr>
          <w:rFonts w:ascii="Calibri" w:hAnsi="Calibri" w:cs="Calibri"/>
          <w:noProof/>
        </w:rPr>
        <w:t> </w:t>
      </w:r>
      <w:r w:rsidR="00167E3A">
        <w:rPr>
          <w:noProof/>
        </w:rPr>
        <w:t>billion</w:t>
      </w:r>
      <w:r w:rsidR="008122BE">
        <w:rPr>
          <w:noProof/>
        </w:rPr>
        <w:t xml:space="preserve"> annually by 2030 and </w:t>
      </w:r>
      <w:r w:rsidR="00EB0E5C">
        <w:rPr>
          <w:noProof/>
        </w:rPr>
        <w:t>EUR</w:t>
      </w:r>
      <w:r w:rsidR="00EB0E5C">
        <w:rPr>
          <w:rFonts w:ascii="Calibri" w:hAnsi="Calibri" w:cs="Calibri"/>
          <w:noProof/>
        </w:rPr>
        <w:t> </w:t>
      </w:r>
      <w:r w:rsidR="008122BE">
        <w:rPr>
          <w:noProof/>
        </w:rPr>
        <w:t>260</w:t>
      </w:r>
      <w:r w:rsidR="00167E3A">
        <w:rPr>
          <w:rFonts w:ascii="Calibri" w:hAnsi="Calibri" w:cs="Calibri"/>
          <w:noProof/>
        </w:rPr>
        <w:t> </w:t>
      </w:r>
      <w:r w:rsidR="00167E3A">
        <w:rPr>
          <w:noProof/>
        </w:rPr>
        <w:t>billion</w:t>
      </w:r>
      <w:r w:rsidR="008122BE">
        <w:rPr>
          <w:noProof/>
        </w:rPr>
        <w:t xml:space="preserve"> by 2040.</w:t>
      </w:r>
    </w:p>
    <w:p w14:paraId="0FAF28AB" w14:textId="3948FC25" w:rsidR="00EF234D" w:rsidRPr="00EF234D" w:rsidRDefault="00EF234D" w:rsidP="000D7D9F">
      <w:pPr>
        <w:rPr>
          <w:lang w:val="en-IE"/>
        </w:rPr>
      </w:pPr>
      <w:r w:rsidRPr="00F40D9F">
        <w:rPr>
          <w:lang w:val="en-IE"/>
        </w:rPr>
        <w:t xml:space="preserve">In line with the Affordable Energy Action Plan, the cohesion policy </w:t>
      </w:r>
      <w:r w:rsidRPr="784F31A8">
        <w:rPr>
          <w:lang w:val="en-IE"/>
        </w:rPr>
        <w:t>mid-term</w:t>
      </w:r>
      <w:r w:rsidRPr="00F40D9F">
        <w:rPr>
          <w:lang w:val="en-IE"/>
        </w:rPr>
        <w:t xml:space="preserve"> review promoted</w:t>
      </w:r>
      <w:r w:rsidR="00923AFD">
        <w:rPr>
          <w:lang w:val="en-IE"/>
        </w:rPr>
        <w:t xml:space="preserve"> </w:t>
      </w:r>
      <w:r w:rsidRPr="00F35CE1">
        <w:rPr>
          <w:b/>
          <w:bCs/>
          <w:lang w:val="en-IE"/>
        </w:rPr>
        <w:t>a new priority on energy transition</w:t>
      </w:r>
      <w:r w:rsidRPr="00F40D9F">
        <w:rPr>
          <w:lang w:val="en-IE"/>
        </w:rPr>
        <w:t xml:space="preserve">, which aimed at untapping the many bottlenecks in our grid infrastructure and helped completing the Energy Union. </w:t>
      </w:r>
      <w:r w:rsidR="00D346EB" w:rsidRPr="00087BB2">
        <w:rPr>
          <w:lang w:val="en-IE"/>
        </w:rPr>
        <w:t>About</w:t>
      </w:r>
      <w:r w:rsidRPr="00087BB2" w:rsidDel="00D346EB">
        <w:rPr>
          <w:lang w:val="en-IE"/>
        </w:rPr>
        <w:t xml:space="preserve"> </w:t>
      </w:r>
      <w:r w:rsidRPr="00087BB2">
        <w:rPr>
          <w:rStyle w:val="Bold"/>
          <w:b w:val="0"/>
        </w:rPr>
        <w:t>EUR</w:t>
      </w:r>
      <w:r w:rsidR="009712F1" w:rsidRPr="00087BB2">
        <w:rPr>
          <w:rStyle w:val="Bold"/>
          <w:rFonts w:ascii="Calibri" w:hAnsi="Calibri" w:cs="Calibri"/>
          <w:b w:val="0"/>
          <w:bCs/>
        </w:rPr>
        <w:t> </w:t>
      </w:r>
      <w:r w:rsidRPr="00087BB2">
        <w:rPr>
          <w:rStyle w:val="Bold"/>
          <w:b w:val="0"/>
        </w:rPr>
        <w:t>1.</w:t>
      </w:r>
      <w:r w:rsidR="009712F1" w:rsidRPr="00087BB2">
        <w:rPr>
          <w:rStyle w:val="Bold"/>
          <w:b w:val="0"/>
          <w:bCs/>
        </w:rPr>
        <w:t>2</w:t>
      </w:r>
      <w:r w:rsidR="009712F1" w:rsidRPr="00087BB2">
        <w:rPr>
          <w:rStyle w:val="Bold"/>
          <w:rFonts w:ascii="Calibri" w:hAnsi="Calibri" w:cs="Calibri"/>
          <w:b w:val="0"/>
          <w:bCs/>
        </w:rPr>
        <w:t> </w:t>
      </w:r>
      <w:r w:rsidRPr="00087BB2">
        <w:rPr>
          <w:rStyle w:val="Bold"/>
          <w:b w:val="0"/>
        </w:rPr>
        <w:t>billion</w:t>
      </w:r>
      <w:r w:rsidRPr="00087BB2">
        <w:rPr>
          <w:rStyle w:val="Bold"/>
        </w:rPr>
        <w:t xml:space="preserve"> </w:t>
      </w:r>
      <w:r w:rsidRPr="00087BB2">
        <w:rPr>
          <w:lang w:val="en-IE"/>
        </w:rPr>
        <w:t>ha</w:t>
      </w:r>
      <w:r w:rsidR="00A64B1C" w:rsidRPr="00087BB2">
        <w:rPr>
          <w:lang w:val="en-IE"/>
        </w:rPr>
        <w:t>s</w:t>
      </w:r>
      <w:r w:rsidRPr="00087BB2">
        <w:rPr>
          <w:lang w:val="en-IE"/>
        </w:rPr>
        <w:t xml:space="preserve"> been reallocated to this new priority</w:t>
      </w:r>
      <w:r w:rsidR="00D346EB">
        <w:rPr>
          <w:lang w:val="en-IE"/>
        </w:rPr>
        <w:t xml:space="preserve"> </w:t>
      </w:r>
      <w:r w:rsidR="001A2AE6">
        <w:rPr>
          <w:lang w:val="en-IE"/>
        </w:rPr>
        <w:t>for the period until 2027</w:t>
      </w:r>
      <w:r w:rsidRPr="00F40D9F">
        <w:rPr>
          <w:lang w:val="en-IE"/>
        </w:rPr>
        <w:t>. Moreover, cohesion policy supported the</w:t>
      </w:r>
      <w:r w:rsidRPr="00F40D9F">
        <w:rPr>
          <w:rFonts w:ascii="Calibri" w:hAnsi="Calibri" w:cs="Calibri"/>
          <w:lang w:val="en-IE"/>
        </w:rPr>
        <w:t> </w:t>
      </w:r>
      <w:r w:rsidRPr="00F35CE1">
        <w:rPr>
          <w:b/>
          <w:bCs/>
          <w:lang w:val="en-IE"/>
        </w:rPr>
        <w:t>circular economy</w:t>
      </w:r>
      <w:r w:rsidRPr="00F35CE1">
        <w:rPr>
          <w:lang w:val="en-IE"/>
        </w:rPr>
        <w:t xml:space="preserve"> </w:t>
      </w:r>
      <w:r w:rsidRPr="00F40D9F">
        <w:rPr>
          <w:lang w:val="en-IE"/>
        </w:rPr>
        <w:t>by investing in regional and local waste management systems towards circularity (prevention, reuse, recycl</w:t>
      </w:r>
      <w:r>
        <w:rPr>
          <w:lang w:val="en-IE"/>
        </w:rPr>
        <w:t>ing</w:t>
      </w:r>
      <w:r w:rsidRPr="00F40D9F">
        <w:rPr>
          <w:lang w:val="en-IE"/>
        </w:rPr>
        <w:t>),</w:t>
      </w:r>
      <w:r w:rsidRPr="00F40D9F">
        <w:rPr>
          <w:rFonts w:ascii="Calibri" w:hAnsi="Calibri" w:cs="Calibri"/>
          <w:lang w:val="en-IE"/>
        </w:rPr>
        <w:t> </w:t>
      </w:r>
      <w:r w:rsidRPr="00F40D9F">
        <w:rPr>
          <w:lang w:val="en-IE"/>
        </w:rPr>
        <w:t>thus</w:t>
      </w:r>
      <w:r w:rsidRPr="784F31A8">
        <w:rPr>
          <w:b/>
          <w:bCs/>
          <w:lang w:val="en-IE"/>
        </w:rPr>
        <w:t xml:space="preserve"> </w:t>
      </w:r>
      <w:r w:rsidRPr="00F35CE1">
        <w:rPr>
          <w:b/>
          <w:bCs/>
          <w:lang w:val="en-IE"/>
        </w:rPr>
        <w:t>reducing external dependencies</w:t>
      </w:r>
      <w:r w:rsidRPr="00F35CE1">
        <w:rPr>
          <w:lang w:val="en-IE"/>
        </w:rPr>
        <w:t xml:space="preserve"> </w:t>
      </w:r>
      <w:r w:rsidRPr="00F40D9F">
        <w:rPr>
          <w:lang w:val="en-IE"/>
        </w:rPr>
        <w:t>on recyclable materials</w:t>
      </w:r>
      <w:r w:rsidRPr="007B5D43">
        <w:rPr>
          <w:rFonts w:ascii="Calibri" w:hAnsi="Calibri" w:cs="Calibri"/>
          <w:lang w:val="en-IE"/>
        </w:rPr>
        <w:t>.</w:t>
      </w:r>
    </w:p>
    <w:p w14:paraId="08BBEE58" w14:textId="32689BF5" w:rsidR="00D02710" w:rsidRDefault="00D02710" w:rsidP="00D02710">
      <w:pPr>
        <w:rPr>
          <w:noProof/>
        </w:rPr>
      </w:pPr>
      <w:r w:rsidRPr="00A40D9A">
        <w:rPr>
          <w:rStyle w:val="Bold"/>
        </w:rPr>
        <w:t xml:space="preserve">In 2025, the Commission awarded approximately </w:t>
      </w:r>
      <w:r w:rsidR="00EB0E5C">
        <w:rPr>
          <w:rStyle w:val="Bold"/>
        </w:rPr>
        <w:t>EUR</w:t>
      </w:r>
      <w:r w:rsidR="00EB0E5C">
        <w:rPr>
          <w:rStyle w:val="Bold"/>
          <w:rFonts w:ascii="Calibri" w:hAnsi="Calibri" w:cs="Calibri"/>
        </w:rPr>
        <w:t> </w:t>
      </w:r>
      <w:r w:rsidRPr="00A40D9A">
        <w:rPr>
          <w:rStyle w:val="Bold"/>
        </w:rPr>
        <w:t>650</w:t>
      </w:r>
      <w:r w:rsidR="00EB0E5C">
        <w:rPr>
          <w:rStyle w:val="Bold"/>
          <w:rFonts w:ascii="Calibri" w:hAnsi="Calibri" w:cs="Calibri"/>
        </w:rPr>
        <w:t> </w:t>
      </w:r>
      <w:r w:rsidR="00EB0E5C">
        <w:rPr>
          <w:rStyle w:val="Bold"/>
        </w:rPr>
        <w:t>million</w:t>
      </w:r>
      <w:r w:rsidRPr="00A40D9A">
        <w:rPr>
          <w:rStyle w:val="Bold"/>
        </w:rPr>
        <w:t xml:space="preserve"> to 14 cross-border energy infrastructure projects under the Connecting Europe Facility</w:t>
      </w:r>
      <w:r w:rsidR="004A3CE8">
        <w:rPr>
          <w:rStyle w:val="Bold"/>
        </w:rPr>
        <w:t>’s</w:t>
      </w:r>
      <w:r w:rsidRPr="00A40D9A">
        <w:rPr>
          <w:rStyle w:val="Bold"/>
        </w:rPr>
        <w:t xml:space="preserve"> </w:t>
      </w:r>
      <w:r w:rsidR="00521E9D">
        <w:rPr>
          <w:rStyle w:val="Bold"/>
        </w:rPr>
        <w:t>e</w:t>
      </w:r>
      <w:r w:rsidRPr="00A40D9A">
        <w:rPr>
          <w:rStyle w:val="Bold"/>
        </w:rPr>
        <w:t>nergy strand.</w:t>
      </w:r>
      <w:r w:rsidRPr="008F56D5">
        <w:rPr>
          <w:noProof/>
        </w:rPr>
        <w:t xml:space="preserve"> Among the projects selected for funding, </w:t>
      </w:r>
      <w:r w:rsidR="00422FFA">
        <w:rPr>
          <w:noProof/>
        </w:rPr>
        <w:t>six</w:t>
      </w:r>
      <w:r w:rsidRPr="008F56D5">
        <w:rPr>
          <w:noProof/>
        </w:rPr>
        <w:t xml:space="preserve"> are related to electricity infrastructure</w:t>
      </w:r>
      <w:r w:rsidR="00521E9D">
        <w:rPr>
          <w:noProof/>
        </w:rPr>
        <w:t>,</w:t>
      </w:r>
      <w:r w:rsidRPr="008F56D5">
        <w:rPr>
          <w:noProof/>
        </w:rPr>
        <w:t xml:space="preserve"> including smart electricity grids</w:t>
      </w:r>
      <w:r w:rsidR="00521E9D">
        <w:rPr>
          <w:noProof/>
        </w:rPr>
        <w:t>,</w:t>
      </w:r>
      <w:r w:rsidRPr="008F56D5">
        <w:rPr>
          <w:noProof/>
        </w:rPr>
        <w:t xml:space="preserve"> and </w:t>
      </w:r>
      <w:r w:rsidR="00422FFA">
        <w:rPr>
          <w:noProof/>
        </w:rPr>
        <w:t>eight</w:t>
      </w:r>
      <w:r w:rsidRPr="008F56D5">
        <w:rPr>
          <w:noProof/>
        </w:rPr>
        <w:t xml:space="preserve"> are hydrogen infrastructure investments.</w:t>
      </w:r>
      <w:r>
        <w:rPr>
          <w:noProof/>
        </w:rPr>
        <w:t xml:space="preserve"> The </w:t>
      </w:r>
      <w:r w:rsidR="004A3CE8" w:rsidRPr="00EE3E9D">
        <w:rPr>
          <w:rStyle w:val="Bold"/>
          <w:b w:val="0"/>
          <w:bCs/>
        </w:rPr>
        <w:t>Connecting Europe Facility</w:t>
      </w:r>
      <w:r w:rsidR="004A3CE8" w:rsidRPr="008F56D5" w:rsidDel="004A3CE8">
        <w:rPr>
          <w:noProof/>
        </w:rPr>
        <w:t xml:space="preserve"> </w:t>
      </w:r>
      <w:r>
        <w:rPr>
          <w:noProof/>
        </w:rPr>
        <w:t>also</w:t>
      </w:r>
      <w:r w:rsidRPr="008F56D5">
        <w:rPr>
          <w:noProof/>
        </w:rPr>
        <w:t xml:space="preserve"> provided the first grant for works for a hydrogen project</w:t>
      </w:r>
      <w:r>
        <w:rPr>
          <w:noProof/>
        </w:rPr>
        <w:t>.</w:t>
      </w:r>
      <w:r w:rsidRPr="008F56D5">
        <w:rPr>
          <w:noProof/>
        </w:rPr>
        <w:t xml:space="preserve"> </w:t>
      </w:r>
    </w:p>
    <w:p w14:paraId="407AB445" w14:textId="51CFC38C" w:rsidR="00D02710" w:rsidRDefault="00D02710" w:rsidP="00D02710">
      <w:pPr>
        <w:rPr>
          <w:noProof/>
        </w:rPr>
      </w:pPr>
      <w:r w:rsidRPr="00F11A93">
        <w:rPr>
          <w:rStyle w:val="Bold"/>
        </w:rPr>
        <w:t xml:space="preserve">In July, the Commission and the European Investment Bank disbursed </w:t>
      </w:r>
      <w:r w:rsidR="00EB0E5C" w:rsidRPr="00F11A93">
        <w:rPr>
          <w:rStyle w:val="Bold"/>
        </w:rPr>
        <w:t>EUR</w:t>
      </w:r>
      <w:r w:rsidR="00EB0E5C" w:rsidRPr="00F11A93">
        <w:rPr>
          <w:rStyle w:val="Bold"/>
          <w:rFonts w:ascii="Calibri" w:hAnsi="Calibri" w:cs="Calibri"/>
        </w:rPr>
        <w:t> </w:t>
      </w:r>
      <w:r w:rsidRPr="00F11A93">
        <w:rPr>
          <w:rStyle w:val="Bold"/>
        </w:rPr>
        <w:t>3.66</w:t>
      </w:r>
      <w:r w:rsidR="00167E3A" w:rsidRPr="00F11A93">
        <w:rPr>
          <w:rStyle w:val="Bold"/>
          <w:rFonts w:ascii="Calibri" w:hAnsi="Calibri" w:cs="Calibri"/>
        </w:rPr>
        <w:t> </w:t>
      </w:r>
      <w:r w:rsidR="00167E3A" w:rsidRPr="00F11A93">
        <w:rPr>
          <w:rStyle w:val="Bold"/>
        </w:rPr>
        <w:t>billion</w:t>
      </w:r>
      <w:r w:rsidRPr="00F11A93">
        <w:rPr>
          <w:rStyle w:val="Bold"/>
        </w:rPr>
        <w:t xml:space="preserve"> from the Modernisation Fund to support 34 clean energy projects</w:t>
      </w:r>
      <w:r w:rsidRPr="00EE3E9D">
        <w:rPr>
          <w:rStyle w:val="Bold"/>
        </w:rPr>
        <w:t>.</w:t>
      </w:r>
      <w:r>
        <w:rPr>
          <w:noProof/>
        </w:rPr>
        <w:t xml:space="preserve"> </w:t>
      </w:r>
      <w:r w:rsidR="001457D9">
        <w:rPr>
          <w:noProof/>
        </w:rPr>
        <w:t>In September, t</w:t>
      </w:r>
      <w:r>
        <w:rPr>
          <w:noProof/>
        </w:rPr>
        <w:t xml:space="preserve">hey also launched the Energy Efficiency </w:t>
      </w:r>
      <w:r w:rsidR="00DC6EF6">
        <w:rPr>
          <w:noProof/>
        </w:rPr>
        <w:t>for</w:t>
      </w:r>
      <w:r>
        <w:rPr>
          <w:noProof/>
        </w:rPr>
        <w:t xml:space="preserve"> SMEs </w:t>
      </w:r>
      <w:r w:rsidR="001457D9">
        <w:rPr>
          <w:noProof/>
        </w:rPr>
        <w:t>I</w:t>
      </w:r>
      <w:r>
        <w:rPr>
          <w:noProof/>
        </w:rPr>
        <w:t xml:space="preserve">nitiative, a </w:t>
      </w:r>
      <w:r w:rsidR="00EB0E5C">
        <w:rPr>
          <w:noProof/>
        </w:rPr>
        <w:t>EUR</w:t>
      </w:r>
      <w:r w:rsidR="00EB0E5C">
        <w:rPr>
          <w:rFonts w:ascii="Calibri" w:hAnsi="Calibri" w:cs="Calibri"/>
          <w:noProof/>
        </w:rPr>
        <w:t> </w:t>
      </w:r>
      <w:r>
        <w:rPr>
          <w:noProof/>
        </w:rPr>
        <w:t>17.5</w:t>
      </w:r>
      <w:r w:rsidR="00167E3A">
        <w:rPr>
          <w:rFonts w:ascii="Calibri" w:hAnsi="Calibri" w:cs="Calibri"/>
          <w:noProof/>
        </w:rPr>
        <w:t> </w:t>
      </w:r>
      <w:r w:rsidR="00167E3A">
        <w:rPr>
          <w:noProof/>
        </w:rPr>
        <w:t>billion</w:t>
      </w:r>
      <w:r>
        <w:rPr>
          <w:noProof/>
        </w:rPr>
        <w:t xml:space="preserve"> financing programme expected to help more than 350</w:t>
      </w:r>
      <w:r w:rsidR="00EA5499">
        <w:rPr>
          <w:rFonts w:ascii="Calibri" w:hAnsi="Calibri" w:cs="Calibri"/>
          <w:noProof/>
        </w:rPr>
        <w:t> </w:t>
      </w:r>
      <w:r>
        <w:rPr>
          <w:noProof/>
        </w:rPr>
        <w:t>000 companies reduce their energy consumption.</w:t>
      </w:r>
    </w:p>
    <w:p w14:paraId="69827F7B" w14:textId="492BD5D7" w:rsidR="00F1411E" w:rsidRDefault="00E70A81" w:rsidP="00F1411E">
      <w:pPr>
        <w:rPr>
          <w:noProof/>
          <w:highlight w:val="lightGray"/>
        </w:rPr>
      </w:pPr>
      <w:r w:rsidRPr="00A40D9A">
        <w:rPr>
          <w:rStyle w:val="Bold"/>
        </w:rPr>
        <w:t>I</w:t>
      </w:r>
      <w:r w:rsidR="00CF226D" w:rsidRPr="00A40D9A">
        <w:rPr>
          <w:rStyle w:val="Bold"/>
        </w:rPr>
        <w:t>n</w:t>
      </w:r>
      <w:r w:rsidR="00F1411E" w:rsidRPr="00A40D9A">
        <w:rPr>
          <w:rStyle w:val="Bold"/>
        </w:rPr>
        <w:t xml:space="preserve"> February</w:t>
      </w:r>
      <w:r w:rsidRPr="00A40D9A">
        <w:rPr>
          <w:rStyle w:val="Bold"/>
        </w:rPr>
        <w:t xml:space="preserve"> 2025</w:t>
      </w:r>
      <w:r w:rsidR="00F1411E" w:rsidRPr="00A40D9A">
        <w:rPr>
          <w:rStyle w:val="Bold"/>
        </w:rPr>
        <w:t>, Estonia, Latvia and Lithuania synchronised their electricity grids with the Continental Europe Network</w:t>
      </w:r>
      <w:r w:rsidR="00F1411E">
        <w:rPr>
          <w:noProof/>
        </w:rPr>
        <w:t>, in cooperation with Poland</w:t>
      </w:r>
      <w:r>
        <w:rPr>
          <w:noProof/>
        </w:rPr>
        <w:t>. This</w:t>
      </w:r>
      <w:r w:rsidR="009075D5">
        <w:rPr>
          <w:noProof/>
        </w:rPr>
        <w:t xml:space="preserve"> marks the full integration of the Baltic states into the EU energy market, ending dependence on Belarusian and Russian systems</w:t>
      </w:r>
      <w:r w:rsidR="00F1411E">
        <w:rPr>
          <w:noProof/>
        </w:rPr>
        <w:t>. This</w:t>
      </w:r>
      <w:r w:rsidR="00F555C0">
        <w:rPr>
          <w:noProof/>
        </w:rPr>
        <w:t xml:space="preserve"> flagship project of the Connecting </w:t>
      </w:r>
      <w:r w:rsidR="00402B6E">
        <w:rPr>
          <w:noProof/>
        </w:rPr>
        <w:t>Europe Facility for E</w:t>
      </w:r>
      <w:r w:rsidR="007A7593">
        <w:rPr>
          <w:noProof/>
        </w:rPr>
        <w:t>n</w:t>
      </w:r>
      <w:r w:rsidR="00402B6E">
        <w:rPr>
          <w:noProof/>
        </w:rPr>
        <w:t>ergy</w:t>
      </w:r>
      <w:r w:rsidR="003D1BB5">
        <w:rPr>
          <w:noProof/>
        </w:rPr>
        <w:t>, s</w:t>
      </w:r>
      <w:r w:rsidR="007E6DBD">
        <w:rPr>
          <w:noProof/>
        </w:rPr>
        <w:t>t</w:t>
      </w:r>
      <w:r w:rsidR="003D1BB5">
        <w:rPr>
          <w:noProof/>
        </w:rPr>
        <w:t xml:space="preserve">arted in </w:t>
      </w:r>
      <w:r w:rsidR="00641A62">
        <w:rPr>
          <w:noProof/>
        </w:rPr>
        <w:t>2014</w:t>
      </w:r>
      <w:r w:rsidR="003D1BB5">
        <w:rPr>
          <w:noProof/>
        </w:rPr>
        <w:t xml:space="preserve">, received </w:t>
      </w:r>
      <w:r w:rsidR="00F1411E">
        <w:rPr>
          <w:noProof/>
        </w:rPr>
        <w:t xml:space="preserve">more than </w:t>
      </w:r>
      <w:r w:rsidR="00EB0E5C">
        <w:rPr>
          <w:noProof/>
        </w:rPr>
        <w:t>EUR</w:t>
      </w:r>
      <w:r w:rsidR="00EB0E5C">
        <w:rPr>
          <w:rFonts w:ascii="Calibri" w:hAnsi="Calibri" w:cs="Calibri"/>
          <w:noProof/>
        </w:rPr>
        <w:t> </w:t>
      </w:r>
      <w:r w:rsidR="00F1411E">
        <w:rPr>
          <w:noProof/>
        </w:rPr>
        <w:t>1.</w:t>
      </w:r>
      <w:r w:rsidR="00D83720">
        <w:rPr>
          <w:noProof/>
        </w:rPr>
        <w:t>2</w:t>
      </w:r>
      <w:r w:rsidR="00167E3A">
        <w:rPr>
          <w:rFonts w:ascii="Calibri" w:hAnsi="Calibri" w:cs="Calibri"/>
          <w:noProof/>
        </w:rPr>
        <w:t> </w:t>
      </w:r>
      <w:r w:rsidR="00167E3A">
        <w:rPr>
          <w:noProof/>
        </w:rPr>
        <w:t>billion</w:t>
      </w:r>
      <w:r w:rsidR="003D1BB5">
        <w:rPr>
          <w:noProof/>
        </w:rPr>
        <w:t xml:space="preserve"> in funding</w:t>
      </w:r>
      <w:r w:rsidR="00F1411E">
        <w:rPr>
          <w:noProof/>
        </w:rPr>
        <w:t>, representing 75% of investment costs</w:t>
      </w:r>
      <w:r w:rsidR="00402B6E" w:rsidRPr="007A7593">
        <w:rPr>
          <w:rFonts w:cs="Calibri"/>
        </w:rPr>
        <w:t> </w:t>
      </w:r>
      <w:r w:rsidR="00402B6E" w:rsidRPr="00402B6E">
        <w:rPr>
          <w:noProof/>
        </w:rPr>
        <w:t>(</w:t>
      </w:r>
      <w:r w:rsidR="00402B6E">
        <w:rPr>
          <w:rStyle w:val="FootnoteReference"/>
          <w:noProof/>
        </w:rPr>
        <w:footnoteReference w:id="34"/>
      </w:r>
      <w:r w:rsidR="00402B6E">
        <w:rPr>
          <w:noProof/>
        </w:rPr>
        <w:t>)</w:t>
      </w:r>
      <w:r w:rsidR="00F26D5F">
        <w:rPr>
          <w:noProof/>
        </w:rPr>
        <w:t>.</w:t>
      </w:r>
    </w:p>
    <w:p w14:paraId="30249ACA" w14:textId="60CCE142" w:rsidR="005401AC" w:rsidRDefault="005401AC" w:rsidP="000D7D9F">
      <w:pPr>
        <w:rPr>
          <w:noProof/>
        </w:rPr>
      </w:pPr>
      <w:r w:rsidRPr="00F11A93">
        <w:rPr>
          <w:rStyle w:val="Bold"/>
        </w:rPr>
        <w:t>The EU has also been supporting clean energy via the L</w:t>
      </w:r>
      <w:r w:rsidR="000820D7" w:rsidRPr="00F11A93">
        <w:rPr>
          <w:rStyle w:val="Bold"/>
        </w:rPr>
        <w:t>IFE</w:t>
      </w:r>
      <w:r w:rsidRPr="00F11A93">
        <w:rPr>
          <w:rStyle w:val="Bold"/>
        </w:rPr>
        <w:t xml:space="preserve"> programme</w:t>
      </w:r>
      <w:r w:rsidRPr="00EE3E9D">
        <w:rPr>
          <w:rStyle w:val="Bold"/>
        </w:rPr>
        <w:t>.</w:t>
      </w:r>
      <w:r>
        <w:rPr>
          <w:noProof/>
        </w:rPr>
        <w:t xml:space="preserve"> </w:t>
      </w:r>
      <w:r w:rsidR="00C02F6B">
        <w:rPr>
          <w:noProof/>
        </w:rPr>
        <w:t>Since</w:t>
      </w:r>
      <w:r w:rsidR="00C02F6B" w:rsidRPr="006D0630">
        <w:rPr>
          <w:noProof/>
        </w:rPr>
        <w:t xml:space="preserve"> its inception in 2021</w:t>
      </w:r>
      <w:r w:rsidR="00C02F6B">
        <w:rPr>
          <w:noProof/>
        </w:rPr>
        <w:t xml:space="preserve">, </w:t>
      </w:r>
      <w:r w:rsidR="006D0630" w:rsidRPr="006D0630">
        <w:rPr>
          <w:noProof/>
        </w:rPr>
        <w:t xml:space="preserve">LIFE’s </w:t>
      </w:r>
      <w:r w:rsidR="00FD5BFF">
        <w:rPr>
          <w:noProof/>
        </w:rPr>
        <w:t>c</w:t>
      </w:r>
      <w:r w:rsidR="006D0630" w:rsidRPr="006D0630">
        <w:rPr>
          <w:noProof/>
        </w:rPr>
        <w:t xml:space="preserve">lean </w:t>
      </w:r>
      <w:r w:rsidR="00FD5BFF">
        <w:rPr>
          <w:noProof/>
        </w:rPr>
        <w:t>e</w:t>
      </w:r>
      <w:r w:rsidR="006D0630" w:rsidRPr="006D0630">
        <w:rPr>
          <w:noProof/>
        </w:rPr>
        <w:t xml:space="preserve">nergy </w:t>
      </w:r>
      <w:r w:rsidR="00FD5BFF">
        <w:rPr>
          <w:noProof/>
        </w:rPr>
        <w:t>t</w:t>
      </w:r>
      <w:r w:rsidR="006D0630" w:rsidRPr="006D0630">
        <w:rPr>
          <w:noProof/>
        </w:rPr>
        <w:t xml:space="preserve">ransition </w:t>
      </w:r>
      <w:r w:rsidR="0027384B">
        <w:rPr>
          <w:noProof/>
        </w:rPr>
        <w:t>has</w:t>
      </w:r>
      <w:r w:rsidR="006D0630" w:rsidRPr="006D0630">
        <w:rPr>
          <w:noProof/>
        </w:rPr>
        <w:t xml:space="preserve"> funded 267 projects, with a total EU contribution of </w:t>
      </w:r>
      <w:r w:rsidR="00EB0E5C">
        <w:rPr>
          <w:noProof/>
        </w:rPr>
        <w:t>EUR</w:t>
      </w:r>
      <w:r w:rsidR="00EB0E5C">
        <w:rPr>
          <w:rFonts w:ascii="Calibri" w:hAnsi="Calibri" w:cs="Calibri"/>
          <w:noProof/>
        </w:rPr>
        <w:t> </w:t>
      </w:r>
      <w:r w:rsidR="006D0630" w:rsidRPr="006D0630">
        <w:rPr>
          <w:noProof/>
        </w:rPr>
        <w:t>427</w:t>
      </w:r>
      <w:r w:rsidR="00EB0E5C">
        <w:rPr>
          <w:rFonts w:ascii="Calibri" w:hAnsi="Calibri" w:cs="Calibri"/>
          <w:noProof/>
        </w:rPr>
        <w:t> </w:t>
      </w:r>
      <w:r w:rsidR="00EB0E5C">
        <w:rPr>
          <w:noProof/>
        </w:rPr>
        <w:t>million</w:t>
      </w:r>
      <w:r w:rsidR="006D0630" w:rsidRPr="006D0630">
        <w:rPr>
          <w:noProof/>
        </w:rPr>
        <w:t xml:space="preserve"> addressing capacity building, investment mobilisation and market uptake to support the clean energy transition.</w:t>
      </w:r>
      <w:r w:rsidR="0027384B">
        <w:rPr>
          <w:noProof/>
        </w:rPr>
        <w:t xml:space="preserve"> </w:t>
      </w:r>
      <w:r w:rsidR="00637FDE">
        <w:rPr>
          <w:noProof/>
        </w:rPr>
        <w:t>Projects include</w:t>
      </w:r>
      <w:r w:rsidR="002C4BE7">
        <w:rPr>
          <w:noProof/>
        </w:rPr>
        <w:t>, among other things,</w:t>
      </w:r>
      <w:r w:rsidR="00637FDE">
        <w:rPr>
          <w:noProof/>
        </w:rPr>
        <w:t xml:space="preserve"> research into </w:t>
      </w:r>
      <w:r w:rsidR="002C4BE7">
        <w:rPr>
          <w:noProof/>
        </w:rPr>
        <w:t>standardised heat pump solutions for the food industry</w:t>
      </w:r>
      <w:r w:rsidR="000034BE">
        <w:rPr>
          <w:noProof/>
        </w:rPr>
        <w:t xml:space="preserve"> and on the</w:t>
      </w:r>
      <w:r w:rsidR="002C4BE7">
        <w:rPr>
          <w:noProof/>
        </w:rPr>
        <w:t xml:space="preserve"> use of low temperature renewables and waste heat for district heating</w:t>
      </w:r>
      <w:r w:rsidR="00DB29BF">
        <w:rPr>
          <w:noProof/>
        </w:rPr>
        <w:t>.</w:t>
      </w:r>
    </w:p>
    <w:p w14:paraId="4BB83FAE" w14:textId="0EA83CE6" w:rsidR="0080728C" w:rsidRDefault="0080728C" w:rsidP="0080728C">
      <w:pPr>
        <w:pStyle w:val="Heading4"/>
        <w:rPr>
          <w:lang w:eastAsia="fr-BE"/>
        </w:rPr>
      </w:pPr>
      <w:r>
        <w:rPr>
          <w:lang w:eastAsia="fr-BE"/>
        </w:rPr>
        <w:t>Investing in people</w:t>
      </w:r>
    </w:p>
    <w:p w14:paraId="53F3CCBE" w14:textId="7AC112F2" w:rsidR="005E3E56" w:rsidRDefault="0080728C" w:rsidP="005E3E56">
      <w:pPr>
        <w:rPr>
          <w:noProof/>
        </w:rPr>
      </w:pPr>
      <w:r w:rsidRPr="00F11A93">
        <w:rPr>
          <w:rStyle w:val="Bold"/>
        </w:rPr>
        <w:t>Between 2021 and 2027</w:t>
      </w:r>
      <w:r w:rsidR="007600F7" w:rsidRPr="00F11A93">
        <w:rPr>
          <w:rStyle w:val="Bold"/>
        </w:rPr>
        <w:t>,</w:t>
      </w:r>
      <w:r w:rsidRPr="00F11A93">
        <w:rPr>
          <w:rStyle w:val="Bold"/>
        </w:rPr>
        <w:t xml:space="preserve"> the EU is investing over </w:t>
      </w:r>
      <w:r w:rsidR="00EB0E5C" w:rsidRPr="00F11A93">
        <w:rPr>
          <w:rStyle w:val="Bold"/>
        </w:rPr>
        <w:t>EUR</w:t>
      </w:r>
      <w:r w:rsidR="00EB0E5C" w:rsidRPr="00F11A93">
        <w:rPr>
          <w:rStyle w:val="Bold"/>
          <w:rFonts w:ascii="Calibri" w:hAnsi="Calibri" w:cs="Calibri"/>
        </w:rPr>
        <w:t> </w:t>
      </w:r>
      <w:r w:rsidRPr="00F11A93">
        <w:rPr>
          <w:rStyle w:val="Bold"/>
        </w:rPr>
        <w:t>150</w:t>
      </w:r>
      <w:r w:rsidR="00167E3A" w:rsidRPr="00F11A93">
        <w:rPr>
          <w:rStyle w:val="Bold"/>
          <w:rFonts w:ascii="Calibri" w:hAnsi="Calibri" w:cs="Calibri"/>
        </w:rPr>
        <w:t> </w:t>
      </w:r>
      <w:r w:rsidR="00167E3A" w:rsidRPr="00F11A93">
        <w:rPr>
          <w:rStyle w:val="Bold"/>
        </w:rPr>
        <w:t>billion</w:t>
      </w:r>
      <w:r w:rsidRPr="00F11A93">
        <w:rPr>
          <w:rStyle w:val="Bold"/>
        </w:rPr>
        <w:t xml:space="preserve"> to support people, businesses, education institutions and others to develop the education and skills needed for a thriving, competitive European economy</w:t>
      </w:r>
      <w:r w:rsidRPr="00EE3E9D">
        <w:rPr>
          <w:rStyle w:val="Bold"/>
        </w:rPr>
        <w:t>.</w:t>
      </w:r>
      <w:r>
        <w:rPr>
          <w:noProof/>
        </w:rPr>
        <w:t xml:space="preserve"> </w:t>
      </w:r>
      <w:r w:rsidR="00E431E9">
        <w:rPr>
          <w:noProof/>
        </w:rPr>
        <w:t>Under the European Social Fund</w:t>
      </w:r>
      <w:r w:rsidR="000C0A9C">
        <w:rPr>
          <w:noProof/>
        </w:rPr>
        <w:t xml:space="preserve"> </w:t>
      </w:r>
      <w:r w:rsidR="005D77CC">
        <w:rPr>
          <w:noProof/>
        </w:rPr>
        <w:t>Plus</w:t>
      </w:r>
      <w:r w:rsidR="00E431E9">
        <w:rPr>
          <w:noProof/>
        </w:rPr>
        <w:t xml:space="preserve">, </w:t>
      </w:r>
      <w:r w:rsidR="005E24C2">
        <w:rPr>
          <w:noProof/>
        </w:rPr>
        <w:t>implementation accelerated</w:t>
      </w:r>
      <w:r w:rsidR="00811ABD">
        <w:rPr>
          <w:noProof/>
        </w:rPr>
        <w:t xml:space="preserve">, with project selection </w:t>
      </w:r>
      <w:r w:rsidR="00D02F02">
        <w:rPr>
          <w:noProof/>
        </w:rPr>
        <w:t>reaching</w:t>
      </w:r>
      <w:r w:rsidR="008831DD">
        <w:rPr>
          <w:noProof/>
        </w:rPr>
        <w:t xml:space="preserve"> approximately</w:t>
      </w:r>
      <w:r w:rsidR="00D02F02">
        <w:rPr>
          <w:noProof/>
        </w:rPr>
        <w:t xml:space="preserve"> </w:t>
      </w:r>
      <w:r w:rsidR="00D80808">
        <w:rPr>
          <w:noProof/>
        </w:rPr>
        <w:t>EUR</w:t>
      </w:r>
      <w:r w:rsidR="00D80808">
        <w:rPr>
          <w:rFonts w:ascii="Calibri" w:hAnsi="Calibri" w:cs="Calibri"/>
          <w:noProof/>
        </w:rPr>
        <w:t> </w:t>
      </w:r>
      <w:r w:rsidR="0041744C">
        <w:rPr>
          <w:noProof/>
        </w:rPr>
        <w:t>92.5</w:t>
      </w:r>
      <w:r w:rsidR="00D80808">
        <w:rPr>
          <w:rFonts w:ascii="Calibri" w:hAnsi="Calibri" w:cs="Calibri"/>
          <w:noProof/>
        </w:rPr>
        <w:t> </w:t>
      </w:r>
      <w:r w:rsidR="00D80808">
        <w:rPr>
          <w:noProof/>
        </w:rPr>
        <w:t>billion</w:t>
      </w:r>
      <w:r w:rsidR="00FC22F5">
        <w:rPr>
          <w:noProof/>
        </w:rPr>
        <w:t xml:space="preserve"> by December 2025</w:t>
      </w:r>
      <w:r w:rsidR="00147344">
        <w:rPr>
          <w:noProof/>
        </w:rPr>
        <w:t xml:space="preserve">, </w:t>
      </w:r>
      <w:r w:rsidR="00482568">
        <w:rPr>
          <w:noProof/>
        </w:rPr>
        <w:t>while</w:t>
      </w:r>
      <w:r w:rsidR="00D80808" w:rsidRPr="00E431E9">
        <w:rPr>
          <w:noProof/>
        </w:rPr>
        <w:t xml:space="preserve"> </w:t>
      </w:r>
      <w:r w:rsidR="00E431E9" w:rsidRPr="00E431E9">
        <w:rPr>
          <w:noProof/>
        </w:rPr>
        <w:t xml:space="preserve">nearly </w:t>
      </w:r>
      <w:r w:rsidR="00EB0E5C">
        <w:rPr>
          <w:noProof/>
        </w:rPr>
        <w:t>EUR</w:t>
      </w:r>
      <w:r w:rsidR="00EB0E5C">
        <w:rPr>
          <w:rFonts w:ascii="Calibri" w:hAnsi="Calibri" w:cs="Calibri"/>
          <w:noProof/>
        </w:rPr>
        <w:t> </w:t>
      </w:r>
      <w:r w:rsidR="00E431E9" w:rsidRPr="00E431E9">
        <w:rPr>
          <w:noProof/>
        </w:rPr>
        <w:t>7</w:t>
      </w:r>
      <w:r w:rsidR="00167E3A">
        <w:rPr>
          <w:rFonts w:ascii="Calibri" w:hAnsi="Calibri" w:cs="Calibri"/>
          <w:noProof/>
        </w:rPr>
        <w:t> </w:t>
      </w:r>
      <w:r w:rsidR="00167E3A">
        <w:rPr>
          <w:noProof/>
        </w:rPr>
        <w:t>billion</w:t>
      </w:r>
      <w:r w:rsidR="00E431E9" w:rsidRPr="00E431E9">
        <w:rPr>
          <w:noProof/>
        </w:rPr>
        <w:t xml:space="preserve"> in interim payment</w:t>
      </w:r>
      <w:r w:rsidR="00D21FF3">
        <w:rPr>
          <w:noProof/>
        </w:rPr>
        <w:t>s w</w:t>
      </w:r>
      <w:r w:rsidR="00BF4915">
        <w:rPr>
          <w:noProof/>
        </w:rPr>
        <w:t>as</w:t>
      </w:r>
      <w:r w:rsidR="00D21FF3">
        <w:rPr>
          <w:noProof/>
        </w:rPr>
        <w:t xml:space="preserve"> made </w:t>
      </w:r>
      <w:r w:rsidR="00C54AE8">
        <w:rPr>
          <w:noProof/>
        </w:rPr>
        <w:t xml:space="preserve">to Member States </w:t>
      </w:r>
      <w:r w:rsidR="00D302C6">
        <w:rPr>
          <w:noProof/>
        </w:rPr>
        <w:t>in 2025</w:t>
      </w:r>
      <w:r w:rsidR="00E431E9" w:rsidRPr="00E431E9">
        <w:rPr>
          <w:noProof/>
        </w:rPr>
        <w:t>.</w:t>
      </w:r>
      <w:r w:rsidR="00E51BDC">
        <w:rPr>
          <w:noProof/>
        </w:rPr>
        <w:t xml:space="preserve"> </w:t>
      </w:r>
      <w:r w:rsidR="005E3E56" w:rsidRPr="00536DE0">
        <w:rPr>
          <w:noProof/>
        </w:rPr>
        <w:t xml:space="preserve">The </w:t>
      </w:r>
      <w:r w:rsidR="0084314A">
        <w:rPr>
          <w:noProof/>
        </w:rPr>
        <w:t xml:space="preserve">European Social Fund Plus </w:t>
      </w:r>
      <w:r w:rsidR="005E3E56" w:rsidRPr="00536DE0">
        <w:rPr>
          <w:noProof/>
        </w:rPr>
        <w:t>primarily reaches those who are out of work due to inactivity or unemployment, accounting for 11.8</w:t>
      </w:r>
      <w:r w:rsidR="00EB0E5C">
        <w:rPr>
          <w:rFonts w:ascii="Calibri" w:hAnsi="Calibri" w:cs="Calibri"/>
          <w:noProof/>
        </w:rPr>
        <w:t> </w:t>
      </w:r>
      <w:r w:rsidR="00EB0E5C">
        <w:rPr>
          <w:noProof/>
        </w:rPr>
        <w:t>million</w:t>
      </w:r>
      <w:r w:rsidR="005E3E56" w:rsidRPr="00536DE0">
        <w:rPr>
          <w:noProof/>
        </w:rPr>
        <w:t xml:space="preserve"> participants. More than half of all participants (8.2</w:t>
      </w:r>
      <w:r w:rsidR="00EB0E5C">
        <w:rPr>
          <w:rFonts w:ascii="Calibri" w:hAnsi="Calibri" w:cs="Calibri"/>
          <w:noProof/>
        </w:rPr>
        <w:t> </w:t>
      </w:r>
      <w:r w:rsidR="00EB0E5C">
        <w:rPr>
          <w:noProof/>
        </w:rPr>
        <w:t>million</w:t>
      </w:r>
      <w:r w:rsidR="005E3E56" w:rsidRPr="00536DE0">
        <w:rPr>
          <w:noProof/>
        </w:rPr>
        <w:t>) are low-skilled, with lower secondary education or less. With 3.6</w:t>
      </w:r>
      <w:r w:rsidR="00EB0E5C">
        <w:rPr>
          <w:rFonts w:ascii="Calibri" w:hAnsi="Calibri" w:cs="Calibri"/>
          <w:noProof/>
        </w:rPr>
        <w:t> </w:t>
      </w:r>
      <w:r w:rsidR="00EB0E5C">
        <w:rPr>
          <w:noProof/>
        </w:rPr>
        <w:t>million</w:t>
      </w:r>
      <w:r w:rsidR="005E3E56" w:rsidRPr="00536DE0">
        <w:rPr>
          <w:noProof/>
        </w:rPr>
        <w:t xml:space="preserve"> children and 3.9</w:t>
      </w:r>
      <w:r w:rsidR="00EB0E5C">
        <w:rPr>
          <w:rFonts w:ascii="Calibri" w:hAnsi="Calibri" w:cs="Calibri"/>
          <w:noProof/>
        </w:rPr>
        <w:t> </w:t>
      </w:r>
      <w:r w:rsidR="00EB0E5C">
        <w:rPr>
          <w:noProof/>
        </w:rPr>
        <w:t>million</w:t>
      </w:r>
      <w:r w:rsidR="005E3E56" w:rsidRPr="00536DE0">
        <w:rPr>
          <w:noProof/>
        </w:rPr>
        <w:t xml:space="preserve"> young people aged 18 to 29 supported, the </w:t>
      </w:r>
      <w:r w:rsidR="00DF01FE">
        <w:rPr>
          <w:noProof/>
        </w:rPr>
        <w:t xml:space="preserve">European Social Fund Plus </w:t>
      </w:r>
      <w:r w:rsidR="005E3E56" w:rsidRPr="00536DE0">
        <w:rPr>
          <w:noProof/>
        </w:rPr>
        <w:t xml:space="preserve">provides significant assistance to younger generations. Vulnerable groups also benefit substantially from </w:t>
      </w:r>
      <w:r w:rsidR="00DF01FE">
        <w:rPr>
          <w:noProof/>
        </w:rPr>
        <w:t xml:space="preserve">European Social Fund Plus </w:t>
      </w:r>
      <w:r w:rsidR="005E3E56" w:rsidRPr="00536DE0">
        <w:rPr>
          <w:noProof/>
        </w:rPr>
        <w:t>support, including 1.3</w:t>
      </w:r>
      <w:r w:rsidR="00EB0E5C">
        <w:rPr>
          <w:rFonts w:ascii="Calibri" w:hAnsi="Calibri" w:cs="Calibri"/>
          <w:noProof/>
        </w:rPr>
        <w:t> </w:t>
      </w:r>
      <w:r w:rsidR="00EB0E5C">
        <w:rPr>
          <w:noProof/>
        </w:rPr>
        <w:t>million</w:t>
      </w:r>
      <w:r w:rsidR="005E3E56" w:rsidRPr="00536DE0">
        <w:rPr>
          <w:noProof/>
        </w:rPr>
        <w:t xml:space="preserve"> persons with disabilities, 2</w:t>
      </w:r>
      <w:r w:rsidR="00EB0E5C">
        <w:rPr>
          <w:rFonts w:ascii="Calibri" w:hAnsi="Calibri" w:cs="Calibri"/>
          <w:noProof/>
        </w:rPr>
        <w:t> </w:t>
      </w:r>
      <w:r w:rsidR="00EB0E5C">
        <w:rPr>
          <w:noProof/>
        </w:rPr>
        <w:t>million</w:t>
      </w:r>
      <w:r w:rsidR="005E3E56" w:rsidRPr="00536DE0">
        <w:rPr>
          <w:noProof/>
        </w:rPr>
        <w:t xml:space="preserve"> third-country nationals and 312</w:t>
      </w:r>
      <w:r w:rsidR="00610E64">
        <w:rPr>
          <w:rFonts w:ascii="Calibri" w:hAnsi="Calibri" w:cs="Calibri"/>
          <w:noProof/>
        </w:rPr>
        <w:t> </w:t>
      </w:r>
      <w:r w:rsidR="005E3E56" w:rsidRPr="00536DE0">
        <w:rPr>
          <w:noProof/>
        </w:rPr>
        <w:t>000 homeless participants to date.</w:t>
      </w:r>
      <w:r w:rsidR="00336018">
        <w:rPr>
          <w:noProof/>
        </w:rPr>
        <w:t xml:space="preserve"> </w:t>
      </w:r>
      <w:r w:rsidR="00336018" w:rsidRPr="00CF299F">
        <w:rPr>
          <w:noProof/>
          <w:lang w:val="en-IE"/>
        </w:rPr>
        <w:t>In addition, measures addressing material deprivation have reached 35.2</w:t>
      </w:r>
      <w:r w:rsidR="00AE1118">
        <w:rPr>
          <w:rFonts w:ascii="Calibri" w:hAnsi="Calibri" w:cs="Calibri"/>
          <w:noProof/>
          <w:lang w:val="en-IE"/>
        </w:rPr>
        <w:t> </w:t>
      </w:r>
      <w:r w:rsidR="00336018" w:rsidRPr="00CF299F">
        <w:rPr>
          <w:noProof/>
          <w:lang w:val="en-IE"/>
        </w:rPr>
        <w:t>million end</w:t>
      </w:r>
      <w:r w:rsidR="00AE1118">
        <w:rPr>
          <w:noProof/>
          <w:lang w:val="en-IE"/>
        </w:rPr>
        <w:t xml:space="preserve"> </w:t>
      </w:r>
      <w:r w:rsidR="00336018" w:rsidRPr="00CF299F">
        <w:rPr>
          <w:noProof/>
          <w:lang w:val="en-IE"/>
        </w:rPr>
        <w:t>recipients with direct food support or material assistance, or indirect support through vouc</w:t>
      </w:r>
      <w:r w:rsidR="00336018">
        <w:rPr>
          <w:noProof/>
          <w:lang w:val="en-IE"/>
        </w:rPr>
        <w:t>hers.</w:t>
      </w:r>
    </w:p>
    <w:p w14:paraId="7AB30CB6" w14:textId="69EF52E6" w:rsidR="00C44775" w:rsidRDefault="00886708" w:rsidP="00C44775">
      <w:pPr>
        <w:suppressAutoHyphens w:val="0"/>
        <w:rPr>
          <w:lang w:eastAsia="fr-BE"/>
        </w:rPr>
      </w:pPr>
      <w:r w:rsidRPr="00F11A93">
        <w:rPr>
          <w:rStyle w:val="Bold"/>
        </w:rPr>
        <w:t xml:space="preserve">The EU </w:t>
      </w:r>
      <w:r w:rsidR="005E3E56" w:rsidRPr="00F11A93">
        <w:rPr>
          <w:rStyle w:val="Bold"/>
        </w:rPr>
        <w:t>is</w:t>
      </w:r>
      <w:r w:rsidRPr="00F11A93">
        <w:rPr>
          <w:rStyle w:val="Bold"/>
        </w:rPr>
        <w:t xml:space="preserve"> also investing in people</w:t>
      </w:r>
      <w:r w:rsidR="002C0112">
        <w:rPr>
          <w:rStyle w:val="Bold"/>
        </w:rPr>
        <w:t>, regions</w:t>
      </w:r>
      <w:r w:rsidR="002B561A">
        <w:rPr>
          <w:rStyle w:val="Bold"/>
        </w:rPr>
        <w:t xml:space="preserve"> and territories</w:t>
      </w:r>
      <w:r w:rsidRPr="00F11A93">
        <w:rPr>
          <w:rStyle w:val="Bold"/>
        </w:rPr>
        <w:t xml:space="preserve"> </w:t>
      </w:r>
      <w:r w:rsidR="005E3E56" w:rsidRPr="00F11A93">
        <w:rPr>
          <w:rStyle w:val="Bold"/>
        </w:rPr>
        <w:t>through</w:t>
      </w:r>
      <w:r w:rsidRPr="00F11A93">
        <w:rPr>
          <w:rStyle w:val="Bold"/>
        </w:rPr>
        <w:t xml:space="preserve"> cohesion policy</w:t>
      </w:r>
      <w:r w:rsidR="00543278" w:rsidRPr="00F11A93">
        <w:rPr>
          <w:rStyle w:val="Bold"/>
        </w:rPr>
        <w:t xml:space="preserve"> funds</w:t>
      </w:r>
      <w:r w:rsidRPr="00EE3E9D">
        <w:rPr>
          <w:rStyle w:val="Bold"/>
        </w:rPr>
        <w:t>.</w:t>
      </w:r>
      <w:r>
        <w:rPr>
          <w:lang w:eastAsia="fr-BE"/>
        </w:rPr>
        <w:t xml:space="preserve"> </w:t>
      </w:r>
      <w:r w:rsidRPr="00073369">
        <w:rPr>
          <w:noProof/>
        </w:rPr>
        <w:t>As of December 2025, total net payments of EUR</w:t>
      </w:r>
      <w:r w:rsidR="00AE1118">
        <w:rPr>
          <w:rFonts w:ascii="Calibri" w:hAnsi="Calibri" w:cs="Calibri"/>
          <w:noProof/>
        </w:rPr>
        <w:t> </w:t>
      </w:r>
      <w:r w:rsidRPr="00073369">
        <w:rPr>
          <w:noProof/>
        </w:rPr>
        <w:t>39.9</w:t>
      </w:r>
      <w:r w:rsidR="00167E3A">
        <w:rPr>
          <w:rFonts w:ascii="Calibri" w:hAnsi="Calibri" w:cs="Calibri"/>
          <w:noProof/>
        </w:rPr>
        <w:t> </w:t>
      </w:r>
      <w:r w:rsidR="00167E3A">
        <w:rPr>
          <w:noProof/>
        </w:rPr>
        <w:t>billion</w:t>
      </w:r>
      <w:r w:rsidRPr="00073369">
        <w:rPr>
          <w:noProof/>
        </w:rPr>
        <w:t xml:space="preserve"> were disbursed </w:t>
      </w:r>
      <w:r>
        <w:rPr>
          <w:noProof/>
        </w:rPr>
        <w:t>under the European Regional Development Fund and the Cohesion Fund. By the end of 2025, Member States had selected operations amounting to 63</w:t>
      </w:r>
      <w:r w:rsidR="00645242">
        <w:rPr>
          <w:noProof/>
        </w:rPr>
        <w:t>.</w:t>
      </w:r>
      <w:r>
        <w:rPr>
          <w:noProof/>
        </w:rPr>
        <w:t xml:space="preserve">4% of the allocations for these two funds for the 2021-2027 period (i.e. </w:t>
      </w:r>
      <w:r w:rsidRPr="00920F93">
        <w:rPr>
          <w:noProof/>
        </w:rPr>
        <w:t>EUR</w:t>
      </w:r>
      <w:r w:rsidR="00B23844">
        <w:rPr>
          <w:rFonts w:ascii="Calibri" w:hAnsi="Calibri" w:cs="Calibri"/>
          <w:noProof/>
        </w:rPr>
        <w:t> </w:t>
      </w:r>
      <w:r w:rsidRPr="00920F93">
        <w:rPr>
          <w:noProof/>
        </w:rPr>
        <w:t>18</w:t>
      </w:r>
      <w:r>
        <w:rPr>
          <w:noProof/>
        </w:rPr>
        <w:t>5</w:t>
      </w:r>
      <w:r w:rsidR="00B23844">
        <w:rPr>
          <w:rFonts w:ascii="Calibri" w:hAnsi="Calibri" w:cs="Calibri"/>
          <w:noProof/>
        </w:rPr>
        <w:t> </w:t>
      </w:r>
      <w:r w:rsidRPr="00920F93">
        <w:rPr>
          <w:noProof/>
        </w:rPr>
        <w:t>billion under</w:t>
      </w:r>
      <w:r w:rsidR="00DF01FE">
        <w:rPr>
          <w:noProof/>
        </w:rPr>
        <w:t xml:space="preserve"> the European Regional Development Fund</w:t>
      </w:r>
      <w:r w:rsidRPr="00920F93">
        <w:rPr>
          <w:noProof/>
        </w:rPr>
        <w:t xml:space="preserve"> and EUR</w:t>
      </w:r>
      <w:r w:rsidR="00B23844">
        <w:rPr>
          <w:rFonts w:ascii="Calibri" w:hAnsi="Calibri" w:cs="Calibri"/>
          <w:noProof/>
        </w:rPr>
        <w:t> </w:t>
      </w:r>
      <w:r w:rsidRPr="00920F93">
        <w:rPr>
          <w:noProof/>
        </w:rPr>
        <w:t>3</w:t>
      </w:r>
      <w:r w:rsidR="004E4B7F">
        <w:rPr>
          <w:noProof/>
        </w:rPr>
        <w:t>0</w:t>
      </w:r>
      <w:r w:rsidR="00B23844">
        <w:rPr>
          <w:rFonts w:ascii="Calibri" w:hAnsi="Calibri" w:cs="Calibri"/>
          <w:noProof/>
        </w:rPr>
        <w:t> </w:t>
      </w:r>
      <w:r w:rsidRPr="00920F93">
        <w:rPr>
          <w:noProof/>
        </w:rPr>
        <w:t xml:space="preserve">billion under </w:t>
      </w:r>
      <w:r w:rsidR="00DF01FE">
        <w:rPr>
          <w:noProof/>
        </w:rPr>
        <w:t>the Cohesion Fund</w:t>
      </w:r>
      <w:r>
        <w:rPr>
          <w:noProof/>
        </w:rPr>
        <w:t>), which is expected to lead to an accelaration of payment rates in 2026</w:t>
      </w:r>
      <w:r w:rsidRPr="00920F93">
        <w:rPr>
          <w:noProof/>
        </w:rPr>
        <w:t>.</w:t>
      </w:r>
      <w:r w:rsidRPr="00BC25D6">
        <w:rPr>
          <w:rFonts w:ascii="Arial" w:hAnsi="Arial" w:cs="Arial"/>
          <w:lang w:eastAsia="fr-BE"/>
        </w:rPr>
        <w:t xml:space="preserve"> </w:t>
      </w:r>
      <w:r w:rsidR="00BD2319">
        <w:rPr>
          <w:lang w:eastAsia="fr-BE"/>
        </w:rPr>
        <w:t xml:space="preserve">Cohesion policy benefits all regions, with an assessment of the policy under the previous programming period (2014-2020) </w:t>
      </w:r>
      <w:r w:rsidR="00035FED">
        <w:rPr>
          <w:lang w:eastAsia="fr-BE"/>
        </w:rPr>
        <w:t xml:space="preserve">showing that each euro </w:t>
      </w:r>
      <w:r w:rsidR="00A92F80">
        <w:rPr>
          <w:lang w:eastAsia="fr-BE"/>
        </w:rPr>
        <w:t>funded by it led to</w:t>
      </w:r>
      <w:r w:rsidR="00C44775" w:rsidRPr="005D69C4">
        <w:rPr>
          <w:lang w:eastAsia="fr-BE"/>
        </w:rPr>
        <w:t xml:space="preserve"> almost 3</w:t>
      </w:r>
      <w:r w:rsidR="00507828">
        <w:rPr>
          <w:rFonts w:ascii="Calibri" w:hAnsi="Calibri" w:cs="Calibri"/>
          <w:lang w:eastAsia="fr-BE"/>
        </w:rPr>
        <w:t> </w:t>
      </w:r>
      <w:r w:rsidR="00C44775" w:rsidRPr="005D69C4">
        <w:rPr>
          <w:lang w:eastAsia="fr-BE"/>
        </w:rPr>
        <w:t>euro in return</w:t>
      </w:r>
      <w:r w:rsidR="00C44775" w:rsidRPr="00083655">
        <w:rPr>
          <w:rFonts w:ascii="Calibri" w:hAnsi="Calibri" w:cs="Calibri"/>
          <w:lang w:eastAsia="fr-BE"/>
        </w:rPr>
        <w:t> </w:t>
      </w:r>
      <w:r w:rsidR="00C44775" w:rsidRPr="00083655">
        <w:rPr>
          <w:lang w:eastAsia="fr-BE"/>
        </w:rPr>
        <w:t>(</w:t>
      </w:r>
      <w:r w:rsidR="00C44775">
        <w:rPr>
          <w:rStyle w:val="FootnoteReference"/>
          <w:lang w:eastAsia="fr-BE"/>
        </w:rPr>
        <w:footnoteReference w:id="35"/>
      </w:r>
      <w:r w:rsidR="00C44775" w:rsidRPr="005D69C4">
        <w:rPr>
          <w:lang w:eastAsia="fr-BE"/>
        </w:rPr>
        <w:t xml:space="preserve">). </w:t>
      </w:r>
      <w:r w:rsidR="00551546">
        <w:rPr>
          <w:lang w:eastAsia="fr-BE"/>
        </w:rPr>
        <w:t>By</w:t>
      </w:r>
      <w:r w:rsidR="00951547">
        <w:rPr>
          <w:lang w:eastAsia="fr-BE"/>
        </w:rPr>
        <w:t xml:space="preserve"> 2025</w:t>
      </w:r>
      <w:r w:rsidR="00551546">
        <w:rPr>
          <w:lang w:eastAsia="fr-BE"/>
        </w:rPr>
        <w:t xml:space="preserve">, </w:t>
      </w:r>
      <w:r w:rsidR="00DE4E47">
        <w:rPr>
          <w:lang w:eastAsia="fr-BE"/>
        </w:rPr>
        <w:t>both funds</w:t>
      </w:r>
      <w:r w:rsidR="00951547">
        <w:rPr>
          <w:lang w:eastAsia="fr-BE"/>
        </w:rPr>
        <w:t xml:space="preserve"> financed </w:t>
      </w:r>
      <w:r w:rsidR="00572370">
        <w:rPr>
          <w:lang w:eastAsia="fr-BE"/>
        </w:rPr>
        <w:t xml:space="preserve">over </w:t>
      </w:r>
      <w:r w:rsidR="0008505F">
        <w:rPr>
          <w:lang w:eastAsia="fr-BE"/>
        </w:rPr>
        <w:t>3</w:t>
      </w:r>
      <w:r w:rsidR="0008505F">
        <w:rPr>
          <w:rFonts w:ascii="Calibri" w:hAnsi="Calibri" w:cs="Calibri"/>
          <w:lang w:eastAsia="fr-BE"/>
        </w:rPr>
        <w:t> </w:t>
      </w:r>
      <w:r w:rsidR="0008505F">
        <w:rPr>
          <w:lang w:eastAsia="fr-BE"/>
        </w:rPr>
        <w:t>55</w:t>
      </w:r>
      <w:r w:rsidR="00572370">
        <w:rPr>
          <w:lang w:eastAsia="fr-BE"/>
        </w:rPr>
        <w:t>0</w:t>
      </w:r>
      <w:r w:rsidR="0008505F">
        <w:rPr>
          <w:rFonts w:ascii="Calibri" w:hAnsi="Calibri" w:cs="Calibri"/>
          <w:lang w:eastAsia="fr-BE"/>
        </w:rPr>
        <w:t> </w:t>
      </w:r>
      <w:r w:rsidR="00572370">
        <w:rPr>
          <w:lang w:eastAsia="fr-BE"/>
        </w:rPr>
        <w:t>000</w:t>
      </w:r>
      <w:r w:rsidR="0008505F">
        <w:rPr>
          <w:lang w:eastAsia="fr-BE"/>
        </w:rPr>
        <w:t xml:space="preserve"> </w:t>
      </w:r>
      <w:r w:rsidR="0072561A">
        <w:rPr>
          <w:lang w:eastAsia="fr-BE"/>
        </w:rPr>
        <w:t>megawatt-hours</w:t>
      </w:r>
      <w:r w:rsidR="0008505F">
        <w:rPr>
          <w:lang w:eastAsia="fr-BE"/>
        </w:rPr>
        <w:t xml:space="preserve">/year of savings in annual primary consumption, </w:t>
      </w:r>
      <w:r w:rsidR="00261787">
        <w:rPr>
          <w:lang w:eastAsia="fr-BE"/>
        </w:rPr>
        <w:t>modernised healthcare facilities</w:t>
      </w:r>
      <w:r w:rsidR="005C2613">
        <w:rPr>
          <w:lang w:eastAsia="fr-BE"/>
        </w:rPr>
        <w:t>,</w:t>
      </w:r>
      <w:r w:rsidR="00261787">
        <w:rPr>
          <w:lang w:eastAsia="fr-BE"/>
        </w:rPr>
        <w:t xml:space="preserve"> </w:t>
      </w:r>
      <w:r w:rsidR="00B56A25">
        <w:rPr>
          <w:lang w:eastAsia="fr-BE"/>
        </w:rPr>
        <w:t>enabling them to serve over</w:t>
      </w:r>
      <w:r w:rsidR="00931595">
        <w:rPr>
          <w:lang w:eastAsia="fr-BE"/>
        </w:rPr>
        <w:t xml:space="preserve"> 9</w:t>
      </w:r>
      <w:r w:rsidR="00EB0E5C">
        <w:rPr>
          <w:rFonts w:ascii="Calibri" w:hAnsi="Calibri" w:cs="Calibri"/>
          <w:lang w:eastAsia="fr-BE"/>
        </w:rPr>
        <w:t> </w:t>
      </w:r>
      <w:r w:rsidR="00EB0E5C">
        <w:rPr>
          <w:lang w:eastAsia="fr-BE"/>
        </w:rPr>
        <w:t>million</w:t>
      </w:r>
      <w:r w:rsidR="00931595">
        <w:rPr>
          <w:lang w:eastAsia="fr-BE"/>
        </w:rPr>
        <w:t xml:space="preserve"> people </w:t>
      </w:r>
      <w:r w:rsidR="00B56A25">
        <w:rPr>
          <w:lang w:eastAsia="fr-BE"/>
        </w:rPr>
        <w:t xml:space="preserve">per year and </w:t>
      </w:r>
      <w:r w:rsidR="00D61D8A">
        <w:rPr>
          <w:lang w:eastAsia="fr-BE"/>
        </w:rPr>
        <w:t xml:space="preserve">covered </w:t>
      </w:r>
      <w:r w:rsidR="000232A8">
        <w:rPr>
          <w:lang w:eastAsia="fr-BE"/>
        </w:rPr>
        <w:t>over 26</w:t>
      </w:r>
      <w:r w:rsidR="00EB0E5C">
        <w:rPr>
          <w:rFonts w:ascii="Calibri" w:hAnsi="Calibri" w:cs="Calibri"/>
          <w:lang w:eastAsia="fr-BE"/>
        </w:rPr>
        <w:t> </w:t>
      </w:r>
      <w:r w:rsidR="00EB0E5C">
        <w:rPr>
          <w:lang w:eastAsia="fr-BE"/>
        </w:rPr>
        <w:t>million</w:t>
      </w:r>
      <w:r w:rsidR="00D61D8A">
        <w:rPr>
          <w:lang w:eastAsia="fr-BE"/>
        </w:rPr>
        <w:t xml:space="preserve"> people </w:t>
      </w:r>
      <w:r w:rsidR="00163545">
        <w:rPr>
          <w:lang w:eastAsia="fr-BE"/>
        </w:rPr>
        <w:t xml:space="preserve">in projects supported by the </w:t>
      </w:r>
      <w:r w:rsidR="00EB4F40">
        <w:rPr>
          <w:lang w:eastAsia="fr-BE"/>
        </w:rPr>
        <w:t>f</w:t>
      </w:r>
      <w:r w:rsidR="00163545">
        <w:rPr>
          <w:lang w:eastAsia="fr-BE"/>
        </w:rPr>
        <w:t>unds in the framework of strategies for integrated territorial development.</w:t>
      </w:r>
    </w:p>
    <w:p w14:paraId="7A04EB71" w14:textId="084CE9F7" w:rsidR="005E71A6" w:rsidRPr="00564482" w:rsidRDefault="005E71A6" w:rsidP="00564482">
      <w:pPr>
        <w:rPr>
          <w:lang w:val="en-IE"/>
        </w:rPr>
      </w:pPr>
      <w:r w:rsidRPr="00F11A93">
        <w:rPr>
          <w:rStyle w:val="Bold"/>
        </w:rPr>
        <w:t>Via the Union of Skills, the Commission suppor</w:t>
      </w:r>
      <w:r w:rsidR="00073918" w:rsidRPr="00F11A93">
        <w:rPr>
          <w:rStyle w:val="Bold"/>
        </w:rPr>
        <w:t xml:space="preserve">ts people in </w:t>
      </w:r>
      <w:r w:rsidR="00831DED" w:rsidRPr="00F11A93">
        <w:rPr>
          <w:rStyle w:val="Bold"/>
        </w:rPr>
        <w:t>obtaining high quality education, training and support lifelong learning</w:t>
      </w:r>
      <w:r w:rsidR="00831DED" w:rsidRPr="00EE3E9D">
        <w:rPr>
          <w:rStyle w:val="Bold"/>
        </w:rPr>
        <w:t>.</w:t>
      </w:r>
      <w:r w:rsidR="00831DED">
        <w:rPr>
          <w:noProof/>
        </w:rPr>
        <w:t xml:space="preserve"> </w:t>
      </w:r>
      <w:r w:rsidR="0067021A">
        <w:rPr>
          <w:noProof/>
        </w:rPr>
        <w:t>To address skills challenges</w:t>
      </w:r>
      <w:r w:rsidR="00A46F3F">
        <w:rPr>
          <w:noProof/>
        </w:rPr>
        <w:t xml:space="preserve"> </w:t>
      </w:r>
      <w:r w:rsidR="00C20BF0">
        <w:rPr>
          <w:noProof/>
        </w:rPr>
        <w:t>in Europe, i</w:t>
      </w:r>
      <w:r w:rsidR="00923D5E">
        <w:rPr>
          <w:noProof/>
        </w:rPr>
        <w:t xml:space="preserve">n 2025 the Commission </w:t>
      </w:r>
      <w:r w:rsidR="00C20BF0">
        <w:rPr>
          <w:noProof/>
        </w:rPr>
        <w:t>lau</w:t>
      </w:r>
      <w:r w:rsidR="00961BFE">
        <w:rPr>
          <w:noProof/>
        </w:rPr>
        <w:t>n</w:t>
      </w:r>
      <w:r w:rsidR="00C20BF0">
        <w:rPr>
          <w:noProof/>
        </w:rPr>
        <w:t>ched the Union of Skills</w:t>
      </w:r>
      <w:r w:rsidR="008A040D" w:rsidRPr="009C54C4">
        <w:rPr>
          <w:rFonts w:cs="Calibri"/>
          <w:noProof/>
        </w:rPr>
        <w:t> </w:t>
      </w:r>
      <w:r w:rsidR="008A040D" w:rsidRPr="008A040D">
        <w:rPr>
          <w:noProof/>
        </w:rPr>
        <w:t>(</w:t>
      </w:r>
      <w:r w:rsidR="008A040D">
        <w:rPr>
          <w:rStyle w:val="FootnoteReference"/>
          <w:noProof/>
        </w:rPr>
        <w:footnoteReference w:id="36"/>
      </w:r>
      <w:r w:rsidR="008A040D">
        <w:rPr>
          <w:noProof/>
        </w:rPr>
        <w:t>)</w:t>
      </w:r>
      <w:r w:rsidR="00C20BF0">
        <w:rPr>
          <w:noProof/>
        </w:rPr>
        <w:t>.</w:t>
      </w:r>
      <w:r w:rsidR="00C9566D">
        <w:rPr>
          <w:noProof/>
        </w:rPr>
        <w:t xml:space="preserve"> </w:t>
      </w:r>
      <w:r w:rsidR="00310895">
        <w:rPr>
          <w:noProof/>
        </w:rPr>
        <w:t>T</w:t>
      </w:r>
      <w:r w:rsidR="00C9566D">
        <w:rPr>
          <w:noProof/>
        </w:rPr>
        <w:t xml:space="preserve">his strategy </w:t>
      </w:r>
      <w:r w:rsidR="0015129F">
        <w:rPr>
          <w:noProof/>
        </w:rPr>
        <w:t>focuses on reskilling and upskilling efforts</w:t>
      </w:r>
      <w:r w:rsidR="00723CD7">
        <w:rPr>
          <w:noProof/>
        </w:rPr>
        <w:t>, and improving high quality education, training and lifelong learning</w:t>
      </w:r>
      <w:r w:rsidR="0015129F">
        <w:rPr>
          <w:noProof/>
        </w:rPr>
        <w:t xml:space="preserve">. </w:t>
      </w:r>
      <w:r w:rsidR="004B451E">
        <w:rPr>
          <w:noProof/>
        </w:rPr>
        <w:t xml:space="preserve">As part of this, the Commission has also committed to </w:t>
      </w:r>
      <w:r w:rsidR="00F36D01">
        <w:rPr>
          <w:noProof/>
        </w:rPr>
        <w:t>enhancing the Pact for Skills to help workers across strategic sectors to gain new skills</w:t>
      </w:r>
      <w:r w:rsidR="0052408E">
        <w:rPr>
          <w:noProof/>
        </w:rPr>
        <w:t xml:space="preserve">, with an aim of </w:t>
      </w:r>
      <w:r w:rsidR="0066454E">
        <w:rPr>
          <w:noProof/>
        </w:rPr>
        <w:t>upskill</w:t>
      </w:r>
      <w:r w:rsidR="0052408E">
        <w:rPr>
          <w:noProof/>
        </w:rPr>
        <w:t>ing</w:t>
      </w:r>
      <w:r w:rsidR="0066454E">
        <w:rPr>
          <w:noProof/>
        </w:rPr>
        <w:t xml:space="preserve"> 25</w:t>
      </w:r>
      <w:r w:rsidR="00EB0E5C">
        <w:rPr>
          <w:rFonts w:ascii="Calibri" w:hAnsi="Calibri" w:cs="Calibri"/>
          <w:noProof/>
        </w:rPr>
        <w:t> </w:t>
      </w:r>
      <w:r w:rsidR="00EB0E5C">
        <w:rPr>
          <w:noProof/>
        </w:rPr>
        <w:t>million</w:t>
      </w:r>
      <w:r w:rsidR="0066454E">
        <w:rPr>
          <w:noProof/>
        </w:rPr>
        <w:t xml:space="preserve"> workers by 2030.</w:t>
      </w:r>
      <w:r w:rsidR="00C9566D">
        <w:rPr>
          <w:noProof/>
        </w:rPr>
        <w:t xml:space="preserve"> </w:t>
      </w:r>
      <w:r w:rsidR="0013504A">
        <w:rPr>
          <w:noProof/>
          <w:lang w:val="en-IE"/>
        </w:rPr>
        <w:t>In 2025</w:t>
      </w:r>
      <w:r w:rsidR="007C5C60" w:rsidRPr="00F932ED">
        <w:rPr>
          <w:lang w:val="en-IE"/>
        </w:rPr>
        <w:t xml:space="preserve">, </w:t>
      </w:r>
      <w:r w:rsidR="004273AE">
        <w:rPr>
          <w:noProof/>
        </w:rPr>
        <w:t>3.9</w:t>
      </w:r>
      <w:r w:rsidR="00EB0E5C">
        <w:rPr>
          <w:rFonts w:ascii="Calibri" w:hAnsi="Calibri" w:cs="Calibri"/>
          <w:noProof/>
        </w:rPr>
        <w:t> </w:t>
      </w:r>
      <w:r w:rsidR="00EB0E5C">
        <w:rPr>
          <w:noProof/>
        </w:rPr>
        <w:t>million</w:t>
      </w:r>
      <w:r w:rsidR="004273AE">
        <w:rPr>
          <w:noProof/>
        </w:rPr>
        <w:t xml:space="preserve"> people </w:t>
      </w:r>
      <w:r w:rsidR="001B2329">
        <w:rPr>
          <w:noProof/>
        </w:rPr>
        <w:t xml:space="preserve">benefited </w:t>
      </w:r>
      <w:r w:rsidR="005C6627">
        <w:rPr>
          <w:noProof/>
        </w:rPr>
        <w:t>from</w:t>
      </w:r>
      <w:r w:rsidR="001B2329">
        <w:rPr>
          <w:noProof/>
        </w:rPr>
        <w:t xml:space="preserve"> training initiatives under the Pact for Skills</w:t>
      </w:r>
      <w:r w:rsidR="00D14497">
        <w:rPr>
          <w:noProof/>
        </w:rPr>
        <w:t xml:space="preserve">. The </w:t>
      </w:r>
      <w:r w:rsidR="00BC425B">
        <w:rPr>
          <w:noProof/>
        </w:rPr>
        <w:t>p</w:t>
      </w:r>
      <w:r w:rsidR="00D14497">
        <w:rPr>
          <w:noProof/>
        </w:rPr>
        <w:t>act</w:t>
      </w:r>
      <w:r w:rsidR="00F12CC3">
        <w:rPr>
          <w:noProof/>
        </w:rPr>
        <w:t xml:space="preserve"> </w:t>
      </w:r>
      <w:r w:rsidR="00C60F95" w:rsidRPr="00C60F95">
        <w:rPr>
          <w:noProof/>
        </w:rPr>
        <w:t>mobilised a network</w:t>
      </w:r>
      <w:r w:rsidR="00931D1B">
        <w:rPr>
          <w:noProof/>
        </w:rPr>
        <w:t xml:space="preserve"> of </w:t>
      </w:r>
      <w:r w:rsidR="00C60F95" w:rsidRPr="00C60F95">
        <w:rPr>
          <w:noProof/>
        </w:rPr>
        <w:t>277</w:t>
      </w:r>
      <w:r w:rsidR="005847DF">
        <w:rPr>
          <w:rFonts w:ascii="Calibri" w:hAnsi="Calibri" w:cs="Calibri"/>
          <w:noProof/>
        </w:rPr>
        <w:t> </w:t>
      </w:r>
      <w:r w:rsidR="00C60F95" w:rsidRPr="00C60F95">
        <w:rPr>
          <w:noProof/>
        </w:rPr>
        <w:t>600 stakeholders, which collectively invested over EUR</w:t>
      </w:r>
      <w:r w:rsidR="00C60F95" w:rsidRPr="00C60F95">
        <w:rPr>
          <w:rFonts w:ascii="Arial" w:hAnsi="Arial" w:cs="Arial"/>
          <w:noProof/>
        </w:rPr>
        <w:t> </w:t>
      </w:r>
      <w:r w:rsidR="00C60F95" w:rsidRPr="00C60F95">
        <w:rPr>
          <w:noProof/>
        </w:rPr>
        <w:t>1</w:t>
      </w:r>
      <w:r w:rsidR="00167E3A">
        <w:rPr>
          <w:rFonts w:ascii="Calibri" w:hAnsi="Calibri" w:cs="Calibri"/>
          <w:noProof/>
        </w:rPr>
        <w:t> </w:t>
      </w:r>
      <w:r w:rsidR="00167E3A">
        <w:rPr>
          <w:noProof/>
        </w:rPr>
        <w:t>billion</w:t>
      </w:r>
      <w:r w:rsidR="00C60F95" w:rsidRPr="00C60F95">
        <w:rPr>
          <w:noProof/>
        </w:rPr>
        <w:t xml:space="preserve"> in upskilling and reskilling activities in 2025, 82% of which invested by public authorities using national or EU funds</w:t>
      </w:r>
      <w:r w:rsidR="00D8618F">
        <w:rPr>
          <w:noProof/>
        </w:rPr>
        <w:t xml:space="preserve"> and programmes</w:t>
      </w:r>
      <w:r w:rsidR="00C60F95" w:rsidRPr="00C60F95">
        <w:rPr>
          <w:noProof/>
        </w:rPr>
        <w:t xml:space="preserve"> such as Erasmus+, Horizon Europe or the European Social </w:t>
      </w:r>
      <w:r w:rsidR="00507828">
        <w:rPr>
          <w:noProof/>
        </w:rPr>
        <w:t>F</w:t>
      </w:r>
      <w:r w:rsidR="00C60F95" w:rsidRPr="00C60F95">
        <w:rPr>
          <w:noProof/>
        </w:rPr>
        <w:t>und</w:t>
      </w:r>
      <w:r w:rsidR="0069289A">
        <w:rPr>
          <w:noProof/>
        </w:rPr>
        <w:t xml:space="preserve"> Plus</w:t>
      </w:r>
      <w:r w:rsidR="009568A9" w:rsidRPr="00564482">
        <w:rPr>
          <w:rFonts w:cs="Calibri"/>
        </w:rPr>
        <w:t> </w:t>
      </w:r>
      <w:r w:rsidR="009568A9" w:rsidRPr="009568A9">
        <w:rPr>
          <w:noProof/>
        </w:rPr>
        <w:t>(</w:t>
      </w:r>
      <w:r w:rsidR="009568A9">
        <w:rPr>
          <w:rStyle w:val="FootnoteReference"/>
          <w:noProof/>
        </w:rPr>
        <w:footnoteReference w:id="37"/>
      </w:r>
      <w:r w:rsidR="009568A9">
        <w:rPr>
          <w:noProof/>
        </w:rPr>
        <w:t>)</w:t>
      </w:r>
      <w:r w:rsidR="00225E9F">
        <w:rPr>
          <w:noProof/>
        </w:rPr>
        <w:t xml:space="preserve">. </w:t>
      </w:r>
      <w:r w:rsidR="006F210B" w:rsidRPr="5B0CFBD6">
        <w:rPr>
          <w:noProof/>
        </w:rPr>
        <w:t>This is complemented by EUR</w:t>
      </w:r>
      <w:r w:rsidR="005847DF">
        <w:rPr>
          <w:rFonts w:ascii="Calibri" w:hAnsi="Calibri" w:cs="Calibri"/>
          <w:noProof/>
        </w:rPr>
        <w:t> </w:t>
      </w:r>
      <w:r w:rsidR="006F210B" w:rsidRPr="5B0CFBD6">
        <w:rPr>
          <w:noProof/>
        </w:rPr>
        <w:t>5.7</w:t>
      </w:r>
      <w:r w:rsidR="005847DF">
        <w:rPr>
          <w:rFonts w:ascii="Calibri" w:hAnsi="Calibri" w:cs="Calibri"/>
          <w:noProof/>
        </w:rPr>
        <w:t> </w:t>
      </w:r>
      <w:r w:rsidR="006F210B" w:rsidRPr="5B0CFBD6">
        <w:rPr>
          <w:noProof/>
        </w:rPr>
        <w:t xml:space="preserve">billion </w:t>
      </w:r>
      <w:r w:rsidR="00E65741">
        <w:rPr>
          <w:noProof/>
        </w:rPr>
        <w:t>for</w:t>
      </w:r>
      <w:r w:rsidR="006F210B" w:rsidRPr="5B0CFBD6">
        <w:rPr>
          <w:noProof/>
        </w:rPr>
        <w:t xml:space="preserve"> education infrastructure, equipment, skills development and education cooperation across borders under the European Regional Development Fund (including Interreg).</w:t>
      </w:r>
    </w:p>
    <w:p w14:paraId="2F5B8B27" w14:textId="3270CA59" w:rsidR="00521842" w:rsidRDefault="00345BCD" w:rsidP="00521842">
      <w:pPr>
        <w:pStyle w:val="Heading4"/>
        <w:rPr>
          <w:lang w:eastAsia="fr-BE"/>
        </w:rPr>
      </w:pPr>
      <w:r>
        <w:rPr>
          <w:noProof/>
        </w:rPr>
        <w:t xml:space="preserve">Supporting </w:t>
      </w:r>
      <w:r w:rsidR="00F9711F">
        <w:rPr>
          <w:noProof/>
        </w:rPr>
        <w:t xml:space="preserve">learning and </w:t>
      </w:r>
      <w:r w:rsidR="002963B2">
        <w:rPr>
          <w:noProof/>
        </w:rPr>
        <w:t xml:space="preserve">educational </w:t>
      </w:r>
      <w:r w:rsidR="00F9711F">
        <w:rPr>
          <w:noProof/>
        </w:rPr>
        <w:t>mobility</w:t>
      </w:r>
    </w:p>
    <w:p w14:paraId="42E8DC68" w14:textId="6A7CDF63" w:rsidR="00CE73C0" w:rsidRDefault="00743631" w:rsidP="000D7D9F">
      <w:pPr>
        <w:rPr>
          <w:noProof/>
        </w:rPr>
      </w:pPr>
      <w:r w:rsidRPr="00F11A93">
        <w:rPr>
          <w:rStyle w:val="Bold"/>
        </w:rPr>
        <w:t>Th</w:t>
      </w:r>
      <w:r w:rsidR="006A0649" w:rsidRPr="00F11A93">
        <w:rPr>
          <w:rStyle w:val="Bold"/>
        </w:rPr>
        <w:t>roughout 2025, the</w:t>
      </w:r>
      <w:r w:rsidR="00154B65" w:rsidRPr="00F11A93">
        <w:rPr>
          <w:rStyle w:val="Bold"/>
        </w:rPr>
        <w:t xml:space="preserve"> </w:t>
      </w:r>
      <w:r w:rsidRPr="00F11A93">
        <w:rPr>
          <w:rStyle w:val="Bold"/>
        </w:rPr>
        <w:t>Erasmus</w:t>
      </w:r>
      <w:r w:rsidR="002508B0" w:rsidRPr="00F11A93">
        <w:rPr>
          <w:rStyle w:val="Bold"/>
        </w:rPr>
        <w:t xml:space="preserve">+ programme </w:t>
      </w:r>
      <w:r w:rsidR="003A11D9" w:rsidRPr="00F11A93">
        <w:rPr>
          <w:rStyle w:val="Bold"/>
        </w:rPr>
        <w:t xml:space="preserve">helped </w:t>
      </w:r>
      <w:r w:rsidR="002508B0" w:rsidRPr="00F11A93">
        <w:rPr>
          <w:rStyle w:val="Bold"/>
        </w:rPr>
        <w:t xml:space="preserve">to </w:t>
      </w:r>
      <w:r w:rsidR="00F2628E" w:rsidRPr="00F11A93">
        <w:rPr>
          <w:rStyle w:val="Bold"/>
        </w:rPr>
        <w:t>promote</w:t>
      </w:r>
      <w:r w:rsidR="002508B0" w:rsidRPr="00F11A93">
        <w:rPr>
          <w:rStyle w:val="Bold"/>
        </w:rPr>
        <w:t xml:space="preserve"> transnational learning mobility, </w:t>
      </w:r>
      <w:r w:rsidR="00C04CFF" w:rsidRPr="00F11A93">
        <w:rPr>
          <w:rStyle w:val="Bold"/>
        </w:rPr>
        <w:t xml:space="preserve">cross-organisational </w:t>
      </w:r>
      <w:r w:rsidR="007A5C27" w:rsidRPr="00F11A93">
        <w:rPr>
          <w:rStyle w:val="Bold"/>
        </w:rPr>
        <w:t>cooperation and</w:t>
      </w:r>
      <w:r w:rsidR="003A11D9" w:rsidRPr="00F11A93">
        <w:rPr>
          <w:rStyle w:val="Bold"/>
        </w:rPr>
        <w:t xml:space="preserve"> to</w:t>
      </w:r>
      <w:r w:rsidR="007A5C27" w:rsidRPr="00F11A93">
        <w:rPr>
          <w:rStyle w:val="Bold"/>
        </w:rPr>
        <w:t xml:space="preserve"> </w:t>
      </w:r>
      <w:r w:rsidR="005F15D5" w:rsidRPr="00F11A93">
        <w:rPr>
          <w:rStyle w:val="Bold"/>
        </w:rPr>
        <w:t xml:space="preserve">enrich the lives of </w:t>
      </w:r>
      <w:r w:rsidR="004F0ABF" w:rsidRPr="00F11A93">
        <w:rPr>
          <w:rStyle w:val="Bold"/>
        </w:rPr>
        <w:t>people in Europe</w:t>
      </w:r>
      <w:r w:rsidR="005F15D5" w:rsidRPr="00EE3E9D">
        <w:rPr>
          <w:rStyle w:val="Bold"/>
        </w:rPr>
        <w:t>.</w:t>
      </w:r>
      <w:r w:rsidR="005F15D5">
        <w:rPr>
          <w:noProof/>
        </w:rPr>
        <w:t xml:space="preserve"> </w:t>
      </w:r>
      <w:r w:rsidR="00A128A2">
        <w:rPr>
          <w:noProof/>
        </w:rPr>
        <w:t>Since 2021</w:t>
      </w:r>
      <w:r w:rsidR="00FA3949">
        <w:rPr>
          <w:noProof/>
        </w:rPr>
        <w:t xml:space="preserve">, Erasmus+ </w:t>
      </w:r>
      <w:r w:rsidR="005F1E3B">
        <w:rPr>
          <w:noProof/>
        </w:rPr>
        <w:t xml:space="preserve">has </w:t>
      </w:r>
      <w:r w:rsidR="00994A97">
        <w:rPr>
          <w:noProof/>
        </w:rPr>
        <w:t>supported more than 3.8</w:t>
      </w:r>
      <w:r w:rsidR="00EB0E5C">
        <w:rPr>
          <w:rFonts w:ascii="Calibri" w:hAnsi="Calibri" w:cs="Calibri"/>
          <w:noProof/>
        </w:rPr>
        <w:t> </w:t>
      </w:r>
      <w:r w:rsidR="00EB0E5C">
        <w:rPr>
          <w:noProof/>
        </w:rPr>
        <w:t>million</w:t>
      </w:r>
      <w:r w:rsidR="00994A97">
        <w:rPr>
          <w:noProof/>
        </w:rPr>
        <w:t xml:space="preserve"> </w:t>
      </w:r>
      <w:r w:rsidR="00EF0CE5">
        <w:rPr>
          <w:noProof/>
        </w:rPr>
        <w:t>learners</w:t>
      </w:r>
      <w:r w:rsidR="00FD79DE">
        <w:rPr>
          <w:noProof/>
        </w:rPr>
        <w:t xml:space="preserve"> in their mobility activities</w:t>
      </w:r>
      <w:r w:rsidR="004464F6">
        <w:rPr>
          <w:noProof/>
        </w:rPr>
        <w:t>, with over 1.5</w:t>
      </w:r>
      <w:r w:rsidR="00982C0D">
        <w:rPr>
          <w:rFonts w:ascii="Calibri" w:hAnsi="Calibri" w:cs="Calibri"/>
          <w:noProof/>
        </w:rPr>
        <w:t> </w:t>
      </w:r>
      <w:r w:rsidR="004464F6">
        <w:rPr>
          <w:noProof/>
        </w:rPr>
        <w:t>million taking advantage of Erasmus+ mobility in 2025</w:t>
      </w:r>
      <w:r w:rsidR="00FD79DE">
        <w:rPr>
          <w:noProof/>
        </w:rPr>
        <w:t xml:space="preserve">. </w:t>
      </w:r>
      <w:r w:rsidR="005F1E3B">
        <w:rPr>
          <w:noProof/>
        </w:rPr>
        <w:t xml:space="preserve">In </w:t>
      </w:r>
      <w:r w:rsidR="00A627C3">
        <w:rPr>
          <w:noProof/>
        </w:rPr>
        <w:t>2025</w:t>
      </w:r>
      <w:r w:rsidR="00DC6932">
        <w:rPr>
          <w:noProof/>
        </w:rPr>
        <w:t xml:space="preserve">, 321 </w:t>
      </w:r>
      <w:r w:rsidR="00CE73C0">
        <w:rPr>
          <w:noProof/>
        </w:rPr>
        <w:t>capacity</w:t>
      </w:r>
      <w:r w:rsidR="00DC6932">
        <w:rPr>
          <w:noProof/>
        </w:rPr>
        <w:t xml:space="preserve">-building projects were selected, aiming to promote </w:t>
      </w:r>
      <w:r w:rsidR="00A06E1B">
        <w:rPr>
          <w:noProof/>
        </w:rPr>
        <w:t xml:space="preserve">international </w:t>
      </w:r>
      <w:r w:rsidR="00B771DB">
        <w:rPr>
          <w:noProof/>
        </w:rPr>
        <w:t xml:space="preserve">cooperation between </w:t>
      </w:r>
      <w:r w:rsidR="001631D4">
        <w:rPr>
          <w:noProof/>
        </w:rPr>
        <w:t>organisations active in</w:t>
      </w:r>
      <w:r w:rsidR="00B771DB">
        <w:rPr>
          <w:noProof/>
        </w:rPr>
        <w:t xml:space="preserve"> higher educ</w:t>
      </w:r>
      <w:r w:rsidR="003B0A15">
        <w:rPr>
          <w:noProof/>
        </w:rPr>
        <w:t>a</w:t>
      </w:r>
      <w:r w:rsidR="00B771DB">
        <w:rPr>
          <w:noProof/>
        </w:rPr>
        <w:t>tion</w:t>
      </w:r>
      <w:r w:rsidR="00BD18BB">
        <w:rPr>
          <w:noProof/>
        </w:rPr>
        <w:t xml:space="preserve">, vocational </w:t>
      </w:r>
      <w:r w:rsidR="00B27208">
        <w:rPr>
          <w:noProof/>
        </w:rPr>
        <w:t>education and training</w:t>
      </w:r>
      <w:r w:rsidR="0005542E">
        <w:rPr>
          <w:noProof/>
        </w:rPr>
        <w:t>, youth</w:t>
      </w:r>
      <w:r w:rsidR="00792762">
        <w:rPr>
          <w:noProof/>
        </w:rPr>
        <w:t xml:space="preserve"> and sport</w:t>
      </w:r>
      <w:r w:rsidR="00B771DB">
        <w:rPr>
          <w:noProof/>
        </w:rPr>
        <w:t xml:space="preserve"> </w:t>
      </w:r>
      <w:r w:rsidR="001B2DBB">
        <w:rPr>
          <w:noProof/>
        </w:rPr>
        <w:t>within and beyond the EU</w:t>
      </w:r>
      <w:r w:rsidR="00D776B6">
        <w:rPr>
          <w:noProof/>
        </w:rPr>
        <w:t xml:space="preserve">. </w:t>
      </w:r>
    </w:p>
    <w:p w14:paraId="0D014A38" w14:textId="7EC8B35B" w:rsidR="00A77B6B" w:rsidRDefault="00AF090A" w:rsidP="0048327C">
      <w:pPr>
        <w:rPr>
          <w:noProof/>
        </w:rPr>
      </w:pPr>
      <w:r w:rsidRPr="00F11A93">
        <w:rPr>
          <w:rStyle w:val="Bold"/>
        </w:rPr>
        <w:t>Moreover, s</w:t>
      </w:r>
      <w:r w:rsidR="00BF24A4" w:rsidRPr="00F11A93">
        <w:rPr>
          <w:rStyle w:val="Bold"/>
        </w:rPr>
        <w:t>ince</w:t>
      </w:r>
      <w:r w:rsidR="00A3083D" w:rsidRPr="00F11A93">
        <w:rPr>
          <w:rStyle w:val="Bold"/>
        </w:rPr>
        <w:t xml:space="preserve"> the start of </w:t>
      </w:r>
      <w:r w:rsidR="00DB591D" w:rsidRPr="00F11A93">
        <w:rPr>
          <w:rStyle w:val="Bold"/>
        </w:rPr>
        <w:t xml:space="preserve">Russia’s war of aggression against Ukraine, </w:t>
      </w:r>
      <w:r w:rsidR="00361B11" w:rsidRPr="00F11A93">
        <w:rPr>
          <w:rStyle w:val="Bold"/>
        </w:rPr>
        <w:t xml:space="preserve">the Commission has mobilised over </w:t>
      </w:r>
      <w:r w:rsidR="00EB0E5C" w:rsidRPr="00F11A93">
        <w:rPr>
          <w:rStyle w:val="Bold"/>
        </w:rPr>
        <w:t>EUR</w:t>
      </w:r>
      <w:r w:rsidR="00EB0E5C" w:rsidRPr="00F11A93">
        <w:rPr>
          <w:rStyle w:val="Bold"/>
          <w:rFonts w:ascii="Calibri" w:hAnsi="Calibri" w:cs="Calibri"/>
        </w:rPr>
        <w:t> </w:t>
      </w:r>
      <w:r w:rsidR="00361B11" w:rsidRPr="00F11A93">
        <w:rPr>
          <w:rStyle w:val="Bold"/>
        </w:rPr>
        <w:t>200</w:t>
      </w:r>
      <w:r w:rsidR="00EB0E5C" w:rsidRPr="00F11A93">
        <w:rPr>
          <w:rStyle w:val="Bold"/>
          <w:rFonts w:ascii="Calibri" w:hAnsi="Calibri" w:cs="Calibri"/>
        </w:rPr>
        <w:t> </w:t>
      </w:r>
      <w:r w:rsidR="00EB0E5C" w:rsidRPr="00F11A93">
        <w:rPr>
          <w:rStyle w:val="Bold"/>
        </w:rPr>
        <w:t>million</w:t>
      </w:r>
      <w:r w:rsidR="00361B11" w:rsidRPr="00F11A93">
        <w:rPr>
          <w:rStyle w:val="Bold"/>
        </w:rPr>
        <w:t xml:space="preserve"> through Erasmus+</w:t>
      </w:r>
      <w:r w:rsidR="00805039">
        <w:rPr>
          <w:noProof/>
        </w:rPr>
        <w:t xml:space="preserve"> to support projects </w:t>
      </w:r>
      <w:r w:rsidR="00910C97">
        <w:rPr>
          <w:noProof/>
        </w:rPr>
        <w:t xml:space="preserve">promoting educational activities and facilitating integration </w:t>
      </w:r>
      <w:r w:rsidR="00F24ED7">
        <w:rPr>
          <w:noProof/>
        </w:rPr>
        <w:t xml:space="preserve">into new learning environments of individuals fleeing from </w:t>
      </w:r>
      <w:r w:rsidR="00D655C4">
        <w:rPr>
          <w:noProof/>
        </w:rPr>
        <w:t xml:space="preserve">the war. </w:t>
      </w:r>
      <w:r w:rsidR="005F1E3B">
        <w:rPr>
          <w:noProof/>
        </w:rPr>
        <w:t>F</w:t>
      </w:r>
      <w:r w:rsidR="0086075D">
        <w:rPr>
          <w:noProof/>
        </w:rPr>
        <w:t xml:space="preserve">urther </w:t>
      </w:r>
      <w:r w:rsidR="00C008A6">
        <w:rPr>
          <w:noProof/>
        </w:rPr>
        <w:t>focus</w:t>
      </w:r>
      <w:r w:rsidR="0086075D">
        <w:rPr>
          <w:noProof/>
        </w:rPr>
        <w:t xml:space="preserve"> has been </w:t>
      </w:r>
      <w:r w:rsidR="00037162">
        <w:rPr>
          <w:noProof/>
        </w:rPr>
        <w:t xml:space="preserve">given to sector-specific priorities under </w:t>
      </w:r>
      <w:r w:rsidR="002D6D7F">
        <w:rPr>
          <w:noProof/>
        </w:rPr>
        <w:t xml:space="preserve">‘partnerships for cooperation’. </w:t>
      </w:r>
      <w:r w:rsidR="00B50C31">
        <w:rPr>
          <w:noProof/>
        </w:rPr>
        <w:t>Since 2023, grants supporting this priori</w:t>
      </w:r>
      <w:r w:rsidR="00F1017A">
        <w:rPr>
          <w:noProof/>
        </w:rPr>
        <w:t>t</w:t>
      </w:r>
      <w:r w:rsidR="00B50C31">
        <w:rPr>
          <w:noProof/>
        </w:rPr>
        <w:t>y have</w:t>
      </w:r>
      <w:r w:rsidR="0086075D">
        <w:rPr>
          <w:noProof/>
        </w:rPr>
        <w:t xml:space="preserve"> </w:t>
      </w:r>
      <w:r w:rsidR="005B7E38">
        <w:rPr>
          <w:noProof/>
        </w:rPr>
        <w:t xml:space="preserve">amounted to </w:t>
      </w:r>
      <w:r w:rsidR="005B7E38" w:rsidDel="00EB0E5C">
        <w:rPr>
          <w:noProof/>
        </w:rPr>
        <w:t>EUR</w:t>
      </w:r>
      <w:r w:rsidR="00EB0E5C">
        <w:rPr>
          <w:rFonts w:ascii="Calibri" w:hAnsi="Calibri" w:cs="Calibri"/>
          <w:noProof/>
        </w:rPr>
        <w:t> </w:t>
      </w:r>
      <w:r w:rsidR="005B7E38">
        <w:rPr>
          <w:noProof/>
        </w:rPr>
        <w:t>48</w:t>
      </w:r>
      <w:r w:rsidR="00EB0E5C">
        <w:rPr>
          <w:rFonts w:ascii="Calibri" w:hAnsi="Calibri" w:cs="Calibri"/>
          <w:noProof/>
        </w:rPr>
        <w:t> </w:t>
      </w:r>
      <w:r w:rsidR="005B7E38" w:rsidDel="00EB0E5C">
        <w:rPr>
          <w:noProof/>
        </w:rPr>
        <w:t>million</w:t>
      </w:r>
      <w:r w:rsidR="005B7E38">
        <w:rPr>
          <w:noProof/>
        </w:rPr>
        <w:t xml:space="preserve">. </w:t>
      </w:r>
      <w:r w:rsidR="00F37AD0">
        <w:rPr>
          <w:noProof/>
        </w:rPr>
        <w:t>S</w:t>
      </w:r>
      <w:r w:rsidR="008D7072">
        <w:rPr>
          <w:noProof/>
        </w:rPr>
        <w:t xml:space="preserve">upport has </w:t>
      </w:r>
      <w:r w:rsidR="00F37AD0">
        <w:rPr>
          <w:noProof/>
        </w:rPr>
        <w:t xml:space="preserve">also </w:t>
      </w:r>
      <w:r w:rsidR="008D7072">
        <w:rPr>
          <w:noProof/>
        </w:rPr>
        <w:t xml:space="preserve">been provided to </w:t>
      </w:r>
      <w:r w:rsidR="00D7227E">
        <w:rPr>
          <w:noProof/>
        </w:rPr>
        <w:t xml:space="preserve">organisations, learners and staff in Ukraine. </w:t>
      </w:r>
      <w:r w:rsidR="00170160">
        <w:rPr>
          <w:noProof/>
        </w:rPr>
        <w:t xml:space="preserve">Since 2022, </w:t>
      </w:r>
      <w:r w:rsidR="00170160" w:rsidRPr="00A8387D">
        <w:rPr>
          <w:noProof/>
        </w:rPr>
        <w:t xml:space="preserve">a total of </w:t>
      </w:r>
      <w:r w:rsidR="00170160" w:rsidRPr="00A8387D" w:rsidDel="00EB0E5C">
        <w:rPr>
          <w:noProof/>
        </w:rPr>
        <w:t>EUR</w:t>
      </w:r>
      <w:r w:rsidR="00EB0E5C">
        <w:rPr>
          <w:rFonts w:ascii="Calibri" w:hAnsi="Calibri" w:cs="Calibri"/>
          <w:noProof/>
        </w:rPr>
        <w:t> </w:t>
      </w:r>
      <w:r w:rsidR="00DE5AE1">
        <w:rPr>
          <w:noProof/>
        </w:rPr>
        <w:t>31</w:t>
      </w:r>
      <w:r w:rsidR="00EB0E5C">
        <w:rPr>
          <w:rFonts w:ascii="Calibri" w:hAnsi="Calibri" w:cs="Calibri"/>
          <w:noProof/>
        </w:rPr>
        <w:t> </w:t>
      </w:r>
      <w:r w:rsidR="00EB0E5C">
        <w:rPr>
          <w:noProof/>
        </w:rPr>
        <w:t>million</w:t>
      </w:r>
      <w:r w:rsidR="00170160" w:rsidRPr="00A8387D">
        <w:rPr>
          <w:noProof/>
        </w:rPr>
        <w:t xml:space="preserve"> </w:t>
      </w:r>
      <w:r w:rsidR="00170160">
        <w:rPr>
          <w:noProof/>
        </w:rPr>
        <w:t xml:space="preserve">has been </w:t>
      </w:r>
      <w:r w:rsidR="00170160" w:rsidRPr="00A8387D">
        <w:rPr>
          <w:noProof/>
        </w:rPr>
        <w:t>contracted in grants for Ukrainian organisations</w:t>
      </w:r>
      <w:r w:rsidR="0077407B">
        <w:rPr>
          <w:noProof/>
        </w:rPr>
        <w:t xml:space="preserve"> focused on </w:t>
      </w:r>
      <w:r w:rsidR="0077407B" w:rsidRPr="00A8387D">
        <w:rPr>
          <w:noProof/>
        </w:rPr>
        <w:t>capacity-building projects in higher education, vocational education and training, youth and sport</w:t>
      </w:r>
      <w:r w:rsidR="0077407B">
        <w:rPr>
          <w:noProof/>
        </w:rPr>
        <w:t>.</w:t>
      </w:r>
    </w:p>
    <w:p w14:paraId="7A0B186F" w14:textId="55087CE8" w:rsidR="00D425C3" w:rsidRPr="00431AE2" w:rsidRDefault="00F55C81" w:rsidP="00D425C3">
      <w:pPr>
        <w:pStyle w:val="amprboxBLUEBoxTitle"/>
      </w:pPr>
      <w:r>
        <w:rPr>
          <w:noProof/>
        </w:rPr>
        <w:t>Fostering solidarity through volunteering</w:t>
      </w:r>
    </w:p>
    <w:p w14:paraId="16B5641F" w14:textId="0E331C01" w:rsidR="00D425C3" w:rsidRDefault="002533C1" w:rsidP="00D425C3">
      <w:pPr>
        <w:pStyle w:val="amprboxBLUEtext"/>
        <w:rPr>
          <w:lang w:eastAsia="en-IE"/>
        </w:rPr>
      </w:pPr>
      <w:r>
        <w:t>The European Solidarity Corps provides young people aged between 18 and 30</w:t>
      </w:r>
      <w:r w:rsidR="0001003B">
        <w:rPr>
          <w:rFonts w:ascii="Calibri" w:hAnsi="Calibri" w:cs="Calibri"/>
        </w:rPr>
        <w:t> </w:t>
      </w:r>
      <w:r>
        <w:t xml:space="preserve">years (35 in case of humanitarian aid activities) with the opportunity to take part in volunteering and solidarity activities either abroad or in their own country. </w:t>
      </w:r>
      <w:r w:rsidRPr="00442D92">
        <w:rPr>
          <w:rStyle w:val="Bold"/>
          <w:b w:val="0"/>
          <w:bCs/>
        </w:rPr>
        <w:t xml:space="preserve">Since 2021, over </w:t>
      </w:r>
      <w:r>
        <w:t>120</w:t>
      </w:r>
      <w:r w:rsidR="00EE42FB">
        <w:rPr>
          <w:rFonts w:ascii="Calibri" w:hAnsi="Calibri" w:cs="Calibri"/>
          <w:noProof/>
        </w:rPr>
        <w:t> </w:t>
      </w:r>
      <w:r w:rsidR="00EE42FB">
        <w:rPr>
          <w:noProof/>
        </w:rPr>
        <w:t>000</w:t>
      </w:r>
      <w:r>
        <w:t xml:space="preserve"> </w:t>
      </w:r>
      <w:r>
        <w:rPr>
          <w:rStyle w:val="Bold"/>
          <w:b w:val="0"/>
          <w:bCs/>
        </w:rPr>
        <w:t xml:space="preserve">opportunities for </w:t>
      </w:r>
      <w:r w:rsidRPr="00442D92">
        <w:rPr>
          <w:rStyle w:val="Bold"/>
          <w:b w:val="0"/>
          <w:bCs/>
        </w:rPr>
        <w:t xml:space="preserve">young people </w:t>
      </w:r>
      <w:r>
        <w:rPr>
          <w:rStyle w:val="Bold"/>
          <w:b w:val="0"/>
          <w:bCs/>
        </w:rPr>
        <w:t xml:space="preserve">have been created, and </w:t>
      </w:r>
      <w:r>
        <w:t>12</w:t>
      </w:r>
      <w:r w:rsidR="00E33E02">
        <w:rPr>
          <w:rFonts w:ascii="Calibri" w:hAnsi="Calibri" w:cs="Calibri"/>
          <w:noProof/>
        </w:rPr>
        <w:t> </w:t>
      </w:r>
      <w:r>
        <w:t xml:space="preserve">000 </w:t>
      </w:r>
      <w:r>
        <w:rPr>
          <w:rStyle w:val="Bold"/>
          <w:b w:val="0"/>
          <w:bCs/>
        </w:rPr>
        <w:t>projects have benefited from grants. T</w:t>
      </w:r>
      <w:r w:rsidRPr="00670115">
        <w:rPr>
          <w:rStyle w:val="Bold"/>
          <w:b w:val="0"/>
          <w:bCs/>
        </w:rPr>
        <w:t>he European Solidarity Corps has provided support for projects and activities on four cross-cutting priorities</w:t>
      </w:r>
      <w:r w:rsidRPr="001C03A6">
        <w:rPr>
          <w:noProof/>
        </w:rPr>
        <w:t>: promoting inclusion and diversity; contributing to the green and digital transitions; contributing to democratic participation; and contributing to EU values.</w:t>
      </w:r>
      <w:r>
        <w:rPr>
          <w:noProof/>
        </w:rPr>
        <w:t xml:space="preserve"> In 2025, the Commission expanded </w:t>
      </w:r>
      <w:r w:rsidR="00681331">
        <w:rPr>
          <w:noProof/>
        </w:rPr>
        <w:t>this</w:t>
      </w:r>
      <w:r>
        <w:rPr>
          <w:noProof/>
        </w:rPr>
        <w:t xml:space="preserve"> to include the promotion of waste management and recycling solutions. </w:t>
      </w:r>
      <w:r>
        <w:t>T</w:t>
      </w:r>
      <w:r w:rsidRPr="0053402E">
        <w:t xml:space="preserve">he volunteering opportunities </w:t>
      </w:r>
      <w:r>
        <w:t xml:space="preserve">through the </w:t>
      </w:r>
      <w:r w:rsidRPr="0053402E">
        <w:t>Humanitarian Aid strand enabl</w:t>
      </w:r>
      <w:r>
        <w:t>ed</w:t>
      </w:r>
      <w:r w:rsidRPr="0053402E">
        <w:t xml:space="preserve"> nearly 400 young people to support vulnerable communities in 35 countries</w:t>
      </w:r>
      <w:r w:rsidR="00A17BBF">
        <w:t>.</w:t>
      </w:r>
    </w:p>
    <w:p w14:paraId="1806BA85" w14:textId="77777777" w:rsidR="00C7705C" w:rsidRPr="00731DA8" w:rsidRDefault="00C7705C" w:rsidP="00C7705C">
      <w:pPr>
        <w:keepNext/>
        <w:keepLines/>
        <w:spacing w:before="480"/>
        <w:outlineLvl w:val="3"/>
        <w:rPr>
          <w:rFonts w:asciiTheme="majorHAnsi" w:hAnsiTheme="majorHAnsi"/>
          <w:color w:val="003399" w:themeColor="text2"/>
          <w:sz w:val="28"/>
          <w:lang w:eastAsia="fr-BE"/>
        </w:rPr>
      </w:pPr>
      <w:r w:rsidRPr="00731DA8">
        <w:rPr>
          <w:rFonts w:asciiTheme="majorHAnsi" w:hAnsiTheme="majorHAnsi"/>
          <w:color w:val="003399" w:themeColor="text2"/>
          <w:sz w:val="28"/>
          <w:lang w:eastAsia="fr-BE"/>
        </w:rPr>
        <w:t xml:space="preserve">Investing in </w:t>
      </w:r>
      <w:r>
        <w:rPr>
          <w:rFonts w:asciiTheme="majorHAnsi" w:hAnsiTheme="majorHAnsi"/>
          <w:color w:val="003399" w:themeColor="text2"/>
          <w:sz w:val="28"/>
          <w:lang w:eastAsia="fr-BE"/>
        </w:rPr>
        <w:t>culture</w:t>
      </w:r>
    </w:p>
    <w:p w14:paraId="552E2CAC" w14:textId="19FCF42C" w:rsidR="00C7705C" w:rsidRDefault="00C7705C" w:rsidP="00C7705C">
      <w:pPr>
        <w:rPr>
          <w:bCs/>
          <w:spacing w:val="1"/>
        </w:rPr>
      </w:pPr>
      <w:r w:rsidRPr="007C72E4">
        <w:rPr>
          <w:bCs/>
          <w:spacing w:val="1"/>
        </w:rPr>
        <w:t xml:space="preserve">The </w:t>
      </w:r>
      <w:r w:rsidR="00A65AA5">
        <w:rPr>
          <w:b/>
          <w:spacing w:val="1"/>
        </w:rPr>
        <w:t>c</w:t>
      </w:r>
      <w:r w:rsidRPr="00820467">
        <w:rPr>
          <w:b/>
          <w:spacing w:val="1"/>
        </w:rPr>
        <w:t>reative Europe programme</w:t>
      </w:r>
      <w:r w:rsidRPr="007C72E4">
        <w:rPr>
          <w:bCs/>
          <w:spacing w:val="1"/>
        </w:rPr>
        <w:t xml:space="preserve"> is the EU’s flagship programme to support the culture and audiovisual sectors, with a budget for the 2021-2027 period amounting </w:t>
      </w:r>
      <w:r w:rsidRPr="00C7705C">
        <w:rPr>
          <w:bCs/>
          <w:spacing w:val="1"/>
        </w:rPr>
        <w:t xml:space="preserve">to </w:t>
      </w:r>
      <w:r w:rsidRPr="00C7705C">
        <w:rPr>
          <w:rStyle w:val="Bold"/>
          <w:b w:val="0"/>
          <w:bCs/>
        </w:rPr>
        <w:t>EUR</w:t>
      </w:r>
      <w:r w:rsidRPr="00C7705C">
        <w:rPr>
          <w:rStyle w:val="Bold"/>
          <w:rFonts w:ascii="Calibri" w:hAnsi="Calibri" w:cs="Calibri"/>
          <w:b w:val="0"/>
          <w:bCs/>
        </w:rPr>
        <w:t> </w:t>
      </w:r>
      <w:r w:rsidRPr="00C7705C">
        <w:rPr>
          <w:rStyle w:val="Bold"/>
          <w:b w:val="0"/>
          <w:bCs/>
        </w:rPr>
        <w:t>2</w:t>
      </w:r>
      <w:r>
        <w:rPr>
          <w:rStyle w:val="Bold"/>
          <w:b w:val="0"/>
          <w:bCs/>
        </w:rPr>
        <w:t>.44</w:t>
      </w:r>
      <w:r w:rsidRPr="00C7705C">
        <w:rPr>
          <w:rStyle w:val="Bold"/>
          <w:rFonts w:ascii="Calibri" w:hAnsi="Calibri" w:cs="Calibri"/>
          <w:b w:val="0"/>
          <w:bCs/>
        </w:rPr>
        <w:t> </w:t>
      </w:r>
      <w:r>
        <w:rPr>
          <w:rStyle w:val="Bold"/>
          <w:rFonts w:ascii="Calibri" w:hAnsi="Calibri" w:cs="Calibri"/>
          <w:b w:val="0"/>
          <w:bCs/>
        </w:rPr>
        <w:t>b</w:t>
      </w:r>
      <w:r w:rsidRPr="00C7705C">
        <w:rPr>
          <w:rStyle w:val="Bold"/>
          <w:b w:val="0"/>
          <w:bCs/>
        </w:rPr>
        <w:t>illion</w:t>
      </w:r>
      <w:r w:rsidRPr="007C72E4">
        <w:rPr>
          <w:bCs/>
          <w:spacing w:val="1"/>
        </w:rPr>
        <w:t xml:space="preserve">, with </w:t>
      </w:r>
      <w:r w:rsidRPr="00C7705C">
        <w:rPr>
          <w:rStyle w:val="Bold"/>
          <w:b w:val="0"/>
          <w:bCs/>
        </w:rPr>
        <w:t>EUR</w:t>
      </w:r>
      <w:r w:rsidRPr="00C7705C">
        <w:rPr>
          <w:rStyle w:val="Bold"/>
          <w:rFonts w:ascii="Calibri" w:hAnsi="Calibri" w:cs="Calibri"/>
          <w:b w:val="0"/>
          <w:bCs/>
        </w:rPr>
        <w:t> </w:t>
      </w:r>
      <w:r>
        <w:rPr>
          <w:rStyle w:val="Bold"/>
          <w:b w:val="0"/>
          <w:bCs/>
        </w:rPr>
        <w:t>364.2</w:t>
      </w:r>
      <w:r w:rsidRPr="00C7705C">
        <w:rPr>
          <w:rStyle w:val="Bold"/>
          <w:rFonts w:ascii="Calibri" w:hAnsi="Calibri" w:cs="Calibri"/>
          <w:b w:val="0"/>
          <w:bCs/>
        </w:rPr>
        <w:t> </w:t>
      </w:r>
      <w:r w:rsidR="000F2D5F">
        <w:rPr>
          <w:rStyle w:val="Bold"/>
          <w:rFonts w:ascii="Calibri" w:hAnsi="Calibri" w:cs="Calibri"/>
          <w:b w:val="0"/>
          <w:bCs/>
        </w:rPr>
        <w:t>m</w:t>
      </w:r>
      <w:r w:rsidRPr="00C7705C">
        <w:rPr>
          <w:rStyle w:val="Bold"/>
          <w:b w:val="0"/>
          <w:bCs/>
        </w:rPr>
        <w:t>illion</w:t>
      </w:r>
      <w:r w:rsidRPr="007C72E4">
        <w:rPr>
          <w:bCs/>
          <w:spacing w:val="1"/>
        </w:rPr>
        <w:t xml:space="preserve"> for 202</w:t>
      </w:r>
      <w:r>
        <w:rPr>
          <w:bCs/>
          <w:spacing w:val="1"/>
        </w:rPr>
        <w:t>5</w:t>
      </w:r>
      <w:r w:rsidRPr="007C72E4">
        <w:rPr>
          <w:bCs/>
          <w:spacing w:val="1"/>
        </w:rPr>
        <w:t>.</w:t>
      </w:r>
      <w:r w:rsidRPr="006938C4">
        <w:rPr>
          <w:bCs/>
          <w:spacing w:val="1"/>
        </w:rPr>
        <w:t xml:space="preserve"> </w:t>
      </w:r>
      <w:r>
        <w:rPr>
          <w:bCs/>
          <w:spacing w:val="1"/>
        </w:rPr>
        <w:t>T</w:t>
      </w:r>
      <w:r w:rsidRPr="006938C4">
        <w:rPr>
          <w:bCs/>
          <w:spacing w:val="1"/>
        </w:rPr>
        <w:t>he adoption of the Culture Compass for Europe, a new strategic framework for European cultural policy, was a major milestone in 2025.</w:t>
      </w:r>
      <w:r w:rsidRPr="00FB11F4">
        <w:t xml:space="preserve"> </w:t>
      </w:r>
      <w:r w:rsidRPr="00FB11F4">
        <w:rPr>
          <w:bCs/>
          <w:spacing w:val="1"/>
        </w:rPr>
        <w:t>With 20 flagship initiatives, the Culture Compass</w:t>
      </w:r>
      <w:r>
        <w:rPr>
          <w:bCs/>
          <w:spacing w:val="1"/>
        </w:rPr>
        <w:t xml:space="preserve"> will provide </w:t>
      </w:r>
      <w:r w:rsidRPr="0053402E">
        <w:t xml:space="preserve">shared principles for </w:t>
      </w:r>
      <w:r>
        <w:t xml:space="preserve">future </w:t>
      </w:r>
      <w:r w:rsidRPr="0053402E">
        <w:t xml:space="preserve">cultural policy cooperation at </w:t>
      </w:r>
      <w:r w:rsidR="00A65AA5">
        <w:t xml:space="preserve">the </w:t>
      </w:r>
      <w:r w:rsidRPr="0053402E">
        <w:t>EU level</w:t>
      </w:r>
      <w:r>
        <w:t>.</w:t>
      </w:r>
    </w:p>
    <w:p w14:paraId="6774B0B4" w14:textId="555C6251" w:rsidR="00C7705C" w:rsidRDefault="00C7705C" w:rsidP="00C7705C">
      <w:pPr>
        <w:rPr>
          <w:bCs/>
          <w:noProof/>
        </w:rPr>
      </w:pPr>
      <w:r>
        <w:rPr>
          <w:bCs/>
          <w:noProof/>
        </w:rPr>
        <w:t xml:space="preserve">With a budget of </w:t>
      </w:r>
      <w:r w:rsidR="000F2D5F" w:rsidRPr="00C7705C">
        <w:rPr>
          <w:rStyle w:val="Bold"/>
          <w:b w:val="0"/>
          <w:bCs/>
        </w:rPr>
        <w:t>EUR</w:t>
      </w:r>
      <w:r w:rsidR="000F2D5F" w:rsidRPr="00C7705C">
        <w:rPr>
          <w:rStyle w:val="Bold"/>
          <w:rFonts w:ascii="Calibri" w:hAnsi="Calibri" w:cs="Calibri"/>
          <w:b w:val="0"/>
          <w:bCs/>
        </w:rPr>
        <w:t> </w:t>
      </w:r>
      <w:r w:rsidR="000F2D5F">
        <w:rPr>
          <w:rStyle w:val="Bold"/>
          <w:b w:val="0"/>
          <w:bCs/>
        </w:rPr>
        <w:t>182</w:t>
      </w:r>
      <w:r w:rsidR="000F2D5F" w:rsidRPr="00C7705C">
        <w:rPr>
          <w:rStyle w:val="Bold"/>
          <w:rFonts w:ascii="Calibri" w:hAnsi="Calibri" w:cs="Calibri"/>
          <w:b w:val="0"/>
          <w:bCs/>
        </w:rPr>
        <w:t> </w:t>
      </w:r>
      <w:r w:rsidR="000F2D5F">
        <w:rPr>
          <w:rStyle w:val="Bold"/>
          <w:rFonts w:ascii="Calibri" w:hAnsi="Calibri" w:cs="Calibri"/>
          <w:b w:val="0"/>
          <w:bCs/>
        </w:rPr>
        <w:t>m</w:t>
      </w:r>
      <w:r w:rsidR="000F2D5F" w:rsidRPr="00C7705C">
        <w:rPr>
          <w:rStyle w:val="Bold"/>
          <w:b w:val="0"/>
          <w:bCs/>
        </w:rPr>
        <w:t>illion</w:t>
      </w:r>
      <w:r>
        <w:rPr>
          <w:bCs/>
          <w:noProof/>
        </w:rPr>
        <w:t>, t</w:t>
      </w:r>
      <w:r w:rsidRPr="00540D80">
        <w:rPr>
          <w:bCs/>
          <w:noProof/>
        </w:rPr>
        <w:t xml:space="preserve">he </w:t>
      </w:r>
      <w:r>
        <w:rPr>
          <w:bCs/>
          <w:noProof/>
        </w:rPr>
        <w:t>M</w:t>
      </w:r>
      <w:r w:rsidR="00A65AA5">
        <w:rPr>
          <w:bCs/>
          <w:noProof/>
        </w:rPr>
        <w:t>edia</w:t>
      </w:r>
      <w:r w:rsidRPr="00540D80">
        <w:rPr>
          <w:bCs/>
          <w:noProof/>
        </w:rPr>
        <w:t xml:space="preserve"> strand attracted </w:t>
      </w:r>
      <w:r w:rsidR="000F2D5F">
        <w:rPr>
          <w:rStyle w:val="Bold"/>
          <w:b w:val="0"/>
          <w:bCs/>
        </w:rPr>
        <w:t>2</w:t>
      </w:r>
      <w:r w:rsidR="000F2D5F" w:rsidRPr="00C7705C">
        <w:rPr>
          <w:rStyle w:val="Bold"/>
          <w:rFonts w:ascii="Calibri" w:hAnsi="Calibri" w:cs="Calibri"/>
          <w:b w:val="0"/>
          <w:bCs/>
        </w:rPr>
        <w:t> </w:t>
      </w:r>
      <w:r w:rsidR="000F2D5F">
        <w:rPr>
          <w:rStyle w:val="Bold"/>
          <w:b w:val="0"/>
          <w:bCs/>
        </w:rPr>
        <w:t>165</w:t>
      </w:r>
      <w:r w:rsidRPr="00540D80">
        <w:rPr>
          <w:bCs/>
          <w:noProof/>
        </w:rPr>
        <w:t xml:space="preserve"> eligible proposals</w:t>
      </w:r>
      <w:r>
        <w:rPr>
          <w:bCs/>
          <w:noProof/>
        </w:rPr>
        <w:t xml:space="preserve"> in 2025. N</w:t>
      </w:r>
      <w:r w:rsidRPr="00174560">
        <w:rPr>
          <w:bCs/>
          <w:noProof/>
        </w:rPr>
        <w:t xml:space="preserve">umerous works created with the support of the </w:t>
      </w:r>
      <w:r>
        <w:rPr>
          <w:bCs/>
          <w:noProof/>
        </w:rPr>
        <w:t>M</w:t>
      </w:r>
      <w:r w:rsidR="00A65AA5">
        <w:rPr>
          <w:bCs/>
          <w:noProof/>
        </w:rPr>
        <w:t>edia</w:t>
      </w:r>
      <w:r w:rsidRPr="00174560">
        <w:rPr>
          <w:bCs/>
          <w:noProof/>
        </w:rPr>
        <w:t xml:space="preserve"> strand received international professional recognition</w:t>
      </w:r>
      <w:r>
        <w:rPr>
          <w:bCs/>
          <w:noProof/>
        </w:rPr>
        <w:t>, inc</w:t>
      </w:r>
      <w:r w:rsidR="002B1670">
        <w:rPr>
          <w:bCs/>
          <w:noProof/>
        </w:rPr>
        <w:t>l</w:t>
      </w:r>
      <w:r>
        <w:rPr>
          <w:bCs/>
          <w:noProof/>
        </w:rPr>
        <w:t>uding Oscar nominations for six films released in 2025. The Culture strand attracted a record number of applicants in 2025 (</w:t>
      </w:r>
      <w:r w:rsidR="000F2D5F">
        <w:rPr>
          <w:rStyle w:val="Bold"/>
          <w:b w:val="0"/>
          <w:bCs/>
        </w:rPr>
        <w:t>1</w:t>
      </w:r>
      <w:r w:rsidR="000F2D5F" w:rsidRPr="00C7705C">
        <w:rPr>
          <w:rStyle w:val="Bold"/>
          <w:rFonts w:ascii="Calibri" w:hAnsi="Calibri" w:cs="Calibri"/>
          <w:b w:val="0"/>
          <w:bCs/>
        </w:rPr>
        <w:t> </w:t>
      </w:r>
      <w:r w:rsidR="000F2D5F">
        <w:rPr>
          <w:rStyle w:val="Bold"/>
          <w:b w:val="0"/>
          <w:bCs/>
        </w:rPr>
        <w:t>648</w:t>
      </w:r>
      <w:r>
        <w:rPr>
          <w:bCs/>
          <w:noProof/>
        </w:rPr>
        <w:t>) with 122 projects selected.</w:t>
      </w:r>
    </w:p>
    <w:p w14:paraId="246F9B5A" w14:textId="6F66D8EE" w:rsidR="00C7705C" w:rsidRDefault="002B1670" w:rsidP="00C7705C">
      <w:pPr>
        <w:rPr>
          <w:lang w:eastAsia="fr-BE"/>
        </w:rPr>
      </w:pPr>
      <w:r>
        <w:rPr>
          <w:bCs/>
          <w:noProof/>
        </w:rPr>
        <w:t xml:space="preserve">The year </w:t>
      </w:r>
      <w:r w:rsidR="00C7705C">
        <w:rPr>
          <w:bCs/>
          <w:noProof/>
        </w:rPr>
        <w:t xml:space="preserve">2025 </w:t>
      </w:r>
      <w:r w:rsidR="001D6561">
        <w:rPr>
          <w:bCs/>
          <w:noProof/>
        </w:rPr>
        <w:t>a</w:t>
      </w:r>
      <w:r w:rsidR="001D6561">
        <w:rPr>
          <w:noProof/>
        </w:rPr>
        <w:t>lso</w:t>
      </w:r>
      <w:r w:rsidR="00C7705C">
        <w:rPr>
          <w:bCs/>
          <w:noProof/>
        </w:rPr>
        <w:t xml:space="preserve"> saw the 40th anniversary celebrations of the European Capitals of Culture initiative.</w:t>
      </w:r>
      <w:r w:rsidR="00C7705C" w:rsidRPr="007C72E4">
        <w:t xml:space="preserve"> </w:t>
      </w:r>
      <w:r w:rsidR="00C7705C" w:rsidRPr="007C72E4">
        <w:rPr>
          <w:bCs/>
          <w:noProof/>
        </w:rPr>
        <w:t>Since 1985, more than 70 cities have used the title to celebrate diversity, strengthen their European identity and shape their future through culture.</w:t>
      </w:r>
    </w:p>
    <w:p w14:paraId="40C0BFE6" w14:textId="77777777" w:rsidR="00180531" w:rsidRDefault="00180531" w:rsidP="00180531">
      <w:pPr>
        <w:pStyle w:val="Heading4"/>
        <w:rPr>
          <w:lang w:eastAsia="fr-BE"/>
        </w:rPr>
      </w:pPr>
      <w:r>
        <w:rPr>
          <w:lang w:eastAsia="fr-BE"/>
        </w:rPr>
        <w:t>Improving people’s health</w:t>
      </w:r>
    </w:p>
    <w:p w14:paraId="26028F82" w14:textId="6415E9BA" w:rsidR="00D91A7D" w:rsidRPr="00C27DBD" w:rsidRDefault="00D91A7D" w:rsidP="00D91A7D">
      <w:pPr>
        <w:rPr>
          <w:lang w:val="en-IE"/>
        </w:rPr>
      </w:pPr>
      <w:r w:rsidRPr="008B71E1">
        <w:rPr>
          <w:rStyle w:val="Bold"/>
        </w:rPr>
        <w:t>EU</w:t>
      </w:r>
      <w:r w:rsidR="00865114" w:rsidRPr="008B71E1">
        <w:rPr>
          <w:rStyle w:val="Bold"/>
        </w:rPr>
        <w:t>-level</w:t>
      </w:r>
      <w:r w:rsidRPr="008B71E1">
        <w:rPr>
          <w:rStyle w:val="Bold"/>
        </w:rPr>
        <w:t xml:space="preserve"> </w:t>
      </w:r>
      <w:r w:rsidR="009F7888" w:rsidRPr="008B71E1">
        <w:rPr>
          <w:rStyle w:val="Bold"/>
        </w:rPr>
        <w:t>action</w:t>
      </w:r>
      <w:r w:rsidR="00290E27" w:rsidRPr="008B71E1">
        <w:rPr>
          <w:rStyle w:val="Bold"/>
        </w:rPr>
        <w:t>s</w:t>
      </w:r>
      <w:r w:rsidR="009F7888" w:rsidRPr="008B71E1">
        <w:rPr>
          <w:rStyle w:val="Bold"/>
        </w:rPr>
        <w:t xml:space="preserve"> on health complement national policies</w:t>
      </w:r>
      <w:r w:rsidR="00C27DBD" w:rsidRPr="008B71E1">
        <w:rPr>
          <w:rStyle w:val="Bold"/>
        </w:rPr>
        <w:t>.</w:t>
      </w:r>
      <w:r w:rsidR="00C27DBD">
        <w:rPr>
          <w:lang w:val="en-IE"/>
        </w:rPr>
        <w:t xml:space="preserve"> These actions aim t</w:t>
      </w:r>
      <w:r w:rsidR="00C27DBD" w:rsidRPr="00C27DBD">
        <w:rPr>
          <w:lang w:val="en-IE"/>
        </w:rPr>
        <w:t>o</w:t>
      </w:r>
      <w:r w:rsidR="00C27DBD">
        <w:rPr>
          <w:lang w:val="en-IE"/>
        </w:rPr>
        <w:t xml:space="preserve"> </w:t>
      </w:r>
      <w:r w:rsidR="00C27DBD" w:rsidRPr="00C27DBD">
        <w:rPr>
          <w:lang w:val="en-IE"/>
        </w:rPr>
        <w:t>protect and improve the health of EU citizens</w:t>
      </w:r>
      <w:r w:rsidR="00C27DBD">
        <w:rPr>
          <w:lang w:val="en-IE"/>
        </w:rPr>
        <w:t xml:space="preserve">, </w:t>
      </w:r>
      <w:r w:rsidR="00C27DBD" w:rsidRPr="00C27DBD">
        <w:rPr>
          <w:lang w:val="en-IE"/>
        </w:rPr>
        <w:t>support the modernisation and digitalisation of health systems and infrastructures</w:t>
      </w:r>
      <w:r w:rsidR="00C27DBD">
        <w:rPr>
          <w:lang w:val="en-IE"/>
        </w:rPr>
        <w:t xml:space="preserve">, </w:t>
      </w:r>
      <w:r w:rsidR="00EA3F51" w:rsidRPr="5B0CFBD6">
        <w:rPr>
          <w:lang w:val="en-IE"/>
        </w:rPr>
        <w:t>address territorial disparities in access to quality health services (particular</w:t>
      </w:r>
      <w:r w:rsidR="00C744CA">
        <w:rPr>
          <w:lang w:val="en-IE"/>
        </w:rPr>
        <w:t>ly in</w:t>
      </w:r>
      <w:r w:rsidR="00EA3F51" w:rsidRPr="5B0CFBD6">
        <w:rPr>
          <w:lang w:val="en-IE"/>
        </w:rPr>
        <w:t xml:space="preserve"> disadvantaged, rural and remote areas),</w:t>
      </w:r>
      <w:r w:rsidR="00EA3F51">
        <w:rPr>
          <w:lang w:val="en-IE"/>
        </w:rPr>
        <w:t xml:space="preserve"> </w:t>
      </w:r>
      <w:r w:rsidR="00C27DBD" w:rsidRPr="00C27DBD">
        <w:rPr>
          <w:lang w:val="en-IE"/>
        </w:rPr>
        <w:t>improve the resilience of Europe</w:t>
      </w:r>
      <w:r w:rsidR="00F002EC">
        <w:rPr>
          <w:lang w:val="en-IE"/>
        </w:rPr>
        <w:t>’</w:t>
      </w:r>
      <w:r w:rsidR="00C27DBD" w:rsidRPr="00C27DBD">
        <w:rPr>
          <w:lang w:val="en-IE"/>
        </w:rPr>
        <w:t>s health systems</w:t>
      </w:r>
      <w:r w:rsidR="00C27DBD">
        <w:rPr>
          <w:lang w:val="en-IE"/>
        </w:rPr>
        <w:t xml:space="preserve"> </w:t>
      </w:r>
      <w:r w:rsidR="002331C7">
        <w:rPr>
          <w:lang w:val="en-IE"/>
        </w:rPr>
        <w:t xml:space="preserve">and </w:t>
      </w:r>
      <w:r w:rsidR="00C27DBD" w:rsidRPr="00C27DBD">
        <w:rPr>
          <w:lang w:val="en-IE"/>
        </w:rPr>
        <w:t xml:space="preserve">equip </w:t>
      </w:r>
      <w:r w:rsidR="008175FB">
        <w:rPr>
          <w:lang w:val="en-IE"/>
        </w:rPr>
        <w:t>Member States</w:t>
      </w:r>
      <w:r w:rsidR="00C27DBD" w:rsidRPr="00C27DBD">
        <w:rPr>
          <w:lang w:val="en-IE"/>
        </w:rPr>
        <w:t xml:space="preserve"> to better prevent and address future pandemics.</w:t>
      </w:r>
    </w:p>
    <w:p w14:paraId="769763CF" w14:textId="4CA0CAEF" w:rsidR="00DA5286" w:rsidRDefault="009B15DB" w:rsidP="008D698D">
      <w:pPr>
        <w:rPr>
          <w:noProof/>
        </w:rPr>
      </w:pPr>
      <w:r w:rsidRPr="008B71E1">
        <w:rPr>
          <w:rStyle w:val="Bold"/>
        </w:rPr>
        <w:t xml:space="preserve">The Commission has also been supporting </w:t>
      </w:r>
      <w:r w:rsidR="00E70717" w:rsidRPr="008B71E1">
        <w:rPr>
          <w:rStyle w:val="Bold"/>
        </w:rPr>
        <w:t>innovative</w:t>
      </w:r>
      <w:r w:rsidR="00E70717" w:rsidRPr="008B71E1" w:rsidDel="009B15DB">
        <w:rPr>
          <w:rStyle w:val="Bold"/>
        </w:rPr>
        <w:t xml:space="preserve"> </w:t>
      </w:r>
      <w:r w:rsidR="00E70717" w:rsidRPr="008B71E1">
        <w:rPr>
          <w:rStyle w:val="Bold"/>
        </w:rPr>
        <w:t xml:space="preserve">companies </w:t>
      </w:r>
      <w:r w:rsidRPr="008B71E1">
        <w:rPr>
          <w:rStyle w:val="Bold"/>
        </w:rPr>
        <w:t xml:space="preserve">focused on health </w:t>
      </w:r>
      <w:r w:rsidR="00E70717" w:rsidRPr="008B71E1">
        <w:rPr>
          <w:rStyle w:val="Bold"/>
        </w:rPr>
        <w:t>through HERA Invest.</w:t>
      </w:r>
      <w:r w:rsidR="00E70717">
        <w:rPr>
          <w:noProof/>
        </w:rPr>
        <w:t xml:space="preserve"> </w:t>
      </w:r>
      <w:r w:rsidR="00852543">
        <w:rPr>
          <w:noProof/>
        </w:rPr>
        <w:t>By</w:t>
      </w:r>
      <w:r w:rsidR="00DA5286" w:rsidRPr="00DA5286">
        <w:rPr>
          <w:noProof/>
        </w:rPr>
        <w:t xml:space="preserve"> the end of 2025, HERA Invest has funded </w:t>
      </w:r>
      <w:r w:rsidR="00685CB1">
        <w:rPr>
          <w:noProof/>
        </w:rPr>
        <w:t>three</w:t>
      </w:r>
      <w:r w:rsidR="00DA5286" w:rsidRPr="00DA5286">
        <w:rPr>
          <w:noProof/>
        </w:rPr>
        <w:t xml:space="preserve"> European innovative small and medium-sized enterprises, with loans of </w:t>
      </w:r>
      <w:r w:rsidR="00DA5286" w:rsidRPr="00DA5286" w:rsidDel="00EB0E5C">
        <w:rPr>
          <w:noProof/>
        </w:rPr>
        <w:t>EUR</w:t>
      </w:r>
      <w:r w:rsidR="00EB0E5C">
        <w:rPr>
          <w:rFonts w:ascii="Calibri" w:hAnsi="Calibri" w:cs="Calibri"/>
          <w:noProof/>
        </w:rPr>
        <w:t> </w:t>
      </w:r>
      <w:r w:rsidR="00DA5286" w:rsidRPr="00DA5286">
        <w:rPr>
          <w:noProof/>
        </w:rPr>
        <w:t>20</w:t>
      </w:r>
      <w:r w:rsidR="00EB0E5C">
        <w:rPr>
          <w:rFonts w:ascii="Calibri" w:hAnsi="Calibri" w:cs="Calibri"/>
          <w:noProof/>
        </w:rPr>
        <w:t> </w:t>
      </w:r>
      <w:r w:rsidR="00EB0E5C">
        <w:rPr>
          <w:noProof/>
        </w:rPr>
        <w:t>million</w:t>
      </w:r>
      <w:r w:rsidR="00DA5286" w:rsidRPr="00DA5286">
        <w:rPr>
          <w:noProof/>
        </w:rPr>
        <w:t xml:space="preserve"> each.</w:t>
      </w:r>
    </w:p>
    <w:p w14:paraId="68F4F7CA" w14:textId="093E977B" w:rsidR="00896533" w:rsidRDefault="00896533" w:rsidP="008D698D">
      <w:pPr>
        <w:rPr>
          <w:noProof/>
        </w:rPr>
      </w:pPr>
      <w:r w:rsidRPr="008B71E1">
        <w:rPr>
          <w:rStyle w:val="Bold"/>
        </w:rPr>
        <w:t>In 2025, the Commission also invested in rapid diagnostics to help address the root causes of antimicrobial resistance</w:t>
      </w:r>
      <w:r w:rsidRPr="00896533">
        <w:rPr>
          <w:noProof/>
        </w:rPr>
        <w:t xml:space="preserve">. Through </w:t>
      </w:r>
      <w:r w:rsidR="00151575">
        <w:rPr>
          <w:noProof/>
        </w:rPr>
        <w:t xml:space="preserve">the </w:t>
      </w:r>
      <w:r w:rsidRPr="00896533">
        <w:rPr>
          <w:noProof/>
        </w:rPr>
        <w:t>EU4Health programme</w:t>
      </w:r>
      <w:r w:rsidR="00151575">
        <w:rPr>
          <w:noProof/>
        </w:rPr>
        <w:t xml:space="preserve">, </w:t>
      </w:r>
      <w:r w:rsidRPr="00896533">
        <w:rPr>
          <w:noProof/>
        </w:rPr>
        <w:t xml:space="preserve">financial support of </w:t>
      </w:r>
      <w:r w:rsidRPr="00896533" w:rsidDel="00EB0E5C">
        <w:rPr>
          <w:noProof/>
        </w:rPr>
        <w:t>EUR</w:t>
      </w:r>
      <w:r w:rsidR="00EB0E5C">
        <w:rPr>
          <w:rFonts w:ascii="Calibri" w:hAnsi="Calibri" w:cs="Calibri"/>
          <w:noProof/>
        </w:rPr>
        <w:t> </w:t>
      </w:r>
      <w:r w:rsidRPr="00896533">
        <w:rPr>
          <w:noProof/>
        </w:rPr>
        <w:t>8.85</w:t>
      </w:r>
      <w:r w:rsidR="00EB0E5C">
        <w:rPr>
          <w:rFonts w:ascii="Calibri" w:hAnsi="Calibri" w:cs="Calibri"/>
          <w:noProof/>
        </w:rPr>
        <w:t> </w:t>
      </w:r>
      <w:r w:rsidR="00EB0E5C">
        <w:rPr>
          <w:noProof/>
        </w:rPr>
        <w:t>million</w:t>
      </w:r>
      <w:r w:rsidRPr="00896533">
        <w:rPr>
          <w:noProof/>
        </w:rPr>
        <w:t xml:space="preserve"> was provided to five partners from four </w:t>
      </w:r>
      <w:r w:rsidR="00F002EC">
        <w:rPr>
          <w:noProof/>
        </w:rPr>
        <w:t>Member States</w:t>
      </w:r>
      <w:r w:rsidR="00AE15C4">
        <w:rPr>
          <w:noProof/>
        </w:rPr>
        <w:t xml:space="preserve"> </w:t>
      </w:r>
      <w:r w:rsidR="00A5477E">
        <w:rPr>
          <w:rFonts w:ascii="Arial" w:hAnsi="Arial" w:cs="Arial"/>
          <w:noProof/>
        </w:rPr>
        <w:t xml:space="preserve">to </w:t>
      </w:r>
      <w:r w:rsidRPr="00896533">
        <w:rPr>
          <w:noProof/>
        </w:rPr>
        <w:t xml:space="preserve">develop and bring to the market a diagnostic device providing results in less than </w:t>
      </w:r>
      <w:r w:rsidR="00685CB1">
        <w:rPr>
          <w:noProof/>
        </w:rPr>
        <w:t xml:space="preserve">one </w:t>
      </w:r>
      <w:r w:rsidRPr="00896533">
        <w:rPr>
          <w:noProof/>
        </w:rPr>
        <w:t>hour that will help clinicians select the most appropriate treatment for patients requiring antibiotics.</w:t>
      </w:r>
    </w:p>
    <w:p w14:paraId="126CC422" w14:textId="37B47437" w:rsidR="00AA2A5A" w:rsidRDefault="00C600C6" w:rsidP="00AA2A5A">
      <w:pPr>
        <w:rPr>
          <w:noProof/>
        </w:rPr>
      </w:pPr>
      <w:r w:rsidRPr="008B71E1">
        <w:rPr>
          <w:rStyle w:val="Bold"/>
        </w:rPr>
        <w:t>More t</w:t>
      </w:r>
      <w:r w:rsidR="00733323" w:rsidRPr="008B71E1">
        <w:rPr>
          <w:rStyle w:val="Bold"/>
        </w:rPr>
        <w:t xml:space="preserve">han half of </w:t>
      </w:r>
      <w:r w:rsidR="009B15DB" w:rsidRPr="008B71E1">
        <w:rPr>
          <w:rStyle w:val="Bold"/>
        </w:rPr>
        <w:t xml:space="preserve">the </w:t>
      </w:r>
      <w:r w:rsidR="005A6C73" w:rsidRPr="008B71E1">
        <w:rPr>
          <w:rStyle w:val="Bold"/>
        </w:rPr>
        <w:t>EU4Health</w:t>
      </w:r>
      <w:r w:rsidR="00696CFE" w:rsidRPr="008B71E1">
        <w:rPr>
          <w:rStyle w:val="Bold"/>
        </w:rPr>
        <w:t>’s</w:t>
      </w:r>
      <w:r w:rsidR="00733323" w:rsidRPr="008B71E1">
        <w:rPr>
          <w:rStyle w:val="Bold"/>
        </w:rPr>
        <w:t xml:space="preserve"> annual budget for 2025 </w:t>
      </w:r>
      <w:r w:rsidR="005D738E" w:rsidRPr="008B71E1">
        <w:rPr>
          <w:rStyle w:val="Bold"/>
        </w:rPr>
        <w:t>went</w:t>
      </w:r>
      <w:r w:rsidR="00284903" w:rsidRPr="008B71E1">
        <w:rPr>
          <w:rStyle w:val="Bold"/>
        </w:rPr>
        <w:t xml:space="preserve"> to</w:t>
      </w:r>
      <w:r w:rsidR="00733323" w:rsidRPr="008B71E1">
        <w:rPr>
          <w:rStyle w:val="Bold"/>
        </w:rPr>
        <w:t xml:space="preserve"> investments in crisis prepar</w:t>
      </w:r>
      <w:r w:rsidR="009B15DB" w:rsidRPr="008B71E1">
        <w:rPr>
          <w:rStyle w:val="Bold"/>
        </w:rPr>
        <w:t>e</w:t>
      </w:r>
      <w:r w:rsidR="00733323" w:rsidRPr="008B71E1">
        <w:rPr>
          <w:rStyle w:val="Bold"/>
        </w:rPr>
        <w:t>dness and response actions</w:t>
      </w:r>
      <w:r w:rsidR="00DA1362">
        <w:rPr>
          <w:noProof/>
        </w:rPr>
        <w:t>, inc</w:t>
      </w:r>
      <w:r w:rsidR="009B15DB">
        <w:rPr>
          <w:noProof/>
        </w:rPr>
        <w:t>l</w:t>
      </w:r>
      <w:r w:rsidR="00DA1362">
        <w:rPr>
          <w:noProof/>
        </w:rPr>
        <w:t xml:space="preserve">uding </w:t>
      </w:r>
      <w:r w:rsidR="00612346">
        <w:rPr>
          <w:noProof/>
        </w:rPr>
        <w:t>seri</w:t>
      </w:r>
      <w:r w:rsidR="00440A45">
        <w:rPr>
          <w:noProof/>
        </w:rPr>
        <w:t>ous</w:t>
      </w:r>
      <w:r w:rsidR="00612346">
        <w:rPr>
          <w:noProof/>
        </w:rPr>
        <w:t xml:space="preserve"> </w:t>
      </w:r>
      <w:r w:rsidR="00DA1362">
        <w:rPr>
          <w:noProof/>
        </w:rPr>
        <w:t xml:space="preserve">cross-border </w:t>
      </w:r>
      <w:r w:rsidR="00625014">
        <w:rPr>
          <w:noProof/>
        </w:rPr>
        <w:t>threats to health</w:t>
      </w:r>
      <w:r w:rsidR="00733323">
        <w:rPr>
          <w:noProof/>
        </w:rPr>
        <w:t xml:space="preserve">. </w:t>
      </w:r>
      <w:r w:rsidR="00E907FC" w:rsidRPr="00E907FC">
        <w:rPr>
          <w:noProof/>
        </w:rPr>
        <w:t>The</w:t>
      </w:r>
      <w:r w:rsidR="00284903">
        <w:rPr>
          <w:noProof/>
        </w:rPr>
        <w:t>se</w:t>
      </w:r>
      <w:r w:rsidR="00625014">
        <w:rPr>
          <w:noProof/>
        </w:rPr>
        <w:t xml:space="preserve"> actions</w:t>
      </w:r>
      <w:r w:rsidR="00E907FC" w:rsidRPr="00E907FC">
        <w:rPr>
          <w:noProof/>
        </w:rPr>
        <w:t xml:space="preserve"> include increasing preparedness, prevention and response planning against vector-borne diseases, setting</w:t>
      </w:r>
      <w:r w:rsidR="00F002EC">
        <w:rPr>
          <w:noProof/>
        </w:rPr>
        <w:t xml:space="preserve"> </w:t>
      </w:r>
      <w:r w:rsidR="00E907FC" w:rsidRPr="00E907FC">
        <w:rPr>
          <w:noProof/>
        </w:rPr>
        <w:t xml:space="preserve">up EU Reference Laboratories, improving integrated surveillance systems in participating countries and providing training to (public) health professionals. </w:t>
      </w:r>
      <w:r w:rsidR="00AA2A5A" w:rsidRPr="00BA17B7">
        <w:rPr>
          <w:b/>
          <w:bCs/>
          <w:lang w:val="en-IE"/>
        </w:rPr>
        <w:t xml:space="preserve">EU4Health investments </w:t>
      </w:r>
      <w:r w:rsidR="00AA2A5A">
        <w:rPr>
          <w:b/>
          <w:bCs/>
          <w:lang w:val="en-IE"/>
        </w:rPr>
        <w:t>have also been supporting</w:t>
      </w:r>
      <w:r w:rsidR="00AA2A5A" w:rsidRPr="00BA17B7">
        <w:rPr>
          <w:b/>
          <w:bCs/>
          <w:lang w:val="en-IE"/>
        </w:rPr>
        <w:t xml:space="preserve"> the </w:t>
      </w:r>
      <w:r w:rsidR="00AA7A76">
        <w:rPr>
          <w:b/>
          <w:bCs/>
          <w:lang w:val="en-IE"/>
        </w:rPr>
        <w:t>establishment</w:t>
      </w:r>
      <w:r w:rsidR="00AA2A5A">
        <w:rPr>
          <w:b/>
          <w:bCs/>
          <w:lang w:val="en-IE"/>
        </w:rPr>
        <w:t xml:space="preserve"> of</w:t>
      </w:r>
      <w:r w:rsidR="00AA2A5A" w:rsidRPr="00BA17B7">
        <w:rPr>
          <w:b/>
          <w:bCs/>
          <w:lang w:val="en-IE"/>
        </w:rPr>
        <w:t xml:space="preserve"> the European Health Data Space</w:t>
      </w:r>
      <w:r w:rsidR="00AA2A5A" w:rsidRPr="00E65741">
        <w:rPr>
          <w:lang w:val="en-IE"/>
        </w:rPr>
        <w:t>,</w:t>
      </w:r>
      <w:r w:rsidR="00AA2A5A">
        <w:rPr>
          <w:b/>
          <w:bCs/>
          <w:lang w:val="en-IE"/>
        </w:rPr>
        <w:t xml:space="preserve"> </w:t>
      </w:r>
      <w:r w:rsidR="00AA2A5A" w:rsidRPr="4ED6E16F">
        <w:rPr>
          <w:lang w:val="en-IE"/>
        </w:rPr>
        <w:t>developing cross-border digital health infrastructures</w:t>
      </w:r>
      <w:r w:rsidR="003005D1">
        <w:rPr>
          <w:lang w:val="en-IE"/>
        </w:rPr>
        <w:t>,</w:t>
      </w:r>
      <w:r w:rsidR="00AA2A5A" w:rsidRPr="4ED6E16F">
        <w:rPr>
          <w:lang w:val="en-IE"/>
        </w:rPr>
        <w:t xml:space="preserve"> setting up and expanding health data access bodies for enabling the reuse of health data.</w:t>
      </w:r>
      <w:r w:rsidR="00AA2A5A" w:rsidRPr="4ED6E16F">
        <w:rPr>
          <w:rFonts w:eastAsia="EC Square Sans Pro" w:cs="EC Square Sans Pro"/>
          <w:lang w:val="en-IE"/>
        </w:rPr>
        <w:t xml:space="preserve"> </w:t>
      </w:r>
    </w:p>
    <w:p w14:paraId="1737CAAE" w14:textId="16E640D8" w:rsidR="00120106" w:rsidRDefault="009835C9" w:rsidP="008D698D">
      <w:pPr>
        <w:rPr>
          <w:noProof/>
        </w:rPr>
      </w:pPr>
      <w:r w:rsidRPr="008B71E1">
        <w:rPr>
          <w:rStyle w:val="Bold"/>
        </w:rPr>
        <w:t>EU4Health investments addressing rare diseases have targeted IT tools for diagnosis and treatment, such as the telemedicine tool Clinical Patients Management System 2.0.</w:t>
      </w:r>
      <w:r w:rsidRPr="00820AA8">
        <w:rPr>
          <w:noProof/>
        </w:rPr>
        <w:t xml:space="preserve"> </w:t>
      </w:r>
      <w:r w:rsidR="00F46CFE">
        <w:rPr>
          <w:noProof/>
        </w:rPr>
        <w:t>In</w:t>
      </w:r>
      <w:r>
        <w:rPr>
          <w:noProof/>
        </w:rPr>
        <w:t xml:space="preserve"> 2025, t</w:t>
      </w:r>
      <w:r w:rsidRPr="00820AA8">
        <w:rPr>
          <w:noProof/>
        </w:rPr>
        <w:t xml:space="preserve">he European reference networks system was further developed, supported by </w:t>
      </w:r>
      <w:r w:rsidRPr="00820AA8" w:rsidDel="00EB0E5C">
        <w:rPr>
          <w:noProof/>
        </w:rPr>
        <w:t>EUR</w:t>
      </w:r>
      <w:r w:rsidR="00EB0E5C">
        <w:rPr>
          <w:rFonts w:ascii="Calibri" w:hAnsi="Calibri" w:cs="Calibri"/>
          <w:noProof/>
        </w:rPr>
        <w:t> </w:t>
      </w:r>
      <w:r w:rsidRPr="00820AA8">
        <w:rPr>
          <w:noProof/>
        </w:rPr>
        <w:t>77.4</w:t>
      </w:r>
      <w:r w:rsidR="00EB0E5C">
        <w:rPr>
          <w:rFonts w:ascii="Calibri" w:hAnsi="Calibri" w:cs="Calibri"/>
          <w:noProof/>
        </w:rPr>
        <w:t> </w:t>
      </w:r>
      <w:r w:rsidR="00EB0E5C">
        <w:rPr>
          <w:noProof/>
        </w:rPr>
        <w:t>million</w:t>
      </w:r>
      <w:r w:rsidRPr="00820AA8">
        <w:rPr>
          <w:noProof/>
        </w:rPr>
        <w:t xml:space="preserve"> </w:t>
      </w:r>
      <w:r w:rsidR="004E2FC1">
        <w:rPr>
          <w:noProof/>
        </w:rPr>
        <w:t xml:space="preserve">in </w:t>
      </w:r>
      <w:r w:rsidRPr="00820AA8">
        <w:rPr>
          <w:noProof/>
        </w:rPr>
        <w:t xml:space="preserve">EU4Health grants </w:t>
      </w:r>
      <w:r>
        <w:rPr>
          <w:noProof/>
        </w:rPr>
        <w:t xml:space="preserve">for the period </w:t>
      </w:r>
      <w:r w:rsidRPr="00820AA8">
        <w:rPr>
          <w:noProof/>
        </w:rPr>
        <w:t xml:space="preserve">2023-2027. </w:t>
      </w:r>
      <w:r>
        <w:rPr>
          <w:noProof/>
        </w:rPr>
        <w:t>In 2025, 2.7</w:t>
      </w:r>
      <w:r w:rsidR="00EB0E5C">
        <w:rPr>
          <w:rFonts w:ascii="Calibri" w:hAnsi="Calibri" w:cs="Calibri"/>
          <w:noProof/>
        </w:rPr>
        <w:t> </w:t>
      </w:r>
      <w:r w:rsidR="00EB0E5C">
        <w:rPr>
          <w:noProof/>
        </w:rPr>
        <w:t>million</w:t>
      </w:r>
      <w:r>
        <w:rPr>
          <w:noProof/>
        </w:rPr>
        <w:t xml:space="preserve"> patients with rare conditions benefited from access to diagnosis and treatment in the 24 European reference networks. </w:t>
      </w:r>
    </w:p>
    <w:p w14:paraId="24EC84DA" w14:textId="77777777" w:rsidR="00285C5C" w:rsidRDefault="00285C5C">
      <w:pPr>
        <w:suppressAutoHyphens w:val="0"/>
        <w:rPr>
          <w:noProof/>
        </w:rPr>
      </w:pPr>
      <w:r>
        <w:rPr>
          <w:noProof/>
        </w:rPr>
        <w:br w:type="page"/>
      </w:r>
    </w:p>
    <w:p w14:paraId="0ECADCC0" w14:textId="1A95A4B7" w:rsidR="0077601F" w:rsidRDefault="0077601F" w:rsidP="0077601F">
      <w:pPr>
        <w:pStyle w:val="amprboxBLUEBoxTitle"/>
        <w:rPr>
          <w:noProof/>
        </w:rPr>
      </w:pPr>
      <w:r w:rsidRPr="0077601F">
        <w:rPr>
          <w:noProof/>
        </w:rPr>
        <w:t xml:space="preserve">Europe’s </w:t>
      </w:r>
      <w:r w:rsidR="00BD2B79">
        <w:rPr>
          <w:noProof/>
        </w:rPr>
        <w:t>b</w:t>
      </w:r>
      <w:r w:rsidRPr="0077601F">
        <w:rPr>
          <w:noProof/>
        </w:rPr>
        <w:t xml:space="preserve">eating </w:t>
      </w:r>
      <w:r w:rsidR="00BD2B79">
        <w:rPr>
          <w:noProof/>
        </w:rPr>
        <w:t>c</w:t>
      </w:r>
      <w:r w:rsidRPr="0077601F">
        <w:rPr>
          <w:noProof/>
        </w:rPr>
        <w:t xml:space="preserve">ancer </w:t>
      </w:r>
      <w:r w:rsidR="00BD2B79">
        <w:rPr>
          <w:noProof/>
        </w:rPr>
        <w:t>p</w:t>
      </w:r>
      <w:r w:rsidRPr="0077601F">
        <w:rPr>
          <w:noProof/>
        </w:rPr>
        <w:t>lan</w:t>
      </w:r>
    </w:p>
    <w:p w14:paraId="0C1A221B" w14:textId="7B09DBF4" w:rsidR="0077601F" w:rsidRDefault="00001CF4" w:rsidP="0077601F">
      <w:pPr>
        <w:pStyle w:val="amprboxBLUEtext"/>
        <w:rPr>
          <w:noProof/>
        </w:rPr>
      </w:pPr>
      <w:r>
        <w:rPr>
          <w:noProof/>
        </w:rPr>
        <w:t xml:space="preserve">Under EU4Health, </w:t>
      </w:r>
      <w:r w:rsidR="0077601F" w:rsidRPr="0077601F">
        <w:rPr>
          <w:noProof/>
        </w:rPr>
        <w:t xml:space="preserve">24 actions </w:t>
      </w:r>
      <w:r w:rsidR="009835C9">
        <w:rPr>
          <w:noProof/>
        </w:rPr>
        <w:t>were</w:t>
      </w:r>
      <w:r w:rsidR="0077601F" w:rsidRPr="0077601F">
        <w:rPr>
          <w:noProof/>
        </w:rPr>
        <w:t xml:space="preserve"> launched in 2025 under the implementation of the cancer cross-cutting approach. </w:t>
      </w:r>
      <w:r>
        <w:rPr>
          <w:noProof/>
        </w:rPr>
        <w:t xml:space="preserve">Actions include, </w:t>
      </w:r>
      <w:r w:rsidR="009835C9">
        <w:rPr>
          <w:noProof/>
        </w:rPr>
        <w:t>for</w:t>
      </w:r>
      <w:r w:rsidR="0077601F" w:rsidRPr="0077601F">
        <w:rPr>
          <w:noProof/>
        </w:rPr>
        <w:t xml:space="preserve"> example</w:t>
      </w:r>
      <w:r>
        <w:rPr>
          <w:noProof/>
        </w:rPr>
        <w:t xml:space="preserve">, </w:t>
      </w:r>
      <w:r w:rsidR="0077601F" w:rsidRPr="0077601F">
        <w:rPr>
          <w:noProof/>
        </w:rPr>
        <w:t>collaborative work in the field of cancer under the Joint Action ‘Enhancing the Digital Capabilities of Cancer Centres in Europe to Improve Prevention and Care’</w:t>
      </w:r>
      <w:r w:rsidR="0077601F" w:rsidRPr="0077601F" w:rsidDel="00A53071">
        <w:rPr>
          <w:noProof/>
        </w:rPr>
        <w:t xml:space="preserve"> </w:t>
      </w:r>
      <w:r w:rsidR="0077601F" w:rsidRPr="0077601F">
        <w:rPr>
          <w:noProof/>
        </w:rPr>
        <w:t>to improve e</w:t>
      </w:r>
      <w:r w:rsidR="00412AAF">
        <w:rPr>
          <w:noProof/>
        </w:rPr>
        <w:t>-h</w:t>
      </w:r>
      <w:r w:rsidR="0077601F" w:rsidRPr="0077601F">
        <w:rPr>
          <w:noProof/>
        </w:rPr>
        <w:t xml:space="preserve">ealth, telemedicine and remote monitoring systems, and to enhance access to and exchange of health data in existing and future cancer centres. </w:t>
      </w:r>
      <w:r w:rsidR="00D40736" w:rsidRPr="00FF4B15">
        <w:rPr>
          <w:noProof/>
        </w:rPr>
        <w:t>Moreover, in</w:t>
      </w:r>
      <w:r w:rsidR="00D40736">
        <w:rPr>
          <w:noProof/>
        </w:rPr>
        <w:t xml:space="preserve"> 2025</w:t>
      </w:r>
      <w:r w:rsidR="00D40736" w:rsidRPr="00FF4B15">
        <w:rPr>
          <w:noProof/>
        </w:rPr>
        <w:t xml:space="preserve">, with the support of </w:t>
      </w:r>
      <w:r w:rsidR="00D40736" w:rsidRPr="00FF4B15" w:rsidDel="00EB0E5C">
        <w:rPr>
          <w:noProof/>
        </w:rPr>
        <w:t>EUR</w:t>
      </w:r>
      <w:r w:rsidR="00EB0E5C">
        <w:rPr>
          <w:rFonts w:ascii="Calibri" w:hAnsi="Calibri" w:cs="Calibri"/>
          <w:noProof/>
        </w:rPr>
        <w:t> </w:t>
      </w:r>
      <w:r w:rsidR="00D40736" w:rsidRPr="00FF4B15">
        <w:rPr>
          <w:noProof/>
        </w:rPr>
        <w:t>90</w:t>
      </w:r>
      <w:r w:rsidR="00EB0E5C">
        <w:rPr>
          <w:rFonts w:ascii="Calibri" w:hAnsi="Calibri" w:cs="Calibri"/>
          <w:noProof/>
        </w:rPr>
        <w:t> </w:t>
      </w:r>
      <w:r w:rsidR="00EB0E5C">
        <w:rPr>
          <w:noProof/>
        </w:rPr>
        <w:t>million</w:t>
      </w:r>
      <w:r w:rsidR="00D40736" w:rsidRPr="00FF4B15">
        <w:rPr>
          <w:noProof/>
        </w:rPr>
        <w:t xml:space="preserve"> under EU4Health, the Commission launched the EU Network of Comprehensive Cancer Centres, aimed at ensuring that 90% of eligible cancer patients have access to high-quality prevention, diagnosis, treatment and care by 2030.</w:t>
      </w:r>
    </w:p>
    <w:p w14:paraId="3CA719D1" w14:textId="3A554655" w:rsidR="00AC01F1" w:rsidRDefault="00AC01F1" w:rsidP="0077601F">
      <w:pPr>
        <w:pStyle w:val="amprboxBLUEtext"/>
        <w:rPr>
          <w:noProof/>
        </w:rPr>
      </w:pPr>
      <w:r w:rsidRPr="6B559129">
        <w:rPr>
          <w:noProof/>
        </w:rPr>
        <w:t>In close alignment and synergy with the Cancer Plan, the EU Cancer Mission under Horizon Europe continued to deliver results by advancing actions on environmental exposure in young people, innovative treatments for cancer in children and adolescents, surgical clinical trials and nutrition interventions for older cancer patients. In 2025, the Cancer Mission developed 25 multi-country clinical trials, 42 new tools for prevention, detection and treatment and over 850 collaborations across research, healthcare and policy.</w:t>
      </w:r>
    </w:p>
    <w:p w14:paraId="47562CE5" w14:textId="500518A5" w:rsidR="00B45DFC" w:rsidRDefault="00B45DFC">
      <w:pPr>
        <w:suppressAutoHyphens w:val="0"/>
        <w:rPr>
          <w:noProof/>
        </w:rPr>
      </w:pPr>
      <w:r>
        <w:rPr>
          <w:noProof/>
        </w:rPr>
        <w:br w:type="page"/>
      </w:r>
    </w:p>
    <w:p w14:paraId="0AC6A3E0" w14:textId="2C5AA972" w:rsidR="000D7D9F" w:rsidRPr="006A27A3" w:rsidRDefault="00B42D89" w:rsidP="000D7D9F">
      <w:pPr>
        <w:pStyle w:val="Heading3"/>
      </w:pPr>
      <w:r>
        <w:t>Sustaining our quality of life: food security, water and nature</w:t>
      </w:r>
    </w:p>
    <w:p w14:paraId="01898525" w14:textId="6F8C4276" w:rsidR="000D7D9F" w:rsidRPr="00671DFB" w:rsidRDefault="00671DFB" w:rsidP="000D7D9F">
      <w:pPr>
        <w:pStyle w:val="amprquotetext"/>
        <w:rPr>
          <w:rFonts w:ascii="EC Square Sans Pro" w:hAnsi="EC Square Sans Pro"/>
        </w:rPr>
      </w:pPr>
      <w:r w:rsidRPr="006A27A3">
        <w:t>Our democracy must also deliver for those who suffer the impacts of climate change. We must protect people and nature from devastating wildfires. We must preserve our precious water, that is the most vital of all natural resources. And we must deploy the best science to protect our Ocean</w:t>
      </w:r>
      <w:r w:rsidR="000D7D9F" w:rsidRPr="00671DFB">
        <w:rPr>
          <w:rFonts w:ascii="Calibri" w:hAnsi="Calibri" w:cs="Calibri"/>
          <w:noProof/>
        </w:rPr>
        <w:t> </w:t>
      </w:r>
      <w:r w:rsidR="000D7D9F" w:rsidRPr="00685CB1">
        <w:rPr>
          <w:rFonts w:ascii="EC Square Sans Pro" w:hAnsi="EC Square Sans Pro"/>
          <w:i w:val="0"/>
          <w:noProof/>
        </w:rPr>
        <w:t>(</w:t>
      </w:r>
      <w:r w:rsidR="000D7D9F" w:rsidRPr="00E0372D">
        <w:rPr>
          <w:rStyle w:val="FootnoteReference"/>
          <w:i w:val="0"/>
        </w:rPr>
        <w:footnoteReference w:id="38"/>
      </w:r>
      <w:r w:rsidR="000D7D9F" w:rsidRPr="00685CB1">
        <w:rPr>
          <w:rFonts w:ascii="EC Square Sans Pro" w:hAnsi="EC Square Sans Pro"/>
          <w:i w:val="0"/>
          <w:noProof/>
        </w:rPr>
        <w:t>)</w:t>
      </w:r>
      <w:r w:rsidR="000D7D9F" w:rsidRPr="00671DFB">
        <w:rPr>
          <w:rFonts w:ascii="EC Square Sans Pro" w:hAnsi="EC Square Sans Pro"/>
          <w:noProof/>
        </w:rPr>
        <w:t>.</w:t>
      </w:r>
    </w:p>
    <w:p w14:paraId="13C59BD5" w14:textId="77777777" w:rsidR="000D7D9F" w:rsidRPr="00E0372D" w:rsidRDefault="000D7D9F" w:rsidP="000D7D9F">
      <w:pPr>
        <w:pStyle w:val="amprquoteauthor"/>
        <w:rPr>
          <w:i w:val="0"/>
        </w:rPr>
      </w:pPr>
      <w:r w:rsidRPr="00E0372D">
        <w:rPr>
          <w:i w:val="0"/>
        </w:rPr>
        <w:t>Ursula von der Leyen</w:t>
      </w:r>
    </w:p>
    <w:p w14:paraId="1EF8077C" w14:textId="77777777" w:rsidR="000D7D9F" w:rsidRPr="00671DFB" w:rsidRDefault="000D7D9F" w:rsidP="000D7D9F">
      <w:pPr>
        <w:pStyle w:val="amprquoteauthortitle"/>
        <w:rPr>
          <w:rFonts w:ascii="EC Square Sans Pro" w:hAnsi="EC Square Sans Pro"/>
        </w:rPr>
      </w:pPr>
      <w:r w:rsidRPr="00671DFB">
        <w:rPr>
          <w:rFonts w:ascii="EC Square Sans Pro" w:hAnsi="EC Square Sans Pro"/>
        </w:rPr>
        <w:t>President of the European Commission</w:t>
      </w:r>
    </w:p>
    <w:p w14:paraId="2C43DB81" w14:textId="4304156E" w:rsidR="000D7D9F" w:rsidRPr="00856ED4" w:rsidRDefault="00856ED4" w:rsidP="000D7D9F">
      <w:pPr>
        <w:pStyle w:val="Heading4"/>
        <w:rPr>
          <w:rFonts w:ascii="EC Square Sans Pro" w:hAnsi="EC Square Sans Pro"/>
          <w:noProof/>
        </w:rPr>
      </w:pPr>
      <w:r w:rsidRPr="00856ED4">
        <w:rPr>
          <w:rFonts w:ascii="EC Square Sans Pro" w:hAnsi="EC Square Sans Pro"/>
          <w:noProof/>
        </w:rPr>
        <w:t>Building</w:t>
      </w:r>
      <w:r>
        <w:rPr>
          <w:rFonts w:ascii="EC Square Sans Pro" w:hAnsi="EC Square Sans Pro"/>
          <w:noProof/>
        </w:rPr>
        <w:t xml:space="preserve"> a competi</w:t>
      </w:r>
      <w:r w:rsidR="00F437A3">
        <w:rPr>
          <w:rFonts w:ascii="EC Square Sans Pro" w:hAnsi="EC Square Sans Pro"/>
          <w:noProof/>
        </w:rPr>
        <w:t>tive and resilient agriculture and food system</w:t>
      </w:r>
    </w:p>
    <w:p w14:paraId="73842B03" w14:textId="0D7FBB54" w:rsidR="00024ADD" w:rsidRDefault="00E301DC" w:rsidP="000D7D9F">
      <w:pPr>
        <w:rPr>
          <w:noProof/>
        </w:rPr>
      </w:pPr>
      <w:r w:rsidRPr="008B71E1">
        <w:rPr>
          <w:rStyle w:val="Bold"/>
        </w:rPr>
        <w:t>The EU</w:t>
      </w:r>
      <w:r w:rsidR="00586BB5" w:rsidRPr="008B71E1">
        <w:rPr>
          <w:rStyle w:val="Bold"/>
        </w:rPr>
        <w:t xml:space="preserve"> </w:t>
      </w:r>
      <w:r w:rsidR="004076B6" w:rsidRPr="008B71E1">
        <w:rPr>
          <w:rStyle w:val="Bold"/>
        </w:rPr>
        <w:t>advanced efforts to build</w:t>
      </w:r>
      <w:r w:rsidR="00586BB5" w:rsidRPr="008B71E1">
        <w:rPr>
          <w:rStyle w:val="Bold"/>
        </w:rPr>
        <w:t xml:space="preserve"> a sustainable, competitive and resilient agri-food system</w:t>
      </w:r>
      <w:r w:rsidR="001A30BA" w:rsidRPr="008B71E1">
        <w:rPr>
          <w:rStyle w:val="Bold"/>
        </w:rPr>
        <w:t>, providing</w:t>
      </w:r>
      <w:r w:rsidR="002466DE" w:rsidRPr="008B71E1">
        <w:rPr>
          <w:rStyle w:val="Bold"/>
        </w:rPr>
        <w:t xml:space="preserve"> food </w:t>
      </w:r>
      <w:r w:rsidR="00610251" w:rsidRPr="008B71E1">
        <w:rPr>
          <w:rStyle w:val="Bold"/>
        </w:rPr>
        <w:t>security</w:t>
      </w:r>
      <w:r w:rsidR="004C792F" w:rsidRPr="008B71E1">
        <w:rPr>
          <w:rStyle w:val="Bold"/>
        </w:rPr>
        <w:t xml:space="preserve"> and </w:t>
      </w:r>
      <w:r w:rsidR="004C2A4E" w:rsidRPr="008B71E1">
        <w:rPr>
          <w:rStyle w:val="Bold"/>
        </w:rPr>
        <w:t>fair living standar</w:t>
      </w:r>
      <w:r w:rsidR="00275C2E" w:rsidRPr="008B71E1">
        <w:rPr>
          <w:rStyle w:val="Bold"/>
        </w:rPr>
        <w:t>d</w:t>
      </w:r>
      <w:r w:rsidR="0061274A" w:rsidRPr="008B71E1">
        <w:rPr>
          <w:rStyle w:val="Bold"/>
        </w:rPr>
        <w:t>s</w:t>
      </w:r>
      <w:r w:rsidR="004C2A4E" w:rsidRPr="008B71E1" w:rsidDel="0061274A">
        <w:rPr>
          <w:rStyle w:val="Bold"/>
        </w:rPr>
        <w:t xml:space="preserve"> </w:t>
      </w:r>
      <w:r w:rsidR="00DE5ECC" w:rsidRPr="008B71E1">
        <w:rPr>
          <w:rStyle w:val="Bold"/>
        </w:rPr>
        <w:t>for farming</w:t>
      </w:r>
      <w:r w:rsidR="004C2A4E" w:rsidRPr="008B71E1">
        <w:rPr>
          <w:rStyle w:val="Bold"/>
        </w:rPr>
        <w:t xml:space="preserve"> and rural communities.</w:t>
      </w:r>
      <w:r w:rsidR="00275C2E">
        <w:rPr>
          <w:rStyle w:val="BoldAccent1"/>
          <w:rFonts w:eastAsia="Times New Roman"/>
        </w:rPr>
        <w:t xml:space="preserve"> </w:t>
      </w:r>
      <w:r w:rsidR="0019497B">
        <w:rPr>
          <w:noProof/>
        </w:rPr>
        <w:t>T</w:t>
      </w:r>
      <w:r w:rsidR="00024ADD">
        <w:rPr>
          <w:noProof/>
        </w:rPr>
        <w:t xml:space="preserve">he </w:t>
      </w:r>
      <w:r w:rsidR="00824032">
        <w:rPr>
          <w:noProof/>
        </w:rPr>
        <w:t>c</w:t>
      </w:r>
      <w:r w:rsidR="00024ADD">
        <w:rPr>
          <w:noProof/>
        </w:rPr>
        <w:t xml:space="preserve">ommon </w:t>
      </w:r>
      <w:r w:rsidR="00824032">
        <w:rPr>
          <w:noProof/>
        </w:rPr>
        <w:t>a</w:t>
      </w:r>
      <w:r w:rsidR="00024ADD">
        <w:rPr>
          <w:noProof/>
        </w:rPr>
        <w:t xml:space="preserve">gricultural </w:t>
      </w:r>
      <w:r w:rsidR="00824032">
        <w:rPr>
          <w:noProof/>
        </w:rPr>
        <w:t>p</w:t>
      </w:r>
      <w:r w:rsidR="00024ADD">
        <w:rPr>
          <w:noProof/>
        </w:rPr>
        <w:t xml:space="preserve">olicy </w:t>
      </w:r>
      <w:r w:rsidR="00824032">
        <w:rPr>
          <w:noProof/>
        </w:rPr>
        <w:t xml:space="preserve">(CAP) </w:t>
      </w:r>
      <w:r w:rsidR="00024ADD">
        <w:rPr>
          <w:noProof/>
        </w:rPr>
        <w:t xml:space="preserve">continued to support the sector through the implementation of the </w:t>
      </w:r>
      <w:r w:rsidR="00A06CCD">
        <w:rPr>
          <w:noProof/>
        </w:rPr>
        <w:t>C</w:t>
      </w:r>
      <w:r w:rsidR="00824032">
        <w:rPr>
          <w:noProof/>
        </w:rPr>
        <w:t>AP</w:t>
      </w:r>
      <w:r w:rsidR="00A06CCD" w:rsidDel="00A06CCD">
        <w:rPr>
          <w:noProof/>
        </w:rPr>
        <w:t xml:space="preserve"> </w:t>
      </w:r>
      <w:r w:rsidR="00A06CCD">
        <w:rPr>
          <w:noProof/>
        </w:rPr>
        <w:t>s</w:t>
      </w:r>
      <w:r w:rsidR="00024ADD">
        <w:rPr>
          <w:noProof/>
        </w:rPr>
        <w:t xml:space="preserve">trategic </w:t>
      </w:r>
      <w:r w:rsidR="00A06CCD">
        <w:rPr>
          <w:noProof/>
        </w:rPr>
        <w:t>p</w:t>
      </w:r>
      <w:r w:rsidR="00024ADD">
        <w:rPr>
          <w:noProof/>
        </w:rPr>
        <w:t xml:space="preserve">lans, increasing incomes and building resilience. </w:t>
      </w:r>
      <w:r w:rsidR="00577824">
        <w:rPr>
          <w:noProof/>
        </w:rPr>
        <w:t>Particular attention was given to i</w:t>
      </w:r>
      <w:r w:rsidR="00031D55">
        <w:rPr>
          <w:noProof/>
        </w:rPr>
        <w:t xml:space="preserve">ncome support </w:t>
      </w:r>
      <w:r w:rsidR="00577824">
        <w:rPr>
          <w:noProof/>
        </w:rPr>
        <w:t>for</w:t>
      </w:r>
      <w:r w:rsidR="00031D55">
        <w:rPr>
          <w:noProof/>
        </w:rPr>
        <w:t xml:space="preserve"> s</w:t>
      </w:r>
      <w:r w:rsidR="00024ADD">
        <w:rPr>
          <w:noProof/>
        </w:rPr>
        <w:t>mall farms.</w:t>
      </w:r>
      <w:r w:rsidR="00024ADD" w:rsidDel="003D5BBD">
        <w:rPr>
          <w:noProof/>
        </w:rPr>
        <w:t xml:space="preserve"> </w:t>
      </w:r>
      <w:r w:rsidR="008B043A">
        <w:rPr>
          <w:noProof/>
        </w:rPr>
        <w:t xml:space="preserve">In 2025, </w:t>
      </w:r>
      <w:r w:rsidR="00C61CF6">
        <w:rPr>
          <w:noProof/>
        </w:rPr>
        <w:t>5.5</w:t>
      </w:r>
      <w:r w:rsidR="008B043A">
        <w:rPr>
          <w:rFonts w:ascii="Calibri" w:hAnsi="Calibri" w:cs="Calibri"/>
          <w:noProof/>
        </w:rPr>
        <w:t> </w:t>
      </w:r>
      <w:r w:rsidR="00024ADD">
        <w:rPr>
          <w:noProof/>
        </w:rPr>
        <w:t>mil</w:t>
      </w:r>
      <w:r w:rsidR="00986CB7">
        <w:rPr>
          <w:noProof/>
        </w:rPr>
        <w:t>l</w:t>
      </w:r>
      <w:r w:rsidR="00024ADD">
        <w:rPr>
          <w:noProof/>
        </w:rPr>
        <w:t>ion farmers</w:t>
      </w:r>
      <w:r w:rsidR="003D5BBD">
        <w:rPr>
          <w:noProof/>
        </w:rPr>
        <w:t xml:space="preserve"> received direct </w:t>
      </w:r>
      <w:r w:rsidR="00A06CCD">
        <w:rPr>
          <w:noProof/>
        </w:rPr>
        <w:t>C</w:t>
      </w:r>
      <w:r w:rsidR="00986CB7">
        <w:rPr>
          <w:noProof/>
        </w:rPr>
        <w:t>AP</w:t>
      </w:r>
      <w:r w:rsidR="00A06CCD" w:rsidDel="00A06CCD">
        <w:rPr>
          <w:noProof/>
        </w:rPr>
        <w:t xml:space="preserve"> </w:t>
      </w:r>
      <w:r w:rsidR="003D5BBD">
        <w:rPr>
          <w:noProof/>
        </w:rPr>
        <w:t>support</w:t>
      </w:r>
      <w:r w:rsidR="00024ADD">
        <w:rPr>
          <w:noProof/>
        </w:rPr>
        <w:t>.</w:t>
      </w:r>
    </w:p>
    <w:p w14:paraId="2E9B8871" w14:textId="42B1A550" w:rsidR="00A16161" w:rsidRDefault="0073254B" w:rsidP="000D7D9F">
      <w:r w:rsidRPr="00F11A93">
        <w:rPr>
          <w:rStyle w:val="Bold"/>
        </w:rPr>
        <w:t>The</w:t>
      </w:r>
      <w:r w:rsidR="00C812EC" w:rsidRPr="00F11A93">
        <w:rPr>
          <w:rStyle w:val="Bold"/>
        </w:rPr>
        <w:t xml:space="preserve"> December</w:t>
      </w:r>
      <w:r w:rsidRPr="00F11A93">
        <w:rPr>
          <w:rStyle w:val="Bold"/>
        </w:rPr>
        <w:t xml:space="preserve"> </w:t>
      </w:r>
      <w:r w:rsidR="00007DBB" w:rsidRPr="00F11A93">
        <w:rPr>
          <w:rStyle w:val="Bold"/>
        </w:rPr>
        <w:t>2025</w:t>
      </w:r>
      <w:r w:rsidRPr="00F11A93">
        <w:rPr>
          <w:rStyle w:val="Bold"/>
        </w:rPr>
        <w:t xml:space="preserve"> </w:t>
      </w:r>
      <w:r w:rsidR="00A06CCD" w:rsidRPr="00E0372D">
        <w:rPr>
          <w:rStyle w:val="Bold"/>
        </w:rPr>
        <w:t>C</w:t>
      </w:r>
      <w:r w:rsidR="007C00D3" w:rsidRPr="00E0372D">
        <w:rPr>
          <w:rStyle w:val="Bold"/>
        </w:rPr>
        <w:t xml:space="preserve">AP </w:t>
      </w:r>
      <w:r w:rsidRPr="00F11A93">
        <w:rPr>
          <w:rStyle w:val="Bold"/>
        </w:rPr>
        <w:t>simplification package supports the competitiveness, resilience and digitalisation of the agricultural sector</w:t>
      </w:r>
      <w:r w:rsidR="001453A2" w:rsidRPr="00F11A93">
        <w:rPr>
          <w:rStyle w:val="Bold"/>
        </w:rPr>
        <w:t xml:space="preserve"> with targeted support for </w:t>
      </w:r>
      <w:r w:rsidRPr="00F11A93" w:rsidDel="001453A2">
        <w:rPr>
          <w:rStyle w:val="Bold"/>
        </w:rPr>
        <w:t>y</w:t>
      </w:r>
      <w:r w:rsidRPr="00F11A93">
        <w:rPr>
          <w:rStyle w:val="Bold"/>
        </w:rPr>
        <w:t>oung and organic farmers</w:t>
      </w:r>
      <w:r w:rsidRPr="00E0372D">
        <w:rPr>
          <w:rStyle w:val="Bold"/>
        </w:rPr>
        <w:t>.</w:t>
      </w:r>
      <w:r>
        <w:rPr>
          <w:noProof/>
        </w:rPr>
        <w:t xml:space="preserve"> The</w:t>
      </w:r>
      <w:r w:rsidR="008D23EF">
        <w:rPr>
          <w:noProof/>
        </w:rPr>
        <w:t>se</w:t>
      </w:r>
      <w:r>
        <w:rPr>
          <w:noProof/>
        </w:rPr>
        <w:t xml:space="preserve"> measures could save up to </w:t>
      </w:r>
      <w:r w:rsidR="00B72868" w:rsidDel="00EB0E5C">
        <w:rPr>
          <w:noProof/>
        </w:rPr>
        <w:t>EUR</w:t>
      </w:r>
      <w:r w:rsidR="00EB0E5C">
        <w:rPr>
          <w:rFonts w:ascii="Calibri" w:hAnsi="Calibri" w:cs="Calibri"/>
          <w:noProof/>
        </w:rPr>
        <w:t> </w:t>
      </w:r>
      <w:r>
        <w:rPr>
          <w:noProof/>
        </w:rPr>
        <w:t>1.</w:t>
      </w:r>
      <w:r w:rsidR="006C7277">
        <w:rPr>
          <w:noProof/>
        </w:rPr>
        <w:t>6</w:t>
      </w:r>
      <w:r w:rsidR="00167E3A">
        <w:rPr>
          <w:rFonts w:ascii="Calibri" w:hAnsi="Calibri" w:cs="Calibri"/>
          <w:noProof/>
        </w:rPr>
        <w:t> </w:t>
      </w:r>
      <w:r w:rsidR="00167E3A">
        <w:rPr>
          <w:noProof/>
        </w:rPr>
        <w:t>billion</w:t>
      </w:r>
      <w:r>
        <w:rPr>
          <w:noProof/>
        </w:rPr>
        <w:t xml:space="preserve"> annually for farmers and </w:t>
      </w:r>
      <w:r w:rsidR="00B50B59" w:rsidDel="00EB0E5C">
        <w:rPr>
          <w:noProof/>
        </w:rPr>
        <w:t>EUR</w:t>
      </w:r>
      <w:r w:rsidR="00EB0E5C">
        <w:rPr>
          <w:rFonts w:ascii="Calibri" w:hAnsi="Calibri" w:cs="Calibri"/>
          <w:noProof/>
        </w:rPr>
        <w:t> </w:t>
      </w:r>
      <w:r>
        <w:rPr>
          <w:noProof/>
        </w:rPr>
        <w:t>210</w:t>
      </w:r>
      <w:r w:rsidR="00EB0E5C">
        <w:rPr>
          <w:rFonts w:ascii="Calibri" w:hAnsi="Calibri" w:cs="Calibri"/>
          <w:noProof/>
        </w:rPr>
        <w:t> </w:t>
      </w:r>
      <w:r w:rsidR="00EB0E5C">
        <w:rPr>
          <w:noProof/>
        </w:rPr>
        <w:t>million</w:t>
      </w:r>
      <w:r>
        <w:rPr>
          <w:noProof/>
        </w:rPr>
        <w:t xml:space="preserve"> for national administrations</w:t>
      </w:r>
      <w:r w:rsidR="00BB5D7D">
        <w:rPr>
          <w:noProof/>
        </w:rPr>
        <w:t xml:space="preserve">. </w:t>
      </w:r>
      <w:r w:rsidR="00484FD4">
        <w:rPr>
          <w:noProof/>
        </w:rPr>
        <w:t xml:space="preserve">The package also brings flexibiity and simplification </w:t>
      </w:r>
      <w:r w:rsidR="00BD7FAA">
        <w:rPr>
          <w:noProof/>
        </w:rPr>
        <w:t xml:space="preserve">in the handling of </w:t>
      </w:r>
      <w:r>
        <w:rPr>
          <w:noProof/>
        </w:rPr>
        <w:t>payments, certain requirements and crisis tools.</w:t>
      </w:r>
      <w:r w:rsidR="00A16161">
        <w:rPr>
          <w:noProof/>
        </w:rPr>
        <w:t xml:space="preserve"> </w:t>
      </w:r>
    </w:p>
    <w:p w14:paraId="1B2AFBAE" w14:textId="412DE722" w:rsidR="00F1537B" w:rsidRDefault="009835C9" w:rsidP="0073254B">
      <w:pPr>
        <w:rPr>
          <w:noProof/>
        </w:rPr>
      </w:pPr>
      <w:r>
        <w:rPr>
          <w:noProof/>
        </w:rPr>
        <w:t>Moreover, i</w:t>
      </w:r>
      <w:r w:rsidR="0084498F">
        <w:rPr>
          <w:noProof/>
        </w:rPr>
        <w:t>n 2025 t</w:t>
      </w:r>
      <w:r w:rsidR="00F1537B">
        <w:rPr>
          <w:noProof/>
        </w:rPr>
        <w:t xml:space="preserve">he EU provided, </w:t>
      </w:r>
      <w:r w:rsidR="0084498F">
        <w:rPr>
          <w:noProof/>
        </w:rPr>
        <w:t>under the C</w:t>
      </w:r>
      <w:r w:rsidR="007C00D3">
        <w:rPr>
          <w:noProof/>
        </w:rPr>
        <w:t>AP</w:t>
      </w:r>
      <w:r w:rsidR="00F1537B">
        <w:rPr>
          <w:noProof/>
        </w:rPr>
        <w:t>, emergency support to farmers in disaster-affected regions</w:t>
      </w:r>
      <w:r w:rsidR="00B70E9F" w:rsidRPr="00BA4B67">
        <w:rPr>
          <w:rFonts w:cs="Calibri"/>
        </w:rPr>
        <w:t> </w:t>
      </w:r>
      <w:r w:rsidR="00B70E9F" w:rsidRPr="00B70E9F">
        <w:rPr>
          <w:noProof/>
        </w:rPr>
        <w:t>(</w:t>
      </w:r>
      <w:r w:rsidR="00B70E9F">
        <w:rPr>
          <w:rStyle w:val="FootnoteReference"/>
          <w:noProof/>
        </w:rPr>
        <w:footnoteReference w:id="39"/>
      </w:r>
      <w:r w:rsidR="00B70E9F">
        <w:rPr>
          <w:noProof/>
        </w:rPr>
        <w:t>)</w:t>
      </w:r>
      <w:r w:rsidR="00614FAC">
        <w:rPr>
          <w:noProof/>
        </w:rPr>
        <w:t>:</w:t>
      </w:r>
    </w:p>
    <w:p w14:paraId="414706FB" w14:textId="78423757" w:rsidR="00F1537B" w:rsidRPr="00173EA1" w:rsidRDefault="00EB0E5C" w:rsidP="0041545A">
      <w:pPr>
        <w:pStyle w:val="ListBulletorangeLevel1"/>
      </w:pPr>
      <w:r>
        <w:rPr>
          <w:noProof/>
        </w:rPr>
        <w:t>EUR</w:t>
      </w:r>
      <w:r>
        <w:rPr>
          <w:rFonts w:ascii="Calibri" w:hAnsi="Calibri" w:cs="Calibri"/>
          <w:noProof/>
        </w:rPr>
        <w:t> </w:t>
      </w:r>
      <w:r w:rsidR="00674022">
        <w:rPr>
          <w:noProof/>
        </w:rPr>
        <w:t>73</w:t>
      </w:r>
      <w:r>
        <w:rPr>
          <w:rFonts w:ascii="Calibri" w:hAnsi="Calibri" w:cs="Calibri"/>
          <w:noProof/>
        </w:rPr>
        <w:t> </w:t>
      </w:r>
      <w:r>
        <w:rPr>
          <w:noProof/>
        </w:rPr>
        <w:t>million</w:t>
      </w:r>
      <w:r w:rsidR="00415366">
        <w:rPr>
          <w:noProof/>
        </w:rPr>
        <w:t xml:space="preserve"> in emergency support for farmers </w:t>
      </w:r>
      <w:r w:rsidR="00415366" w:rsidRPr="00B13363">
        <w:t>affected by climate change and natural disasters in Czechia, Spain, Croatia, Cyprus, Latvia, Hungary and Slovenia</w:t>
      </w:r>
      <w:r w:rsidR="00596793" w:rsidRPr="00B13363">
        <w:rPr>
          <w:rFonts w:ascii="Calibri" w:hAnsi="Calibri" w:cs="Calibri"/>
        </w:rPr>
        <w:t> </w:t>
      </w:r>
      <w:r w:rsidR="00596793" w:rsidRPr="00596793">
        <w:t>(</w:t>
      </w:r>
      <w:r w:rsidR="00596793">
        <w:rPr>
          <w:rStyle w:val="FootnoteReference"/>
        </w:rPr>
        <w:footnoteReference w:id="40"/>
      </w:r>
      <w:r w:rsidR="00596793">
        <w:t>)</w:t>
      </w:r>
      <w:r w:rsidR="006506DC">
        <w:t>;</w:t>
      </w:r>
    </w:p>
    <w:p w14:paraId="4C3AFBDF" w14:textId="1F51FCCB" w:rsidR="00173EA1" w:rsidRPr="00B13363" w:rsidRDefault="00EB0E5C" w:rsidP="0041545A">
      <w:pPr>
        <w:pStyle w:val="ListBulletorangeLevel1"/>
      </w:pPr>
      <w:r>
        <w:t>EUR</w:t>
      </w:r>
      <w:r>
        <w:rPr>
          <w:rFonts w:ascii="Calibri" w:hAnsi="Calibri" w:cs="Calibri"/>
        </w:rPr>
        <w:t> </w:t>
      </w:r>
      <w:r w:rsidR="00674022">
        <w:t>1.7</w:t>
      </w:r>
      <w:r>
        <w:rPr>
          <w:rFonts w:ascii="Calibri" w:hAnsi="Calibri" w:cs="Calibri"/>
        </w:rPr>
        <w:t> </w:t>
      </w:r>
      <w:r>
        <w:t>million</w:t>
      </w:r>
      <w:r w:rsidR="00173EA1" w:rsidRPr="00B13363">
        <w:t xml:space="preserve"> in exceptional support for the milk and pig-meat sectors in Germany</w:t>
      </w:r>
      <w:r w:rsidR="00432CA9" w:rsidRPr="00B13363">
        <w:rPr>
          <w:rFonts w:ascii="Calibri" w:hAnsi="Calibri" w:cs="Calibri"/>
        </w:rPr>
        <w:t> </w:t>
      </w:r>
      <w:r w:rsidR="00432CA9" w:rsidRPr="00432CA9">
        <w:t>(</w:t>
      </w:r>
      <w:r w:rsidR="00432CA9">
        <w:rPr>
          <w:rStyle w:val="FootnoteReference"/>
        </w:rPr>
        <w:footnoteReference w:id="41"/>
      </w:r>
      <w:r w:rsidR="00432CA9">
        <w:t>)</w:t>
      </w:r>
      <w:r w:rsidR="006506DC">
        <w:t>;</w:t>
      </w:r>
    </w:p>
    <w:p w14:paraId="250D1D18" w14:textId="275BB8B6" w:rsidR="00173EA1" w:rsidRPr="00B13363" w:rsidRDefault="00EB0E5C" w:rsidP="0041545A">
      <w:pPr>
        <w:pStyle w:val="ListBulletorangeLevel1"/>
      </w:pPr>
      <w:r>
        <w:t>EUR</w:t>
      </w:r>
      <w:r>
        <w:rPr>
          <w:rFonts w:ascii="Calibri" w:hAnsi="Calibri" w:cs="Calibri"/>
        </w:rPr>
        <w:t> </w:t>
      </w:r>
      <w:r w:rsidR="000D32E0">
        <w:t>49.5</w:t>
      </w:r>
      <w:r>
        <w:rPr>
          <w:rFonts w:ascii="Calibri" w:hAnsi="Calibri" w:cs="Calibri"/>
        </w:rPr>
        <w:t> </w:t>
      </w:r>
      <w:r>
        <w:t>million</w:t>
      </w:r>
      <w:r w:rsidR="008A2E99" w:rsidRPr="00B13363">
        <w:t xml:space="preserve"> in emergency support for fruit, nut and vegetable farmers affected by climate change in Bulgaria, Latvia, Lithuania, Hungary, Poland and Romania</w:t>
      </w:r>
      <w:r w:rsidR="008E26EF" w:rsidRPr="00B13363">
        <w:rPr>
          <w:rFonts w:ascii="Calibri" w:hAnsi="Calibri" w:cs="Calibri"/>
        </w:rPr>
        <w:t> </w:t>
      </w:r>
      <w:r w:rsidR="008E26EF" w:rsidRPr="008E26EF">
        <w:t>(</w:t>
      </w:r>
      <w:r w:rsidR="008E26EF">
        <w:rPr>
          <w:rStyle w:val="FootnoteReference"/>
        </w:rPr>
        <w:footnoteReference w:id="42"/>
      </w:r>
      <w:r w:rsidR="008E26EF">
        <w:t>)</w:t>
      </w:r>
      <w:r w:rsidR="00054E4C">
        <w:t>;</w:t>
      </w:r>
    </w:p>
    <w:p w14:paraId="4F3D1790" w14:textId="7ADE0664" w:rsidR="008A2E99" w:rsidRPr="00B13363" w:rsidRDefault="00EB0E5C" w:rsidP="0041545A">
      <w:pPr>
        <w:pStyle w:val="ListBulletorangeLevel1"/>
      </w:pPr>
      <w:r>
        <w:t>EUR</w:t>
      </w:r>
      <w:r>
        <w:rPr>
          <w:rFonts w:ascii="Calibri" w:hAnsi="Calibri" w:cs="Calibri"/>
        </w:rPr>
        <w:t> </w:t>
      </w:r>
      <w:r w:rsidR="000D32E0">
        <w:t>7.3</w:t>
      </w:r>
      <w:r>
        <w:rPr>
          <w:rFonts w:ascii="Calibri" w:hAnsi="Calibri" w:cs="Calibri"/>
        </w:rPr>
        <w:t> </w:t>
      </w:r>
      <w:r>
        <w:t>million</w:t>
      </w:r>
      <w:r w:rsidR="00272AEC" w:rsidRPr="00B13363">
        <w:t xml:space="preserve"> to help compensate farmers in areas affected by outbreaks of avian influenza in Poland</w:t>
      </w:r>
      <w:r w:rsidR="00446884" w:rsidRPr="00B13363">
        <w:rPr>
          <w:rFonts w:ascii="Calibri" w:hAnsi="Calibri" w:cs="Calibri"/>
        </w:rPr>
        <w:t> </w:t>
      </w:r>
      <w:r w:rsidR="00446884" w:rsidRPr="00446884">
        <w:t>(</w:t>
      </w:r>
      <w:r w:rsidR="00446884">
        <w:rPr>
          <w:rStyle w:val="FootnoteReference"/>
        </w:rPr>
        <w:footnoteReference w:id="43"/>
      </w:r>
      <w:r w:rsidR="00446884">
        <w:t>)</w:t>
      </w:r>
      <w:r w:rsidR="00054E4C">
        <w:t>;</w:t>
      </w:r>
    </w:p>
    <w:p w14:paraId="2637F732" w14:textId="3B9E9173" w:rsidR="00C65141" w:rsidRDefault="00C65141" w:rsidP="0041545A">
      <w:pPr>
        <w:pStyle w:val="ListBulletorangeLevel1"/>
      </w:pPr>
      <w:r w:rsidRPr="00B13363">
        <w:t xml:space="preserve">Exceptional changes to </w:t>
      </w:r>
      <w:r w:rsidR="006F5D71">
        <w:t>POSEI (</w:t>
      </w:r>
      <w:r w:rsidRPr="00B13363">
        <w:t xml:space="preserve">the </w:t>
      </w:r>
      <w:r w:rsidR="00D62D20" w:rsidRPr="00D62D20">
        <w:t>programme of options specifically relating to remoteness and insularity</w:t>
      </w:r>
      <w:r w:rsidR="006F5D71">
        <w:t>)</w:t>
      </w:r>
      <w:r w:rsidR="00D62D20" w:rsidRPr="00D62D20">
        <w:t xml:space="preserve"> </w:t>
      </w:r>
      <w:r w:rsidRPr="00B13363">
        <w:t>to help farmers in Mayotte restart production after Cyclone Chido</w:t>
      </w:r>
      <w:r w:rsidR="00EA222C" w:rsidRPr="00B13363">
        <w:rPr>
          <w:rFonts w:ascii="Calibri" w:hAnsi="Calibri" w:cs="Calibri"/>
        </w:rPr>
        <w:t> </w:t>
      </w:r>
      <w:r w:rsidR="00EA222C" w:rsidRPr="00EA222C">
        <w:t>(</w:t>
      </w:r>
      <w:r w:rsidR="00EA222C">
        <w:rPr>
          <w:rStyle w:val="FootnoteReference"/>
        </w:rPr>
        <w:footnoteReference w:id="44"/>
      </w:r>
      <w:r w:rsidR="00EA222C">
        <w:t>)</w:t>
      </w:r>
      <w:r w:rsidR="00D971E8">
        <w:t>.</w:t>
      </w:r>
    </w:p>
    <w:p w14:paraId="25B4636C" w14:textId="5DD6A53D" w:rsidR="00B27632" w:rsidRPr="00B13363" w:rsidRDefault="00B44BAD" w:rsidP="001B7D68">
      <w:r>
        <w:t xml:space="preserve">Furthermore, the </w:t>
      </w:r>
      <w:r w:rsidR="00F6719E" w:rsidRPr="001B7D68">
        <w:rPr>
          <w:b/>
          <w:bCs/>
        </w:rPr>
        <w:t xml:space="preserve">food strand of the </w:t>
      </w:r>
      <w:r w:rsidRPr="001B7D68">
        <w:rPr>
          <w:b/>
          <w:bCs/>
        </w:rPr>
        <w:t>s</w:t>
      </w:r>
      <w:r w:rsidR="00164176" w:rsidRPr="001B7D68">
        <w:rPr>
          <w:b/>
          <w:bCs/>
        </w:rPr>
        <w:t xml:space="preserve">ingle </w:t>
      </w:r>
      <w:r w:rsidRPr="001B7D68">
        <w:rPr>
          <w:b/>
          <w:bCs/>
        </w:rPr>
        <w:t>m</w:t>
      </w:r>
      <w:r w:rsidR="00164176" w:rsidRPr="001B7D68">
        <w:rPr>
          <w:b/>
          <w:bCs/>
        </w:rPr>
        <w:t xml:space="preserve">arket </w:t>
      </w:r>
      <w:r w:rsidRPr="001B7D68">
        <w:rPr>
          <w:b/>
          <w:bCs/>
        </w:rPr>
        <w:t>p</w:t>
      </w:r>
      <w:r w:rsidR="00164176" w:rsidRPr="001B7D68">
        <w:rPr>
          <w:b/>
          <w:bCs/>
        </w:rPr>
        <w:t>rogramme</w:t>
      </w:r>
      <w:r w:rsidR="00164176">
        <w:t xml:space="preserve"> provided more than </w:t>
      </w:r>
      <w:r w:rsidR="00F6719E">
        <w:rPr>
          <w:noProof/>
        </w:rPr>
        <w:t>EUR</w:t>
      </w:r>
      <w:r w:rsidR="00F6719E">
        <w:rPr>
          <w:rFonts w:ascii="Calibri" w:hAnsi="Calibri" w:cs="Calibri"/>
          <w:noProof/>
        </w:rPr>
        <w:t> </w:t>
      </w:r>
      <w:r w:rsidR="00F6719E">
        <w:rPr>
          <w:noProof/>
        </w:rPr>
        <w:t>240</w:t>
      </w:r>
      <w:r w:rsidR="00F6719E">
        <w:rPr>
          <w:rFonts w:ascii="Calibri" w:hAnsi="Calibri" w:cs="Calibri"/>
          <w:noProof/>
        </w:rPr>
        <w:t> </w:t>
      </w:r>
      <w:r w:rsidR="00F6719E">
        <w:rPr>
          <w:noProof/>
        </w:rPr>
        <w:t>million</w:t>
      </w:r>
      <w:r w:rsidR="00F6719E" w:rsidRPr="0074603B">
        <w:rPr>
          <w:noProof/>
        </w:rPr>
        <w:t xml:space="preserve"> </w:t>
      </w:r>
      <w:r w:rsidR="00164176">
        <w:t>in 2025 in the</w:t>
      </w:r>
      <w:r w:rsidR="00F6719E">
        <w:t xml:space="preserve"> areas</w:t>
      </w:r>
      <w:r w:rsidR="00164176">
        <w:t xml:space="preserve"> of animal and plant disease control, EU </w:t>
      </w:r>
      <w:r w:rsidR="00597FA8">
        <w:t>r</w:t>
      </w:r>
      <w:r w:rsidR="00164176">
        <w:t xml:space="preserve">eference </w:t>
      </w:r>
      <w:r w:rsidR="00597FA8">
        <w:t>l</w:t>
      </w:r>
      <w:r w:rsidR="00164176">
        <w:t>aboratories and the EU vaccine bank for animal diseases, reducing risks to food security by ensuring resilience against outbreaks of major transboundary animal diseases.</w:t>
      </w:r>
    </w:p>
    <w:p w14:paraId="76AF5F1B" w14:textId="044F7D27" w:rsidR="009722AE" w:rsidRDefault="00350109" w:rsidP="009722AE">
      <w:pPr>
        <w:pStyle w:val="Heading4"/>
        <w:rPr>
          <w:lang w:eastAsia="fr-BE"/>
        </w:rPr>
      </w:pPr>
      <w:r>
        <w:rPr>
          <w:lang w:eastAsia="fr-BE"/>
        </w:rPr>
        <w:t>Investing in w</w:t>
      </w:r>
      <w:r w:rsidR="003A0295">
        <w:rPr>
          <w:lang w:eastAsia="fr-BE"/>
        </w:rPr>
        <w:t>ater</w:t>
      </w:r>
      <w:r w:rsidR="00D329CC">
        <w:rPr>
          <w:lang w:eastAsia="fr-BE"/>
        </w:rPr>
        <w:t xml:space="preserve">-smart economy, </w:t>
      </w:r>
      <w:r w:rsidR="009722AE">
        <w:rPr>
          <w:lang w:eastAsia="fr-BE"/>
        </w:rPr>
        <w:t>oceans and fisheries</w:t>
      </w:r>
    </w:p>
    <w:p w14:paraId="2299AD19" w14:textId="32B2C6D7" w:rsidR="00EE1DE9" w:rsidRPr="000D61F1" w:rsidRDefault="008762C9" w:rsidP="00EE1DE9">
      <w:pPr>
        <w:rPr>
          <w:noProof/>
        </w:rPr>
      </w:pPr>
      <w:r w:rsidRPr="008B71E1">
        <w:rPr>
          <w:rStyle w:val="Bold"/>
        </w:rPr>
        <w:t>T</w:t>
      </w:r>
      <w:r w:rsidR="00EE1DE9" w:rsidRPr="008B71E1">
        <w:rPr>
          <w:rStyle w:val="Bold"/>
        </w:rPr>
        <w:t xml:space="preserve">he midterm review </w:t>
      </w:r>
      <w:r w:rsidR="0045292D" w:rsidRPr="008B71E1">
        <w:rPr>
          <w:rStyle w:val="Bold"/>
        </w:rPr>
        <w:t xml:space="preserve">of </w:t>
      </w:r>
      <w:r w:rsidR="00EE1DE9" w:rsidRPr="008B71E1">
        <w:rPr>
          <w:rStyle w:val="Bold"/>
        </w:rPr>
        <w:t xml:space="preserve">cohesion policy </w:t>
      </w:r>
      <w:r w:rsidR="0045292D" w:rsidRPr="008B71E1">
        <w:rPr>
          <w:rStyle w:val="Bold"/>
        </w:rPr>
        <w:t>included</w:t>
      </w:r>
      <w:r w:rsidR="00EE1DE9" w:rsidRPr="008B71E1">
        <w:rPr>
          <w:rStyle w:val="Bold"/>
        </w:rPr>
        <w:t xml:space="preserve"> a new </w:t>
      </w:r>
      <w:r w:rsidR="00F81913">
        <w:rPr>
          <w:rStyle w:val="Bold"/>
        </w:rPr>
        <w:t xml:space="preserve">dedicated </w:t>
      </w:r>
      <w:r w:rsidR="00EE1DE9" w:rsidRPr="008B71E1">
        <w:rPr>
          <w:rStyle w:val="Bold"/>
        </w:rPr>
        <w:t>priority for water resilience</w:t>
      </w:r>
      <w:r w:rsidR="006C4859" w:rsidRPr="008B71E1">
        <w:rPr>
          <w:rStyle w:val="Bold"/>
        </w:rPr>
        <w:t xml:space="preserve">. These actions </w:t>
      </w:r>
      <w:r w:rsidR="00EE1DE9" w:rsidRPr="008B71E1">
        <w:rPr>
          <w:rStyle w:val="Bold"/>
        </w:rPr>
        <w:t>aim at improving access to clean water</w:t>
      </w:r>
      <w:r w:rsidR="00BD1993">
        <w:rPr>
          <w:rStyle w:val="Bold"/>
        </w:rPr>
        <w:t xml:space="preserve">, </w:t>
      </w:r>
      <w:r w:rsidR="00BD1993" w:rsidRPr="066E8A2A">
        <w:rPr>
          <w:rStyle w:val="Bold"/>
        </w:rPr>
        <w:t>sustainable water management and water resilience</w:t>
      </w:r>
      <w:r w:rsidR="00EE1DE9" w:rsidRPr="0074603B">
        <w:rPr>
          <w:noProof/>
        </w:rPr>
        <w:t xml:space="preserve"> </w:t>
      </w:r>
      <w:r w:rsidR="00EE0B6B">
        <w:rPr>
          <w:noProof/>
        </w:rPr>
        <w:t>amid</w:t>
      </w:r>
      <w:r w:rsidR="00EE1DE9" w:rsidRPr="0074603B">
        <w:rPr>
          <w:noProof/>
        </w:rPr>
        <w:t xml:space="preserve"> frequent droughts</w:t>
      </w:r>
      <w:r w:rsidR="004B4B18">
        <w:rPr>
          <w:noProof/>
        </w:rPr>
        <w:t xml:space="preserve"> </w:t>
      </w:r>
      <w:r w:rsidR="004B4B18" w:rsidRPr="066E8A2A">
        <w:rPr>
          <w:noProof/>
        </w:rPr>
        <w:t>and other climate change impacts</w:t>
      </w:r>
      <w:r w:rsidR="00EE1DE9" w:rsidRPr="0074603B">
        <w:rPr>
          <w:noProof/>
        </w:rPr>
        <w:t>, a</w:t>
      </w:r>
      <w:r w:rsidR="00C97482">
        <w:rPr>
          <w:noProof/>
        </w:rPr>
        <w:t xml:space="preserve">long with </w:t>
      </w:r>
      <w:r w:rsidR="00EE1DE9" w:rsidRPr="0074603B">
        <w:rPr>
          <w:noProof/>
        </w:rPr>
        <w:t xml:space="preserve">reducing water pollution. </w:t>
      </w:r>
      <w:r w:rsidR="00E5680D" w:rsidRPr="000A47E8">
        <w:t>EUR</w:t>
      </w:r>
      <w:r w:rsidR="00E5680D" w:rsidRPr="000A47E8">
        <w:rPr>
          <w:rFonts w:ascii="Calibri" w:hAnsi="Calibri" w:cs="Calibri"/>
        </w:rPr>
        <w:t> </w:t>
      </w:r>
      <w:r w:rsidR="00E5680D" w:rsidRPr="000A47E8">
        <w:t>3.1</w:t>
      </w:r>
      <w:r w:rsidR="00167E3A" w:rsidRPr="000A47E8">
        <w:rPr>
          <w:rFonts w:ascii="Calibri" w:hAnsi="Calibri" w:cs="Calibri"/>
        </w:rPr>
        <w:t> </w:t>
      </w:r>
      <w:r w:rsidR="00167E3A" w:rsidRPr="000A47E8">
        <w:t>billion</w:t>
      </w:r>
      <w:r w:rsidR="00EE1DE9" w:rsidRPr="0074603B">
        <w:rPr>
          <w:noProof/>
        </w:rPr>
        <w:t xml:space="preserve"> ha</w:t>
      </w:r>
      <w:r w:rsidR="00167E3A">
        <w:rPr>
          <w:noProof/>
        </w:rPr>
        <w:t>s</w:t>
      </w:r>
      <w:r w:rsidR="00EE1DE9" w:rsidRPr="0074603B">
        <w:rPr>
          <w:noProof/>
        </w:rPr>
        <w:t xml:space="preserve"> been reallocated to this priority, on top of </w:t>
      </w:r>
      <w:r w:rsidR="00EB0E5C">
        <w:rPr>
          <w:noProof/>
        </w:rPr>
        <w:t>EUR</w:t>
      </w:r>
      <w:r w:rsidR="00EB0E5C">
        <w:rPr>
          <w:rFonts w:ascii="Calibri" w:hAnsi="Calibri" w:cs="Calibri"/>
          <w:noProof/>
        </w:rPr>
        <w:t> </w:t>
      </w:r>
      <w:r w:rsidR="00EE1DE9" w:rsidRPr="0074603B">
        <w:rPr>
          <w:noProof/>
        </w:rPr>
        <w:t>13</w:t>
      </w:r>
      <w:r w:rsidR="00EB0E5C">
        <w:rPr>
          <w:rFonts w:ascii="Calibri" w:hAnsi="Calibri" w:cs="Calibri"/>
          <w:noProof/>
        </w:rPr>
        <w:t> </w:t>
      </w:r>
      <w:r w:rsidR="00EB0E5C">
        <w:rPr>
          <w:noProof/>
        </w:rPr>
        <w:t>billion</w:t>
      </w:r>
      <w:r w:rsidR="00EE1DE9" w:rsidRPr="0074603B">
        <w:rPr>
          <w:noProof/>
        </w:rPr>
        <w:t xml:space="preserve"> already under implementation. As underlined in the Competitiveness Compass and the </w:t>
      </w:r>
      <w:r w:rsidR="000119C2">
        <w:rPr>
          <w:noProof/>
        </w:rPr>
        <w:t>w</w:t>
      </w:r>
      <w:r w:rsidR="00EE1DE9" w:rsidRPr="0074603B">
        <w:rPr>
          <w:noProof/>
        </w:rPr>
        <w:t xml:space="preserve">ater </w:t>
      </w:r>
      <w:r w:rsidR="000119C2">
        <w:rPr>
          <w:noProof/>
        </w:rPr>
        <w:t>r</w:t>
      </w:r>
      <w:r w:rsidR="00EE1DE9" w:rsidRPr="0074603B">
        <w:rPr>
          <w:noProof/>
        </w:rPr>
        <w:t xml:space="preserve">esilience </w:t>
      </w:r>
      <w:r w:rsidR="000119C2">
        <w:rPr>
          <w:noProof/>
        </w:rPr>
        <w:t>s</w:t>
      </w:r>
      <w:r w:rsidR="00EE1DE9" w:rsidRPr="0074603B">
        <w:rPr>
          <w:noProof/>
        </w:rPr>
        <w:t xml:space="preserve">trategy, building a water-smart society is </w:t>
      </w:r>
      <w:r w:rsidR="00107ACD">
        <w:rPr>
          <w:noProof/>
        </w:rPr>
        <w:t>an important</w:t>
      </w:r>
      <w:r w:rsidR="00EE1DE9" w:rsidRPr="0074603B">
        <w:rPr>
          <w:noProof/>
        </w:rPr>
        <w:t xml:space="preserve"> pillar for Europe’s economic security.</w:t>
      </w:r>
      <w:r w:rsidR="00EE1DE9">
        <w:rPr>
          <w:noProof/>
        </w:rPr>
        <w:t xml:space="preserve"> </w:t>
      </w:r>
    </w:p>
    <w:p w14:paraId="6644C6C0" w14:textId="792B210E" w:rsidR="005E492B" w:rsidRDefault="00BE1204" w:rsidP="005E492B">
      <w:pPr>
        <w:rPr>
          <w:noProof/>
        </w:rPr>
      </w:pPr>
      <w:r w:rsidRPr="008B71E1">
        <w:rPr>
          <w:rStyle w:val="Bold"/>
        </w:rPr>
        <w:t xml:space="preserve">The EU Maritime Fisheries and Aquaculture Fund </w:t>
      </w:r>
      <w:r w:rsidR="00FE01AD" w:rsidRPr="008B71E1">
        <w:rPr>
          <w:rStyle w:val="Bold"/>
        </w:rPr>
        <w:t xml:space="preserve">contributes </w:t>
      </w:r>
      <w:r w:rsidR="00093249" w:rsidRPr="008B71E1">
        <w:rPr>
          <w:rStyle w:val="Bold"/>
        </w:rPr>
        <w:t xml:space="preserve">to a </w:t>
      </w:r>
      <w:r w:rsidRPr="008B71E1">
        <w:rPr>
          <w:rStyle w:val="Bold"/>
        </w:rPr>
        <w:t>sustainable blue economy</w:t>
      </w:r>
      <w:r w:rsidRPr="003C1EE5">
        <w:rPr>
          <w:rStyle w:val="BoldAccent1"/>
          <w:rFonts w:eastAsia="Times New Roman"/>
        </w:rPr>
        <w:t xml:space="preserve"> </w:t>
      </w:r>
      <w:r w:rsidRPr="005E492B">
        <w:rPr>
          <w:lang w:eastAsia="fr-BE"/>
        </w:rPr>
        <w:t>in coastal, island and inland areas</w:t>
      </w:r>
      <w:r w:rsidR="00BA1B4E">
        <w:rPr>
          <w:lang w:eastAsia="fr-BE"/>
        </w:rPr>
        <w:t>,</w:t>
      </w:r>
      <w:r w:rsidRPr="005E492B">
        <w:rPr>
          <w:lang w:eastAsia="fr-BE"/>
        </w:rPr>
        <w:t xml:space="preserve"> and </w:t>
      </w:r>
      <w:r w:rsidR="00FE306B">
        <w:rPr>
          <w:lang w:eastAsia="fr-BE"/>
        </w:rPr>
        <w:t xml:space="preserve">to </w:t>
      </w:r>
      <w:r w:rsidRPr="005E492B">
        <w:rPr>
          <w:lang w:eastAsia="fr-BE"/>
        </w:rPr>
        <w:t>the development of fishing and aquaculture communities</w:t>
      </w:r>
      <w:r w:rsidR="00093249">
        <w:rPr>
          <w:lang w:eastAsia="fr-BE"/>
        </w:rPr>
        <w:t>.</w:t>
      </w:r>
      <w:r w:rsidRPr="00287CBC">
        <w:rPr>
          <w:lang w:eastAsia="fr-BE"/>
        </w:rPr>
        <w:t xml:space="preserve"> </w:t>
      </w:r>
      <w:r w:rsidR="00B3294E">
        <w:rPr>
          <w:lang w:eastAsia="fr-BE"/>
        </w:rPr>
        <w:t>Member States received</w:t>
      </w:r>
      <w:r w:rsidR="00093249">
        <w:rPr>
          <w:lang w:eastAsia="fr-BE"/>
        </w:rPr>
        <w:t xml:space="preserve"> </w:t>
      </w:r>
      <w:r w:rsidR="00093249" w:rsidRPr="000D61F1" w:rsidDel="00EB0E5C">
        <w:rPr>
          <w:lang w:eastAsia="fr-BE"/>
        </w:rPr>
        <w:t>EUR</w:t>
      </w:r>
      <w:r w:rsidR="00EB0E5C">
        <w:rPr>
          <w:rFonts w:ascii="Calibri" w:hAnsi="Calibri" w:cs="Calibri"/>
          <w:lang w:eastAsia="fr-BE"/>
        </w:rPr>
        <w:t> </w:t>
      </w:r>
      <w:r w:rsidR="00093249" w:rsidRPr="000D61F1">
        <w:rPr>
          <w:lang w:eastAsia="fr-BE"/>
        </w:rPr>
        <w:t>554.9</w:t>
      </w:r>
      <w:r w:rsidR="00EB0E5C">
        <w:rPr>
          <w:rFonts w:ascii="Calibri" w:hAnsi="Calibri" w:cs="Calibri"/>
          <w:lang w:eastAsia="fr-BE"/>
        </w:rPr>
        <w:t> </w:t>
      </w:r>
      <w:r w:rsidR="00EB0E5C">
        <w:rPr>
          <w:lang w:eastAsia="fr-BE"/>
        </w:rPr>
        <w:t>million</w:t>
      </w:r>
      <w:r w:rsidR="00B3294E">
        <w:rPr>
          <w:lang w:eastAsia="fr-BE"/>
        </w:rPr>
        <w:t xml:space="preserve"> in payments</w:t>
      </w:r>
      <w:r w:rsidR="00121C25">
        <w:rPr>
          <w:lang w:eastAsia="fr-BE"/>
        </w:rPr>
        <w:t>. These financed p</w:t>
      </w:r>
      <w:r w:rsidR="00F87DC9">
        <w:rPr>
          <w:lang w:eastAsia="fr-BE"/>
        </w:rPr>
        <w:t xml:space="preserve">rojects </w:t>
      </w:r>
      <w:r w:rsidR="00D47D8F">
        <w:rPr>
          <w:lang w:eastAsia="fr-BE"/>
        </w:rPr>
        <w:t>such as</w:t>
      </w:r>
      <w:r w:rsidR="00F87DC9">
        <w:rPr>
          <w:lang w:eastAsia="fr-BE"/>
        </w:rPr>
        <w:t xml:space="preserve"> upskilling and reskilling for people who work in and around ports</w:t>
      </w:r>
      <w:r w:rsidR="00F87DC9" w:rsidRPr="00B13363">
        <w:rPr>
          <w:rFonts w:ascii="Calibri" w:hAnsi="Calibri" w:cs="Calibri"/>
        </w:rPr>
        <w:t> </w:t>
      </w:r>
      <w:r w:rsidR="00F87DC9" w:rsidRPr="00621A48">
        <w:t>(</w:t>
      </w:r>
      <w:r w:rsidR="00F87DC9">
        <w:rPr>
          <w:rStyle w:val="FootnoteReference"/>
        </w:rPr>
        <w:footnoteReference w:id="45"/>
      </w:r>
      <w:r w:rsidR="00F87DC9">
        <w:t>)</w:t>
      </w:r>
      <w:r w:rsidR="000A1F9D">
        <w:t xml:space="preserve"> and</w:t>
      </w:r>
      <w:r w:rsidR="00F87DC9">
        <w:rPr>
          <w:lang w:eastAsia="fr-BE"/>
        </w:rPr>
        <w:t xml:space="preserve"> </w:t>
      </w:r>
      <w:r w:rsidR="00C26EAD">
        <w:rPr>
          <w:lang w:eastAsia="fr-BE"/>
        </w:rPr>
        <w:t xml:space="preserve">research into the </w:t>
      </w:r>
      <w:r w:rsidR="00C26EAD">
        <w:t>decline in European eel and salmon population</w:t>
      </w:r>
      <w:r w:rsidR="000A1F9D">
        <w:t>s</w:t>
      </w:r>
      <w:r w:rsidR="00C26EAD" w:rsidRPr="00B13363">
        <w:rPr>
          <w:rFonts w:cs="Calibri"/>
        </w:rPr>
        <w:t> </w:t>
      </w:r>
      <w:r w:rsidR="00C26EAD" w:rsidRPr="00CB6D02">
        <w:t>(</w:t>
      </w:r>
      <w:r w:rsidR="00C26EAD">
        <w:rPr>
          <w:rStyle w:val="FootnoteReference"/>
        </w:rPr>
        <w:footnoteReference w:id="46"/>
      </w:r>
      <w:r w:rsidR="00C26EAD">
        <w:t>), a</w:t>
      </w:r>
      <w:r w:rsidR="00AA76AD">
        <w:t>long with</w:t>
      </w:r>
      <w:r w:rsidR="00C26EAD">
        <w:t xml:space="preserve"> research into optimised trawling gears </w:t>
      </w:r>
      <w:r w:rsidR="008B4448">
        <w:t xml:space="preserve">with a view </w:t>
      </w:r>
      <w:r w:rsidR="004A6F87">
        <w:t>t</w:t>
      </w:r>
      <w:r w:rsidR="008B4448">
        <w:t>o lowering fuel consumption</w:t>
      </w:r>
      <w:r w:rsidR="008B4448" w:rsidRPr="00B13363">
        <w:rPr>
          <w:rFonts w:eastAsia="EC Square Sans Pro" w:cs="Calibri"/>
          <w:noProof/>
          <w:color w:val="000000" w:themeColor="text1"/>
          <w:szCs w:val="21"/>
          <w:lang w:eastAsia="fr-BE"/>
        </w:rPr>
        <w:t> </w:t>
      </w:r>
      <w:r w:rsidR="008B4448" w:rsidRPr="00AD012E">
        <w:t>(</w:t>
      </w:r>
      <w:r w:rsidR="008B4448">
        <w:rPr>
          <w:rStyle w:val="FootnoteReference"/>
        </w:rPr>
        <w:footnoteReference w:id="47"/>
      </w:r>
      <w:r w:rsidR="008B4448">
        <w:t>).</w:t>
      </w:r>
      <w:r w:rsidR="005E492B">
        <w:t xml:space="preserve"> </w:t>
      </w:r>
      <w:r w:rsidR="005E492B">
        <w:rPr>
          <w:noProof/>
        </w:rPr>
        <w:t xml:space="preserve">To support ocean conservation, ocean sciences, sustainable fisheries, aquaculture and the blue economy, the Commission </w:t>
      </w:r>
      <w:r w:rsidR="00B95F10">
        <w:rPr>
          <w:noProof/>
        </w:rPr>
        <w:t>presented</w:t>
      </w:r>
      <w:r w:rsidR="005E492B">
        <w:rPr>
          <w:noProof/>
        </w:rPr>
        <w:t xml:space="preserve"> the </w:t>
      </w:r>
      <w:r w:rsidR="005E492B" w:rsidRPr="008B71E1">
        <w:rPr>
          <w:rStyle w:val="Bold"/>
        </w:rPr>
        <w:t>European Ocean Pact</w:t>
      </w:r>
      <w:r w:rsidR="005E492B">
        <w:rPr>
          <w:noProof/>
        </w:rPr>
        <w:t xml:space="preserve"> at the 2025 UN Ocean Conference, alongside </w:t>
      </w:r>
      <w:r w:rsidR="005E492B" w:rsidDel="00EB0E5C">
        <w:rPr>
          <w:noProof/>
        </w:rPr>
        <w:t>EUR</w:t>
      </w:r>
      <w:r w:rsidR="00EB0E5C">
        <w:rPr>
          <w:rFonts w:ascii="Calibri" w:hAnsi="Calibri" w:cs="Calibri"/>
          <w:noProof/>
        </w:rPr>
        <w:t> </w:t>
      </w:r>
      <w:r w:rsidR="005E492B">
        <w:rPr>
          <w:noProof/>
        </w:rPr>
        <w:t>1</w:t>
      </w:r>
      <w:r w:rsidR="00EB0E5C">
        <w:rPr>
          <w:rFonts w:ascii="Calibri" w:hAnsi="Calibri" w:cs="Calibri"/>
          <w:noProof/>
        </w:rPr>
        <w:t> </w:t>
      </w:r>
      <w:r w:rsidR="00EB0E5C">
        <w:rPr>
          <w:noProof/>
        </w:rPr>
        <w:t>billion</w:t>
      </w:r>
      <w:r w:rsidR="005E492B">
        <w:rPr>
          <w:noProof/>
        </w:rPr>
        <w:t xml:space="preserve"> in investment for the ocean</w:t>
      </w:r>
      <w:r w:rsidR="005E492B" w:rsidRPr="00141B0F">
        <w:rPr>
          <w:rFonts w:cs="Calibri"/>
          <w:noProof/>
        </w:rPr>
        <w:t> </w:t>
      </w:r>
      <w:r w:rsidR="005E492B" w:rsidRPr="00141B0F">
        <w:rPr>
          <w:noProof/>
        </w:rPr>
        <w:t>(</w:t>
      </w:r>
      <w:r w:rsidR="005E492B">
        <w:rPr>
          <w:rStyle w:val="FootnoteReference"/>
          <w:noProof/>
        </w:rPr>
        <w:footnoteReference w:id="48"/>
      </w:r>
      <w:r w:rsidR="005E492B">
        <w:rPr>
          <w:noProof/>
        </w:rPr>
        <w:t>)</w:t>
      </w:r>
      <w:r w:rsidR="009E02CC">
        <w:rPr>
          <w:noProof/>
        </w:rPr>
        <w:t>.</w:t>
      </w:r>
    </w:p>
    <w:p w14:paraId="5622A4F6" w14:textId="57CEC1CB" w:rsidR="00683CDF" w:rsidRDefault="00FF2CC4" w:rsidP="000D7D9F">
      <w:pPr>
        <w:rPr>
          <w:lang w:val="en-IE" w:eastAsia="fr-BE"/>
        </w:rPr>
      </w:pPr>
      <w:r w:rsidRPr="008B71E1">
        <w:rPr>
          <w:rStyle w:val="Bold"/>
        </w:rPr>
        <w:t>I</w:t>
      </w:r>
      <w:r w:rsidR="001A33A8" w:rsidRPr="008B71E1">
        <w:rPr>
          <w:rStyle w:val="Bold"/>
        </w:rPr>
        <w:t>n 2025</w:t>
      </w:r>
      <w:r w:rsidR="00D02105">
        <w:rPr>
          <w:rStyle w:val="Bold"/>
        </w:rPr>
        <w:t>,</w:t>
      </w:r>
      <w:r w:rsidR="001A33A8" w:rsidRPr="008B71E1">
        <w:rPr>
          <w:rStyle w:val="Bold"/>
        </w:rPr>
        <w:t xml:space="preserve"> the European digital twin of the Ocean became fully operational</w:t>
      </w:r>
      <w:r w:rsidR="002A484F">
        <w:rPr>
          <w:lang w:val="en-IE" w:eastAsia="fr-BE"/>
        </w:rPr>
        <w:t xml:space="preserve">. It </w:t>
      </w:r>
      <w:r w:rsidR="001A33A8">
        <w:rPr>
          <w:lang w:val="en-IE" w:eastAsia="fr-BE"/>
        </w:rPr>
        <w:t>integrat</w:t>
      </w:r>
      <w:r w:rsidR="002A484F">
        <w:rPr>
          <w:lang w:val="en-IE" w:eastAsia="fr-BE"/>
        </w:rPr>
        <w:t>ed</w:t>
      </w:r>
      <w:r w:rsidR="001A33A8">
        <w:rPr>
          <w:lang w:val="en-IE" w:eastAsia="fr-BE"/>
        </w:rPr>
        <w:t xml:space="preserve"> Copernicus </w:t>
      </w:r>
      <w:r w:rsidR="00092094">
        <w:rPr>
          <w:lang w:val="en-IE" w:eastAsia="fr-BE"/>
        </w:rPr>
        <w:t xml:space="preserve">and </w:t>
      </w:r>
      <w:r w:rsidR="001A33A8">
        <w:rPr>
          <w:lang w:val="en-IE" w:eastAsia="fr-BE"/>
        </w:rPr>
        <w:t xml:space="preserve">European marine observation </w:t>
      </w:r>
      <w:r w:rsidR="0003192B">
        <w:rPr>
          <w:lang w:val="en-IE" w:eastAsia="fr-BE"/>
        </w:rPr>
        <w:t>data</w:t>
      </w:r>
      <w:r w:rsidR="00D02105">
        <w:rPr>
          <w:lang w:val="en-IE" w:eastAsia="fr-BE"/>
        </w:rPr>
        <w:t>,</w:t>
      </w:r>
      <w:r w:rsidR="0003192B">
        <w:rPr>
          <w:lang w:val="en-IE" w:eastAsia="fr-BE"/>
        </w:rPr>
        <w:t xml:space="preserve"> allowing for </w:t>
      </w:r>
      <w:r w:rsidR="001A33A8">
        <w:rPr>
          <w:lang w:val="en-IE" w:eastAsia="fr-BE"/>
        </w:rPr>
        <w:t xml:space="preserve">high-resolution modelling </w:t>
      </w:r>
      <w:r w:rsidR="0003192B">
        <w:rPr>
          <w:lang w:val="en-IE" w:eastAsia="fr-BE"/>
        </w:rPr>
        <w:t>of</w:t>
      </w:r>
      <w:r w:rsidR="001A33A8">
        <w:rPr>
          <w:lang w:val="en-IE" w:eastAsia="fr-BE"/>
        </w:rPr>
        <w:t xml:space="preserve"> climate adaptation and sustainable resources management.</w:t>
      </w:r>
      <w:r w:rsidR="007B45F8">
        <w:rPr>
          <w:lang w:val="en-IE" w:eastAsia="fr-BE"/>
        </w:rPr>
        <w:t xml:space="preserve"> Moreover, t</w:t>
      </w:r>
      <w:r w:rsidR="003F1182" w:rsidRPr="003F1182">
        <w:rPr>
          <w:lang w:val="en-IE" w:eastAsia="fr-BE"/>
        </w:rPr>
        <w:t>he European Marine Observation and Data Network has continued to provide marine data on a findable, accessible, interoperable and reusable basis, resulting in annual benefits of between EUR</w:t>
      </w:r>
      <w:r w:rsidR="003F1182" w:rsidRPr="003F1182">
        <w:rPr>
          <w:rFonts w:ascii="Arial" w:hAnsi="Arial" w:cs="Arial"/>
          <w:lang w:val="en-IE" w:eastAsia="fr-BE"/>
        </w:rPr>
        <w:t> </w:t>
      </w:r>
      <w:r w:rsidR="003F1182" w:rsidRPr="003F1182">
        <w:rPr>
          <w:lang w:val="en-IE" w:eastAsia="fr-BE"/>
        </w:rPr>
        <w:t>150</w:t>
      </w:r>
      <w:r w:rsidR="003F1182" w:rsidRPr="003F1182">
        <w:rPr>
          <w:rFonts w:ascii="Arial" w:hAnsi="Arial" w:cs="Arial"/>
          <w:lang w:val="en-IE" w:eastAsia="fr-BE"/>
        </w:rPr>
        <w:t> </w:t>
      </w:r>
      <w:r w:rsidR="003F1182" w:rsidRPr="003F1182">
        <w:rPr>
          <w:lang w:val="en-IE" w:eastAsia="fr-BE"/>
        </w:rPr>
        <w:t>million and EUR</w:t>
      </w:r>
      <w:r w:rsidR="003F1182" w:rsidRPr="003F1182">
        <w:rPr>
          <w:rFonts w:ascii="Arial" w:hAnsi="Arial" w:cs="Arial"/>
          <w:lang w:val="en-IE" w:eastAsia="fr-BE"/>
        </w:rPr>
        <w:t> </w:t>
      </w:r>
      <w:r w:rsidR="003F1182" w:rsidRPr="003F1182">
        <w:rPr>
          <w:lang w:val="en-IE" w:eastAsia="fr-BE"/>
        </w:rPr>
        <w:t>400</w:t>
      </w:r>
      <w:r w:rsidR="003F1182" w:rsidRPr="003F1182">
        <w:rPr>
          <w:rFonts w:ascii="Arial" w:hAnsi="Arial" w:cs="Arial"/>
          <w:lang w:val="en-IE" w:eastAsia="fr-BE"/>
        </w:rPr>
        <w:t> </w:t>
      </w:r>
      <w:r w:rsidR="003F1182" w:rsidRPr="003F1182">
        <w:rPr>
          <w:lang w:val="en-IE" w:eastAsia="fr-BE"/>
        </w:rPr>
        <w:t xml:space="preserve">million through increased productivity and innovation for users and </w:t>
      </w:r>
      <w:r w:rsidR="002A4370">
        <w:rPr>
          <w:lang w:val="en-IE" w:eastAsia="fr-BE"/>
        </w:rPr>
        <w:t xml:space="preserve">better information on </w:t>
      </w:r>
      <w:r w:rsidR="003F1182" w:rsidRPr="003F1182">
        <w:rPr>
          <w:lang w:val="en-IE" w:eastAsia="fr-BE"/>
        </w:rPr>
        <w:t>our seas and oceans.</w:t>
      </w:r>
    </w:p>
    <w:p w14:paraId="208C0502" w14:textId="0F2D923B" w:rsidR="001A33A8" w:rsidRDefault="001A33A8" w:rsidP="000D7D9F">
      <w:pPr>
        <w:rPr>
          <w:lang w:eastAsia="fr-BE"/>
        </w:rPr>
      </w:pPr>
      <w:r w:rsidRPr="008B71E1">
        <w:rPr>
          <w:rStyle w:val="Bold"/>
        </w:rPr>
        <w:t xml:space="preserve">Horizon Europe’s Mission ‘Restore </w:t>
      </w:r>
      <w:r w:rsidR="009A0101">
        <w:rPr>
          <w:rStyle w:val="Bold"/>
        </w:rPr>
        <w:t>o</w:t>
      </w:r>
      <w:r w:rsidRPr="008B71E1">
        <w:rPr>
          <w:rStyle w:val="Bold"/>
        </w:rPr>
        <w:t xml:space="preserve">ur </w:t>
      </w:r>
      <w:r w:rsidR="009A0101">
        <w:rPr>
          <w:rStyle w:val="Bold"/>
        </w:rPr>
        <w:t>o</w:t>
      </w:r>
      <w:r w:rsidRPr="008B71E1">
        <w:rPr>
          <w:rStyle w:val="Bold"/>
        </w:rPr>
        <w:t xml:space="preserve">cean and </w:t>
      </w:r>
      <w:r w:rsidR="009A0101">
        <w:rPr>
          <w:rStyle w:val="Bold"/>
        </w:rPr>
        <w:t>w</w:t>
      </w:r>
      <w:r w:rsidRPr="008B71E1">
        <w:rPr>
          <w:rStyle w:val="Bold"/>
        </w:rPr>
        <w:t>aters’</w:t>
      </w:r>
      <w:r w:rsidRPr="003C1EE5">
        <w:rPr>
          <w:rStyle w:val="BoldAccent1"/>
          <w:rFonts w:eastAsia="Times New Roman"/>
        </w:rPr>
        <w:t xml:space="preserve"> </w:t>
      </w:r>
      <w:r w:rsidRPr="00566B99">
        <w:rPr>
          <w:lang w:val="en-IE" w:eastAsia="fr-BE"/>
        </w:rPr>
        <w:t>support</w:t>
      </w:r>
      <w:r>
        <w:rPr>
          <w:lang w:val="en-IE" w:eastAsia="fr-BE"/>
        </w:rPr>
        <w:t>ed</w:t>
      </w:r>
      <w:r w:rsidRPr="00566B99">
        <w:rPr>
          <w:lang w:val="en-IE" w:eastAsia="fr-BE"/>
        </w:rPr>
        <w:t xml:space="preserve"> the blue transition and strengthening the protection and restoration of marine and freshwater ecosystems in all sea basins.</w:t>
      </w:r>
      <w:r w:rsidRPr="000D61F1">
        <w:rPr>
          <w:rFonts w:ascii="Arial" w:hAnsi="Arial" w:cs="Arial"/>
          <w:lang w:eastAsia="fr-BE"/>
        </w:rPr>
        <w:t> </w:t>
      </w:r>
      <w:r w:rsidRPr="000D61F1">
        <w:rPr>
          <w:lang w:eastAsia="fr-BE"/>
        </w:rPr>
        <w:t xml:space="preserve"> By</w:t>
      </w:r>
      <w:r w:rsidRPr="000D61F1">
        <w:rPr>
          <w:rFonts w:ascii="Arial" w:hAnsi="Arial" w:cs="Arial"/>
          <w:lang w:eastAsia="fr-BE"/>
        </w:rPr>
        <w:t> </w:t>
      </w:r>
      <w:r w:rsidRPr="000D61F1">
        <w:rPr>
          <w:lang w:eastAsia="fr-BE"/>
        </w:rPr>
        <w:t>the end of 2025,</w:t>
      </w:r>
      <w:r w:rsidRPr="000D61F1">
        <w:rPr>
          <w:rFonts w:ascii="Arial" w:hAnsi="Arial" w:cs="Arial"/>
          <w:lang w:eastAsia="fr-BE"/>
        </w:rPr>
        <w:t> </w:t>
      </w:r>
      <w:r w:rsidRPr="000D61F1">
        <w:rPr>
          <w:lang w:eastAsia="fr-BE"/>
        </w:rPr>
        <w:t>80</w:t>
      </w:r>
      <w:r w:rsidRPr="000D61F1">
        <w:rPr>
          <w:rFonts w:ascii="Arial" w:hAnsi="Arial" w:cs="Arial"/>
          <w:lang w:eastAsia="fr-BE"/>
        </w:rPr>
        <w:t> </w:t>
      </w:r>
      <w:r w:rsidRPr="000D61F1">
        <w:rPr>
          <w:lang w:eastAsia="fr-BE"/>
        </w:rPr>
        <w:t>projects worth EUR</w:t>
      </w:r>
      <w:r w:rsidRPr="000D61F1">
        <w:rPr>
          <w:rFonts w:ascii="Calibri" w:hAnsi="Calibri" w:cs="Calibri"/>
          <w:lang w:eastAsia="fr-BE"/>
        </w:rPr>
        <w:t> </w:t>
      </w:r>
      <w:r w:rsidRPr="000D61F1">
        <w:rPr>
          <w:lang w:eastAsia="fr-BE"/>
        </w:rPr>
        <w:t>400</w:t>
      </w:r>
      <w:r w:rsidR="00EB0E5C">
        <w:rPr>
          <w:rFonts w:ascii="Calibri" w:hAnsi="Calibri" w:cs="Calibri"/>
          <w:lang w:eastAsia="fr-BE"/>
        </w:rPr>
        <w:t> </w:t>
      </w:r>
      <w:r w:rsidRPr="000D61F1" w:rsidDel="00EB0E5C">
        <w:rPr>
          <w:lang w:eastAsia="fr-BE"/>
        </w:rPr>
        <w:t>million</w:t>
      </w:r>
      <w:r w:rsidRPr="000D61F1">
        <w:rPr>
          <w:lang w:eastAsia="fr-BE"/>
        </w:rPr>
        <w:t xml:space="preserve"> </w:t>
      </w:r>
      <w:r w:rsidR="007324A1">
        <w:rPr>
          <w:lang w:eastAsia="fr-BE"/>
        </w:rPr>
        <w:t>we</w:t>
      </w:r>
      <w:r w:rsidRPr="000D61F1">
        <w:rPr>
          <w:lang w:eastAsia="fr-BE"/>
        </w:rPr>
        <w:t>re developing innovative</w:t>
      </w:r>
      <w:r w:rsidRPr="000D61F1">
        <w:rPr>
          <w:rFonts w:ascii="Arial" w:hAnsi="Arial" w:cs="Arial"/>
          <w:lang w:eastAsia="fr-BE"/>
        </w:rPr>
        <w:t> </w:t>
      </w:r>
      <w:r w:rsidRPr="000D61F1">
        <w:rPr>
          <w:lang w:eastAsia="fr-BE"/>
        </w:rPr>
        <w:t>solutions in 223</w:t>
      </w:r>
      <w:r w:rsidRPr="000D61F1">
        <w:rPr>
          <w:rFonts w:ascii="Arial" w:hAnsi="Arial" w:cs="Arial"/>
          <w:lang w:eastAsia="fr-BE"/>
        </w:rPr>
        <w:t> </w:t>
      </w:r>
      <w:r w:rsidRPr="000D61F1">
        <w:rPr>
          <w:lang w:eastAsia="fr-BE"/>
        </w:rPr>
        <w:t>local demonstration sites</w:t>
      </w:r>
      <w:r w:rsidR="003C1EE5">
        <w:rPr>
          <w:lang w:eastAsia="fr-BE"/>
        </w:rPr>
        <w:t>.</w:t>
      </w:r>
      <w:r w:rsidRPr="000D61F1">
        <w:rPr>
          <w:lang w:eastAsia="fr-BE"/>
        </w:rPr>
        <w:t xml:space="preserve"> </w:t>
      </w:r>
    </w:p>
    <w:p w14:paraId="642E0E41" w14:textId="5E4CA96D" w:rsidR="00180531" w:rsidRDefault="0070331D" w:rsidP="00180531">
      <w:pPr>
        <w:pStyle w:val="Heading4"/>
        <w:rPr>
          <w:lang w:eastAsia="fr-BE"/>
        </w:rPr>
      </w:pPr>
      <w:r>
        <w:rPr>
          <w:lang w:eastAsia="fr-BE"/>
        </w:rPr>
        <w:t>Promoting a circular economy</w:t>
      </w:r>
      <w:r w:rsidR="004344EF">
        <w:rPr>
          <w:lang w:eastAsia="fr-BE"/>
        </w:rPr>
        <w:t xml:space="preserve">, </w:t>
      </w:r>
      <w:r w:rsidR="00CE1754">
        <w:rPr>
          <w:lang w:eastAsia="fr-BE"/>
        </w:rPr>
        <w:t>climate resilience and biodiversity</w:t>
      </w:r>
    </w:p>
    <w:p w14:paraId="4D57C4F6" w14:textId="5A95A330" w:rsidR="00510E4F" w:rsidRDefault="005E492B" w:rsidP="009A68AA">
      <w:pPr>
        <w:rPr>
          <w:noProof/>
        </w:rPr>
      </w:pPr>
      <w:r w:rsidRPr="00F11A93">
        <w:rPr>
          <w:rStyle w:val="Bold"/>
        </w:rPr>
        <w:t>T</w:t>
      </w:r>
      <w:r w:rsidR="00510E4F" w:rsidRPr="00F11A93">
        <w:rPr>
          <w:rStyle w:val="Bold"/>
        </w:rPr>
        <w:t>he LIFE programme aim</w:t>
      </w:r>
      <w:r w:rsidRPr="00F11A93">
        <w:rPr>
          <w:rStyle w:val="Bold"/>
        </w:rPr>
        <w:t>s</w:t>
      </w:r>
      <w:r w:rsidR="00510E4F" w:rsidRPr="00F11A93">
        <w:rPr>
          <w:rStyle w:val="Bold"/>
        </w:rPr>
        <w:t xml:space="preserve"> to </w:t>
      </w:r>
      <w:r w:rsidR="008B4448" w:rsidRPr="00F11A93">
        <w:rPr>
          <w:rStyle w:val="Bold"/>
        </w:rPr>
        <w:t>support</w:t>
      </w:r>
      <w:r w:rsidR="00510E4F" w:rsidRPr="00F11A93">
        <w:rPr>
          <w:rStyle w:val="Bold"/>
        </w:rPr>
        <w:t xml:space="preserve"> the EU’s transition to a clean, circular, competitive and climate-resilient economy</w:t>
      </w:r>
      <w:r w:rsidR="00510E4F" w:rsidRPr="00E0372D">
        <w:rPr>
          <w:rStyle w:val="Bold"/>
        </w:rPr>
        <w:t>.</w:t>
      </w:r>
      <w:r w:rsidR="00510E4F" w:rsidRPr="003F3374">
        <w:rPr>
          <w:noProof/>
        </w:rPr>
        <w:t xml:space="preserve"> </w:t>
      </w:r>
      <w:r w:rsidR="00D01FBE">
        <w:rPr>
          <w:noProof/>
        </w:rPr>
        <w:t>Since 2021</w:t>
      </w:r>
      <w:r w:rsidR="008C77EA">
        <w:rPr>
          <w:noProof/>
        </w:rPr>
        <w:t>, t</w:t>
      </w:r>
      <w:r w:rsidR="0070331D" w:rsidRPr="006F6A38">
        <w:rPr>
          <w:noProof/>
        </w:rPr>
        <w:t xml:space="preserve">he </w:t>
      </w:r>
      <w:r w:rsidR="0060738E">
        <w:rPr>
          <w:noProof/>
        </w:rPr>
        <w:t>c</w:t>
      </w:r>
      <w:r w:rsidR="0070331D" w:rsidRPr="006F6A38">
        <w:rPr>
          <w:noProof/>
        </w:rPr>
        <w:t xml:space="preserve">ircular </w:t>
      </w:r>
      <w:r w:rsidR="0060738E">
        <w:rPr>
          <w:noProof/>
        </w:rPr>
        <w:t>e</w:t>
      </w:r>
      <w:r w:rsidR="0070331D" w:rsidRPr="006F6A38">
        <w:rPr>
          <w:noProof/>
        </w:rPr>
        <w:t xml:space="preserve">conomy and </w:t>
      </w:r>
      <w:r w:rsidR="0060738E">
        <w:rPr>
          <w:noProof/>
        </w:rPr>
        <w:t>q</w:t>
      </w:r>
      <w:r w:rsidR="0070331D" w:rsidRPr="006F6A38">
        <w:rPr>
          <w:noProof/>
        </w:rPr>
        <w:t xml:space="preserve">uality of </w:t>
      </w:r>
      <w:r w:rsidR="0060738E">
        <w:rPr>
          <w:noProof/>
        </w:rPr>
        <w:t>l</w:t>
      </w:r>
      <w:r w:rsidR="0070331D" w:rsidRPr="006F6A38">
        <w:rPr>
          <w:noProof/>
        </w:rPr>
        <w:t xml:space="preserve">ife </w:t>
      </w:r>
      <w:r w:rsidR="00856EDD">
        <w:rPr>
          <w:noProof/>
        </w:rPr>
        <w:t>sub-</w:t>
      </w:r>
      <w:r w:rsidR="0070331D" w:rsidRPr="006F6A38">
        <w:rPr>
          <w:noProof/>
        </w:rPr>
        <w:t xml:space="preserve">programme </w:t>
      </w:r>
      <w:r w:rsidR="00856EDD">
        <w:rPr>
          <w:noProof/>
        </w:rPr>
        <w:t>under LIFE</w:t>
      </w:r>
      <w:r w:rsidR="0070331D" w:rsidRPr="006F6A38">
        <w:rPr>
          <w:noProof/>
        </w:rPr>
        <w:t xml:space="preserve"> funded 180 projects focus</w:t>
      </w:r>
      <w:r w:rsidR="003B4762">
        <w:rPr>
          <w:noProof/>
        </w:rPr>
        <w:t>ing</w:t>
      </w:r>
      <w:r w:rsidR="0070331D" w:rsidRPr="006F6A38">
        <w:rPr>
          <w:noProof/>
        </w:rPr>
        <w:t xml:space="preserve"> on resource efficiency, air and soil quality, water resilience and management of waste and dangerous chemicals. These projects represent an investment </w:t>
      </w:r>
      <w:r w:rsidR="0070331D">
        <w:rPr>
          <w:noProof/>
        </w:rPr>
        <w:t>excee</w:t>
      </w:r>
      <w:r w:rsidR="0070331D" w:rsidRPr="006F6A38">
        <w:rPr>
          <w:noProof/>
        </w:rPr>
        <w:t xml:space="preserve">ding </w:t>
      </w:r>
      <w:r w:rsidR="0070331D" w:rsidRPr="006F6A38" w:rsidDel="00EB0E5C">
        <w:rPr>
          <w:noProof/>
        </w:rPr>
        <w:t>EUR</w:t>
      </w:r>
      <w:r w:rsidR="00EB0E5C">
        <w:rPr>
          <w:rFonts w:ascii="Calibri" w:hAnsi="Calibri" w:cs="Calibri"/>
          <w:noProof/>
        </w:rPr>
        <w:t> </w:t>
      </w:r>
      <w:r w:rsidR="0070331D" w:rsidRPr="006F6A38">
        <w:rPr>
          <w:noProof/>
        </w:rPr>
        <w:t>1</w:t>
      </w:r>
      <w:r w:rsidR="00EB0E5C">
        <w:rPr>
          <w:rFonts w:ascii="Calibri" w:hAnsi="Calibri" w:cs="Calibri"/>
          <w:noProof/>
        </w:rPr>
        <w:t> </w:t>
      </w:r>
      <w:r w:rsidR="00EB0E5C">
        <w:rPr>
          <w:noProof/>
        </w:rPr>
        <w:t>billion</w:t>
      </w:r>
      <w:r w:rsidR="0070331D" w:rsidRPr="006F6A38">
        <w:rPr>
          <w:noProof/>
        </w:rPr>
        <w:t xml:space="preserve">, with LIFE contributing </w:t>
      </w:r>
      <w:r w:rsidR="0070331D" w:rsidRPr="006F6A38" w:rsidDel="00EB0E5C">
        <w:rPr>
          <w:noProof/>
        </w:rPr>
        <w:t>EUR</w:t>
      </w:r>
      <w:r w:rsidR="00EB0E5C">
        <w:rPr>
          <w:rFonts w:ascii="Calibri" w:hAnsi="Calibri" w:cs="Calibri"/>
          <w:noProof/>
        </w:rPr>
        <w:t> </w:t>
      </w:r>
      <w:r w:rsidR="0070331D" w:rsidRPr="006F6A38">
        <w:rPr>
          <w:noProof/>
        </w:rPr>
        <w:t>530</w:t>
      </w:r>
      <w:r w:rsidR="00EB0E5C">
        <w:rPr>
          <w:rFonts w:ascii="Calibri" w:hAnsi="Calibri" w:cs="Calibri"/>
          <w:noProof/>
        </w:rPr>
        <w:t> </w:t>
      </w:r>
      <w:r w:rsidR="00EB0E5C">
        <w:rPr>
          <w:noProof/>
        </w:rPr>
        <w:t>million</w:t>
      </w:r>
      <w:r w:rsidR="00856EDD">
        <w:rPr>
          <w:noProof/>
        </w:rPr>
        <w:t xml:space="preserve">, and include </w:t>
      </w:r>
      <w:r w:rsidR="0023789D">
        <w:rPr>
          <w:noProof/>
        </w:rPr>
        <w:t xml:space="preserve">actions such as </w:t>
      </w:r>
      <w:r w:rsidR="000A7C9A">
        <w:rPr>
          <w:noProof/>
        </w:rPr>
        <w:t xml:space="preserve">the development of new technology to recycle end-of-life solar panels, </w:t>
      </w:r>
      <w:r w:rsidR="00E83718">
        <w:rPr>
          <w:noProof/>
        </w:rPr>
        <w:t>the conversion o</w:t>
      </w:r>
      <w:r w:rsidR="00526987">
        <w:rPr>
          <w:noProof/>
        </w:rPr>
        <w:t>f</w:t>
      </w:r>
      <w:r w:rsidR="00E83718">
        <w:rPr>
          <w:noProof/>
        </w:rPr>
        <w:t xml:space="preserve"> </w:t>
      </w:r>
      <w:r w:rsidR="00526987">
        <w:rPr>
          <w:noProof/>
        </w:rPr>
        <w:t>insect excrement (frass)</w:t>
      </w:r>
      <w:r w:rsidR="00E83718">
        <w:rPr>
          <w:noProof/>
        </w:rPr>
        <w:t xml:space="preserve"> into </w:t>
      </w:r>
      <w:r w:rsidR="00526987">
        <w:rPr>
          <w:noProof/>
        </w:rPr>
        <w:t>fertili</w:t>
      </w:r>
      <w:r w:rsidR="000F6A13">
        <w:rPr>
          <w:noProof/>
        </w:rPr>
        <w:t>s</w:t>
      </w:r>
      <w:r w:rsidR="00526987">
        <w:rPr>
          <w:noProof/>
        </w:rPr>
        <w:t>ers, a</w:t>
      </w:r>
      <w:r w:rsidR="000F6A13">
        <w:rPr>
          <w:noProof/>
        </w:rPr>
        <w:t xml:space="preserve">long with </w:t>
      </w:r>
      <w:r w:rsidR="00A81683">
        <w:rPr>
          <w:noProof/>
        </w:rPr>
        <w:t>research into solutions to stabilise mercury in contaminated soils.</w:t>
      </w:r>
    </w:p>
    <w:p w14:paraId="013BDE22" w14:textId="2256B8EB" w:rsidR="00144EA9" w:rsidRDefault="003279FC" w:rsidP="00144EA9">
      <w:pPr>
        <w:suppressAutoHyphens w:val="0"/>
        <w:rPr>
          <w:noProof/>
        </w:rPr>
      </w:pPr>
      <w:r w:rsidRPr="00F11A93">
        <w:rPr>
          <w:rStyle w:val="Bold"/>
        </w:rPr>
        <w:t xml:space="preserve">LIFE’s </w:t>
      </w:r>
      <w:r w:rsidR="0060738E" w:rsidRPr="00F11A93">
        <w:rPr>
          <w:rStyle w:val="Bold"/>
        </w:rPr>
        <w:t>c</w:t>
      </w:r>
      <w:r w:rsidRPr="00F11A93">
        <w:rPr>
          <w:rStyle w:val="Bold"/>
        </w:rPr>
        <w:t xml:space="preserve">limate </w:t>
      </w:r>
      <w:r w:rsidR="0060738E" w:rsidRPr="00F11A93">
        <w:rPr>
          <w:rStyle w:val="Bold"/>
        </w:rPr>
        <w:t>c</w:t>
      </w:r>
      <w:r w:rsidRPr="00F11A93">
        <w:rPr>
          <w:rStyle w:val="Bold"/>
        </w:rPr>
        <w:t xml:space="preserve">hange </w:t>
      </w:r>
      <w:r w:rsidR="0060738E" w:rsidRPr="00F11A93">
        <w:rPr>
          <w:rStyle w:val="Bold"/>
        </w:rPr>
        <w:t>m</w:t>
      </w:r>
      <w:r w:rsidRPr="00F11A93">
        <w:rPr>
          <w:rStyle w:val="Bold"/>
        </w:rPr>
        <w:t xml:space="preserve">itigation and </w:t>
      </w:r>
      <w:r w:rsidR="0060738E" w:rsidRPr="00F11A93">
        <w:rPr>
          <w:rStyle w:val="Bold"/>
        </w:rPr>
        <w:t>a</w:t>
      </w:r>
      <w:r w:rsidRPr="00F11A93">
        <w:rPr>
          <w:rStyle w:val="Bold"/>
        </w:rPr>
        <w:t xml:space="preserve">daptation </w:t>
      </w:r>
      <w:r w:rsidR="00E97E05" w:rsidRPr="00F11A93">
        <w:rPr>
          <w:rStyle w:val="Bold"/>
        </w:rPr>
        <w:t>s</w:t>
      </w:r>
      <w:r w:rsidRPr="00F11A93">
        <w:rPr>
          <w:rStyle w:val="Bold"/>
        </w:rPr>
        <w:t>ub</w:t>
      </w:r>
      <w:r w:rsidR="00E97E05" w:rsidRPr="00F11A93">
        <w:rPr>
          <w:rStyle w:val="Bold"/>
        </w:rPr>
        <w:t>-</w:t>
      </w:r>
      <w:r w:rsidRPr="00F11A93">
        <w:rPr>
          <w:rStyle w:val="Bold"/>
        </w:rPr>
        <w:t>programme financed</w:t>
      </w:r>
      <w:r w:rsidR="0060738E" w:rsidRPr="00F11A93">
        <w:rPr>
          <w:rStyle w:val="Bold"/>
        </w:rPr>
        <w:t>,</w:t>
      </w:r>
      <w:r w:rsidRPr="00F11A93">
        <w:rPr>
          <w:rStyle w:val="Bold"/>
        </w:rPr>
        <w:t xml:space="preserve"> up until 2025</w:t>
      </w:r>
      <w:r w:rsidR="0060738E" w:rsidRPr="00F11A93">
        <w:rPr>
          <w:rStyle w:val="Bold"/>
        </w:rPr>
        <w:t>,</w:t>
      </w:r>
      <w:r w:rsidRPr="00F11A93">
        <w:rPr>
          <w:rStyle w:val="Bold"/>
        </w:rPr>
        <w:t xml:space="preserve"> 123 projects</w:t>
      </w:r>
      <w:r w:rsidRPr="00E0372D">
        <w:rPr>
          <w:rStyle w:val="Bold"/>
        </w:rPr>
        <w:t>.</w:t>
      </w:r>
      <w:r w:rsidRPr="003279FC">
        <w:rPr>
          <w:noProof/>
        </w:rPr>
        <w:t xml:space="preserve"> Across the programming period, this corresponds to a total project value of </w:t>
      </w:r>
      <w:r w:rsidRPr="003279FC" w:rsidDel="00EB0E5C">
        <w:rPr>
          <w:noProof/>
        </w:rPr>
        <w:t>EUR</w:t>
      </w:r>
      <w:r w:rsidR="00EB0E5C">
        <w:rPr>
          <w:rFonts w:ascii="Calibri" w:hAnsi="Calibri" w:cs="Calibri"/>
          <w:noProof/>
        </w:rPr>
        <w:t> </w:t>
      </w:r>
      <w:r w:rsidRPr="003279FC">
        <w:rPr>
          <w:noProof/>
        </w:rPr>
        <w:t>681</w:t>
      </w:r>
      <w:r w:rsidR="00EB0E5C">
        <w:rPr>
          <w:rFonts w:ascii="Calibri" w:hAnsi="Calibri" w:cs="Calibri"/>
          <w:noProof/>
        </w:rPr>
        <w:t> </w:t>
      </w:r>
      <w:r w:rsidR="00EB0E5C">
        <w:rPr>
          <w:noProof/>
        </w:rPr>
        <w:t>million</w:t>
      </w:r>
      <w:r w:rsidRPr="003279FC">
        <w:rPr>
          <w:noProof/>
        </w:rPr>
        <w:t xml:space="preserve"> and a</w:t>
      </w:r>
      <w:r w:rsidR="00CB2D6E">
        <w:rPr>
          <w:noProof/>
        </w:rPr>
        <w:t>n</w:t>
      </w:r>
      <w:r w:rsidRPr="003279FC">
        <w:rPr>
          <w:noProof/>
        </w:rPr>
        <w:t xml:space="preserve"> EU contribution of </w:t>
      </w:r>
      <w:r>
        <w:rPr>
          <w:noProof/>
        </w:rPr>
        <w:t>EUR</w:t>
      </w:r>
      <w:r>
        <w:rPr>
          <w:rFonts w:ascii="Calibri" w:hAnsi="Calibri" w:cs="Calibri"/>
          <w:noProof/>
        </w:rPr>
        <w:t> </w:t>
      </w:r>
      <w:r w:rsidRPr="003279FC">
        <w:rPr>
          <w:noProof/>
        </w:rPr>
        <w:t>399.2</w:t>
      </w:r>
      <w:r w:rsidR="00EB0E5C">
        <w:rPr>
          <w:rFonts w:ascii="Calibri" w:hAnsi="Calibri" w:cs="Calibri"/>
          <w:noProof/>
        </w:rPr>
        <w:t> </w:t>
      </w:r>
      <w:r w:rsidR="00EB0E5C">
        <w:rPr>
          <w:noProof/>
        </w:rPr>
        <w:t>million</w:t>
      </w:r>
      <w:r w:rsidRPr="003279FC">
        <w:rPr>
          <w:noProof/>
        </w:rPr>
        <w:t xml:space="preserve">. Projects awarded in 2025 include </w:t>
      </w:r>
      <w:r w:rsidRPr="003279FC" w:rsidDel="00EB0E5C">
        <w:rPr>
          <w:noProof/>
        </w:rPr>
        <w:t>EUR</w:t>
      </w:r>
      <w:r w:rsidR="00EB0E5C">
        <w:rPr>
          <w:rFonts w:ascii="Calibri" w:hAnsi="Calibri" w:cs="Calibri"/>
          <w:noProof/>
        </w:rPr>
        <w:t> </w:t>
      </w:r>
      <w:r w:rsidRPr="003279FC">
        <w:rPr>
          <w:noProof/>
        </w:rPr>
        <w:t>66</w:t>
      </w:r>
      <w:r w:rsidR="00EB0E5C">
        <w:rPr>
          <w:rFonts w:ascii="Calibri" w:hAnsi="Calibri" w:cs="Calibri"/>
          <w:noProof/>
        </w:rPr>
        <w:t> </w:t>
      </w:r>
      <w:r w:rsidR="00EB0E5C">
        <w:rPr>
          <w:noProof/>
        </w:rPr>
        <w:t>million</w:t>
      </w:r>
      <w:r w:rsidRPr="003279FC">
        <w:rPr>
          <w:noProof/>
        </w:rPr>
        <w:t xml:space="preserve"> to 24 standard action projects and </w:t>
      </w:r>
      <w:r w:rsidRPr="003279FC" w:rsidDel="00EB0E5C">
        <w:rPr>
          <w:noProof/>
        </w:rPr>
        <w:t>EUR</w:t>
      </w:r>
      <w:r w:rsidR="00EB0E5C">
        <w:rPr>
          <w:rFonts w:ascii="Calibri" w:hAnsi="Calibri" w:cs="Calibri"/>
          <w:noProof/>
        </w:rPr>
        <w:t> </w:t>
      </w:r>
      <w:r w:rsidRPr="003279FC">
        <w:rPr>
          <w:noProof/>
        </w:rPr>
        <w:t>25.8</w:t>
      </w:r>
      <w:r w:rsidR="00EB0E5C">
        <w:rPr>
          <w:rFonts w:ascii="Calibri" w:hAnsi="Calibri" w:cs="Calibri"/>
          <w:noProof/>
        </w:rPr>
        <w:t> </w:t>
      </w:r>
      <w:r w:rsidR="00EB0E5C">
        <w:rPr>
          <w:noProof/>
        </w:rPr>
        <w:t>million</w:t>
      </w:r>
      <w:r w:rsidRPr="003279FC">
        <w:rPr>
          <w:noProof/>
        </w:rPr>
        <w:t xml:space="preserve"> for strategic projects. Calls for standard action projects and strategic projects launched in 2025 are set to award </w:t>
      </w:r>
      <w:r w:rsidRPr="003279FC" w:rsidDel="00EB0E5C">
        <w:rPr>
          <w:noProof/>
        </w:rPr>
        <w:t>EUR</w:t>
      </w:r>
      <w:r w:rsidR="00EB0E5C">
        <w:rPr>
          <w:rFonts w:ascii="Calibri" w:hAnsi="Calibri" w:cs="Calibri"/>
          <w:noProof/>
        </w:rPr>
        <w:t> </w:t>
      </w:r>
      <w:r w:rsidRPr="003279FC">
        <w:rPr>
          <w:noProof/>
        </w:rPr>
        <w:t>61.5</w:t>
      </w:r>
      <w:r w:rsidR="00EB0E5C">
        <w:rPr>
          <w:rFonts w:ascii="Calibri" w:hAnsi="Calibri" w:cs="Calibri"/>
          <w:noProof/>
        </w:rPr>
        <w:t> </w:t>
      </w:r>
      <w:r w:rsidR="00EB0E5C">
        <w:rPr>
          <w:noProof/>
        </w:rPr>
        <w:t>million</w:t>
      </w:r>
      <w:r w:rsidRPr="003279FC">
        <w:rPr>
          <w:noProof/>
        </w:rPr>
        <w:t xml:space="preserve"> and 30</w:t>
      </w:r>
      <w:r w:rsidR="00EB0E5C">
        <w:rPr>
          <w:rFonts w:ascii="Calibri" w:hAnsi="Calibri" w:cs="Calibri"/>
          <w:noProof/>
        </w:rPr>
        <w:t> </w:t>
      </w:r>
      <w:r w:rsidR="00EB0E5C">
        <w:rPr>
          <w:noProof/>
        </w:rPr>
        <w:t>million</w:t>
      </w:r>
      <w:r w:rsidRPr="003279FC">
        <w:rPr>
          <w:noProof/>
        </w:rPr>
        <w:t xml:space="preserve"> respectively to successful proposals.</w:t>
      </w:r>
    </w:p>
    <w:p w14:paraId="5DF2ECF8" w14:textId="4BB22556" w:rsidR="00C927DB" w:rsidRDefault="00C927DB" w:rsidP="00144EA9">
      <w:pPr>
        <w:suppressAutoHyphens w:val="0"/>
        <w:rPr>
          <w:noProof/>
        </w:rPr>
      </w:pPr>
      <w:r w:rsidRPr="008B71E1">
        <w:rPr>
          <w:rStyle w:val="Bold"/>
        </w:rPr>
        <w:t xml:space="preserve">LIFE’s </w:t>
      </w:r>
      <w:r w:rsidR="0060738E">
        <w:rPr>
          <w:rStyle w:val="Bold"/>
        </w:rPr>
        <w:t>n</w:t>
      </w:r>
      <w:r w:rsidR="0060738E" w:rsidRPr="008B71E1">
        <w:rPr>
          <w:rStyle w:val="Bold"/>
        </w:rPr>
        <w:t xml:space="preserve">ature and </w:t>
      </w:r>
      <w:r w:rsidR="0060738E">
        <w:rPr>
          <w:rStyle w:val="Bold"/>
        </w:rPr>
        <w:t>b</w:t>
      </w:r>
      <w:r w:rsidR="0060738E" w:rsidRPr="008B71E1">
        <w:rPr>
          <w:rStyle w:val="Bold"/>
        </w:rPr>
        <w:t xml:space="preserve">iodiversity </w:t>
      </w:r>
      <w:r w:rsidRPr="008B71E1">
        <w:rPr>
          <w:rStyle w:val="Bold"/>
        </w:rPr>
        <w:t>sub</w:t>
      </w:r>
      <w:r w:rsidR="0060738E">
        <w:rPr>
          <w:rStyle w:val="Bold"/>
        </w:rPr>
        <w:t>-</w:t>
      </w:r>
      <w:r w:rsidRPr="008B71E1">
        <w:rPr>
          <w:rStyle w:val="Bold"/>
        </w:rPr>
        <w:t>programme has financed 170 projects</w:t>
      </w:r>
      <w:r w:rsidRPr="00343886">
        <w:rPr>
          <w:noProof/>
        </w:rPr>
        <w:t>, contributing to improved conditions for around 560 wild species and more than 2</w:t>
      </w:r>
      <w:r w:rsidR="00EB0E5C">
        <w:rPr>
          <w:rFonts w:ascii="Calibri" w:hAnsi="Calibri" w:cs="Calibri"/>
          <w:noProof/>
        </w:rPr>
        <w:t> </w:t>
      </w:r>
      <w:r w:rsidR="00EB0E5C">
        <w:rPr>
          <w:noProof/>
        </w:rPr>
        <w:t>million</w:t>
      </w:r>
      <w:r w:rsidRPr="00343886">
        <w:rPr>
          <w:noProof/>
        </w:rPr>
        <w:t xml:space="preserve"> hectares of habitats</w:t>
      </w:r>
      <w:r>
        <w:rPr>
          <w:noProof/>
        </w:rPr>
        <w:t xml:space="preserve"> by 2025</w:t>
      </w:r>
      <w:r w:rsidRPr="00343886">
        <w:rPr>
          <w:noProof/>
        </w:rPr>
        <w:t>.</w:t>
      </w:r>
      <w:r>
        <w:rPr>
          <w:noProof/>
        </w:rPr>
        <w:t xml:space="preserve"> Examples include:</w:t>
      </w:r>
    </w:p>
    <w:p w14:paraId="4115577B" w14:textId="76BACF42" w:rsidR="00C927DB" w:rsidRDefault="00C927DB" w:rsidP="0041545A">
      <w:pPr>
        <w:pStyle w:val="ListBulletorangeLevel1"/>
        <w:rPr>
          <w:noProof/>
        </w:rPr>
      </w:pPr>
      <w:r w:rsidRPr="00C927DB">
        <w:rPr>
          <w:noProof/>
        </w:rPr>
        <w:t xml:space="preserve">the </w:t>
      </w:r>
      <w:r w:rsidRPr="00C927DB" w:rsidDel="00EB0E5C">
        <w:rPr>
          <w:noProof/>
        </w:rPr>
        <w:t>EUR</w:t>
      </w:r>
      <w:r w:rsidR="00EB0E5C">
        <w:rPr>
          <w:rFonts w:ascii="Calibri" w:hAnsi="Calibri" w:cs="Calibri"/>
          <w:noProof/>
        </w:rPr>
        <w:t> </w:t>
      </w:r>
      <w:r w:rsidRPr="00C927DB">
        <w:rPr>
          <w:noProof/>
        </w:rPr>
        <w:t>4.8</w:t>
      </w:r>
      <w:r w:rsidR="00EB0E5C">
        <w:rPr>
          <w:rFonts w:ascii="Calibri" w:hAnsi="Calibri" w:cs="Calibri"/>
          <w:noProof/>
        </w:rPr>
        <w:t> </w:t>
      </w:r>
      <w:r w:rsidRPr="00C927DB" w:rsidDel="00EB0E5C">
        <w:rPr>
          <w:noProof/>
        </w:rPr>
        <w:t>million</w:t>
      </w:r>
      <w:r w:rsidRPr="00C927DB">
        <w:rPr>
          <w:noProof/>
        </w:rPr>
        <w:t xml:space="preserve"> </w:t>
      </w:r>
      <w:r w:rsidR="005A67E0">
        <w:rPr>
          <w:noProof/>
        </w:rPr>
        <w:t>m</w:t>
      </w:r>
      <w:r w:rsidRPr="00C927DB">
        <w:rPr>
          <w:noProof/>
        </w:rPr>
        <w:t xml:space="preserve">osaic of </w:t>
      </w:r>
      <w:r w:rsidR="005A67E0">
        <w:rPr>
          <w:noProof/>
        </w:rPr>
        <w:t>life</w:t>
      </w:r>
      <w:r w:rsidRPr="00C927DB">
        <w:rPr>
          <w:noProof/>
        </w:rPr>
        <w:t xml:space="preserve"> project, restoring over 550 h</w:t>
      </w:r>
      <w:r w:rsidR="009E02CC">
        <w:rPr>
          <w:noProof/>
        </w:rPr>
        <w:t>ectares</w:t>
      </w:r>
      <w:r w:rsidRPr="00C927DB">
        <w:rPr>
          <w:noProof/>
        </w:rPr>
        <w:t xml:space="preserve"> of grassland habitats across eight Natura 2000 sites in Croatia;</w:t>
      </w:r>
      <w:r>
        <w:rPr>
          <w:noProof/>
        </w:rPr>
        <w:t xml:space="preserve"> </w:t>
      </w:r>
    </w:p>
    <w:p w14:paraId="60729839" w14:textId="1738FCC0" w:rsidR="00C927DB" w:rsidRPr="00C927DB" w:rsidRDefault="00C927DB" w:rsidP="0041545A">
      <w:pPr>
        <w:pStyle w:val="ListBulletorangeLevel1"/>
        <w:rPr>
          <w:noProof/>
        </w:rPr>
      </w:pPr>
      <w:r w:rsidRPr="00C927DB">
        <w:rPr>
          <w:noProof/>
        </w:rPr>
        <w:t xml:space="preserve">the </w:t>
      </w:r>
      <w:r w:rsidRPr="00C927DB" w:rsidDel="00EB0E5C">
        <w:rPr>
          <w:noProof/>
        </w:rPr>
        <w:t>EUR</w:t>
      </w:r>
      <w:r w:rsidR="00EB0E5C">
        <w:rPr>
          <w:rFonts w:ascii="Calibri" w:hAnsi="Calibri" w:cs="Calibri"/>
          <w:noProof/>
        </w:rPr>
        <w:t> </w:t>
      </w:r>
      <w:r w:rsidRPr="00C927DB">
        <w:rPr>
          <w:noProof/>
        </w:rPr>
        <w:t>8.5</w:t>
      </w:r>
      <w:r w:rsidR="00EB0E5C">
        <w:rPr>
          <w:rFonts w:ascii="Calibri" w:hAnsi="Calibri" w:cs="Calibri"/>
          <w:noProof/>
        </w:rPr>
        <w:t> </w:t>
      </w:r>
      <w:r w:rsidRPr="00C927DB" w:rsidDel="00EB0E5C">
        <w:rPr>
          <w:noProof/>
        </w:rPr>
        <w:t>million</w:t>
      </w:r>
      <w:r w:rsidRPr="00C927DB">
        <w:rPr>
          <w:noProof/>
        </w:rPr>
        <w:t xml:space="preserve"> </w:t>
      </w:r>
      <w:r w:rsidR="00DE4C4F">
        <w:rPr>
          <w:noProof/>
        </w:rPr>
        <w:t>LIFE</w:t>
      </w:r>
      <w:r w:rsidRPr="00C927DB">
        <w:rPr>
          <w:noProof/>
        </w:rPr>
        <w:t xml:space="preserve"> </w:t>
      </w:r>
      <w:r w:rsidR="005A67E0">
        <w:rPr>
          <w:noProof/>
        </w:rPr>
        <w:t xml:space="preserve">riverflow </w:t>
      </w:r>
      <w:r w:rsidRPr="00C927DB">
        <w:rPr>
          <w:noProof/>
        </w:rPr>
        <w:t>project, improving river connectivity across eight rivers in Latvia and restoring over 1</w:t>
      </w:r>
      <w:r w:rsidR="009E02CC">
        <w:rPr>
          <w:rFonts w:ascii="Calibri" w:hAnsi="Calibri" w:cs="Calibri"/>
          <w:noProof/>
        </w:rPr>
        <w:t> </w:t>
      </w:r>
      <w:r w:rsidRPr="00C927DB">
        <w:rPr>
          <w:noProof/>
        </w:rPr>
        <w:t xml:space="preserve">034 km of waterways; </w:t>
      </w:r>
      <w:r w:rsidR="00CF52C8">
        <w:rPr>
          <w:noProof/>
        </w:rPr>
        <w:t>and</w:t>
      </w:r>
    </w:p>
    <w:p w14:paraId="42788A9D" w14:textId="6BC192FA" w:rsidR="00C927DB" w:rsidRDefault="00C927DB" w:rsidP="0041545A">
      <w:pPr>
        <w:pStyle w:val="ListBulletorangeLevel1"/>
        <w:rPr>
          <w:noProof/>
        </w:rPr>
      </w:pPr>
      <w:r w:rsidRPr="00343886">
        <w:rPr>
          <w:noProof/>
        </w:rPr>
        <w:t xml:space="preserve">the </w:t>
      </w:r>
      <w:r w:rsidRPr="00343886" w:rsidDel="00EB0E5C">
        <w:rPr>
          <w:noProof/>
        </w:rPr>
        <w:t>EUR</w:t>
      </w:r>
      <w:r w:rsidR="00EB0E5C">
        <w:rPr>
          <w:rFonts w:ascii="Calibri" w:hAnsi="Calibri" w:cs="Calibri"/>
          <w:noProof/>
        </w:rPr>
        <w:t> </w:t>
      </w:r>
      <w:r w:rsidRPr="00343886">
        <w:rPr>
          <w:noProof/>
        </w:rPr>
        <w:t>17</w:t>
      </w:r>
      <w:r w:rsidR="00EB0E5C">
        <w:rPr>
          <w:rFonts w:ascii="Calibri" w:hAnsi="Calibri" w:cs="Calibri"/>
          <w:noProof/>
        </w:rPr>
        <w:t> </w:t>
      </w:r>
      <w:r w:rsidR="00EB0E5C">
        <w:rPr>
          <w:noProof/>
        </w:rPr>
        <w:t>million</w:t>
      </w:r>
      <w:r w:rsidRPr="00343886">
        <w:rPr>
          <w:noProof/>
        </w:rPr>
        <w:t xml:space="preserve"> L</w:t>
      </w:r>
      <w:r w:rsidR="00DE4C4F">
        <w:rPr>
          <w:noProof/>
        </w:rPr>
        <w:t>IFE</w:t>
      </w:r>
      <w:r w:rsidR="005A67E0">
        <w:rPr>
          <w:noProof/>
        </w:rPr>
        <w:t xml:space="preserve"> </w:t>
      </w:r>
      <w:r w:rsidR="00DE4C4F">
        <w:rPr>
          <w:noProof/>
        </w:rPr>
        <w:t xml:space="preserve">repeat </w:t>
      </w:r>
      <w:r w:rsidRPr="00343886">
        <w:rPr>
          <w:noProof/>
        </w:rPr>
        <w:t>project, restoring 1</w:t>
      </w:r>
      <w:r>
        <w:rPr>
          <w:rFonts w:ascii="Calibri" w:hAnsi="Calibri" w:cs="Calibri"/>
          <w:noProof/>
        </w:rPr>
        <w:t> </w:t>
      </w:r>
      <w:r w:rsidRPr="00343886">
        <w:rPr>
          <w:noProof/>
        </w:rPr>
        <w:t>044 h</w:t>
      </w:r>
      <w:r>
        <w:rPr>
          <w:noProof/>
        </w:rPr>
        <w:t>ectar</w:t>
      </w:r>
      <w:r w:rsidR="00C22A3E">
        <w:rPr>
          <w:noProof/>
        </w:rPr>
        <w:t>e</w:t>
      </w:r>
      <w:r>
        <w:rPr>
          <w:noProof/>
        </w:rPr>
        <w:t>s</w:t>
      </w:r>
      <w:r w:rsidRPr="00343886">
        <w:rPr>
          <w:noProof/>
        </w:rPr>
        <w:t xml:space="preserve"> of raised bogs and fens in three Natura 2000 sites in the Hannover </w:t>
      </w:r>
      <w:r w:rsidR="00CF52C8">
        <w:rPr>
          <w:noProof/>
        </w:rPr>
        <w:t>r</w:t>
      </w:r>
      <w:r w:rsidRPr="00343886">
        <w:rPr>
          <w:noProof/>
        </w:rPr>
        <w:t>egion</w:t>
      </w:r>
      <w:r>
        <w:rPr>
          <w:noProof/>
        </w:rPr>
        <w:t>.</w:t>
      </w:r>
    </w:p>
    <w:p w14:paraId="355181D7" w14:textId="0AE4D2AD" w:rsidR="003C2443" w:rsidRPr="00012AFE" w:rsidRDefault="003C2443" w:rsidP="00012AFE">
      <w:pPr>
        <w:suppressAutoHyphens w:val="0"/>
        <w:rPr>
          <w:rStyle w:val="Bold"/>
          <w:b w:val="0"/>
          <w:bCs/>
        </w:rPr>
      </w:pPr>
      <w:r w:rsidRPr="00012AFE">
        <w:rPr>
          <w:rStyle w:val="Bold"/>
        </w:rPr>
        <w:t xml:space="preserve">Cohesion </w:t>
      </w:r>
      <w:r w:rsidR="0079648B">
        <w:rPr>
          <w:rStyle w:val="Bold"/>
        </w:rPr>
        <w:t>p</w:t>
      </w:r>
      <w:r w:rsidRPr="00012AFE">
        <w:rPr>
          <w:rStyle w:val="Bold"/>
        </w:rPr>
        <w:t>olicy funds support climate adaptation</w:t>
      </w:r>
      <w:r w:rsidR="001423F8">
        <w:rPr>
          <w:rStyle w:val="Bold"/>
          <w:b w:val="0"/>
          <w:bCs/>
        </w:rPr>
        <w:t>,</w:t>
      </w:r>
      <w:r w:rsidRPr="00012AFE">
        <w:rPr>
          <w:rStyle w:val="Bold"/>
          <w:b w:val="0"/>
          <w:bCs/>
        </w:rPr>
        <w:t xml:space="preserve"> with more than EUR</w:t>
      </w:r>
      <w:r w:rsidR="0079648B">
        <w:rPr>
          <w:rStyle w:val="Bold"/>
          <w:rFonts w:ascii="Calibri" w:hAnsi="Calibri" w:cs="Calibri"/>
          <w:b w:val="0"/>
          <w:bCs/>
        </w:rPr>
        <w:t> </w:t>
      </w:r>
      <w:r w:rsidRPr="00012AFE">
        <w:rPr>
          <w:rStyle w:val="Bold"/>
          <w:b w:val="0"/>
          <w:bCs/>
        </w:rPr>
        <w:t>14</w:t>
      </w:r>
      <w:r w:rsidR="0079648B">
        <w:rPr>
          <w:rStyle w:val="Bold"/>
          <w:rFonts w:ascii="Calibri" w:hAnsi="Calibri" w:cs="Calibri"/>
          <w:b w:val="0"/>
          <w:bCs/>
        </w:rPr>
        <w:t> </w:t>
      </w:r>
      <w:r w:rsidRPr="00012AFE">
        <w:rPr>
          <w:rStyle w:val="Bold"/>
          <w:b w:val="0"/>
          <w:bCs/>
        </w:rPr>
        <w:t xml:space="preserve">billion </w:t>
      </w:r>
      <w:r w:rsidR="001423F8">
        <w:rPr>
          <w:rStyle w:val="Bold"/>
          <w:b w:val="0"/>
          <w:bCs/>
        </w:rPr>
        <w:t>allocated for</w:t>
      </w:r>
      <w:r w:rsidRPr="00012AFE">
        <w:rPr>
          <w:rStyle w:val="Bold"/>
          <w:b w:val="0"/>
          <w:bCs/>
        </w:rPr>
        <w:t xml:space="preserve"> the 2021-2027 period. These investments focus on prevention of climate risks and prioritise nature-based solutions. As a result, more than 97</w:t>
      </w:r>
      <w:r w:rsidR="0079648B">
        <w:rPr>
          <w:rStyle w:val="Bold"/>
          <w:rFonts w:ascii="Calibri" w:hAnsi="Calibri" w:cs="Calibri"/>
          <w:b w:val="0"/>
          <w:bCs/>
        </w:rPr>
        <w:t> </w:t>
      </w:r>
      <w:r w:rsidRPr="00012AFE">
        <w:rPr>
          <w:rStyle w:val="Bold"/>
          <w:b w:val="0"/>
          <w:bCs/>
        </w:rPr>
        <w:t>million people will benefit from flood protection, and over 288</w:t>
      </w:r>
      <w:r w:rsidR="0079648B">
        <w:rPr>
          <w:rStyle w:val="Bold"/>
          <w:rFonts w:ascii="Calibri" w:hAnsi="Calibri" w:cs="Calibri"/>
          <w:b w:val="0"/>
          <w:bCs/>
        </w:rPr>
        <w:t> </w:t>
      </w:r>
      <w:r w:rsidRPr="00012AFE">
        <w:rPr>
          <w:rStyle w:val="Bold"/>
          <w:b w:val="0"/>
          <w:bCs/>
        </w:rPr>
        <w:t xml:space="preserve">million from wildfire protection. Additionally, through </w:t>
      </w:r>
      <w:r w:rsidR="00E65741" w:rsidRPr="00E65741">
        <w:rPr>
          <w:rStyle w:val="Bold"/>
          <w:b w:val="0"/>
          <w:bCs/>
        </w:rPr>
        <w:t xml:space="preserve">the </w:t>
      </w:r>
      <w:r w:rsidRPr="00012AFE">
        <w:rPr>
          <w:rStyle w:val="Bold"/>
          <w:b w:val="0"/>
          <w:bCs/>
        </w:rPr>
        <w:t>mid-term review, Member States reallocated funds towards climate adaptation, notably floods and drought risk, under the ‘water resilience’ priority.</w:t>
      </w:r>
    </w:p>
    <w:p w14:paraId="4EE0CF67" w14:textId="77777777" w:rsidR="00590CBD" w:rsidRDefault="00590CBD" w:rsidP="00012AFE">
      <w:pPr>
        <w:rPr>
          <w:noProof/>
        </w:rPr>
      </w:pPr>
    </w:p>
    <w:p w14:paraId="240E1738" w14:textId="4D1A87E4" w:rsidR="00144EA9" w:rsidRDefault="00144EA9">
      <w:pPr>
        <w:suppressAutoHyphens w:val="0"/>
        <w:rPr>
          <w:noProof/>
        </w:rPr>
      </w:pPr>
      <w:r>
        <w:rPr>
          <w:noProof/>
        </w:rPr>
        <w:br w:type="page"/>
      </w:r>
    </w:p>
    <w:p w14:paraId="4EC948DC" w14:textId="74B5A4B0" w:rsidR="006A27A3" w:rsidRPr="006A27A3" w:rsidRDefault="006A27A3" w:rsidP="006A27A3">
      <w:pPr>
        <w:pStyle w:val="Heading3"/>
      </w:pPr>
      <w:r>
        <w:t>Protecting our democracy, upholding our values</w:t>
      </w:r>
    </w:p>
    <w:p w14:paraId="73B7C389" w14:textId="3CF895B7" w:rsidR="000D7D9F" w:rsidRPr="00B13B9A" w:rsidRDefault="00B13B9A" w:rsidP="000D7D9F">
      <w:pPr>
        <w:pStyle w:val="amprquotetext"/>
      </w:pPr>
      <w:r w:rsidRPr="00B13B9A">
        <w:t>Europe's independence is about protecting our freedoms. The freedom to decide. To speak out. To move around a whole continent. The freedom to vote. To love. To pray. To live in a Union of equality. Our democracy and the rule of law are the guarantors of those freedoms</w:t>
      </w:r>
      <w:r w:rsidR="000D7D9F" w:rsidRPr="00B13B9A">
        <w:rPr>
          <w:rFonts w:ascii="Calibri" w:hAnsi="Calibri" w:cs="Calibri"/>
          <w:noProof/>
        </w:rPr>
        <w:t> </w:t>
      </w:r>
      <w:r w:rsidR="000D7D9F" w:rsidRPr="00166018">
        <w:rPr>
          <w:rFonts w:ascii="Calibri" w:hAnsi="Calibri" w:cs="Calibri"/>
          <w:i w:val="0"/>
          <w:noProof/>
        </w:rPr>
        <w:t>(</w:t>
      </w:r>
      <w:r w:rsidR="000D7D9F" w:rsidRPr="00E0372D">
        <w:rPr>
          <w:rStyle w:val="FootnoteReference"/>
          <w:i w:val="0"/>
        </w:rPr>
        <w:footnoteReference w:id="49"/>
      </w:r>
      <w:r w:rsidR="000D7D9F" w:rsidRPr="00166018">
        <w:rPr>
          <w:rFonts w:ascii="Calibri" w:hAnsi="Calibri" w:cs="Calibri"/>
          <w:i w:val="0"/>
          <w:noProof/>
        </w:rPr>
        <w:t>)</w:t>
      </w:r>
      <w:r w:rsidR="00FB0FDF">
        <w:rPr>
          <w:rFonts w:ascii="Calibri" w:hAnsi="Calibri" w:cs="Calibri"/>
          <w:i w:val="0"/>
          <w:noProof/>
        </w:rPr>
        <w:t>.</w:t>
      </w:r>
    </w:p>
    <w:p w14:paraId="6BD545DE" w14:textId="77777777" w:rsidR="000D7D9F" w:rsidRPr="00E0372D" w:rsidRDefault="000D7D9F" w:rsidP="000D7D9F">
      <w:pPr>
        <w:pStyle w:val="amprquoteauthor"/>
        <w:spacing w:before="60" w:after="0"/>
        <w:rPr>
          <w:i w:val="0"/>
        </w:rPr>
      </w:pPr>
      <w:r w:rsidRPr="00E0372D">
        <w:rPr>
          <w:i w:val="0"/>
        </w:rPr>
        <w:t>Ursula von der Leyen</w:t>
      </w:r>
    </w:p>
    <w:p w14:paraId="6FE65373" w14:textId="77777777" w:rsidR="000D7D9F" w:rsidRPr="00B13B9A" w:rsidRDefault="000D7D9F" w:rsidP="000D7D9F">
      <w:pPr>
        <w:pStyle w:val="amprquoteauthortitle"/>
        <w:rPr>
          <w:rFonts w:ascii="EC Square Sans Pro" w:hAnsi="EC Square Sans Pro"/>
        </w:rPr>
      </w:pPr>
      <w:r w:rsidRPr="00B13B9A">
        <w:rPr>
          <w:rFonts w:ascii="EC Square Sans Pro" w:hAnsi="EC Square Sans Pro"/>
        </w:rPr>
        <w:t>President of the European Commission</w:t>
      </w:r>
    </w:p>
    <w:p w14:paraId="721C6214" w14:textId="609FA586" w:rsidR="000D7D9F" w:rsidRPr="00A01694" w:rsidRDefault="00A01694" w:rsidP="000D7D9F">
      <w:pPr>
        <w:pStyle w:val="Heading4"/>
        <w:rPr>
          <w:rFonts w:ascii="EC Square Sans Pro" w:hAnsi="EC Square Sans Pro"/>
          <w:noProof/>
        </w:rPr>
      </w:pPr>
      <w:r w:rsidRPr="00A01694">
        <w:rPr>
          <w:rFonts w:ascii="EC Square Sans Pro" w:hAnsi="EC Square Sans Pro"/>
          <w:noProof/>
        </w:rPr>
        <w:t>Protecting European democracy</w:t>
      </w:r>
    </w:p>
    <w:p w14:paraId="606CA689" w14:textId="27944F45" w:rsidR="0045442F" w:rsidRPr="009750E3" w:rsidRDefault="004B2110" w:rsidP="001C7BEC">
      <w:pPr>
        <w:rPr>
          <w:lang w:eastAsia="zh-CN"/>
        </w:rPr>
      </w:pPr>
      <w:r w:rsidRPr="008B71E1">
        <w:rPr>
          <w:rStyle w:val="Bold"/>
        </w:rPr>
        <w:t xml:space="preserve">In 2025, the EU </w:t>
      </w:r>
      <w:r w:rsidR="00D7293D" w:rsidRPr="008B71E1">
        <w:rPr>
          <w:rStyle w:val="Bold"/>
        </w:rPr>
        <w:t>reinforced</w:t>
      </w:r>
      <w:r w:rsidRPr="008B71E1" w:rsidDel="00D7293D">
        <w:rPr>
          <w:rStyle w:val="Bold"/>
        </w:rPr>
        <w:t xml:space="preserve"> </w:t>
      </w:r>
      <w:r w:rsidRPr="008B71E1">
        <w:rPr>
          <w:rStyle w:val="Bold"/>
        </w:rPr>
        <w:t>democra</w:t>
      </w:r>
      <w:r w:rsidR="00D7293D" w:rsidRPr="008B71E1">
        <w:rPr>
          <w:rStyle w:val="Bold"/>
        </w:rPr>
        <w:t>tic resilience</w:t>
      </w:r>
      <w:r w:rsidR="00971011" w:rsidRPr="008B71E1">
        <w:rPr>
          <w:rStyle w:val="Bold"/>
        </w:rPr>
        <w:t xml:space="preserve"> against</w:t>
      </w:r>
      <w:r w:rsidRPr="008B71E1">
        <w:rPr>
          <w:rStyle w:val="Bold"/>
        </w:rPr>
        <w:t xml:space="preserve"> internal and external pressures</w:t>
      </w:r>
      <w:r w:rsidR="00971011" w:rsidRPr="008B71E1">
        <w:rPr>
          <w:rStyle w:val="Bold"/>
        </w:rPr>
        <w:t xml:space="preserve"> while empowering</w:t>
      </w:r>
      <w:r w:rsidR="00971011">
        <w:rPr>
          <w:rStyle w:val="BoldAccent1"/>
          <w:rFonts w:eastAsia="Times New Roman"/>
        </w:rPr>
        <w:t xml:space="preserve"> </w:t>
      </w:r>
      <w:r w:rsidRPr="004B2110">
        <w:rPr>
          <w:noProof/>
          <w:lang w:eastAsia="zh-CN"/>
        </w:rPr>
        <w:t xml:space="preserve">citizens to </w:t>
      </w:r>
      <w:r w:rsidR="004168B9">
        <w:rPr>
          <w:noProof/>
          <w:lang w:eastAsia="zh-CN"/>
        </w:rPr>
        <w:t xml:space="preserve">actively engage </w:t>
      </w:r>
      <w:r w:rsidRPr="004B2110" w:rsidDel="004168B9">
        <w:rPr>
          <w:noProof/>
          <w:lang w:eastAsia="zh-CN"/>
        </w:rPr>
        <w:t xml:space="preserve">in </w:t>
      </w:r>
      <w:r w:rsidR="004168B9">
        <w:rPr>
          <w:noProof/>
          <w:lang w:eastAsia="zh-CN"/>
        </w:rPr>
        <w:t>policymaking</w:t>
      </w:r>
      <w:r w:rsidRPr="004B2110">
        <w:rPr>
          <w:noProof/>
          <w:lang w:eastAsia="zh-CN"/>
        </w:rPr>
        <w:t xml:space="preserve"> and shape </w:t>
      </w:r>
      <w:r w:rsidR="00FF5688">
        <w:rPr>
          <w:noProof/>
          <w:lang w:eastAsia="zh-CN"/>
        </w:rPr>
        <w:t xml:space="preserve">their </w:t>
      </w:r>
      <w:r w:rsidRPr="004B2110">
        <w:rPr>
          <w:noProof/>
          <w:lang w:eastAsia="zh-CN"/>
        </w:rPr>
        <w:t>communities.</w:t>
      </w:r>
      <w:r w:rsidR="00585129">
        <w:rPr>
          <w:noProof/>
          <w:lang w:eastAsia="zh-CN"/>
        </w:rPr>
        <w:t xml:space="preserve"> </w:t>
      </w:r>
      <w:r w:rsidR="00950890">
        <w:rPr>
          <w:noProof/>
          <w:lang w:eastAsia="zh-CN"/>
        </w:rPr>
        <w:t>Building on the</w:t>
      </w:r>
      <w:r w:rsidR="001C7BEC">
        <w:rPr>
          <w:noProof/>
          <w:lang w:eastAsia="zh-CN"/>
        </w:rPr>
        <w:t xml:space="preserve"> European Democracy Action Plan and the defence of democracy package, the European Democracy Shield was presented in November</w:t>
      </w:r>
      <w:r w:rsidR="000B0DBB">
        <w:rPr>
          <w:noProof/>
          <w:lang w:eastAsia="zh-CN"/>
        </w:rPr>
        <w:t xml:space="preserve"> to</w:t>
      </w:r>
      <w:r w:rsidR="001C7BEC" w:rsidDel="000B0DBB">
        <w:rPr>
          <w:noProof/>
          <w:lang w:eastAsia="zh-CN"/>
        </w:rPr>
        <w:t xml:space="preserve"> </w:t>
      </w:r>
      <w:r w:rsidR="001C7BEC">
        <w:rPr>
          <w:noProof/>
          <w:lang w:eastAsia="zh-CN"/>
        </w:rPr>
        <w:t>strengthen democratic institutions, protect the integrity of elections and support media freedom and pluralism.</w:t>
      </w:r>
    </w:p>
    <w:p w14:paraId="18C2D961" w14:textId="46AC27BF" w:rsidR="008C2CD5" w:rsidRPr="00B13363" w:rsidRDefault="00585129" w:rsidP="000D7D9F">
      <w:pPr>
        <w:rPr>
          <w:rFonts w:ascii="Arial" w:hAnsi="Arial" w:cs="Arial"/>
          <w:lang w:val="en-IE" w:eastAsia="zh-CN"/>
        </w:rPr>
      </w:pPr>
      <w:r w:rsidRPr="008B71E1">
        <w:rPr>
          <w:rStyle w:val="Bold"/>
        </w:rPr>
        <w:t>T</w:t>
      </w:r>
      <w:r w:rsidR="007468CD" w:rsidRPr="008B71E1">
        <w:rPr>
          <w:rStyle w:val="Bold"/>
        </w:rPr>
        <w:t>he</w:t>
      </w:r>
      <w:r w:rsidR="00446F13" w:rsidRPr="008B71E1">
        <w:rPr>
          <w:rStyle w:val="Bold"/>
        </w:rPr>
        <w:t xml:space="preserve"> Citizens, Equality, Rights and Values programme</w:t>
      </w:r>
      <w:r w:rsidRPr="008B71E1">
        <w:rPr>
          <w:rStyle w:val="Bold"/>
        </w:rPr>
        <w:t xml:space="preserve"> helped to support participatory democracy</w:t>
      </w:r>
      <w:r w:rsidR="00446F13">
        <w:rPr>
          <w:noProof/>
          <w:lang w:val="en-IE" w:eastAsia="zh-CN"/>
        </w:rPr>
        <w:t>.</w:t>
      </w:r>
      <w:r w:rsidR="004A7CBA" w:rsidRPr="00136C2F">
        <w:rPr>
          <w:noProof/>
          <w:lang w:val="en-IE" w:eastAsia="zh-CN"/>
        </w:rPr>
        <w:t xml:space="preserve"> In</w:t>
      </w:r>
      <w:r w:rsidR="004A7CBA" w:rsidRPr="00136C2F">
        <w:rPr>
          <w:rFonts w:ascii="Arial" w:hAnsi="Arial" w:cs="Arial"/>
          <w:noProof/>
          <w:lang w:val="en-IE" w:eastAsia="zh-CN"/>
        </w:rPr>
        <w:t> </w:t>
      </w:r>
      <w:r w:rsidR="004A7CBA" w:rsidRPr="00136C2F">
        <w:rPr>
          <w:noProof/>
          <w:lang w:val="en-IE" w:eastAsia="zh-CN"/>
        </w:rPr>
        <w:t xml:space="preserve">2025, </w:t>
      </w:r>
      <w:r w:rsidR="00B86AF8">
        <w:rPr>
          <w:noProof/>
          <w:lang w:val="en-IE" w:eastAsia="zh-CN"/>
        </w:rPr>
        <w:t>the programme</w:t>
      </w:r>
      <w:r w:rsidR="00B86AF8" w:rsidRPr="00136C2F">
        <w:rPr>
          <w:rFonts w:ascii="Arial" w:hAnsi="Arial" w:cs="Arial"/>
          <w:noProof/>
          <w:lang w:val="en-IE" w:eastAsia="zh-CN"/>
        </w:rPr>
        <w:t> </w:t>
      </w:r>
      <w:r w:rsidR="00B86AF8" w:rsidRPr="00136C2F">
        <w:rPr>
          <w:noProof/>
          <w:lang w:val="en-IE" w:eastAsia="zh-CN"/>
        </w:rPr>
        <w:t>allocated</w:t>
      </w:r>
      <w:r w:rsidR="00B86AF8" w:rsidRPr="00136C2F">
        <w:rPr>
          <w:rFonts w:ascii="Arial" w:hAnsi="Arial" w:cs="Arial"/>
          <w:noProof/>
          <w:lang w:val="en-IE" w:eastAsia="zh-CN"/>
        </w:rPr>
        <w:t> </w:t>
      </w:r>
      <w:r w:rsidR="00B86AF8" w:rsidRPr="00136C2F">
        <w:rPr>
          <w:noProof/>
          <w:lang w:val="en-IE" w:eastAsia="zh-CN"/>
        </w:rPr>
        <w:t>over</w:t>
      </w:r>
      <w:r w:rsidR="004A7CBA" w:rsidRPr="00136C2F">
        <w:rPr>
          <w:noProof/>
          <w:lang w:val="en-IE" w:eastAsia="zh-CN"/>
        </w:rPr>
        <w:t xml:space="preserve"> </w:t>
      </w:r>
      <w:r w:rsidR="004A7CBA" w:rsidRPr="00136C2F" w:rsidDel="00EB0E5C">
        <w:rPr>
          <w:noProof/>
          <w:lang w:val="en-IE" w:eastAsia="zh-CN"/>
        </w:rPr>
        <w:t>EUR</w:t>
      </w:r>
      <w:r w:rsidR="00EB0E5C">
        <w:rPr>
          <w:rFonts w:ascii="Calibri" w:hAnsi="Calibri" w:cs="Calibri"/>
          <w:noProof/>
          <w:lang w:val="en-IE" w:eastAsia="zh-CN"/>
        </w:rPr>
        <w:t> </w:t>
      </w:r>
      <w:r w:rsidR="004A7CBA" w:rsidRPr="00136C2F">
        <w:rPr>
          <w:noProof/>
          <w:lang w:val="en-IE" w:eastAsia="zh-CN"/>
        </w:rPr>
        <w:t>1.9</w:t>
      </w:r>
      <w:r w:rsidR="00EB0E5C">
        <w:rPr>
          <w:rFonts w:ascii="Calibri" w:hAnsi="Calibri" w:cs="Calibri"/>
          <w:noProof/>
          <w:lang w:val="en-IE" w:eastAsia="zh-CN"/>
        </w:rPr>
        <w:t> </w:t>
      </w:r>
      <w:r w:rsidR="00EB0E5C">
        <w:rPr>
          <w:noProof/>
          <w:lang w:val="en-IE" w:eastAsia="zh-CN"/>
        </w:rPr>
        <w:t>million</w:t>
      </w:r>
      <w:r w:rsidR="004A7CBA" w:rsidRPr="00136C2F">
        <w:rPr>
          <w:rFonts w:ascii="Arial" w:hAnsi="Arial" w:cs="Arial"/>
          <w:noProof/>
          <w:lang w:val="en-IE" w:eastAsia="zh-CN"/>
        </w:rPr>
        <w:t> </w:t>
      </w:r>
      <w:r w:rsidR="004A7CBA" w:rsidRPr="00136C2F">
        <w:rPr>
          <w:noProof/>
          <w:lang w:val="en-IE" w:eastAsia="zh-CN"/>
        </w:rPr>
        <w:t>to support the</w:t>
      </w:r>
      <w:r w:rsidR="004A7CBA" w:rsidRPr="00136C2F">
        <w:rPr>
          <w:rFonts w:ascii="Arial" w:hAnsi="Arial" w:cs="Arial"/>
          <w:noProof/>
          <w:lang w:val="en-IE" w:eastAsia="zh-CN"/>
        </w:rPr>
        <w:t> </w:t>
      </w:r>
      <w:r w:rsidR="004A7CBA" w:rsidRPr="00136C2F">
        <w:rPr>
          <w:noProof/>
          <w:lang w:val="en-IE" w:eastAsia="zh-CN"/>
        </w:rPr>
        <w:t>European Citizens</w:t>
      </w:r>
      <w:r w:rsidR="004A7CBA" w:rsidRPr="00136C2F">
        <w:rPr>
          <w:rFonts w:cs="EC Square Sans Pro"/>
          <w:noProof/>
          <w:lang w:val="en-IE" w:eastAsia="zh-CN"/>
        </w:rPr>
        <w:t>’</w:t>
      </w:r>
      <w:r w:rsidR="004A7CBA" w:rsidRPr="00136C2F">
        <w:rPr>
          <w:noProof/>
          <w:lang w:val="en-IE" w:eastAsia="zh-CN"/>
        </w:rPr>
        <w:t xml:space="preserve"> Initiative (ECI)</w:t>
      </w:r>
      <w:r w:rsidR="009F6B69">
        <w:rPr>
          <w:noProof/>
          <w:lang w:val="en-IE" w:eastAsia="zh-CN"/>
        </w:rPr>
        <w:t xml:space="preserve"> </w:t>
      </w:r>
      <w:r w:rsidR="00F41BE5">
        <w:rPr>
          <w:noProof/>
          <w:lang w:val="en-IE" w:eastAsia="zh-CN"/>
        </w:rPr>
        <w:t xml:space="preserve">mechanism, </w:t>
      </w:r>
      <w:r w:rsidR="00814C23">
        <w:rPr>
          <w:noProof/>
          <w:lang w:val="en-IE" w:eastAsia="zh-CN"/>
        </w:rPr>
        <w:t>putting citizens at the hear</w:t>
      </w:r>
      <w:r w:rsidR="00A71C36">
        <w:rPr>
          <w:noProof/>
          <w:lang w:val="en-IE" w:eastAsia="zh-CN"/>
        </w:rPr>
        <w:t>t</w:t>
      </w:r>
      <w:r w:rsidR="00814C23">
        <w:rPr>
          <w:noProof/>
          <w:lang w:val="en-IE" w:eastAsia="zh-CN"/>
        </w:rPr>
        <w:t xml:space="preserve"> of European democracy by </w:t>
      </w:r>
      <w:r w:rsidR="00C5771A">
        <w:rPr>
          <w:noProof/>
          <w:lang w:val="en-IE" w:eastAsia="zh-CN"/>
        </w:rPr>
        <w:t xml:space="preserve">promoting direct participation in </w:t>
      </w:r>
      <w:r w:rsidR="00E81313">
        <w:rPr>
          <w:noProof/>
          <w:lang w:val="en-IE" w:eastAsia="zh-CN"/>
        </w:rPr>
        <w:t xml:space="preserve">EU policy development. </w:t>
      </w:r>
      <w:r w:rsidR="00914880">
        <w:rPr>
          <w:noProof/>
          <w:lang w:val="en-IE" w:eastAsia="zh-CN"/>
        </w:rPr>
        <w:t xml:space="preserve">Throughout the year, </w:t>
      </w:r>
      <w:r w:rsidR="00CA1748">
        <w:rPr>
          <w:noProof/>
          <w:lang w:val="en-IE" w:eastAsia="zh-CN"/>
        </w:rPr>
        <w:t>six</w:t>
      </w:r>
      <w:r w:rsidR="00914880">
        <w:rPr>
          <w:noProof/>
          <w:lang w:val="en-IE" w:eastAsia="zh-CN"/>
        </w:rPr>
        <w:t xml:space="preserve"> new initiatives were </w:t>
      </w:r>
      <w:r w:rsidR="00F54CD1">
        <w:rPr>
          <w:noProof/>
          <w:lang w:val="en-IE" w:eastAsia="zh-CN"/>
        </w:rPr>
        <w:t xml:space="preserve">registered, </w:t>
      </w:r>
      <w:r w:rsidR="00FF30EC">
        <w:rPr>
          <w:noProof/>
          <w:lang w:val="en-IE" w:eastAsia="zh-CN"/>
        </w:rPr>
        <w:t>amounting</w:t>
      </w:r>
      <w:r w:rsidR="00F54CD1">
        <w:rPr>
          <w:noProof/>
          <w:lang w:val="en-IE" w:eastAsia="zh-CN"/>
        </w:rPr>
        <w:t xml:space="preserve"> to </w:t>
      </w:r>
      <w:r w:rsidR="00F26046">
        <w:rPr>
          <w:noProof/>
          <w:lang w:val="en-IE" w:eastAsia="zh-CN"/>
        </w:rPr>
        <w:t>49 initiatives between 2021-2025</w:t>
      </w:r>
      <w:r w:rsidR="004A7CBA" w:rsidRPr="00136C2F">
        <w:rPr>
          <w:noProof/>
          <w:lang w:val="en-IE" w:eastAsia="zh-CN"/>
        </w:rPr>
        <w:t>, with a</w:t>
      </w:r>
      <w:r w:rsidR="004A7CBA" w:rsidRPr="00136C2F">
        <w:rPr>
          <w:rFonts w:ascii="Arial" w:hAnsi="Arial" w:cs="Arial"/>
          <w:noProof/>
          <w:lang w:val="en-IE" w:eastAsia="zh-CN"/>
        </w:rPr>
        <w:t> </w:t>
      </w:r>
      <w:r w:rsidR="004A7CBA" w:rsidRPr="00136C2F">
        <w:rPr>
          <w:noProof/>
          <w:lang w:val="en-IE" w:eastAsia="zh-CN"/>
        </w:rPr>
        <w:t>record</w:t>
      </w:r>
      <w:r w:rsidR="004A7CBA" w:rsidRPr="00136C2F">
        <w:rPr>
          <w:rFonts w:ascii="Arial" w:hAnsi="Arial" w:cs="Arial"/>
          <w:noProof/>
          <w:lang w:val="en-IE" w:eastAsia="zh-CN"/>
        </w:rPr>
        <w:t> </w:t>
      </w:r>
      <w:r w:rsidR="004A7CBA" w:rsidRPr="00136C2F">
        <w:rPr>
          <w:noProof/>
          <w:lang w:val="en-IE" w:eastAsia="zh-CN"/>
        </w:rPr>
        <w:t>four initiatives reaching the one-million</w:t>
      </w:r>
      <w:r w:rsidR="008D57C9">
        <w:rPr>
          <w:noProof/>
          <w:lang w:val="en-IE" w:eastAsia="zh-CN"/>
        </w:rPr>
        <w:t xml:space="preserve"> </w:t>
      </w:r>
      <w:r w:rsidR="004A7CBA" w:rsidRPr="00136C2F">
        <w:rPr>
          <w:noProof/>
          <w:lang w:val="en-IE" w:eastAsia="zh-CN"/>
        </w:rPr>
        <w:t xml:space="preserve">signature threshold, confirming growing citizen engagement at </w:t>
      </w:r>
      <w:r w:rsidR="00284820">
        <w:rPr>
          <w:noProof/>
          <w:lang w:val="en-IE" w:eastAsia="zh-CN"/>
        </w:rPr>
        <w:t xml:space="preserve">the </w:t>
      </w:r>
      <w:r w:rsidR="004A7CBA" w:rsidRPr="00136C2F">
        <w:rPr>
          <w:noProof/>
          <w:lang w:val="en-IE" w:eastAsia="zh-CN"/>
        </w:rPr>
        <w:t>EU level</w:t>
      </w:r>
      <w:r w:rsidR="003050C6" w:rsidRPr="000224DD">
        <w:rPr>
          <w:rFonts w:cs="Calibri"/>
          <w:noProof/>
          <w:lang w:val="en-IE" w:eastAsia="zh-CN"/>
        </w:rPr>
        <w:t> </w:t>
      </w:r>
      <w:r w:rsidR="003050C6" w:rsidRPr="003050C6">
        <w:rPr>
          <w:noProof/>
          <w:lang w:val="en-IE" w:eastAsia="zh-CN"/>
        </w:rPr>
        <w:t>(</w:t>
      </w:r>
      <w:r w:rsidR="003050C6">
        <w:rPr>
          <w:rStyle w:val="FootnoteReference"/>
          <w:noProof/>
          <w:lang w:val="en-IE" w:eastAsia="zh-CN"/>
        </w:rPr>
        <w:footnoteReference w:id="50"/>
      </w:r>
      <w:r w:rsidR="003050C6">
        <w:rPr>
          <w:noProof/>
          <w:lang w:val="en-IE" w:eastAsia="zh-CN"/>
        </w:rPr>
        <w:t>)</w:t>
      </w:r>
      <w:r w:rsidR="004A7CBA" w:rsidRPr="00136C2F">
        <w:rPr>
          <w:noProof/>
          <w:lang w:val="en-IE" w:eastAsia="zh-CN"/>
        </w:rPr>
        <w:t>.</w:t>
      </w:r>
      <w:r w:rsidR="004A7CBA" w:rsidRPr="00136C2F">
        <w:rPr>
          <w:rFonts w:ascii="Arial" w:hAnsi="Arial" w:cs="Arial"/>
          <w:noProof/>
          <w:lang w:val="en-IE" w:eastAsia="zh-CN"/>
        </w:rPr>
        <w:t> </w:t>
      </w:r>
    </w:p>
    <w:p w14:paraId="7581F940" w14:textId="2AC2CBBA" w:rsidR="00470000" w:rsidRDefault="00470000" w:rsidP="00470000">
      <w:pPr>
        <w:pStyle w:val="Heading4"/>
        <w:rPr>
          <w:lang w:eastAsia="fr-BE"/>
        </w:rPr>
      </w:pPr>
      <w:r>
        <w:rPr>
          <w:lang w:eastAsia="fr-BE"/>
        </w:rPr>
        <w:t>Building a true union of equality</w:t>
      </w:r>
      <w:r w:rsidR="0064479F">
        <w:rPr>
          <w:lang w:eastAsia="fr-BE"/>
        </w:rPr>
        <w:t xml:space="preserve"> and </w:t>
      </w:r>
      <w:r w:rsidR="000E5468">
        <w:rPr>
          <w:lang w:eastAsia="fr-BE"/>
        </w:rPr>
        <w:t xml:space="preserve">upholding the </w:t>
      </w:r>
      <w:r w:rsidR="0064479F">
        <w:rPr>
          <w:lang w:eastAsia="fr-BE"/>
        </w:rPr>
        <w:t>rule of law</w:t>
      </w:r>
    </w:p>
    <w:p w14:paraId="0B48AFAA" w14:textId="6A47581E" w:rsidR="00470000" w:rsidRPr="000B27F4" w:rsidRDefault="00C100E6" w:rsidP="00C100E6">
      <w:pPr>
        <w:rPr>
          <w:rFonts w:asciiTheme="majorHAnsi" w:hAnsiTheme="majorHAnsi"/>
          <w:noProof/>
          <w:lang w:eastAsia="zh-CN"/>
        </w:rPr>
      </w:pPr>
      <w:r w:rsidRPr="00F11A93">
        <w:rPr>
          <w:rStyle w:val="Bold"/>
        </w:rPr>
        <w:t xml:space="preserve">The </w:t>
      </w:r>
      <w:r w:rsidR="00CF52AE" w:rsidRPr="00F11A93">
        <w:rPr>
          <w:rStyle w:val="Bold"/>
        </w:rPr>
        <w:t>c</w:t>
      </w:r>
      <w:r w:rsidRPr="00F11A93">
        <w:rPr>
          <w:rStyle w:val="Bold"/>
        </w:rPr>
        <w:t xml:space="preserve">itizens, </w:t>
      </w:r>
      <w:r w:rsidR="00CF52AE" w:rsidRPr="00F11A93">
        <w:rPr>
          <w:rStyle w:val="Bold"/>
        </w:rPr>
        <w:t>e</w:t>
      </w:r>
      <w:r w:rsidRPr="00F11A93">
        <w:rPr>
          <w:rStyle w:val="Bold"/>
        </w:rPr>
        <w:t xml:space="preserve">quality, </w:t>
      </w:r>
      <w:r w:rsidR="00CF52AE" w:rsidRPr="00F11A93">
        <w:rPr>
          <w:rStyle w:val="Bold"/>
        </w:rPr>
        <w:t>r</w:t>
      </w:r>
      <w:r w:rsidRPr="00F11A93">
        <w:rPr>
          <w:rStyle w:val="Bold"/>
        </w:rPr>
        <w:t xml:space="preserve">ights and </w:t>
      </w:r>
      <w:r w:rsidR="00CF52AE" w:rsidRPr="00F11A93">
        <w:rPr>
          <w:rStyle w:val="Bold"/>
        </w:rPr>
        <w:t>v</w:t>
      </w:r>
      <w:r w:rsidRPr="00F11A93">
        <w:rPr>
          <w:rStyle w:val="Bold"/>
        </w:rPr>
        <w:t>alues programme</w:t>
      </w:r>
      <w:r w:rsidR="00151E99" w:rsidRPr="00F11A93">
        <w:rPr>
          <w:rStyle w:val="Bold"/>
        </w:rPr>
        <w:t xml:space="preserve"> </w:t>
      </w:r>
      <w:r w:rsidR="00585129" w:rsidRPr="00F11A93">
        <w:rPr>
          <w:rStyle w:val="Bold"/>
        </w:rPr>
        <w:t xml:space="preserve">also </w:t>
      </w:r>
      <w:r w:rsidR="00151E99" w:rsidRPr="00F11A93">
        <w:rPr>
          <w:rStyle w:val="Bold"/>
        </w:rPr>
        <w:t>promote</w:t>
      </w:r>
      <w:r w:rsidR="006A2677" w:rsidRPr="00F11A93">
        <w:rPr>
          <w:rStyle w:val="Bold"/>
        </w:rPr>
        <w:t>s</w:t>
      </w:r>
      <w:r w:rsidR="00151E99" w:rsidRPr="00F11A93">
        <w:rPr>
          <w:rStyle w:val="Bold"/>
        </w:rPr>
        <w:t xml:space="preserve"> rights and values enshri</w:t>
      </w:r>
      <w:r w:rsidR="00585129" w:rsidRPr="00F11A93">
        <w:rPr>
          <w:rStyle w:val="Bold"/>
        </w:rPr>
        <w:t>n</w:t>
      </w:r>
      <w:r w:rsidR="00151E99" w:rsidRPr="00F11A93">
        <w:rPr>
          <w:rStyle w:val="Bold"/>
        </w:rPr>
        <w:t xml:space="preserve">ed in the EU </w:t>
      </w:r>
      <w:r w:rsidR="00CF52AE" w:rsidRPr="00F11A93">
        <w:rPr>
          <w:rStyle w:val="Bold"/>
        </w:rPr>
        <w:t>t</w:t>
      </w:r>
      <w:r w:rsidR="00151E99" w:rsidRPr="00F11A93">
        <w:rPr>
          <w:rStyle w:val="Bold"/>
        </w:rPr>
        <w:t>reaties and the Charter of Fundamental Rights</w:t>
      </w:r>
      <w:r w:rsidR="00AE21EC" w:rsidRPr="00E0372D">
        <w:rPr>
          <w:rStyle w:val="Bold"/>
        </w:rPr>
        <w:t>.</w:t>
      </w:r>
      <w:r w:rsidR="00AE21EC" w:rsidRPr="00AE21EC">
        <w:rPr>
          <w:rFonts w:asciiTheme="majorHAnsi" w:hAnsiTheme="majorHAnsi" w:cs="Arial"/>
          <w:noProof/>
          <w:lang w:eastAsia="zh-CN"/>
        </w:rPr>
        <w:t xml:space="preserve"> </w:t>
      </w:r>
      <w:r w:rsidR="00C34A0C">
        <w:rPr>
          <w:rFonts w:asciiTheme="majorHAnsi" w:hAnsiTheme="majorHAnsi"/>
          <w:noProof/>
          <w:lang w:eastAsia="zh-CN"/>
        </w:rPr>
        <w:t xml:space="preserve">By the </w:t>
      </w:r>
      <w:r w:rsidR="006C27F8">
        <w:rPr>
          <w:rFonts w:asciiTheme="majorHAnsi" w:hAnsiTheme="majorHAnsi"/>
          <w:noProof/>
          <w:lang w:eastAsia="zh-CN"/>
        </w:rPr>
        <w:t>end of 2025</w:t>
      </w:r>
      <w:r w:rsidR="00C34A0C">
        <w:rPr>
          <w:rFonts w:asciiTheme="majorHAnsi" w:hAnsiTheme="majorHAnsi"/>
          <w:noProof/>
          <w:lang w:eastAsia="zh-CN"/>
        </w:rPr>
        <w:t xml:space="preserve">, </w:t>
      </w:r>
      <w:r w:rsidR="00F00601">
        <w:rPr>
          <w:rFonts w:asciiTheme="majorHAnsi" w:hAnsiTheme="majorHAnsi"/>
          <w:noProof/>
          <w:lang w:eastAsia="zh-CN"/>
        </w:rPr>
        <w:t>the programme</w:t>
      </w:r>
      <w:r w:rsidR="00C34A0C">
        <w:rPr>
          <w:rFonts w:asciiTheme="majorHAnsi" w:hAnsiTheme="majorHAnsi"/>
          <w:noProof/>
          <w:lang w:eastAsia="zh-CN"/>
        </w:rPr>
        <w:t xml:space="preserve"> </w:t>
      </w:r>
      <w:r w:rsidR="00B30526">
        <w:rPr>
          <w:rFonts w:asciiTheme="majorHAnsi" w:hAnsiTheme="majorHAnsi"/>
          <w:noProof/>
          <w:lang w:eastAsia="zh-CN"/>
        </w:rPr>
        <w:t xml:space="preserve">had </w:t>
      </w:r>
      <w:r w:rsidR="00CB709A">
        <w:rPr>
          <w:rFonts w:asciiTheme="majorHAnsi" w:hAnsiTheme="majorHAnsi"/>
          <w:noProof/>
          <w:lang w:eastAsia="zh-CN"/>
        </w:rPr>
        <w:t>supported 6</w:t>
      </w:r>
      <w:r w:rsidR="0091490B">
        <w:rPr>
          <w:rFonts w:ascii="Calibri" w:hAnsi="Calibri" w:cs="Calibri"/>
          <w:noProof/>
          <w:lang w:eastAsia="zh-CN"/>
        </w:rPr>
        <w:t> </w:t>
      </w:r>
      <w:r w:rsidR="00CB709A">
        <w:rPr>
          <w:rFonts w:asciiTheme="majorHAnsi" w:hAnsiTheme="majorHAnsi"/>
          <w:noProof/>
          <w:lang w:eastAsia="zh-CN"/>
        </w:rPr>
        <w:t xml:space="preserve">737 civil society organisations </w:t>
      </w:r>
      <w:r w:rsidR="0054036C">
        <w:rPr>
          <w:rFonts w:asciiTheme="majorHAnsi" w:hAnsiTheme="majorHAnsi"/>
          <w:noProof/>
          <w:lang w:eastAsia="zh-CN"/>
        </w:rPr>
        <w:t xml:space="preserve">across </w:t>
      </w:r>
      <w:r w:rsidR="00B30526">
        <w:rPr>
          <w:rFonts w:asciiTheme="majorHAnsi" w:hAnsiTheme="majorHAnsi"/>
          <w:noProof/>
          <w:lang w:eastAsia="zh-CN"/>
        </w:rPr>
        <w:t xml:space="preserve">all </w:t>
      </w:r>
      <w:r w:rsidR="00E8595C">
        <w:rPr>
          <w:rFonts w:asciiTheme="majorHAnsi" w:hAnsiTheme="majorHAnsi"/>
          <w:noProof/>
          <w:lang w:eastAsia="zh-CN"/>
        </w:rPr>
        <w:t>M</w:t>
      </w:r>
      <w:r w:rsidR="0054036C">
        <w:rPr>
          <w:rFonts w:asciiTheme="majorHAnsi" w:hAnsiTheme="majorHAnsi"/>
          <w:noProof/>
          <w:lang w:eastAsia="zh-CN"/>
        </w:rPr>
        <w:t>ember States and eligible non-E</w:t>
      </w:r>
      <w:r w:rsidR="00E8595C">
        <w:rPr>
          <w:rFonts w:asciiTheme="majorHAnsi" w:hAnsiTheme="majorHAnsi"/>
          <w:noProof/>
          <w:lang w:eastAsia="zh-CN"/>
        </w:rPr>
        <w:t>U</w:t>
      </w:r>
      <w:r w:rsidR="0054036C">
        <w:rPr>
          <w:rFonts w:asciiTheme="majorHAnsi" w:hAnsiTheme="majorHAnsi"/>
          <w:noProof/>
          <w:lang w:eastAsia="zh-CN"/>
        </w:rPr>
        <w:t xml:space="preserve"> countries. </w:t>
      </w:r>
      <w:r w:rsidR="00F00601">
        <w:rPr>
          <w:rFonts w:asciiTheme="majorHAnsi" w:hAnsiTheme="majorHAnsi"/>
          <w:noProof/>
          <w:lang w:eastAsia="zh-CN"/>
        </w:rPr>
        <w:t>The programme</w:t>
      </w:r>
      <w:r w:rsidR="004311D8">
        <w:rPr>
          <w:rFonts w:asciiTheme="majorHAnsi" w:hAnsiTheme="majorHAnsi"/>
          <w:noProof/>
          <w:lang w:eastAsia="zh-CN"/>
        </w:rPr>
        <w:t xml:space="preserve"> </w:t>
      </w:r>
      <w:r w:rsidR="0054036C">
        <w:rPr>
          <w:rFonts w:asciiTheme="majorHAnsi" w:hAnsiTheme="majorHAnsi"/>
          <w:noProof/>
          <w:lang w:eastAsia="zh-CN"/>
        </w:rPr>
        <w:t>provided operational support and capacity-building actions</w:t>
      </w:r>
      <w:r w:rsidR="00875A8C">
        <w:rPr>
          <w:rFonts w:asciiTheme="majorHAnsi" w:hAnsiTheme="majorHAnsi"/>
          <w:noProof/>
          <w:lang w:eastAsia="zh-CN"/>
        </w:rPr>
        <w:t xml:space="preserve">, </w:t>
      </w:r>
      <w:r w:rsidR="00A4358C">
        <w:rPr>
          <w:rFonts w:asciiTheme="majorHAnsi" w:hAnsiTheme="majorHAnsi"/>
          <w:noProof/>
          <w:lang w:eastAsia="zh-CN"/>
        </w:rPr>
        <w:t>particular</w:t>
      </w:r>
      <w:r w:rsidR="00F00601">
        <w:rPr>
          <w:rFonts w:asciiTheme="majorHAnsi" w:hAnsiTheme="majorHAnsi"/>
          <w:noProof/>
          <w:lang w:eastAsia="zh-CN"/>
        </w:rPr>
        <w:t>ly</w:t>
      </w:r>
      <w:r w:rsidR="00A4358C">
        <w:rPr>
          <w:rFonts w:asciiTheme="majorHAnsi" w:hAnsiTheme="majorHAnsi"/>
          <w:noProof/>
          <w:lang w:eastAsia="zh-CN"/>
        </w:rPr>
        <w:t xml:space="preserve"> support </w:t>
      </w:r>
      <w:r w:rsidR="00875A8C">
        <w:rPr>
          <w:rFonts w:asciiTheme="majorHAnsi" w:hAnsiTheme="majorHAnsi"/>
          <w:noProof/>
          <w:lang w:eastAsia="zh-CN"/>
        </w:rPr>
        <w:t xml:space="preserve">to </w:t>
      </w:r>
      <w:r w:rsidR="00DB0989">
        <w:rPr>
          <w:rFonts w:asciiTheme="majorHAnsi" w:hAnsiTheme="majorHAnsi"/>
          <w:noProof/>
          <w:lang w:eastAsia="zh-CN"/>
        </w:rPr>
        <w:t xml:space="preserve">local, regional, national and transnational </w:t>
      </w:r>
      <w:r w:rsidR="00F00601">
        <w:rPr>
          <w:rFonts w:asciiTheme="majorHAnsi" w:hAnsiTheme="majorHAnsi"/>
          <w:noProof/>
          <w:lang w:eastAsia="zh-CN"/>
        </w:rPr>
        <w:t>civil-society organisations</w:t>
      </w:r>
      <w:r w:rsidR="00DB0989">
        <w:rPr>
          <w:rFonts w:asciiTheme="majorHAnsi" w:hAnsiTheme="majorHAnsi"/>
          <w:noProof/>
          <w:lang w:eastAsia="zh-CN"/>
        </w:rPr>
        <w:t xml:space="preserve">. </w:t>
      </w:r>
      <w:r w:rsidR="00DB0989" w:rsidRPr="000B27F4">
        <w:rPr>
          <w:rFonts w:asciiTheme="majorHAnsi" w:hAnsiTheme="majorHAnsi"/>
          <w:noProof/>
          <w:lang w:eastAsia="zh-CN"/>
        </w:rPr>
        <w:t>Furthermore, b</w:t>
      </w:r>
      <w:r w:rsidRPr="000B27F4">
        <w:rPr>
          <w:rFonts w:asciiTheme="majorHAnsi" w:hAnsiTheme="majorHAnsi"/>
          <w:noProof/>
          <w:lang w:eastAsia="zh-CN"/>
        </w:rPr>
        <w:t>etween 2021 and 2025,</w:t>
      </w:r>
      <w:r w:rsidRPr="000B27F4">
        <w:rPr>
          <w:rFonts w:ascii="Arial" w:hAnsi="Arial" w:cs="Arial"/>
          <w:noProof/>
          <w:lang w:eastAsia="zh-CN"/>
        </w:rPr>
        <w:t> </w:t>
      </w:r>
      <w:r w:rsidRPr="000B27F4">
        <w:rPr>
          <w:rFonts w:asciiTheme="majorHAnsi" w:hAnsiTheme="majorHAnsi"/>
          <w:noProof/>
          <w:lang w:eastAsia="zh-CN"/>
        </w:rPr>
        <w:t>2</w:t>
      </w:r>
      <w:r w:rsidR="003C40A2">
        <w:rPr>
          <w:rFonts w:ascii="Calibri" w:hAnsi="Calibri" w:cs="Calibri"/>
          <w:noProof/>
          <w:lang w:eastAsia="zh-CN"/>
        </w:rPr>
        <w:t> </w:t>
      </w:r>
      <w:r w:rsidRPr="000B27F4">
        <w:rPr>
          <w:rFonts w:asciiTheme="majorHAnsi" w:hAnsiTheme="majorHAnsi"/>
          <w:noProof/>
          <w:lang w:eastAsia="zh-CN"/>
        </w:rPr>
        <w:t xml:space="preserve">155 </w:t>
      </w:r>
      <w:r w:rsidR="0073214B">
        <w:rPr>
          <w:rFonts w:asciiTheme="majorHAnsi" w:hAnsiTheme="majorHAnsi"/>
          <w:noProof/>
          <w:lang w:eastAsia="zh-CN"/>
        </w:rPr>
        <w:t xml:space="preserve">funded </w:t>
      </w:r>
      <w:r w:rsidRPr="000B27F4">
        <w:rPr>
          <w:rFonts w:asciiTheme="majorHAnsi" w:hAnsiTheme="majorHAnsi"/>
          <w:noProof/>
          <w:lang w:eastAsia="zh-CN"/>
        </w:rPr>
        <w:t xml:space="preserve">projects are expected to </w:t>
      </w:r>
      <w:r w:rsidR="0073214B">
        <w:rPr>
          <w:rFonts w:asciiTheme="majorHAnsi" w:hAnsiTheme="majorHAnsi"/>
          <w:noProof/>
          <w:lang w:eastAsia="zh-CN"/>
        </w:rPr>
        <w:t>reach</w:t>
      </w:r>
      <w:r w:rsidRPr="000B27F4">
        <w:rPr>
          <w:rFonts w:asciiTheme="majorHAnsi" w:hAnsiTheme="majorHAnsi"/>
          <w:noProof/>
          <w:lang w:eastAsia="zh-CN"/>
        </w:rPr>
        <w:t xml:space="preserve"> at least</w:t>
      </w:r>
      <w:r w:rsidRPr="000B27F4">
        <w:rPr>
          <w:rFonts w:ascii="Arial" w:hAnsi="Arial" w:cs="Arial"/>
          <w:noProof/>
          <w:lang w:eastAsia="zh-CN"/>
        </w:rPr>
        <w:t> </w:t>
      </w:r>
      <w:r w:rsidRPr="000B27F4">
        <w:rPr>
          <w:rFonts w:asciiTheme="majorHAnsi" w:hAnsiTheme="majorHAnsi"/>
          <w:noProof/>
          <w:lang w:eastAsia="zh-CN"/>
        </w:rPr>
        <w:t>79</w:t>
      </w:r>
      <w:r w:rsidR="0091490B">
        <w:rPr>
          <w:rFonts w:ascii="Calibri" w:hAnsi="Calibri" w:cs="Calibri"/>
          <w:noProof/>
          <w:lang w:eastAsia="zh-CN"/>
        </w:rPr>
        <w:t> </w:t>
      </w:r>
      <w:r w:rsidRPr="000B27F4">
        <w:rPr>
          <w:rFonts w:asciiTheme="majorHAnsi" w:hAnsiTheme="majorHAnsi"/>
          <w:noProof/>
          <w:lang w:eastAsia="zh-CN"/>
        </w:rPr>
        <w:t xml:space="preserve">million </w:t>
      </w:r>
      <w:r w:rsidR="00D17DE7">
        <w:rPr>
          <w:rFonts w:asciiTheme="majorHAnsi" w:hAnsiTheme="majorHAnsi"/>
          <w:noProof/>
          <w:lang w:eastAsia="zh-CN"/>
        </w:rPr>
        <w:t>p</w:t>
      </w:r>
      <w:r w:rsidRPr="000B27F4">
        <w:rPr>
          <w:rFonts w:asciiTheme="majorHAnsi" w:hAnsiTheme="majorHAnsi"/>
          <w:noProof/>
          <w:lang w:eastAsia="zh-CN"/>
        </w:rPr>
        <w:t>eople</w:t>
      </w:r>
      <w:r w:rsidR="000B27F4" w:rsidRPr="000B27F4">
        <w:rPr>
          <w:rFonts w:asciiTheme="majorHAnsi" w:hAnsiTheme="majorHAnsi" w:cs="Arial"/>
          <w:noProof/>
          <w:lang w:eastAsia="zh-CN"/>
        </w:rPr>
        <w:t>.</w:t>
      </w:r>
      <w:r w:rsidR="00AF4131">
        <w:rPr>
          <w:rFonts w:cs="Arial"/>
          <w:noProof/>
          <w:lang w:eastAsia="zh-CN"/>
        </w:rPr>
        <w:t xml:space="preserve"> Examples of projects include </w:t>
      </w:r>
      <w:r w:rsidR="00AE2AEF" w:rsidRPr="447EDC48">
        <w:rPr>
          <w:rFonts w:cs="Arial"/>
          <w:noProof/>
          <w:lang w:eastAsia="zh-CN"/>
        </w:rPr>
        <w:t xml:space="preserve">cooperation between municipalities and civil society organisations to combat discrimination and promote inclusion, awareness-raising actions against hate speech and online hatred and transnational citizens’ events encouraging debate on Europe’s history, democratic values and future </w:t>
      </w:r>
      <w:r w:rsidR="00745505">
        <w:rPr>
          <w:rFonts w:cs="Arial"/>
          <w:noProof/>
          <w:lang w:eastAsia="zh-CN"/>
        </w:rPr>
        <w:t xml:space="preserve">and the organisation of transnational events </w:t>
      </w:r>
      <w:r w:rsidR="00272BB9">
        <w:rPr>
          <w:rFonts w:cs="Arial"/>
          <w:noProof/>
          <w:lang w:eastAsia="zh-CN"/>
        </w:rPr>
        <w:t>to reflect on</w:t>
      </w:r>
      <w:r w:rsidR="00272BB9" w:rsidRPr="00723452">
        <w:rPr>
          <w:lang w:val="en-IE"/>
        </w:rPr>
        <w:t xml:space="preserve"> the past, present and future of Europe</w:t>
      </w:r>
      <w:r w:rsidR="00272BB9">
        <w:t>.</w:t>
      </w:r>
    </w:p>
    <w:p w14:paraId="60425059" w14:textId="3E788A03" w:rsidR="00DB6C3D" w:rsidRDefault="00E12048" w:rsidP="00136C2F">
      <w:pPr>
        <w:rPr>
          <w:noProof/>
          <w:lang w:val="en-IE" w:eastAsia="zh-CN"/>
        </w:rPr>
      </w:pPr>
      <w:r w:rsidRPr="00F11A93">
        <w:rPr>
          <w:rStyle w:val="Bold"/>
        </w:rPr>
        <w:t xml:space="preserve">The citizens, equality, rights and values programme </w:t>
      </w:r>
      <w:r w:rsidR="00C21480" w:rsidRPr="00F11A93">
        <w:rPr>
          <w:rStyle w:val="Bold"/>
        </w:rPr>
        <w:t xml:space="preserve">also </w:t>
      </w:r>
      <w:r w:rsidR="00470AEE" w:rsidRPr="00F11A93">
        <w:rPr>
          <w:rStyle w:val="Bold"/>
        </w:rPr>
        <w:t>support</w:t>
      </w:r>
      <w:r w:rsidR="008D0E8D" w:rsidRPr="00F11A93">
        <w:rPr>
          <w:rStyle w:val="Bold"/>
        </w:rPr>
        <w:t>s</w:t>
      </w:r>
      <w:r w:rsidR="00136C2F" w:rsidRPr="00F11A93">
        <w:rPr>
          <w:rStyle w:val="Bold"/>
        </w:rPr>
        <w:t xml:space="preserve"> award schemes</w:t>
      </w:r>
      <w:r w:rsidR="00136C2F" w:rsidRPr="00F11A93">
        <w:rPr>
          <w:rStyle w:val="Bold"/>
          <w:rFonts w:ascii="Arial" w:hAnsi="Arial" w:cs="Arial"/>
        </w:rPr>
        <w:t> </w:t>
      </w:r>
      <w:r w:rsidR="00DB6C3D" w:rsidRPr="00F11A93">
        <w:rPr>
          <w:rStyle w:val="Bold"/>
        </w:rPr>
        <w:t>focused on promoting</w:t>
      </w:r>
      <w:r w:rsidR="00136C2F" w:rsidRPr="00F11A93">
        <w:rPr>
          <w:rStyle w:val="Bold"/>
        </w:rPr>
        <w:t xml:space="preserve"> </w:t>
      </w:r>
      <w:r w:rsidR="00094ECF" w:rsidRPr="00F11A93">
        <w:rPr>
          <w:rStyle w:val="Bold"/>
        </w:rPr>
        <w:t>a</w:t>
      </w:r>
      <w:r w:rsidR="00136C2F" w:rsidRPr="00F11A93">
        <w:rPr>
          <w:rStyle w:val="Bold"/>
        </w:rPr>
        <w:t>ccessibility,</w:t>
      </w:r>
      <w:r w:rsidR="00136C2F" w:rsidRPr="00F11A93">
        <w:rPr>
          <w:rStyle w:val="Bold"/>
          <w:rFonts w:ascii="Arial" w:hAnsi="Arial" w:cs="Arial"/>
        </w:rPr>
        <w:t> </w:t>
      </w:r>
      <w:r w:rsidR="00136C2F" w:rsidRPr="00F11A93">
        <w:rPr>
          <w:rStyle w:val="Bold"/>
        </w:rPr>
        <w:t>inclusion</w:t>
      </w:r>
      <w:r w:rsidR="00136C2F" w:rsidRPr="00F11A93">
        <w:rPr>
          <w:rStyle w:val="Bold"/>
          <w:rFonts w:ascii="Arial" w:hAnsi="Arial" w:cs="Arial"/>
        </w:rPr>
        <w:t> </w:t>
      </w:r>
      <w:r w:rsidR="00136C2F" w:rsidRPr="00F11A93">
        <w:rPr>
          <w:rStyle w:val="Bold"/>
        </w:rPr>
        <w:t xml:space="preserve">and equality at </w:t>
      </w:r>
      <w:r w:rsidRPr="00F11A93">
        <w:rPr>
          <w:rStyle w:val="Bold"/>
        </w:rPr>
        <w:t xml:space="preserve">the </w:t>
      </w:r>
      <w:r w:rsidR="00136C2F" w:rsidRPr="00F11A93">
        <w:rPr>
          <w:rStyle w:val="Bold"/>
        </w:rPr>
        <w:t>local level</w:t>
      </w:r>
      <w:r w:rsidR="00136C2F" w:rsidRPr="00E0372D">
        <w:rPr>
          <w:rStyle w:val="Bold"/>
        </w:rPr>
        <w:t>.</w:t>
      </w:r>
      <w:r w:rsidR="00136C2F" w:rsidRPr="00136C2F">
        <w:rPr>
          <w:noProof/>
          <w:lang w:val="en-IE" w:eastAsia="zh-CN"/>
        </w:rPr>
        <w:t xml:space="preserve"> Through the</w:t>
      </w:r>
      <w:r w:rsidR="00136C2F" w:rsidRPr="00094ECF">
        <w:rPr>
          <w:rFonts w:ascii="Arial" w:hAnsi="Arial" w:cs="Arial"/>
          <w:noProof/>
          <w:lang w:val="en-IE" w:eastAsia="zh-CN"/>
        </w:rPr>
        <w:t> </w:t>
      </w:r>
      <w:r w:rsidR="00136C2F" w:rsidRPr="00136C2F">
        <w:rPr>
          <w:noProof/>
          <w:lang w:val="en-IE" w:eastAsia="zh-CN"/>
        </w:rPr>
        <w:t>Access City Award</w:t>
      </w:r>
      <w:r w:rsidR="00136C2F" w:rsidRPr="00094ECF">
        <w:rPr>
          <w:rFonts w:ascii="Arial" w:hAnsi="Arial" w:cs="Arial"/>
          <w:noProof/>
          <w:lang w:val="en-IE" w:eastAsia="zh-CN"/>
        </w:rPr>
        <w:t> </w:t>
      </w:r>
      <w:r w:rsidR="00136C2F" w:rsidRPr="00136C2F">
        <w:rPr>
          <w:noProof/>
          <w:lang w:val="en-IE" w:eastAsia="zh-CN"/>
        </w:rPr>
        <w:t>and the</w:t>
      </w:r>
      <w:r w:rsidR="00136C2F" w:rsidRPr="00094ECF">
        <w:rPr>
          <w:rFonts w:ascii="Arial" w:hAnsi="Arial" w:cs="Arial"/>
          <w:noProof/>
          <w:lang w:val="en-IE" w:eastAsia="zh-CN"/>
        </w:rPr>
        <w:t> </w:t>
      </w:r>
      <w:r w:rsidR="00136C2F" w:rsidRPr="00136C2F">
        <w:rPr>
          <w:noProof/>
          <w:lang w:val="en-IE" w:eastAsia="zh-CN"/>
        </w:rPr>
        <w:t xml:space="preserve">European Capitals of Inclusion and Diversity Award, </w:t>
      </w:r>
      <w:r>
        <w:rPr>
          <w:noProof/>
          <w:lang w:val="en-IE" w:eastAsia="zh-CN"/>
        </w:rPr>
        <w:t xml:space="preserve">the programme </w:t>
      </w:r>
      <w:r w:rsidR="00DB6C3D">
        <w:rPr>
          <w:noProof/>
          <w:lang w:val="en-IE" w:eastAsia="zh-CN"/>
        </w:rPr>
        <w:t xml:space="preserve">gave recognition to </w:t>
      </w:r>
      <w:r w:rsidR="00EA781A">
        <w:rPr>
          <w:noProof/>
          <w:lang w:val="en-IE" w:eastAsia="zh-CN"/>
        </w:rPr>
        <w:t xml:space="preserve">towns and cities that performed concrete actions in advancing accesibility </w:t>
      </w:r>
      <w:r w:rsidR="008C2E98" w:rsidRPr="00136C2F">
        <w:rPr>
          <w:noProof/>
          <w:lang w:val="en-IE" w:eastAsia="zh-CN"/>
        </w:rPr>
        <w:t>for</w:t>
      </w:r>
      <w:r w:rsidR="008C2E98" w:rsidRPr="00094ECF">
        <w:rPr>
          <w:rFonts w:ascii="Arial" w:hAnsi="Arial" w:cs="Arial"/>
          <w:noProof/>
          <w:lang w:val="en-IE" w:eastAsia="zh-CN"/>
        </w:rPr>
        <w:t> </w:t>
      </w:r>
      <w:r w:rsidR="008C2E98" w:rsidRPr="00136C2F">
        <w:rPr>
          <w:noProof/>
          <w:lang w:val="en-IE" w:eastAsia="zh-CN"/>
        </w:rPr>
        <w:t>persons</w:t>
      </w:r>
      <w:r w:rsidR="008C2E98" w:rsidRPr="00094ECF">
        <w:rPr>
          <w:rFonts w:ascii="Arial" w:hAnsi="Arial" w:cs="Arial"/>
          <w:noProof/>
          <w:lang w:val="en-IE" w:eastAsia="zh-CN"/>
        </w:rPr>
        <w:t> </w:t>
      </w:r>
      <w:r w:rsidR="008C2E98" w:rsidRPr="00136C2F">
        <w:rPr>
          <w:noProof/>
          <w:lang w:val="en-IE" w:eastAsia="zh-CN"/>
        </w:rPr>
        <w:t>with disabilities and fostering inclusive, discrimination-free communities.</w:t>
      </w:r>
      <w:r w:rsidR="008C2E98">
        <w:rPr>
          <w:noProof/>
          <w:lang w:val="en-IE" w:eastAsia="zh-CN"/>
        </w:rPr>
        <w:t xml:space="preserve"> By doing so, the Commission spotlighted exceptional work at the local level, </w:t>
      </w:r>
      <w:r w:rsidR="00B4571C" w:rsidRPr="00136C2F">
        <w:rPr>
          <w:noProof/>
          <w:lang w:val="en-IE" w:eastAsia="zh-CN"/>
        </w:rPr>
        <w:t>sharing good</w:t>
      </w:r>
      <w:r w:rsidR="00B4571C" w:rsidRPr="00094ECF">
        <w:rPr>
          <w:rFonts w:ascii="Arial" w:hAnsi="Arial" w:cs="Arial"/>
          <w:noProof/>
          <w:lang w:val="en-IE" w:eastAsia="zh-CN"/>
        </w:rPr>
        <w:t> </w:t>
      </w:r>
      <w:r w:rsidR="00B4571C" w:rsidRPr="00136C2F">
        <w:rPr>
          <w:noProof/>
          <w:lang w:val="en-IE" w:eastAsia="zh-CN"/>
        </w:rPr>
        <w:t>practices</w:t>
      </w:r>
      <w:r w:rsidR="00B4571C" w:rsidRPr="00094ECF">
        <w:rPr>
          <w:rFonts w:ascii="Arial" w:hAnsi="Arial" w:cs="Arial"/>
          <w:noProof/>
          <w:lang w:val="en-IE" w:eastAsia="zh-CN"/>
        </w:rPr>
        <w:t> </w:t>
      </w:r>
      <w:r w:rsidR="00B4571C" w:rsidRPr="00136C2F">
        <w:rPr>
          <w:noProof/>
          <w:lang w:val="en-IE" w:eastAsia="zh-CN"/>
        </w:rPr>
        <w:t>and encouraging peer learning among local authorities</w:t>
      </w:r>
      <w:r w:rsidR="00B4571C">
        <w:rPr>
          <w:noProof/>
          <w:lang w:val="en-IE" w:eastAsia="zh-CN"/>
        </w:rPr>
        <w:t>.</w:t>
      </w:r>
    </w:p>
    <w:p w14:paraId="23B8BE4D" w14:textId="56630AD6" w:rsidR="000D7D9F" w:rsidRPr="00E0372D" w:rsidRDefault="007B4627" w:rsidP="00840F96">
      <w:pPr>
        <w:rPr>
          <w:highlight w:val="lightGray"/>
        </w:rPr>
      </w:pPr>
      <w:r w:rsidRPr="00F11A93">
        <w:rPr>
          <w:rStyle w:val="Bold"/>
        </w:rPr>
        <w:t xml:space="preserve">Justice and fundamental rights </w:t>
      </w:r>
      <w:r w:rsidR="002D476D" w:rsidRPr="00F11A93">
        <w:rPr>
          <w:rStyle w:val="Bold"/>
        </w:rPr>
        <w:t xml:space="preserve">are also supported by </w:t>
      </w:r>
      <w:r w:rsidR="00AB704F">
        <w:rPr>
          <w:rStyle w:val="Bold"/>
        </w:rPr>
        <w:t xml:space="preserve">the </w:t>
      </w:r>
      <w:r w:rsidR="008A1783" w:rsidRPr="00F11A93">
        <w:rPr>
          <w:rStyle w:val="Bold"/>
        </w:rPr>
        <w:t>j</w:t>
      </w:r>
      <w:r w:rsidR="002D476D" w:rsidRPr="00F11A93">
        <w:rPr>
          <w:rStyle w:val="Bold"/>
        </w:rPr>
        <w:t>ustice programme</w:t>
      </w:r>
      <w:r w:rsidR="002D476D" w:rsidRPr="00E0372D">
        <w:rPr>
          <w:rStyle w:val="Bold"/>
        </w:rPr>
        <w:t>.</w:t>
      </w:r>
      <w:r w:rsidR="002D476D">
        <w:rPr>
          <w:noProof/>
          <w:lang w:eastAsia="zh-CN"/>
        </w:rPr>
        <w:t xml:space="preserve"> </w:t>
      </w:r>
      <w:r w:rsidR="00E46935">
        <w:rPr>
          <w:noProof/>
          <w:lang w:eastAsia="zh-CN"/>
        </w:rPr>
        <w:t xml:space="preserve">The </w:t>
      </w:r>
      <w:r w:rsidR="008A1783">
        <w:rPr>
          <w:noProof/>
          <w:lang w:eastAsia="zh-CN"/>
        </w:rPr>
        <w:t>j</w:t>
      </w:r>
      <w:r w:rsidR="00E46935">
        <w:rPr>
          <w:noProof/>
          <w:lang w:eastAsia="zh-CN"/>
        </w:rPr>
        <w:t>ustice programme supports judi</w:t>
      </w:r>
      <w:r w:rsidR="008D0E8D">
        <w:rPr>
          <w:noProof/>
          <w:lang w:eastAsia="zh-CN"/>
        </w:rPr>
        <w:t>ci</w:t>
      </w:r>
      <w:r w:rsidR="00E46935">
        <w:rPr>
          <w:noProof/>
          <w:lang w:eastAsia="zh-CN"/>
        </w:rPr>
        <w:t xml:space="preserve">al cooperation in civil and criminal matters, judicial training and access to justice. </w:t>
      </w:r>
      <w:r w:rsidR="002D476D">
        <w:rPr>
          <w:noProof/>
          <w:lang w:eastAsia="zh-CN"/>
        </w:rPr>
        <w:t>In 2025, t</w:t>
      </w:r>
      <w:r w:rsidR="00C97B88" w:rsidRPr="00C97B88">
        <w:rPr>
          <w:noProof/>
          <w:lang w:eastAsia="zh-CN"/>
        </w:rPr>
        <w:t>he programme</w:t>
      </w:r>
      <w:r w:rsidR="009568E1">
        <w:rPr>
          <w:noProof/>
          <w:lang w:eastAsia="zh-CN"/>
        </w:rPr>
        <w:t>’</w:t>
      </w:r>
      <w:r w:rsidR="00C97B88" w:rsidRPr="00C97B88">
        <w:rPr>
          <w:noProof/>
          <w:lang w:eastAsia="zh-CN"/>
        </w:rPr>
        <w:t>s implementation</w:t>
      </w:r>
      <w:r w:rsidR="00C97B88" w:rsidRPr="00C97B88" w:rsidDel="002D476D">
        <w:rPr>
          <w:noProof/>
          <w:lang w:eastAsia="zh-CN"/>
        </w:rPr>
        <w:t xml:space="preserve"> </w:t>
      </w:r>
      <w:r w:rsidR="0074285A">
        <w:rPr>
          <w:noProof/>
          <w:lang w:eastAsia="zh-CN"/>
        </w:rPr>
        <w:t xml:space="preserve">covered </w:t>
      </w:r>
      <w:r w:rsidR="00C97B88" w:rsidRPr="00C97B88">
        <w:rPr>
          <w:noProof/>
          <w:lang w:eastAsia="zh-CN"/>
        </w:rPr>
        <w:t>action grants on judicial cooperation, judicial training and access to justice with a total indicative budget of EUR</w:t>
      </w:r>
      <w:r w:rsidR="00BD6F72">
        <w:rPr>
          <w:rFonts w:ascii="Calibri" w:hAnsi="Calibri" w:cs="Calibri"/>
          <w:noProof/>
          <w:lang w:eastAsia="zh-CN"/>
        </w:rPr>
        <w:t> </w:t>
      </w:r>
      <w:r w:rsidR="00C97B88" w:rsidRPr="00C97B88">
        <w:rPr>
          <w:noProof/>
          <w:lang w:eastAsia="zh-CN"/>
        </w:rPr>
        <w:t>15.4</w:t>
      </w:r>
      <w:r w:rsidR="00EB0E5C">
        <w:rPr>
          <w:rFonts w:ascii="Calibri" w:hAnsi="Calibri" w:cs="Calibri"/>
          <w:noProof/>
          <w:lang w:eastAsia="zh-CN"/>
        </w:rPr>
        <w:t> </w:t>
      </w:r>
      <w:r w:rsidR="00C97B88" w:rsidRPr="00C97B88" w:rsidDel="00EB0E5C">
        <w:rPr>
          <w:noProof/>
          <w:lang w:eastAsia="zh-CN"/>
        </w:rPr>
        <w:t>million</w:t>
      </w:r>
      <w:r w:rsidR="00F75201">
        <w:rPr>
          <w:noProof/>
          <w:lang w:eastAsia="zh-CN"/>
        </w:rPr>
        <w:t>.</w:t>
      </w:r>
      <w:r w:rsidR="00FA4DCE">
        <w:rPr>
          <w:noProof/>
          <w:lang w:eastAsia="zh-CN"/>
        </w:rPr>
        <w:t xml:space="preserve"> Moreover</w:t>
      </w:r>
      <w:r w:rsidR="00C97B88" w:rsidRPr="00C97B88">
        <w:rPr>
          <w:noProof/>
          <w:lang w:eastAsia="zh-CN"/>
        </w:rPr>
        <w:t xml:space="preserve">, the programme continued to support actions by the Council of Europe in the area of justice: the network of prison-monitoring bodies, the delivery of the SPACE report (an annual report on prison statistics providing clear insights into the detention situations in the Member States) and the Council of Europe’s European Commission for the Efficiency of Justice annual study on the efficiency, quality and independence of justice systems among the </w:t>
      </w:r>
      <w:r w:rsidR="00816733">
        <w:rPr>
          <w:noProof/>
          <w:lang w:eastAsia="zh-CN"/>
        </w:rPr>
        <w:t xml:space="preserve">EU </w:t>
      </w:r>
      <w:r w:rsidR="00C97B88" w:rsidRPr="00C97B88">
        <w:rPr>
          <w:noProof/>
          <w:lang w:eastAsia="zh-CN"/>
        </w:rPr>
        <w:t>Member States</w:t>
      </w:r>
      <w:r w:rsidR="00FA4DCE" w:rsidDel="00816733">
        <w:rPr>
          <w:noProof/>
          <w:lang w:eastAsia="zh-CN"/>
        </w:rPr>
        <w:t>.</w:t>
      </w:r>
      <w:r w:rsidR="00FA4DCE">
        <w:rPr>
          <w:noProof/>
          <w:lang w:eastAsia="zh-CN"/>
        </w:rPr>
        <w:t xml:space="preserve"> </w:t>
      </w:r>
      <w:r w:rsidR="00C97B88" w:rsidRPr="00C97B88">
        <w:rPr>
          <w:noProof/>
          <w:lang w:eastAsia="zh-CN"/>
        </w:rPr>
        <w:t xml:space="preserve">In addition, procurement contracts, for a total of </w:t>
      </w:r>
      <w:r w:rsidR="00C97B88" w:rsidRPr="00C97B88" w:rsidDel="00EB0E5C">
        <w:rPr>
          <w:noProof/>
          <w:lang w:eastAsia="zh-CN"/>
        </w:rPr>
        <w:t>EUR</w:t>
      </w:r>
      <w:r w:rsidR="00EB0E5C">
        <w:rPr>
          <w:rFonts w:ascii="Calibri" w:hAnsi="Calibri" w:cs="Calibri"/>
          <w:noProof/>
          <w:lang w:eastAsia="zh-CN"/>
        </w:rPr>
        <w:t> </w:t>
      </w:r>
      <w:r w:rsidR="00C97B88" w:rsidRPr="00C97B88">
        <w:rPr>
          <w:noProof/>
          <w:lang w:eastAsia="zh-CN"/>
        </w:rPr>
        <w:t>9.2</w:t>
      </w:r>
      <w:r w:rsidR="00EB0E5C">
        <w:rPr>
          <w:rFonts w:ascii="Calibri" w:hAnsi="Calibri" w:cs="Calibri"/>
          <w:noProof/>
          <w:lang w:eastAsia="zh-CN"/>
        </w:rPr>
        <w:t> </w:t>
      </w:r>
      <w:r w:rsidR="00EB0E5C">
        <w:rPr>
          <w:noProof/>
          <w:lang w:eastAsia="zh-CN"/>
        </w:rPr>
        <w:t>million</w:t>
      </w:r>
      <w:r w:rsidR="00C97B88" w:rsidRPr="00C97B88">
        <w:rPr>
          <w:noProof/>
          <w:lang w:eastAsia="zh-CN"/>
        </w:rPr>
        <w:t>, were concluded in 2025 to support development and maintenance of IT tools and key EU policies in the justice field through activities</w:t>
      </w:r>
      <w:r w:rsidR="00162A37">
        <w:rPr>
          <w:noProof/>
          <w:lang w:eastAsia="zh-CN"/>
        </w:rPr>
        <w:t xml:space="preserve"> including</w:t>
      </w:r>
      <w:r w:rsidR="00C97B88" w:rsidRPr="00C97B88">
        <w:rPr>
          <w:noProof/>
          <w:lang w:eastAsia="zh-CN"/>
        </w:rPr>
        <w:t xml:space="preserve"> a study to support the impact assessment for the revision of the Eurojust Regulat</w:t>
      </w:r>
      <w:r w:rsidR="00162A37">
        <w:rPr>
          <w:noProof/>
          <w:lang w:eastAsia="zh-CN"/>
        </w:rPr>
        <w:t>ion</w:t>
      </w:r>
      <w:r w:rsidR="00C97B88" w:rsidRPr="00C97B88">
        <w:rPr>
          <w:noProof/>
          <w:lang w:eastAsia="zh-CN"/>
        </w:rPr>
        <w:t>.</w:t>
      </w:r>
      <w:r w:rsidR="000D7D9F" w:rsidRPr="00E0372D">
        <w:rPr>
          <w:highlight w:val="lightGray"/>
        </w:rPr>
        <w:br w:type="page"/>
      </w:r>
    </w:p>
    <w:p w14:paraId="39319B23" w14:textId="6206C80F" w:rsidR="000D7D9F" w:rsidRPr="003E29CF" w:rsidRDefault="0052060F" w:rsidP="000D7D9F">
      <w:pPr>
        <w:pStyle w:val="Heading3"/>
        <w:rPr>
          <w:rFonts w:ascii="EC Square Sans Pro" w:hAnsi="EC Square Sans Pro"/>
          <w:noProof/>
          <w:highlight w:val="lightGray"/>
        </w:rPr>
      </w:pPr>
      <w:r w:rsidRPr="0052060F">
        <w:rPr>
          <w:rFonts w:ascii="EC Square Sans Pro" w:hAnsi="EC Square Sans Pro"/>
          <w:noProof/>
        </w:rPr>
        <w:t>A global Europe: Leveraging our power and partnerships</w:t>
      </w:r>
    </w:p>
    <w:p w14:paraId="3F196515" w14:textId="69316DD2" w:rsidR="000D7D9F" w:rsidRPr="0004436F" w:rsidRDefault="000D7D9F" w:rsidP="000D7D9F">
      <w:pPr>
        <w:pStyle w:val="amprquotetext"/>
        <w:rPr>
          <w:rFonts w:ascii="EC Square Sans Pro" w:hAnsi="EC Square Sans Pro"/>
        </w:rPr>
      </w:pPr>
      <w:r w:rsidRPr="0004436F">
        <w:t>The</w:t>
      </w:r>
      <w:r w:rsidR="00556C03" w:rsidRPr="0004436F">
        <w:t xml:space="preserve"> way forward is through partnerships. Partnerships based on common interests and respect for sovereignty. That is what unites us here today. That is Europe's approach</w:t>
      </w:r>
      <w:r w:rsidRPr="0004436F">
        <w:rPr>
          <w:rFonts w:ascii="Calibri" w:hAnsi="Calibri" w:cs="Calibri"/>
          <w:noProof/>
        </w:rPr>
        <w:t> </w:t>
      </w:r>
      <w:r w:rsidRPr="00BB74AE">
        <w:rPr>
          <w:rFonts w:ascii="EC Square Sans Pro" w:hAnsi="EC Square Sans Pro"/>
          <w:i w:val="0"/>
          <w:noProof/>
        </w:rPr>
        <w:t>(</w:t>
      </w:r>
      <w:r w:rsidRPr="00E0372D">
        <w:rPr>
          <w:rStyle w:val="FootnoteReference"/>
          <w:i w:val="0"/>
        </w:rPr>
        <w:footnoteReference w:id="51"/>
      </w:r>
      <w:r w:rsidRPr="00BB74AE">
        <w:rPr>
          <w:rFonts w:ascii="EC Square Sans Pro" w:hAnsi="EC Square Sans Pro"/>
          <w:i w:val="0"/>
          <w:noProof/>
        </w:rPr>
        <w:t>)</w:t>
      </w:r>
      <w:r w:rsidRPr="0004436F">
        <w:rPr>
          <w:rFonts w:ascii="EC Square Sans Pro" w:hAnsi="EC Square Sans Pro"/>
          <w:noProof/>
        </w:rPr>
        <w:t>.</w:t>
      </w:r>
    </w:p>
    <w:p w14:paraId="4C47A886" w14:textId="77777777" w:rsidR="000D7D9F" w:rsidRPr="00E0372D" w:rsidRDefault="000D7D9F" w:rsidP="000D7D9F">
      <w:pPr>
        <w:pStyle w:val="amprquoteauthor"/>
        <w:rPr>
          <w:i w:val="0"/>
        </w:rPr>
      </w:pPr>
      <w:r w:rsidRPr="00E0372D">
        <w:rPr>
          <w:i w:val="0"/>
        </w:rPr>
        <w:t>Ursula von der Leyen</w:t>
      </w:r>
    </w:p>
    <w:p w14:paraId="74190AF9" w14:textId="77777777" w:rsidR="000D7D9F" w:rsidRPr="0004436F" w:rsidRDefault="000D7D9F" w:rsidP="000D7D9F">
      <w:pPr>
        <w:pStyle w:val="amprquoteauthortitle"/>
        <w:rPr>
          <w:rFonts w:ascii="EC Square Sans Pro" w:hAnsi="EC Square Sans Pro"/>
        </w:rPr>
      </w:pPr>
      <w:r w:rsidRPr="0004436F">
        <w:rPr>
          <w:rFonts w:ascii="EC Square Sans Pro" w:hAnsi="EC Square Sans Pro"/>
        </w:rPr>
        <w:t>President of the European Commission</w:t>
      </w:r>
    </w:p>
    <w:p w14:paraId="7FC6DAAE" w14:textId="79A7D669" w:rsidR="000D7D9F" w:rsidRDefault="001A312A" w:rsidP="000D7D9F">
      <w:pPr>
        <w:pStyle w:val="Heading4"/>
        <w:rPr>
          <w:rFonts w:ascii="EC Square Sans Pro" w:hAnsi="EC Square Sans Pro"/>
          <w:noProof/>
        </w:rPr>
      </w:pPr>
      <w:r>
        <w:rPr>
          <w:rFonts w:ascii="EC Square Sans Pro" w:hAnsi="EC Square Sans Pro"/>
          <w:noProof/>
        </w:rPr>
        <w:t>Maintaining t</w:t>
      </w:r>
      <w:r w:rsidR="00EB7263" w:rsidRPr="00EB7263">
        <w:rPr>
          <w:rFonts w:ascii="EC Square Sans Pro" w:hAnsi="EC Square Sans Pro"/>
          <w:noProof/>
        </w:rPr>
        <w:t xml:space="preserve">he EU’s </w:t>
      </w:r>
      <w:r>
        <w:rPr>
          <w:rFonts w:ascii="EC Square Sans Pro" w:hAnsi="EC Square Sans Pro"/>
          <w:noProof/>
        </w:rPr>
        <w:t xml:space="preserve">unwavering </w:t>
      </w:r>
      <w:r w:rsidR="00EB7263" w:rsidRPr="00EB7263">
        <w:rPr>
          <w:rFonts w:ascii="EC Square Sans Pro" w:hAnsi="EC Square Sans Pro"/>
          <w:noProof/>
        </w:rPr>
        <w:t>support for Ukraine</w:t>
      </w:r>
    </w:p>
    <w:p w14:paraId="6AAEB2D7" w14:textId="77D25531" w:rsidR="00F24101" w:rsidRPr="00F24101" w:rsidRDefault="0081300D" w:rsidP="00F24101">
      <w:r w:rsidRPr="00795512">
        <w:rPr>
          <w:rStyle w:val="Bold"/>
        </w:rPr>
        <w:t>The EU remains committed to supporting Ukraine and its people</w:t>
      </w:r>
      <w:r w:rsidRPr="00E0372D">
        <w:rPr>
          <w:rStyle w:val="Bold"/>
        </w:rPr>
        <w:t>.</w:t>
      </w:r>
      <w:r w:rsidRPr="0081300D">
        <w:t xml:space="preserve"> By </w:t>
      </w:r>
      <w:r w:rsidR="00FD3A2C">
        <w:t xml:space="preserve">the </w:t>
      </w:r>
      <w:r w:rsidRPr="0081300D">
        <w:t xml:space="preserve">end </w:t>
      </w:r>
      <w:r w:rsidR="00FD3A2C">
        <w:t xml:space="preserve">of </w:t>
      </w:r>
      <w:r w:rsidRPr="0081300D">
        <w:t xml:space="preserve">2025, the EU and its Member States </w:t>
      </w:r>
      <w:r w:rsidR="00D4014D">
        <w:t>had provided around</w:t>
      </w:r>
      <w:r w:rsidR="00E97E19">
        <w:t xml:space="preserve"> </w:t>
      </w:r>
      <w:r w:rsidR="00E0069E">
        <w:t>EUR</w:t>
      </w:r>
      <w:r w:rsidR="00E97E19">
        <w:rPr>
          <w:rFonts w:ascii="Calibri" w:hAnsi="Calibri" w:cs="Calibri"/>
        </w:rPr>
        <w:t> </w:t>
      </w:r>
      <w:r w:rsidRPr="0081300D">
        <w:t>193.3</w:t>
      </w:r>
      <w:r w:rsidR="00EB0E5C">
        <w:rPr>
          <w:rFonts w:ascii="Calibri" w:hAnsi="Calibri" w:cs="Calibri"/>
        </w:rPr>
        <w:t> </w:t>
      </w:r>
      <w:r w:rsidR="00EB0E5C">
        <w:t>billion</w:t>
      </w:r>
      <w:r w:rsidR="00AD09F0">
        <w:t xml:space="preserve">, </w:t>
      </w:r>
      <w:r w:rsidR="00EC7D05">
        <w:t>o</w:t>
      </w:r>
      <w:r w:rsidR="00AD09F0">
        <w:t xml:space="preserve">f </w:t>
      </w:r>
      <w:r w:rsidR="00AD09F0" w:rsidRPr="00EC7D05">
        <w:t xml:space="preserve">which </w:t>
      </w:r>
      <w:r w:rsidR="00AD09F0" w:rsidRPr="00000B6F">
        <w:t>EUR</w:t>
      </w:r>
      <w:r w:rsidR="00AD09F0" w:rsidRPr="00000B6F">
        <w:rPr>
          <w:rFonts w:ascii="Calibri" w:hAnsi="Calibri" w:cs="Calibri"/>
        </w:rPr>
        <w:t> </w:t>
      </w:r>
      <w:r w:rsidR="00AD09F0" w:rsidRPr="00000B6F">
        <w:t>88.3</w:t>
      </w:r>
      <w:r w:rsidR="00AD09F0" w:rsidRPr="00000B6F">
        <w:rPr>
          <w:rFonts w:ascii="Calibri" w:hAnsi="Calibri" w:cs="Calibri"/>
        </w:rPr>
        <w:t> </w:t>
      </w:r>
      <w:r w:rsidR="00AD09F0" w:rsidRPr="00000B6F">
        <w:t>billion</w:t>
      </w:r>
      <w:r w:rsidR="00816733">
        <w:rPr>
          <w:rFonts w:ascii="Calibri" w:hAnsi="Calibri" w:cs="Calibri"/>
        </w:rPr>
        <w:t xml:space="preserve"> </w:t>
      </w:r>
      <w:r w:rsidR="00AD09F0" w:rsidRPr="00AD09F0">
        <w:t>enabled by the EU budget</w:t>
      </w:r>
      <w:r w:rsidRPr="0081300D" w:rsidDel="00AD09F0">
        <w:t>.</w:t>
      </w:r>
      <w:r w:rsidRPr="0081300D">
        <w:t xml:space="preserve"> In 2025 alone, the EU covered 84% of Ukraine’s external financing needs. The Commission continued to coordinate </w:t>
      </w:r>
      <w:r w:rsidR="006C687B">
        <w:t xml:space="preserve">the </w:t>
      </w:r>
      <w:r w:rsidR="00F14B29">
        <w:t>E</w:t>
      </w:r>
      <w:r w:rsidR="006C687B">
        <w:t>U</w:t>
      </w:r>
      <w:r w:rsidRPr="0081300D">
        <w:t xml:space="preserve"> assistance with other </w:t>
      </w:r>
      <w:r w:rsidR="004867DD">
        <w:t>partners</w:t>
      </w:r>
      <w:r w:rsidRPr="0081300D">
        <w:t xml:space="preserve"> through the Ukraine Donor Platform.</w:t>
      </w:r>
    </w:p>
    <w:p w14:paraId="5957BA7C" w14:textId="6732C6EE" w:rsidR="00EB7263" w:rsidRDefault="00EB7263" w:rsidP="00EB7263">
      <w:pPr>
        <w:pStyle w:val="Heading5"/>
        <w:rPr>
          <w:noProof/>
        </w:rPr>
      </w:pPr>
      <w:r w:rsidRPr="00EB7263">
        <w:rPr>
          <w:noProof/>
        </w:rPr>
        <w:t>Financial and economic support</w:t>
      </w:r>
    </w:p>
    <w:p w14:paraId="05B07EF5" w14:textId="38B784D8" w:rsidR="00B3632E" w:rsidRDefault="008415E3" w:rsidP="00B3632E">
      <w:pPr>
        <w:rPr>
          <w:rStyle w:val="Bold"/>
        </w:rPr>
      </w:pPr>
      <w:r>
        <w:rPr>
          <w:b/>
        </w:rPr>
        <w:t>In 2025</w:t>
      </w:r>
      <w:r w:rsidR="000042AA">
        <w:rPr>
          <w:b/>
        </w:rPr>
        <w:t>,</w:t>
      </w:r>
      <w:r w:rsidR="00C23816">
        <w:rPr>
          <w:b/>
        </w:rPr>
        <w:t xml:space="preserve"> the </w:t>
      </w:r>
      <w:r w:rsidR="00B3632E">
        <w:rPr>
          <w:b/>
          <w:bCs/>
        </w:rPr>
        <w:t>EU disbursed</w:t>
      </w:r>
      <w:r w:rsidR="00F957DE" w:rsidRPr="00F957DE">
        <w:rPr>
          <w:b/>
          <w:bCs/>
          <w:lang w:val="en-IE"/>
        </w:rPr>
        <w:t xml:space="preserve"> EUR</w:t>
      </w:r>
      <w:r w:rsidR="00F957DE" w:rsidRPr="00F957DE">
        <w:rPr>
          <w:rFonts w:ascii="Calibri" w:hAnsi="Calibri" w:cs="Calibri"/>
          <w:b/>
          <w:bCs/>
          <w:lang w:val="en-IE"/>
        </w:rPr>
        <w:t> </w:t>
      </w:r>
      <w:r w:rsidR="00F957DE" w:rsidRPr="00F957DE">
        <w:rPr>
          <w:b/>
          <w:bCs/>
          <w:lang w:val="en-IE"/>
        </w:rPr>
        <w:t>18.1</w:t>
      </w:r>
      <w:r w:rsidR="00F957DE" w:rsidRPr="00F957DE">
        <w:rPr>
          <w:rFonts w:ascii="Calibri" w:hAnsi="Calibri" w:cs="Calibri"/>
          <w:b/>
          <w:bCs/>
          <w:lang w:val="en-IE"/>
        </w:rPr>
        <w:t> </w:t>
      </w:r>
      <w:r w:rsidR="00F957DE" w:rsidRPr="00F957DE">
        <w:rPr>
          <w:b/>
          <w:bCs/>
          <w:lang w:val="en-IE"/>
        </w:rPr>
        <w:t>billion</w:t>
      </w:r>
      <w:r w:rsidR="00B3632E">
        <w:rPr>
          <w:b/>
          <w:bCs/>
        </w:rPr>
        <w:t xml:space="preserve"> to Ukraine via</w:t>
      </w:r>
      <w:r w:rsidR="00B3632E" w:rsidRPr="000A11C2">
        <w:rPr>
          <w:b/>
          <w:bCs/>
        </w:rPr>
        <w:t xml:space="preserve"> </w:t>
      </w:r>
      <w:r w:rsidR="00B3632E">
        <w:rPr>
          <w:b/>
          <w:bCs/>
        </w:rPr>
        <w:t>an exceptional</w:t>
      </w:r>
      <w:r w:rsidR="00B3632E" w:rsidRPr="000A11C2">
        <w:rPr>
          <w:b/>
          <w:bCs/>
        </w:rPr>
        <w:t xml:space="preserve"> Macro-Financial Assistance loan</w:t>
      </w:r>
      <w:r w:rsidR="00B3632E">
        <w:rPr>
          <w:b/>
          <w:bCs/>
        </w:rPr>
        <w:t>,</w:t>
      </w:r>
      <w:r w:rsidR="00B3632E" w:rsidRPr="000A11C2">
        <w:rPr>
          <w:b/>
          <w:bCs/>
        </w:rPr>
        <w:t xml:space="preserve"> as part of the G7 Exceptional Revenue Acceleration Loans initiative</w:t>
      </w:r>
      <w:r w:rsidR="00B3632E">
        <w:rPr>
          <w:b/>
          <w:bCs/>
        </w:rPr>
        <w:t xml:space="preserve"> agreed in 2024</w:t>
      </w:r>
      <w:r w:rsidR="00B3632E" w:rsidRPr="000A11C2">
        <w:rPr>
          <w:b/>
          <w:bCs/>
        </w:rPr>
        <w:t xml:space="preserve">. </w:t>
      </w:r>
      <w:r w:rsidR="00B3632E">
        <w:t xml:space="preserve">To enable </w:t>
      </w:r>
      <w:r w:rsidR="000F4418">
        <w:t>the G7 initiative</w:t>
      </w:r>
      <w:r w:rsidR="00B3632E">
        <w:t xml:space="preserve">, the EU set up </w:t>
      </w:r>
      <w:r w:rsidR="000F4418">
        <w:t>the</w:t>
      </w:r>
      <w:r w:rsidR="00B3632E">
        <w:t xml:space="preserve"> </w:t>
      </w:r>
      <w:r w:rsidR="00B3632E" w:rsidRPr="00550F89">
        <w:t>Ukraine Loan Cooperation Mechanism</w:t>
      </w:r>
      <w:r w:rsidR="00B3632E">
        <w:t xml:space="preserve"> to offer </w:t>
      </w:r>
      <w:r w:rsidR="00B3632E" w:rsidRPr="00BF79CD">
        <w:t xml:space="preserve">Ukraine </w:t>
      </w:r>
      <w:r w:rsidR="00B3632E">
        <w:t xml:space="preserve">non-repayable financial </w:t>
      </w:r>
      <w:r w:rsidR="00B3632E" w:rsidRPr="00BF79CD">
        <w:t>support</w:t>
      </w:r>
      <w:r w:rsidR="00B3632E">
        <w:t>,</w:t>
      </w:r>
      <w:r w:rsidR="00B3632E" w:rsidRPr="00BF79CD">
        <w:t xml:space="preserve"> financed by leveraging the financial contribution raised on extraordinary windfall profits stemming</w:t>
      </w:r>
      <w:r w:rsidR="008E5687">
        <w:rPr>
          <w:rFonts w:ascii="Calibri" w:hAnsi="Calibri" w:cs="Calibri"/>
        </w:rPr>
        <w:t xml:space="preserve"> </w:t>
      </w:r>
      <w:r w:rsidR="00B3632E" w:rsidRPr="00BF79CD">
        <w:t xml:space="preserve">from immobilised Russian Central Bank assets. </w:t>
      </w:r>
      <w:r w:rsidR="00B3632E" w:rsidRPr="002B4F68">
        <w:t>Ukraine can use this</w:t>
      </w:r>
      <w:r w:rsidR="008E5687">
        <w:t xml:space="preserve"> </w:t>
      </w:r>
      <w:r w:rsidR="00B3632E" w:rsidRPr="002B4F68">
        <w:t xml:space="preserve">support to repay </w:t>
      </w:r>
      <w:r w:rsidR="00B3632E">
        <w:t xml:space="preserve">the EU and other eligible G7 loans, including interest and other related costs. </w:t>
      </w:r>
    </w:p>
    <w:p w14:paraId="44F8A707" w14:textId="12A84AB2" w:rsidR="003D04BF" w:rsidRDefault="008415E3" w:rsidP="00C2271D">
      <w:pPr>
        <w:rPr>
          <w:lang w:val="en-IE"/>
        </w:rPr>
      </w:pPr>
      <w:r w:rsidRPr="001A568A">
        <w:rPr>
          <w:rStyle w:val="Bold"/>
        </w:rPr>
        <w:t xml:space="preserve">In </w:t>
      </w:r>
      <w:r w:rsidR="00A1241D">
        <w:rPr>
          <w:rStyle w:val="Bold"/>
        </w:rPr>
        <w:t>addition,</w:t>
      </w:r>
      <w:r w:rsidR="00C23816" w:rsidRPr="001A568A">
        <w:rPr>
          <w:rStyle w:val="Bold"/>
        </w:rPr>
        <w:t xml:space="preserve"> the Ukraine Facility </w:t>
      </w:r>
      <w:r w:rsidR="00C37887" w:rsidRPr="001A568A">
        <w:rPr>
          <w:rStyle w:val="Bold"/>
        </w:rPr>
        <w:t>continued to</w:t>
      </w:r>
      <w:r w:rsidR="00C23816" w:rsidRPr="001A568A">
        <w:rPr>
          <w:rStyle w:val="Bold"/>
        </w:rPr>
        <w:t xml:space="preserve"> support </w:t>
      </w:r>
      <w:r w:rsidR="00C37887" w:rsidRPr="001A568A">
        <w:rPr>
          <w:rStyle w:val="Bold"/>
        </w:rPr>
        <w:t>the</w:t>
      </w:r>
      <w:r w:rsidR="00C23816" w:rsidRPr="001A568A">
        <w:rPr>
          <w:rStyle w:val="Bold"/>
        </w:rPr>
        <w:t xml:space="preserve"> recovery, reconstruction and modernisation</w:t>
      </w:r>
      <w:r w:rsidR="00C37887" w:rsidRPr="001A568A">
        <w:rPr>
          <w:rStyle w:val="Bold"/>
        </w:rPr>
        <w:t xml:space="preserve"> of Ukraine</w:t>
      </w:r>
      <w:r w:rsidR="00C23816" w:rsidRPr="001A568A">
        <w:rPr>
          <w:rStyle w:val="Bold"/>
        </w:rPr>
        <w:t xml:space="preserve"> in line with its EU path.</w:t>
      </w:r>
      <w:r w:rsidR="00C2271D">
        <w:rPr>
          <w:lang w:val="en-IE"/>
        </w:rPr>
        <w:t xml:space="preserve"> </w:t>
      </w:r>
      <w:r w:rsidR="00532175">
        <w:rPr>
          <w:lang w:val="en-IE"/>
        </w:rPr>
        <w:t xml:space="preserve">Since </w:t>
      </w:r>
      <w:r w:rsidR="0001118D">
        <w:rPr>
          <w:lang w:val="en-IE"/>
        </w:rPr>
        <w:t>its roll-out, the</w:t>
      </w:r>
      <w:r w:rsidR="00D75B9D">
        <w:rPr>
          <w:lang w:val="en-IE"/>
        </w:rPr>
        <w:t xml:space="preserve"> Ukraine</w:t>
      </w:r>
      <w:r w:rsidR="0001118D">
        <w:rPr>
          <w:lang w:val="en-IE"/>
        </w:rPr>
        <w:t xml:space="preserve"> </w:t>
      </w:r>
      <w:r w:rsidR="00CB344E">
        <w:rPr>
          <w:lang w:val="en-IE"/>
        </w:rPr>
        <w:t>F</w:t>
      </w:r>
      <w:r w:rsidR="0001118D">
        <w:rPr>
          <w:lang w:val="en-IE"/>
        </w:rPr>
        <w:t>acility</w:t>
      </w:r>
      <w:r w:rsidR="00D75B9D">
        <w:rPr>
          <w:lang w:val="en-IE"/>
        </w:rPr>
        <w:t xml:space="preserve"> has</w:t>
      </w:r>
      <w:r w:rsidR="0001118D">
        <w:rPr>
          <w:lang w:val="en-IE"/>
        </w:rPr>
        <w:t xml:space="preserve"> </w:t>
      </w:r>
      <w:r w:rsidR="0074153D">
        <w:rPr>
          <w:lang w:val="en-IE"/>
        </w:rPr>
        <w:t>disbursed</w:t>
      </w:r>
      <w:r w:rsidR="007879AE">
        <w:rPr>
          <w:lang w:val="en-IE"/>
        </w:rPr>
        <w:t xml:space="preserve"> </w:t>
      </w:r>
      <w:r w:rsidR="0074153D">
        <w:rPr>
          <w:lang w:val="en-IE"/>
        </w:rPr>
        <w:t>EUR</w:t>
      </w:r>
      <w:r w:rsidR="0074153D">
        <w:rPr>
          <w:rFonts w:ascii="Calibri" w:hAnsi="Calibri" w:cs="Calibri"/>
          <w:lang w:val="en-IE"/>
        </w:rPr>
        <w:t> </w:t>
      </w:r>
      <w:r w:rsidR="0074153D">
        <w:rPr>
          <w:lang w:val="en-IE"/>
        </w:rPr>
        <w:t>26.8</w:t>
      </w:r>
      <w:r w:rsidR="00EB0E5C">
        <w:rPr>
          <w:rFonts w:ascii="Calibri" w:hAnsi="Calibri" w:cs="Calibri"/>
          <w:lang w:val="en-IE"/>
        </w:rPr>
        <w:t> </w:t>
      </w:r>
      <w:r w:rsidR="0074153D" w:rsidDel="00EB0E5C">
        <w:rPr>
          <w:lang w:val="en-IE"/>
        </w:rPr>
        <w:t>billion</w:t>
      </w:r>
      <w:r w:rsidR="00AF21A6">
        <w:rPr>
          <w:lang w:val="en-IE"/>
        </w:rPr>
        <w:t xml:space="preserve"> as exceptional financing and under the Ukraine </w:t>
      </w:r>
      <w:r w:rsidR="00543E52">
        <w:rPr>
          <w:lang w:val="en-IE"/>
        </w:rPr>
        <w:t>pl</w:t>
      </w:r>
      <w:r w:rsidR="00AF21A6">
        <w:rPr>
          <w:lang w:val="en-IE"/>
        </w:rPr>
        <w:t>an</w:t>
      </w:r>
      <w:r w:rsidR="0074153D">
        <w:rPr>
          <w:lang w:val="en-IE"/>
        </w:rPr>
        <w:t>.</w:t>
      </w:r>
      <w:r w:rsidR="0074153D">
        <w:rPr>
          <w:rFonts w:ascii="Calibri" w:hAnsi="Calibri" w:cs="Calibri"/>
          <w:lang w:val="en-IE"/>
        </w:rPr>
        <w:t xml:space="preserve"> </w:t>
      </w:r>
      <w:r w:rsidR="0042281A">
        <w:rPr>
          <w:lang w:val="en-IE"/>
        </w:rPr>
        <w:t>T</w:t>
      </w:r>
      <w:r w:rsidR="003D04BF" w:rsidRPr="003D04BF">
        <w:rPr>
          <w:lang w:val="en-IE"/>
        </w:rPr>
        <w:t xml:space="preserve">he </w:t>
      </w:r>
      <w:r w:rsidR="00F14B29">
        <w:rPr>
          <w:lang w:val="en-IE"/>
        </w:rPr>
        <w:t>f</w:t>
      </w:r>
      <w:r w:rsidR="003D04BF" w:rsidRPr="003D04BF">
        <w:rPr>
          <w:lang w:val="en-IE"/>
        </w:rPr>
        <w:t>acility subsidi</w:t>
      </w:r>
      <w:r w:rsidR="003D04BF">
        <w:rPr>
          <w:lang w:val="en-IE"/>
        </w:rPr>
        <w:t>s</w:t>
      </w:r>
      <w:r w:rsidR="003D04BF" w:rsidRPr="003D04BF">
        <w:rPr>
          <w:lang w:val="en-IE"/>
        </w:rPr>
        <w:t xml:space="preserve">ed the borrowing costs </w:t>
      </w:r>
      <w:r w:rsidR="00D66324">
        <w:rPr>
          <w:lang w:val="en-IE"/>
        </w:rPr>
        <w:t xml:space="preserve">on the loans </w:t>
      </w:r>
      <w:r w:rsidR="000A7224">
        <w:rPr>
          <w:lang w:val="en-IE"/>
        </w:rPr>
        <w:t xml:space="preserve">to </w:t>
      </w:r>
      <w:r w:rsidR="003D04BF" w:rsidRPr="003D04BF">
        <w:rPr>
          <w:lang w:val="en-IE"/>
        </w:rPr>
        <w:t xml:space="preserve">Ukraine </w:t>
      </w:r>
      <w:r w:rsidR="000A7224">
        <w:rPr>
          <w:lang w:val="en-IE"/>
        </w:rPr>
        <w:t xml:space="preserve">provided under the </w:t>
      </w:r>
      <w:r w:rsidR="00F14B29">
        <w:rPr>
          <w:lang w:val="en-IE"/>
        </w:rPr>
        <w:t>f</w:t>
      </w:r>
      <w:r w:rsidR="000A7224">
        <w:rPr>
          <w:lang w:val="en-IE"/>
        </w:rPr>
        <w:t>acility</w:t>
      </w:r>
      <w:r w:rsidR="003D04BF" w:rsidRPr="003D04BF">
        <w:rPr>
          <w:lang w:val="en-IE"/>
        </w:rPr>
        <w:t xml:space="preserve"> for the </w:t>
      </w:r>
      <w:r w:rsidR="000A7224">
        <w:rPr>
          <w:lang w:val="en-IE"/>
        </w:rPr>
        <w:t>first time</w:t>
      </w:r>
      <w:r w:rsidR="00373558">
        <w:rPr>
          <w:lang w:val="en-IE"/>
        </w:rPr>
        <w:t xml:space="preserve"> in 2025</w:t>
      </w:r>
      <w:r w:rsidR="00F14B29">
        <w:rPr>
          <w:lang w:val="en-IE"/>
        </w:rPr>
        <w:t>,</w:t>
      </w:r>
      <w:r w:rsidR="000A7224">
        <w:rPr>
          <w:lang w:val="en-IE"/>
        </w:rPr>
        <w:t xml:space="preserve"> </w:t>
      </w:r>
      <w:r w:rsidR="00DB3969">
        <w:rPr>
          <w:lang w:val="en-IE"/>
        </w:rPr>
        <w:t>relieving</w:t>
      </w:r>
      <w:r w:rsidR="003D04BF" w:rsidRPr="003D04BF">
        <w:rPr>
          <w:lang w:val="en-IE"/>
        </w:rPr>
        <w:t xml:space="preserve"> Ukraine's </w:t>
      </w:r>
      <w:r w:rsidR="00DB3969">
        <w:rPr>
          <w:lang w:val="en-IE"/>
        </w:rPr>
        <w:t>national finances by</w:t>
      </w:r>
      <w:r w:rsidR="003D04BF" w:rsidRPr="003D04BF" w:rsidDel="00DB3969">
        <w:rPr>
          <w:lang w:val="en-IE"/>
        </w:rPr>
        <w:t xml:space="preserve"> </w:t>
      </w:r>
      <w:r w:rsidR="003D04BF" w:rsidRPr="003D04BF" w:rsidDel="00EB0E5C">
        <w:rPr>
          <w:lang w:val="en-IE"/>
        </w:rPr>
        <w:t>EUR</w:t>
      </w:r>
      <w:r w:rsidR="00EB0E5C">
        <w:rPr>
          <w:rFonts w:ascii="Calibri" w:hAnsi="Calibri" w:cs="Calibri"/>
          <w:lang w:val="en-IE"/>
        </w:rPr>
        <w:t> </w:t>
      </w:r>
      <w:r w:rsidR="003D04BF" w:rsidRPr="003D04BF">
        <w:rPr>
          <w:lang w:val="en-IE"/>
        </w:rPr>
        <w:t>321</w:t>
      </w:r>
      <w:r w:rsidR="00EB0E5C">
        <w:rPr>
          <w:rFonts w:ascii="Calibri" w:hAnsi="Calibri" w:cs="Calibri"/>
          <w:lang w:val="en-IE"/>
        </w:rPr>
        <w:t> </w:t>
      </w:r>
      <w:r w:rsidR="00EB0E5C">
        <w:rPr>
          <w:lang w:val="en-IE"/>
        </w:rPr>
        <w:t>million</w:t>
      </w:r>
      <w:r w:rsidR="003D04BF" w:rsidRPr="003D04BF">
        <w:rPr>
          <w:lang w:val="en-IE"/>
        </w:rPr>
        <w:t>.</w:t>
      </w:r>
    </w:p>
    <w:p w14:paraId="57FCF33F" w14:textId="54F6C61B" w:rsidR="00C2271D" w:rsidRDefault="00C2271D" w:rsidP="00C2271D">
      <w:pPr>
        <w:rPr>
          <w:lang w:val="en-IE"/>
        </w:rPr>
      </w:pPr>
      <w:r w:rsidRPr="001A568A">
        <w:rPr>
          <w:rStyle w:val="Bold"/>
        </w:rPr>
        <w:t xml:space="preserve">The Ukraine Investment Framework, the investment arm of the Ukraine Facility, has </w:t>
      </w:r>
      <w:r w:rsidR="00E06908" w:rsidRPr="001A568A">
        <w:rPr>
          <w:rStyle w:val="Bold"/>
        </w:rPr>
        <w:t>received</w:t>
      </w:r>
      <w:r w:rsidRPr="001A568A">
        <w:rPr>
          <w:rStyle w:val="Bold"/>
        </w:rPr>
        <w:t xml:space="preserve"> a total of </w:t>
      </w:r>
      <w:r w:rsidR="009C4544" w:rsidRPr="001A568A">
        <w:rPr>
          <w:rStyle w:val="Bold"/>
        </w:rPr>
        <w:t>EUR</w:t>
      </w:r>
      <w:r w:rsidR="009C4544" w:rsidRPr="001A568A">
        <w:rPr>
          <w:rStyle w:val="Bold"/>
          <w:rFonts w:ascii="Calibri" w:hAnsi="Calibri" w:cs="Calibri"/>
        </w:rPr>
        <w:t> </w:t>
      </w:r>
      <w:r w:rsidRPr="001A568A">
        <w:rPr>
          <w:rStyle w:val="Bold"/>
        </w:rPr>
        <w:t>9.5</w:t>
      </w:r>
      <w:r w:rsidR="00EB0E5C">
        <w:rPr>
          <w:rStyle w:val="Bold"/>
          <w:rFonts w:ascii="Calibri" w:hAnsi="Calibri" w:cs="Calibri"/>
        </w:rPr>
        <w:t> </w:t>
      </w:r>
      <w:r w:rsidR="00EB0E5C">
        <w:rPr>
          <w:rStyle w:val="Bold"/>
        </w:rPr>
        <w:t>billion</w:t>
      </w:r>
      <w:r w:rsidRPr="001A568A">
        <w:rPr>
          <w:rStyle w:val="Bold"/>
        </w:rPr>
        <w:t xml:space="preserve"> in EU support</w:t>
      </w:r>
      <w:r w:rsidRPr="00C2271D">
        <w:rPr>
          <w:lang w:val="en-IE"/>
        </w:rPr>
        <w:t xml:space="preserve"> </w:t>
      </w:r>
      <w:r w:rsidR="00AD6D8A" w:rsidRPr="3387E1E9">
        <w:rPr>
          <w:lang w:val="en-IE"/>
        </w:rPr>
        <w:t xml:space="preserve">in the form of EU budgetary guarantee and blending operations </w:t>
      </w:r>
      <w:r w:rsidRPr="00C2271D">
        <w:rPr>
          <w:lang w:val="en-IE"/>
        </w:rPr>
        <w:t xml:space="preserve">and is </w:t>
      </w:r>
      <w:r w:rsidR="00AB5405">
        <w:rPr>
          <w:lang w:val="en-IE"/>
        </w:rPr>
        <w:t>expected</w:t>
      </w:r>
      <w:r w:rsidRPr="00C2271D">
        <w:rPr>
          <w:lang w:val="en-IE"/>
        </w:rPr>
        <w:t xml:space="preserve"> to mobilise up to </w:t>
      </w:r>
      <w:r w:rsidR="009C4544">
        <w:rPr>
          <w:lang w:val="en-IE"/>
        </w:rPr>
        <w:t>EUR</w:t>
      </w:r>
      <w:r w:rsidR="009C4544">
        <w:rPr>
          <w:rFonts w:ascii="Calibri" w:hAnsi="Calibri" w:cs="Calibri"/>
          <w:lang w:val="en-IE"/>
        </w:rPr>
        <w:t> </w:t>
      </w:r>
      <w:r w:rsidR="00D333D3">
        <w:rPr>
          <w:lang w:val="en-IE"/>
        </w:rPr>
        <w:t>21.8</w:t>
      </w:r>
      <w:r w:rsidR="00EB0E5C">
        <w:rPr>
          <w:rFonts w:ascii="Calibri" w:hAnsi="Calibri" w:cs="Calibri"/>
          <w:lang w:val="en-IE"/>
        </w:rPr>
        <w:t> </w:t>
      </w:r>
      <w:r w:rsidR="00EB0E5C">
        <w:rPr>
          <w:lang w:val="en-IE"/>
        </w:rPr>
        <w:t>billion</w:t>
      </w:r>
      <w:r w:rsidRPr="00C2271D">
        <w:rPr>
          <w:lang w:val="en-IE"/>
        </w:rPr>
        <w:t xml:space="preserve"> in public and private investment. So far, </w:t>
      </w:r>
      <w:r w:rsidR="009C4544">
        <w:rPr>
          <w:lang w:val="en-IE"/>
        </w:rPr>
        <w:t>EUR</w:t>
      </w:r>
      <w:r w:rsidR="009C4544">
        <w:rPr>
          <w:rFonts w:ascii="Calibri" w:hAnsi="Calibri" w:cs="Calibri"/>
          <w:lang w:val="en-IE"/>
        </w:rPr>
        <w:t> </w:t>
      </w:r>
      <w:r w:rsidRPr="00C2271D">
        <w:rPr>
          <w:lang w:val="en-IE"/>
        </w:rPr>
        <w:t>6.9</w:t>
      </w:r>
      <w:r w:rsidR="00EB0E5C">
        <w:rPr>
          <w:rFonts w:ascii="Calibri" w:hAnsi="Calibri" w:cs="Calibri"/>
          <w:lang w:val="en-IE"/>
        </w:rPr>
        <w:t> </w:t>
      </w:r>
      <w:r w:rsidR="00EB0E5C">
        <w:rPr>
          <w:lang w:val="en-IE"/>
        </w:rPr>
        <w:t>billion</w:t>
      </w:r>
      <w:r w:rsidRPr="00C2271D">
        <w:rPr>
          <w:lang w:val="en-IE"/>
        </w:rPr>
        <w:t xml:space="preserve"> has been allocated to fund investment programmes that directly benefit the people of Ukraine</w:t>
      </w:r>
      <w:r w:rsidR="00B63619">
        <w:rPr>
          <w:rFonts w:ascii="Calibri" w:hAnsi="Calibri" w:cs="Calibri"/>
          <w:lang w:val="en-IE"/>
        </w:rPr>
        <w:t> </w:t>
      </w:r>
      <w:r w:rsidRPr="00C2271D" w:rsidDel="00B63619">
        <w:rPr>
          <w:lang w:val="en-IE"/>
        </w:rPr>
        <w:t>–</w:t>
      </w:r>
      <w:r w:rsidRPr="00C2271D">
        <w:rPr>
          <w:lang w:val="en-IE"/>
        </w:rPr>
        <w:t xml:space="preserve"> creating new jobs, delivering electricity, heat and clean water, supporting affordable housing, building bomb shelters, rehabilitating war-damaged infrastructure and more</w:t>
      </w:r>
      <w:r>
        <w:rPr>
          <w:lang w:val="en-IE"/>
        </w:rPr>
        <w:t>.</w:t>
      </w:r>
    </w:p>
    <w:p w14:paraId="1C476265" w14:textId="23091F6D" w:rsidR="006D656F" w:rsidRDefault="007A548F" w:rsidP="00643D45">
      <w:pPr>
        <w:rPr>
          <w:lang w:val="en-IE"/>
        </w:rPr>
      </w:pPr>
      <w:r w:rsidRPr="001A568A">
        <w:rPr>
          <w:rStyle w:val="Bold"/>
        </w:rPr>
        <w:t xml:space="preserve">To restore critical energy capacity and directly reinforces Ukraine's national grid, the </w:t>
      </w:r>
      <w:r w:rsidR="00C27DBD" w:rsidRPr="001A568A">
        <w:rPr>
          <w:rStyle w:val="Bold"/>
        </w:rPr>
        <w:t>EU</w:t>
      </w:r>
      <w:r w:rsidRPr="001A568A">
        <w:rPr>
          <w:rStyle w:val="Bold"/>
        </w:rPr>
        <w:t xml:space="preserve"> </w:t>
      </w:r>
      <w:r w:rsidR="008C377E" w:rsidRPr="001A568A">
        <w:rPr>
          <w:rStyle w:val="Bold"/>
        </w:rPr>
        <w:t>supported the relocation of</w:t>
      </w:r>
      <w:r w:rsidRPr="001A568A">
        <w:rPr>
          <w:rStyle w:val="Bold"/>
        </w:rPr>
        <w:t xml:space="preserve"> a full thermal power plant</w:t>
      </w:r>
      <w:r w:rsidRPr="007A548F">
        <w:rPr>
          <w:lang w:val="en-IE"/>
        </w:rPr>
        <w:t xml:space="preserve"> from Lithuania to Ukraine in December 2025. The plant is capable of supplying power to approximately one million Ukrainians</w:t>
      </w:r>
      <w:r w:rsidR="00B63619">
        <w:rPr>
          <w:rFonts w:ascii="Calibri" w:hAnsi="Calibri" w:cs="Calibri"/>
          <w:lang w:val="en-IE"/>
        </w:rPr>
        <w:t> </w:t>
      </w:r>
      <w:r w:rsidR="00C433C7" w:rsidRPr="00643D45">
        <w:rPr>
          <w:lang w:val="en-IE"/>
        </w:rPr>
        <w:t xml:space="preserve">– the largest single operation to date under the </w:t>
      </w:r>
      <w:r w:rsidR="009163CE">
        <w:rPr>
          <w:lang w:val="en-IE"/>
        </w:rPr>
        <w:t>Union</w:t>
      </w:r>
      <w:r w:rsidR="00C433C7" w:rsidRPr="00643D45">
        <w:rPr>
          <w:lang w:val="en-IE"/>
        </w:rPr>
        <w:t xml:space="preserve"> Civil Protection Mechanism</w:t>
      </w:r>
      <w:r w:rsidR="008C1494" w:rsidRPr="00240864">
        <w:rPr>
          <w:rFonts w:cs="Calibri"/>
          <w:lang w:val="en-IE"/>
        </w:rPr>
        <w:t> </w:t>
      </w:r>
      <w:r w:rsidR="008C1494" w:rsidRPr="008C1494">
        <w:rPr>
          <w:lang w:val="en-IE"/>
        </w:rPr>
        <w:t>(</w:t>
      </w:r>
      <w:r w:rsidR="008C1494">
        <w:rPr>
          <w:rStyle w:val="FootnoteReference"/>
          <w:lang w:val="en-IE"/>
        </w:rPr>
        <w:footnoteReference w:id="52"/>
      </w:r>
      <w:r w:rsidR="008C1494">
        <w:rPr>
          <w:lang w:val="en-IE"/>
        </w:rPr>
        <w:t>)</w:t>
      </w:r>
      <w:r w:rsidR="00B63619">
        <w:rPr>
          <w:lang w:val="en-IE"/>
        </w:rPr>
        <w:t>.</w:t>
      </w:r>
    </w:p>
    <w:p w14:paraId="4BEC9015" w14:textId="46D07466" w:rsidR="00226F8B" w:rsidRPr="002953B9" w:rsidRDefault="00226F8B" w:rsidP="00226F8B">
      <w:pPr>
        <w:rPr>
          <w:lang w:val="en-IE"/>
        </w:rPr>
      </w:pPr>
      <w:r w:rsidRPr="00795512">
        <w:rPr>
          <w:rStyle w:val="Bold"/>
        </w:rPr>
        <w:t>The Solidarity Lanes, set out in May 2022, continue to ensure that Ukraine can import the goods it needs and export agricultural and other products</w:t>
      </w:r>
      <w:r w:rsidRPr="00E0372D">
        <w:rPr>
          <w:rStyle w:val="Bold"/>
        </w:rPr>
        <w:t>.</w:t>
      </w:r>
      <w:r w:rsidRPr="00226F8B">
        <w:rPr>
          <w:lang w:val="en-IE"/>
        </w:rPr>
        <w:t xml:space="preserve"> While the Solidarity Lanes were essential for Ukraine’s agricultural exports until mid</w:t>
      </w:r>
      <w:r w:rsidR="00E519F2" w:rsidRPr="00226F8B">
        <w:rPr>
          <w:lang w:val="en-IE"/>
        </w:rPr>
        <w:t>-</w:t>
      </w:r>
      <w:r w:rsidRPr="00226F8B">
        <w:rPr>
          <w:lang w:val="en-IE"/>
        </w:rPr>
        <w:t>2023, Ukraine has since successfully fought against Russia to secure its Black Sea corridor. The EU supports Ukraine’s Black</w:t>
      </w:r>
      <w:r w:rsidR="002068B5">
        <w:rPr>
          <w:lang w:val="en-IE"/>
        </w:rPr>
        <w:t>-</w:t>
      </w:r>
      <w:r w:rsidRPr="00226F8B">
        <w:rPr>
          <w:lang w:val="en-IE"/>
        </w:rPr>
        <w:t>Sea-linked trade by backing this corridor, which enables Ukrainian vessels to continue exporting. In parallel, the EU has invested in infrastructure and coordination to ensure this maritime route remains viable and secure.</w:t>
      </w:r>
    </w:p>
    <w:p w14:paraId="6B2EFF40" w14:textId="24FED348" w:rsidR="00D8512C" w:rsidRPr="002953B9" w:rsidRDefault="00D8512C" w:rsidP="00D8512C">
      <w:pPr>
        <w:rPr>
          <w:lang w:val="en-IE"/>
        </w:rPr>
      </w:pPr>
      <w:r w:rsidRPr="001A568A">
        <w:rPr>
          <w:rStyle w:val="Bold"/>
        </w:rPr>
        <w:t>The EU continued to use export credit guarantee instruments during the year to support trade.</w:t>
      </w:r>
      <w:r w:rsidRPr="00D8512C">
        <w:rPr>
          <w:lang w:val="en-IE"/>
        </w:rPr>
        <w:t xml:space="preserve"> For example, in June, the first deal under the EU’s Ukraine Export Credit Guarantee Facility was struck, providing </w:t>
      </w:r>
      <w:r w:rsidR="00231111" w:rsidDel="00EB0E5C">
        <w:rPr>
          <w:lang w:val="en-IE"/>
        </w:rPr>
        <w:t>EUR</w:t>
      </w:r>
      <w:r w:rsidR="00EB0E5C">
        <w:rPr>
          <w:rFonts w:ascii="Calibri" w:hAnsi="Calibri" w:cs="Calibri"/>
          <w:lang w:val="en-IE"/>
        </w:rPr>
        <w:t> </w:t>
      </w:r>
      <w:r w:rsidRPr="00D8512C">
        <w:rPr>
          <w:lang w:val="en-IE"/>
        </w:rPr>
        <w:t>20</w:t>
      </w:r>
      <w:r w:rsidR="00EB0E5C">
        <w:rPr>
          <w:rFonts w:ascii="Calibri" w:hAnsi="Calibri" w:cs="Calibri"/>
          <w:lang w:val="en-IE"/>
        </w:rPr>
        <w:t> </w:t>
      </w:r>
      <w:r w:rsidR="00EB0E5C">
        <w:rPr>
          <w:lang w:val="en-IE"/>
        </w:rPr>
        <w:t>million</w:t>
      </w:r>
      <w:r w:rsidRPr="00D8512C">
        <w:rPr>
          <w:lang w:val="en-IE"/>
        </w:rPr>
        <w:t xml:space="preserve"> in guarantees for EU exports to Ukraine via Denmark’s Export–Import Office</w:t>
      </w:r>
      <w:r w:rsidR="00C11000" w:rsidRPr="00C11000">
        <w:rPr>
          <w:rFonts w:cs="Calibri"/>
          <w:lang w:val="en-IE"/>
        </w:rPr>
        <w:t> </w:t>
      </w:r>
      <w:r w:rsidR="00C11000" w:rsidRPr="00C11000">
        <w:rPr>
          <w:lang w:val="en-IE"/>
        </w:rPr>
        <w:t>(</w:t>
      </w:r>
      <w:r w:rsidR="00C11000">
        <w:rPr>
          <w:rStyle w:val="FootnoteReference"/>
          <w:lang w:val="en-IE"/>
        </w:rPr>
        <w:footnoteReference w:id="53"/>
      </w:r>
      <w:r w:rsidR="00C11000">
        <w:rPr>
          <w:lang w:val="en-IE"/>
        </w:rPr>
        <w:t>)</w:t>
      </w:r>
      <w:r w:rsidR="00B63619">
        <w:rPr>
          <w:lang w:val="en-IE"/>
        </w:rPr>
        <w:t>.</w:t>
      </w:r>
    </w:p>
    <w:p w14:paraId="2C718DBE" w14:textId="56702A3D" w:rsidR="00D62A59" w:rsidRPr="002953B9" w:rsidRDefault="00474DFE" w:rsidP="00D8512C">
      <w:pPr>
        <w:rPr>
          <w:lang w:val="en-IE"/>
        </w:rPr>
      </w:pPr>
      <w:r w:rsidRPr="001A568A">
        <w:rPr>
          <w:rStyle w:val="Bold"/>
        </w:rPr>
        <w:t>To improve transport connections between the EU, Ukraine and Moldova,</w:t>
      </w:r>
      <w:r w:rsidR="008E06FC" w:rsidRPr="001A568A">
        <w:rPr>
          <w:rStyle w:val="Bold"/>
        </w:rPr>
        <w:t xml:space="preserve"> by 2025</w:t>
      </w:r>
      <w:r w:rsidRPr="001A568A">
        <w:rPr>
          <w:rStyle w:val="Bold"/>
        </w:rPr>
        <w:t xml:space="preserve"> the EU has mobilised more than </w:t>
      </w:r>
      <w:r w:rsidR="00231111" w:rsidRPr="001A568A" w:rsidDel="00EB0E5C">
        <w:rPr>
          <w:rStyle w:val="Bold"/>
        </w:rPr>
        <w:t>EUR</w:t>
      </w:r>
      <w:r w:rsidR="00EB0E5C">
        <w:rPr>
          <w:rStyle w:val="Bold"/>
          <w:rFonts w:ascii="Calibri" w:hAnsi="Calibri" w:cs="Calibri"/>
        </w:rPr>
        <w:t> </w:t>
      </w:r>
      <w:r w:rsidRPr="001A568A">
        <w:rPr>
          <w:rStyle w:val="Bold"/>
        </w:rPr>
        <w:t>2.3</w:t>
      </w:r>
      <w:r w:rsidR="00EB0E5C">
        <w:rPr>
          <w:rStyle w:val="Bold"/>
          <w:rFonts w:ascii="Calibri" w:hAnsi="Calibri" w:cs="Calibri"/>
        </w:rPr>
        <w:t> </w:t>
      </w:r>
      <w:r w:rsidR="00EB0E5C">
        <w:rPr>
          <w:rStyle w:val="Bold"/>
        </w:rPr>
        <w:t>billion</w:t>
      </w:r>
      <w:r w:rsidRPr="00E0372D">
        <w:rPr>
          <w:rStyle w:val="Bold"/>
          <w:b w:val="0"/>
        </w:rPr>
        <w:t>,</w:t>
      </w:r>
      <w:r w:rsidRPr="00474DFE">
        <w:rPr>
          <w:lang w:val="en-IE"/>
        </w:rPr>
        <w:t xml:space="preserve"> including </w:t>
      </w:r>
      <w:r w:rsidR="00231111" w:rsidDel="00EB0E5C">
        <w:rPr>
          <w:lang w:val="en-IE"/>
        </w:rPr>
        <w:t>EUR</w:t>
      </w:r>
      <w:r w:rsidR="00EB0E5C">
        <w:rPr>
          <w:rFonts w:ascii="Calibri" w:hAnsi="Calibri" w:cs="Calibri"/>
          <w:lang w:val="en-IE"/>
        </w:rPr>
        <w:t> </w:t>
      </w:r>
      <w:r w:rsidR="00A253EB">
        <w:rPr>
          <w:lang w:val="en-IE"/>
        </w:rPr>
        <w:t>0</w:t>
      </w:r>
      <w:r w:rsidRPr="00474DFE">
        <w:rPr>
          <w:lang w:val="en-IE"/>
        </w:rPr>
        <w:t>.</w:t>
      </w:r>
      <w:r w:rsidR="00A253EB">
        <w:rPr>
          <w:lang w:val="en-IE"/>
        </w:rPr>
        <w:t>6</w:t>
      </w:r>
      <w:r w:rsidR="00EB0E5C">
        <w:rPr>
          <w:rFonts w:ascii="Calibri" w:hAnsi="Calibri" w:cs="Calibri"/>
          <w:lang w:val="en-IE"/>
        </w:rPr>
        <w:t> </w:t>
      </w:r>
      <w:r w:rsidR="00EB0E5C">
        <w:rPr>
          <w:lang w:val="en-IE"/>
        </w:rPr>
        <w:t>billion</w:t>
      </w:r>
      <w:r w:rsidRPr="00474DFE">
        <w:rPr>
          <w:lang w:val="en-IE"/>
        </w:rPr>
        <w:t xml:space="preserve"> in </w:t>
      </w:r>
      <w:r w:rsidR="00015F9C">
        <w:rPr>
          <w:lang w:val="en-IE"/>
        </w:rPr>
        <w:t>funding</w:t>
      </w:r>
      <w:r w:rsidRPr="00474DFE">
        <w:rPr>
          <w:lang w:val="en-IE"/>
        </w:rPr>
        <w:t xml:space="preserve"> from the Connecting Europe Facility</w:t>
      </w:r>
      <w:r w:rsidR="009C2640" w:rsidRPr="009C2640">
        <w:rPr>
          <w:lang w:val="en-IE"/>
        </w:rPr>
        <w:t xml:space="preserve">. For example, </w:t>
      </w:r>
      <w:r w:rsidR="00173DC0">
        <w:rPr>
          <w:lang w:val="en-IE"/>
        </w:rPr>
        <w:t>i</w:t>
      </w:r>
      <w:r w:rsidR="00E46606" w:rsidRPr="00E46606">
        <w:rPr>
          <w:lang w:val="en-IE"/>
        </w:rPr>
        <w:t xml:space="preserve">n July, the </w:t>
      </w:r>
      <w:r w:rsidR="00F07373">
        <w:rPr>
          <w:lang w:val="en-IE"/>
        </w:rPr>
        <w:t xml:space="preserve">Connecting </w:t>
      </w:r>
      <w:r w:rsidR="00015F9C">
        <w:rPr>
          <w:lang w:val="en-IE"/>
        </w:rPr>
        <w:t>Europe</w:t>
      </w:r>
      <w:r w:rsidR="00F07373">
        <w:rPr>
          <w:lang w:val="en-IE"/>
        </w:rPr>
        <w:t xml:space="preserve"> </w:t>
      </w:r>
      <w:r w:rsidR="008A7A2D">
        <w:rPr>
          <w:lang w:val="en-IE"/>
        </w:rPr>
        <w:t>Facility</w:t>
      </w:r>
      <w:r w:rsidR="00E46606" w:rsidRPr="00E46606">
        <w:rPr>
          <w:lang w:val="en-IE"/>
        </w:rPr>
        <w:t xml:space="preserve"> </w:t>
      </w:r>
      <w:r w:rsidR="001B62E3">
        <w:rPr>
          <w:lang w:val="en-IE"/>
        </w:rPr>
        <w:t xml:space="preserve">signed </w:t>
      </w:r>
      <w:r w:rsidR="00E46606" w:rsidRPr="00E46606">
        <w:rPr>
          <w:lang w:val="en-IE"/>
        </w:rPr>
        <w:t xml:space="preserve">a </w:t>
      </w:r>
      <w:hyperlink r:id="rId63" w:history="1">
        <w:r w:rsidR="00E46606" w:rsidRPr="003C56F0">
          <w:rPr>
            <w:rStyle w:val="Hyperlink"/>
            <w:lang w:val="en-IE"/>
          </w:rPr>
          <w:t>new project</w:t>
        </w:r>
      </w:hyperlink>
      <w:r w:rsidR="00E46606" w:rsidRPr="00E46606">
        <w:rPr>
          <w:lang w:val="en-IE"/>
        </w:rPr>
        <w:t xml:space="preserve"> to construct an EU-standard-gauge railway link from Poland to Sknyliv (near Lviv) in Ukraine</w:t>
      </w:r>
      <w:r w:rsidR="0028243A">
        <w:rPr>
          <w:lang w:val="en-IE"/>
        </w:rPr>
        <w:t xml:space="preserve"> for a</w:t>
      </w:r>
      <w:r w:rsidR="004E606E">
        <w:rPr>
          <w:lang w:val="en-IE"/>
        </w:rPr>
        <w:t>n</w:t>
      </w:r>
      <w:r w:rsidR="0028243A">
        <w:rPr>
          <w:lang w:val="en-IE"/>
        </w:rPr>
        <w:t xml:space="preserve"> EU contribution of </w:t>
      </w:r>
      <w:r w:rsidR="0028243A" w:rsidRPr="0028243A" w:rsidDel="00EB0E5C">
        <w:rPr>
          <w:lang w:val="en-IE"/>
        </w:rPr>
        <w:t>EUR</w:t>
      </w:r>
      <w:r w:rsidR="00EB0E5C">
        <w:rPr>
          <w:rFonts w:ascii="Calibri" w:hAnsi="Calibri" w:cs="Calibri"/>
          <w:lang w:val="en-IE"/>
        </w:rPr>
        <w:t> </w:t>
      </w:r>
      <w:r w:rsidR="0028243A" w:rsidRPr="0028243A">
        <w:rPr>
          <w:lang w:val="en-IE"/>
        </w:rPr>
        <w:t>73.5</w:t>
      </w:r>
      <w:r w:rsidR="00EB0E5C">
        <w:rPr>
          <w:rFonts w:ascii="Calibri" w:hAnsi="Calibri" w:cs="Calibri"/>
          <w:lang w:val="en-IE"/>
        </w:rPr>
        <w:t> </w:t>
      </w:r>
      <w:r w:rsidR="0028243A" w:rsidRPr="0028243A" w:rsidDel="00EB0E5C">
        <w:rPr>
          <w:lang w:val="en-IE"/>
        </w:rPr>
        <w:t>million</w:t>
      </w:r>
      <w:r w:rsidR="00EB0E5C" w:rsidRPr="00015F9C">
        <w:rPr>
          <w:rFonts w:cs="Calibri"/>
          <w:lang w:val="en-IE"/>
        </w:rPr>
        <w:t> </w:t>
      </w:r>
      <w:r w:rsidR="00016BA4" w:rsidRPr="00016BA4">
        <w:rPr>
          <w:lang w:val="en-IE"/>
        </w:rPr>
        <w:t>(</w:t>
      </w:r>
      <w:r w:rsidR="00016BA4">
        <w:rPr>
          <w:rStyle w:val="FootnoteReference"/>
          <w:lang w:val="en-IE"/>
        </w:rPr>
        <w:footnoteReference w:id="54"/>
      </w:r>
      <w:r w:rsidR="00016BA4">
        <w:rPr>
          <w:lang w:val="en-IE"/>
        </w:rPr>
        <w:t>)</w:t>
      </w:r>
      <w:r w:rsidR="00B63619">
        <w:rPr>
          <w:lang w:val="en-IE"/>
        </w:rPr>
        <w:t>.</w:t>
      </w:r>
      <w:r w:rsidR="00E46606" w:rsidRPr="00E46606">
        <w:rPr>
          <w:lang w:val="en-IE"/>
        </w:rPr>
        <w:t xml:space="preserve"> </w:t>
      </w:r>
      <w:r w:rsidR="00173DC0">
        <w:rPr>
          <w:lang w:val="en-IE"/>
        </w:rPr>
        <w:t>I</w:t>
      </w:r>
      <w:r w:rsidR="00173DC0" w:rsidRPr="009C2640">
        <w:rPr>
          <w:lang w:val="en-IE"/>
        </w:rPr>
        <w:t>n</w:t>
      </w:r>
      <w:r w:rsidR="009C2640" w:rsidRPr="009C2640" w:rsidDel="00173DC0">
        <w:rPr>
          <w:lang w:val="en-IE"/>
        </w:rPr>
        <w:t xml:space="preserve"> September, Ukraine opened its </w:t>
      </w:r>
      <w:hyperlink r:id="rId64" w:history="1">
        <w:r w:rsidR="009C2640" w:rsidRPr="00016BA4" w:rsidDel="00173DC0">
          <w:rPr>
            <w:rStyle w:val="Hyperlink"/>
            <w:lang w:val="en-IE"/>
          </w:rPr>
          <w:t>first EU-standard-gauge railway</w:t>
        </w:r>
      </w:hyperlink>
      <w:r w:rsidR="00E46606" w:rsidDel="00173DC0">
        <w:rPr>
          <w:lang w:val="en-IE"/>
        </w:rPr>
        <w:t xml:space="preserve">, </w:t>
      </w:r>
      <w:r w:rsidR="00E46606" w:rsidRPr="00E46606" w:rsidDel="00173DC0">
        <w:rPr>
          <w:lang w:val="en-IE"/>
        </w:rPr>
        <w:t>enabling direct train travel from Ukraine to cities like Budapest in Hungary and Vienna in Austria</w:t>
      </w:r>
      <w:r w:rsidR="001E0D2C">
        <w:rPr>
          <w:rFonts w:ascii="Calibri" w:hAnsi="Calibri" w:cs="Calibri"/>
          <w:noProof/>
          <w:lang w:eastAsia="zh-CN"/>
        </w:rPr>
        <w:t> </w:t>
      </w:r>
      <w:r w:rsidR="005A2CF9" w:rsidRPr="005A2CF9">
        <w:rPr>
          <w:lang w:val="en-IE"/>
        </w:rPr>
        <w:t>(</w:t>
      </w:r>
      <w:r w:rsidR="005A2CF9">
        <w:rPr>
          <w:rStyle w:val="FootnoteReference"/>
          <w:lang w:val="en-IE"/>
        </w:rPr>
        <w:footnoteReference w:id="55"/>
      </w:r>
      <w:r w:rsidR="005A2CF9">
        <w:rPr>
          <w:lang w:val="en-IE"/>
        </w:rPr>
        <w:t>)</w:t>
      </w:r>
      <w:r w:rsidR="001E0D2C">
        <w:rPr>
          <w:lang w:val="en-IE"/>
        </w:rPr>
        <w:t>.</w:t>
      </w:r>
    </w:p>
    <w:p w14:paraId="1D2E85F9" w14:textId="321DADE7" w:rsidR="00EB7263" w:rsidRDefault="00746207" w:rsidP="00746207">
      <w:pPr>
        <w:pStyle w:val="Heading5"/>
        <w:rPr>
          <w:noProof/>
        </w:rPr>
      </w:pPr>
      <w:r>
        <w:rPr>
          <w:noProof/>
        </w:rPr>
        <w:t>Humanitarian support</w:t>
      </w:r>
      <w:r w:rsidR="004F4C4A">
        <w:rPr>
          <w:noProof/>
        </w:rPr>
        <w:t xml:space="preserve"> to Ukraine</w:t>
      </w:r>
    </w:p>
    <w:p w14:paraId="15BDB7C5" w14:textId="7FBEF9EF" w:rsidR="0098795E" w:rsidRDefault="00B96CC4" w:rsidP="00BF170E">
      <w:pPr>
        <w:spacing w:after="120"/>
      </w:pPr>
      <w:r w:rsidRPr="001A568A">
        <w:rPr>
          <w:rStyle w:val="Bold"/>
        </w:rPr>
        <w:t>In 2025, t</w:t>
      </w:r>
      <w:r w:rsidR="002C11DC" w:rsidRPr="001A568A">
        <w:rPr>
          <w:rStyle w:val="Bold"/>
        </w:rPr>
        <w:t xml:space="preserve">he EU continued to </w:t>
      </w:r>
      <w:r w:rsidR="000F1F9C" w:rsidRPr="001A568A">
        <w:rPr>
          <w:rStyle w:val="Bold"/>
        </w:rPr>
        <w:t>provide</w:t>
      </w:r>
      <w:r w:rsidR="002C11DC" w:rsidRPr="001A568A">
        <w:rPr>
          <w:rStyle w:val="Bold"/>
        </w:rPr>
        <w:t xml:space="preserve"> humanitarian aid in Ukraine and Moldova</w:t>
      </w:r>
      <w:r w:rsidR="00B55B1A" w:rsidRPr="001A568A">
        <w:rPr>
          <w:rStyle w:val="Bold"/>
        </w:rPr>
        <w:t xml:space="preserve"> for</w:t>
      </w:r>
      <w:r w:rsidR="002C11DC" w:rsidRPr="001A568A">
        <w:rPr>
          <w:rStyle w:val="Bold"/>
        </w:rPr>
        <w:t xml:space="preserve"> emergency assistance.</w:t>
      </w:r>
      <w:r w:rsidR="002C11DC">
        <w:t xml:space="preserve"> This include</w:t>
      </w:r>
      <w:r w:rsidR="00173DC0">
        <w:t>d</w:t>
      </w:r>
      <w:r w:rsidR="002C11DC">
        <w:t xml:space="preserve"> </w:t>
      </w:r>
      <w:r w:rsidR="008B0FBD">
        <w:t>EUR</w:t>
      </w:r>
      <w:r w:rsidR="008B0FBD">
        <w:rPr>
          <w:rFonts w:ascii="Calibri" w:hAnsi="Calibri" w:cs="Calibri"/>
        </w:rPr>
        <w:t> </w:t>
      </w:r>
      <w:r w:rsidR="002C11DC">
        <w:t>40</w:t>
      </w:r>
      <w:r w:rsidR="00EB0E5C">
        <w:rPr>
          <w:rFonts w:ascii="Calibri" w:hAnsi="Calibri" w:cs="Calibri"/>
        </w:rPr>
        <w:t> </w:t>
      </w:r>
      <w:r w:rsidR="00EB0E5C">
        <w:t>million</w:t>
      </w:r>
      <w:r w:rsidR="002C11DC">
        <w:t xml:space="preserve"> allocated</w:t>
      </w:r>
      <w:r w:rsidR="002C11DC" w:rsidDel="00B96CC4">
        <w:t xml:space="preserve"> </w:t>
      </w:r>
      <w:r w:rsidR="002C11DC">
        <w:t>to help Ukrainians endure a fourth winter of Russia’s war of aggression, assisting EU humanitarian aid partners in delivering shelter materials, repairing damaged homes and centres for displaced people and improving access to water, sanitation and heating.</w:t>
      </w:r>
      <w:r w:rsidR="00064E69">
        <w:t xml:space="preserve"> </w:t>
      </w:r>
      <w:r w:rsidR="0098795E">
        <w:t xml:space="preserve">Since Russia’s full-scale invasion in February 2022, the Commission has allocated over </w:t>
      </w:r>
      <w:r w:rsidR="008B0FBD">
        <w:t>EUR</w:t>
      </w:r>
      <w:r w:rsidR="008B0FBD">
        <w:rPr>
          <w:rFonts w:ascii="Calibri" w:hAnsi="Calibri" w:cs="Calibri"/>
        </w:rPr>
        <w:t> </w:t>
      </w:r>
      <w:r w:rsidR="0098795E">
        <w:t>1</w:t>
      </w:r>
      <w:r w:rsidR="006F3D64">
        <w:t>.2</w:t>
      </w:r>
      <w:r w:rsidR="00EB0E5C">
        <w:rPr>
          <w:rFonts w:ascii="Calibri" w:hAnsi="Calibri" w:cs="Calibri"/>
        </w:rPr>
        <w:t> </w:t>
      </w:r>
      <w:r w:rsidR="00EB0E5C">
        <w:t>billion</w:t>
      </w:r>
      <w:r w:rsidR="0098795E">
        <w:t xml:space="preserve"> for humanitarian aid programmes in Ukraine, including </w:t>
      </w:r>
      <w:r w:rsidR="008B0FBD">
        <w:t>EUR</w:t>
      </w:r>
      <w:r w:rsidR="008B0FBD">
        <w:rPr>
          <w:rFonts w:ascii="Calibri" w:hAnsi="Calibri" w:cs="Calibri"/>
        </w:rPr>
        <w:t> </w:t>
      </w:r>
      <w:r w:rsidR="0098795E">
        <w:t>220</w:t>
      </w:r>
      <w:r w:rsidR="00EB0E5C">
        <w:rPr>
          <w:rFonts w:ascii="Calibri" w:hAnsi="Calibri" w:cs="Calibri"/>
        </w:rPr>
        <w:t> </w:t>
      </w:r>
      <w:r w:rsidR="00EB0E5C">
        <w:t>million</w:t>
      </w:r>
      <w:r w:rsidR="0098795E">
        <w:t xml:space="preserve"> in 2025.</w:t>
      </w:r>
    </w:p>
    <w:p w14:paraId="0B63A473" w14:textId="3EADF36B" w:rsidR="00B876CB" w:rsidRDefault="00B876CB" w:rsidP="00BF170E">
      <w:pPr>
        <w:pStyle w:val="ImageTitle"/>
        <w:spacing w:before="240"/>
      </w:pPr>
      <w:r>
        <w:t>Humanitarian aid for Ukraine and Moldova from the EU and its Member States (2022-2025)</w:t>
      </w:r>
    </w:p>
    <w:p w14:paraId="111ED834" w14:textId="5A3AC5CF" w:rsidR="00FA6F7E" w:rsidRDefault="006622E5" w:rsidP="00AD1F11">
      <w:pPr>
        <w:jc w:val="center"/>
      </w:pPr>
      <w:r w:rsidRPr="006622E5">
        <w:rPr>
          <w:noProof/>
        </w:rPr>
        <w:t xml:space="preserve"> </w:t>
      </w:r>
      <w:r w:rsidRPr="006622E5">
        <w:rPr>
          <w:noProof/>
        </w:rPr>
        <w:drawing>
          <wp:inline distT="0" distB="0" distL="0" distR="0" wp14:anchorId="22A556E5" wp14:editId="21EA0008">
            <wp:extent cx="4316776" cy="2852382"/>
            <wp:effectExtent l="0" t="0" r="7620" b="5715"/>
            <wp:docPr id="12" name="Picture 11" descr="This graph represents the humanitarian aid for Ukraine and Moldova from the EU and its Member States, from 2022 to 2025. From a total of 4.2 billion euro, over 1.2 billion are from the EU and 3 billion euro are from Member States.">
              <a:extLst xmlns:a="http://schemas.openxmlformats.org/drawingml/2006/main">
                <a:ext uri="{FF2B5EF4-FFF2-40B4-BE49-F238E27FC236}">
                  <a16:creationId xmlns:a16="http://schemas.microsoft.com/office/drawing/2014/main" id="{DE4793A3-E7A4-936D-0CEC-F38C8BB357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This graph represents the humanitarian aid for Ukraine and Moldova from the EU and its Member States, from 2022 to 2025. From a total of 4.2 billion euro, over 1.2 billion are from the EU and 3 billion euro are from Member States.">
                      <a:extLst>
                        <a:ext uri="{FF2B5EF4-FFF2-40B4-BE49-F238E27FC236}">
                          <a16:creationId xmlns:a16="http://schemas.microsoft.com/office/drawing/2014/main" id="{DE4793A3-E7A4-936D-0CEC-F38C8BB35771}"/>
                        </a:ext>
                      </a:extLst>
                    </pic:cNvPr>
                    <pic:cNvPicPr>
                      <a:picLocks noChangeAspect="1"/>
                    </pic:cNvPicPr>
                  </pic:nvPicPr>
                  <pic:blipFill>
                    <a:blip r:embed="rId65"/>
                    <a:srcRect l="20231" t="11010" r="8023" b="15131"/>
                    <a:stretch>
                      <a:fillRect/>
                    </a:stretch>
                  </pic:blipFill>
                  <pic:spPr>
                    <a:xfrm>
                      <a:off x="0" y="0"/>
                      <a:ext cx="4335599" cy="2864820"/>
                    </a:xfrm>
                    <a:prstGeom prst="rect">
                      <a:avLst/>
                    </a:prstGeom>
                  </pic:spPr>
                </pic:pic>
              </a:graphicData>
            </a:graphic>
          </wp:inline>
        </w:drawing>
      </w:r>
    </w:p>
    <w:p w14:paraId="0368377A" w14:textId="13F7D10F" w:rsidR="006167AA" w:rsidRDefault="006167AA" w:rsidP="00E22D80">
      <w:pPr>
        <w:pStyle w:val="amprboxBLUEBoxTitle"/>
        <w:rPr>
          <w:noProof/>
        </w:rPr>
      </w:pPr>
      <w:r>
        <w:rPr>
          <w:noProof/>
        </w:rPr>
        <w:t>Supporting people in Ukraine</w:t>
      </w:r>
    </w:p>
    <w:p w14:paraId="4A53942C" w14:textId="6AF7E273" w:rsidR="006167AA" w:rsidRDefault="00163FDC" w:rsidP="00E22D80">
      <w:pPr>
        <w:pStyle w:val="amprboxBLUEtext"/>
      </w:pPr>
      <w:r>
        <w:t xml:space="preserve">From 2022 to 2025, the EU has provided </w:t>
      </w:r>
      <w:r w:rsidR="00B05A0F">
        <w:t xml:space="preserve">the following </w:t>
      </w:r>
      <w:r>
        <w:t xml:space="preserve">to </w:t>
      </w:r>
      <w:r w:rsidR="00B05A0F">
        <w:t xml:space="preserve">the </w:t>
      </w:r>
      <w:r>
        <w:t>people in Ukraine</w:t>
      </w:r>
      <w:r w:rsidR="00876D45" w:rsidRPr="00E22D80">
        <w:rPr>
          <w:rFonts w:ascii="Calibri" w:hAnsi="Calibri" w:cs="Calibri"/>
        </w:rPr>
        <w:t> </w:t>
      </w:r>
      <w:r w:rsidR="00876D45" w:rsidRPr="00876D45">
        <w:t>(</w:t>
      </w:r>
      <w:r w:rsidR="00876D45" w:rsidRPr="00E22D80">
        <w:rPr>
          <w:vertAlign w:val="superscript"/>
        </w:rPr>
        <w:footnoteReference w:id="56"/>
      </w:r>
      <w:r w:rsidR="00876D45">
        <w:t>)</w:t>
      </w:r>
      <w:r w:rsidR="001E0D2C">
        <w:t>:</w:t>
      </w:r>
    </w:p>
    <w:p w14:paraId="5B68F498" w14:textId="1723CFF8" w:rsidR="00823FDE" w:rsidRDefault="00823FDE">
      <w:pPr>
        <w:pStyle w:val="amprboxBLUEbulletlist"/>
      </w:pPr>
      <w:r>
        <w:t>EUR</w:t>
      </w:r>
      <w:r w:rsidR="00DA712E">
        <w:rPr>
          <w:rFonts w:ascii="Calibri" w:hAnsi="Calibri" w:cs="Calibri"/>
        </w:rPr>
        <w:t> </w:t>
      </w:r>
      <w:r>
        <w:t>220</w:t>
      </w:r>
      <w:r w:rsidR="00DA712E">
        <w:rPr>
          <w:rFonts w:ascii="Calibri" w:hAnsi="Calibri" w:cs="Calibri"/>
        </w:rPr>
        <w:t> </w:t>
      </w:r>
      <w:r>
        <w:t xml:space="preserve">million in humanitarian aid funding responding to </w:t>
      </w:r>
      <w:r w:rsidR="00DA712E">
        <w:t xml:space="preserve">the </w:t>
      </w:r>
      <w:r>
        <w:t>needs of the most vulnerable</w:t>
      </w:r>
      <w:r w:rsidR="00DA712E">
        <w:t>;</w:t>
      </w:r>
    </w:p>
    <w:p w14:paraId="235683BF" w14:textId="1B2E5469" w:rsidR="00163FDC" w:rsidRDefault="00EB0E5C" w:rsidP="00E22D80">
      <w:pPr>
        <w:pStyle w:val="amprboxBLUEbulletlist"/>
      </w:pPr>
      <w:r>
        <w:t>EUR</w:t>
      </w:r>
      <w:r>
        <w:rPr>
          <w:rFonts w:ascii="Calibri" w:hAnsi="Calibri" w:cs="Calibri"/>
        </w:rPr>
        <w:t> </w:t>
      </w:r>
      <w:r w:rsidR="00245240">
        <w:t>100</w:t>
      </w:r>
      <w:r>
        <w:rPr>
          <w:rFonts w:ascii="Calibri" w:hAnsi="Calibri" w:cs="Calibri"/>
        </w:rPr>
        <w:t> </w:t>
      </w:r>
      <w:r>
        <w:t>million</w:t>
      </w:r>
      <w:r w:rsidR="00245240">
        <w:t xml:space="preserve"> dedicated to supporting safe access to education for children in Ukraine</w:t>
      </w:r>
      <w:r w:rsidR="0023167A">
        <w:t>;</w:t>
      </w:r>
    </w:p>
    <w:p w14:paraId="55B858EA" w14:textId="682E16FF" w:rsidR="0078677B" w:rsidRDefault="00EB0E5C" w:rsidP="00E22D80">
      <w:pPr>
        <w:pStyle w:val="amprboxBLUEbulletlist"/>
      </w:pPr>
      <w:r>
        <w:t>EUR</w:t>
      </w:r>
      <w:r>
        <w:rPr>
          <w:rFonts w:ascii="Calibri" w:hAnsi="Calibri" w:cs="Calibri"/>
        </w:rPr>
        <w:t> </w:t>
      </w:r>
      <w:r w:rsidR="0078677B">
        <w:t>60</w:t>
      </w:r>
      <w:r>
        <w:rPr>
          <w:rFonts w:ascii="Calibri" w:hAnsi="Calibri" w:cs="Calibri"/>
        </w:rPr>
        <w:t> </w:t>
      </w:r>
      <w:r>
        <w:t>million</w:t>
      </w:r>
      <w:r w:rsidR="0078677B">
        <w:t xml:space="preserve"> for projects aimed at building the capacity of Ukrainian universities, vocational education and training institutions, and sport and youth organisations under Erasmus+</w:t>
      </w:r>
      <w:r w:rsidR="0023167A">
        <w:t>;</w:t>
      </w:r>
    </w:p>
    <w:p w14:paraId="40CC036F" w14:textId="79319CE7" w:rsidR="0002675C" w:rsidRDefault="00EB0E5C" w:rsidP="00E22D80">
      <w:pPr>
        <w:pStyle w:val="amprboxBLUEbulletlist"/>
      </w:pPr>
      <w:r>
        <w:t>EUR</w:t>
      </w:r>
      <w:r>
        <w:rPr>
          <w:rFonts w:ascii="Calibri" w:hAnsi="Calibri" w:cs="Calibri"/>
        </w:rPr>
        <w:t> </w:t>
      </w:r>
      <w:r w:rsidR="0002675C">
        <w:t>65</w:t>
      </w:r>
      <w:r>
        <w:rPr>
          <w:rFonts w:ascii="Calibri" w:hAnsi="Calibri" w:cs="Calibri"/>
        </w:rPr>
        <w:t> </w:t>
      </w:r>
      <w:r>
        <w:t>million</w:t>
      </w:r>
      <w:r w:rsidR="0002675C">
        <w:t xml:space="preserve"> for free, healthy school lunches for 700</w:t>
      </w:r>
      <w:r w:rsidR="0023167A">
        <w:rPr>
          <w:rFonts w:ascii="Calibri" w:hAnsi="Calibri" w:cs="Calibri"/>
        </w:rPr>
        <w:t> </w:t>
      </w:r>
      <w:r w:rsidR="0002675C">
        <w:t>000 primary school students in Ukraine</w:t>
      </w:r>
      <w:r w:rsidR="0023167A">
        <w:t>;</w:t>
      </w:r>
    </w:p>
    <w:p w14:paraId="6EBAE0C2" w14:textId="6C6E7AF5" w:rsidR="00796C58" w:rsidRDefault="0023167A" w:rsidP="00E22D80">
      <w:pPr>
        <w:pStyle w:val="amprboxBLUEbulletlist"/>
      </w:pPr>
      <w:r>
        <w:t>m</w:t>
      </w:r>
      <w:r w:rsidR="00796C58">
        <w:t xml:space="preserve">ore than </w:t>
      </w:r>
      <w:r w:rsidR="00231111" w:rsidDel="00EB0E5C">
        <w:t>EUR</w:t>
      </w:r>
      <w:r w:rsidR="00EB0E5C">
        <w:rPr>
          <w:rFonts w:ascii="Calibri" w:hAnsi="Calibri" w:cs="Calibri"/>
        </w:rPr>
        <w:t> </w:t>
      </w:r>
      <w:r w:rsidR="00796C58">
        <w:t>50</w:t>
      </w:r>
      <w:r w:rsidR="00EB0E5C">
        <w:rPr>
          <w:rFonts w:ascii="Calibri" w:hAnsi="Calibri" w:cs="Calibri"/>
        </w:rPr>
        <w:t> </w:t>
      </w:r>
      <w:r w:rsidR="00796C58" w:rsidDel="00EB0E5C">
        <w:t>million</w:t>
      </w:r>
      <w:r w:rsidR="00796C58" w:rsidDel="0019602A">
        <w:t xml:space="preserve"> </w:t>
      </w:r>
      <w:r w:rsidR="00796C58">
        <w:t xml:space="preserve">to support Ukraine’s cultural and creative sectors, including over </w:t>
      </w:r>
      <w:r w:rsidR="00231111" w:rsidDel="00EB0E5C">
        <w:t>EUR</w:t>
      </w:r>
      <w:r w:rsidR="00EB0E5C">
        <w:rPr>
          <w:rFonts w:ascii="Calibri" w:hAnsi="Calibri" w:cs="Calibri"/>
        </w:rPr>
        <w:t> </w:t>
      </w:r>
      <w:r w:rsidR="00796C58">
        <w:t>11.5</w:t>
      </w:r>
      <w:r w:rsidR="00EB0E5C">
        <w:rPr>
          <w:rFonts w:ascii="Calibri" w:hAnsi="Calibri" w:cs="Calibri"/>
        </w:rPr>
        <w:t> </w:t>
      </w:r>
      <w:r w:rsidR="00EB0E5C">
        <w:t>million</w:t>
      </w:r>
      <w:r w:rsidR="00796C58">
        <w:t xml:space="preserve"> dedicated to cultural heritage</w:t>
      </w:r>
      <w:r>
        <w:t>;</w:t>
      </w:r>
    </w:p>
    <w:p w14:paraId="5C748AB1" w14:textId="31EC0E60" w:rsidR="00C14DC6" w:rsidRDefault="0023167A" w:rsidP="00E22D80">
      <w:pPr>
        <w:pStyle w:val="amprboxBLUEbulletlist"/>
      </w:pPr>
      <w:r>
        <w:t>m</w:t>
      </w:r>
      <w:r w:rsidR="00C14DC6">
        <w:t xml:space="preserve">ore than </w:t>
      </w:r>
      <w:r w:rsidR="00231111" w:rsidDel="00EB0E5C">
        <w:t>EUR</w:t>
      </w:r>
      <w:r w:rsidR="00EB0E5C">
        <w:rPr>
          <w:rFonts w:ascii="Calibri" w:hAnsi="Calibri" w:cs="Calibri"/>
        </w:rPr>
        <w:t> </w:t>
      </w:r>
      <w:r w:rsidR="00C14DC6">
        <w:t>700</w:t>
      </w:r>
      <w:r w:rsidR="00BC5CB6">
        <w:rPr>
          <w:rFonts w:ascii="Calibri" w:hAnsi="Calibri" w:cs="Calibri"/>
        </w:rPr>
        <w:t> </w:t>
      </w:r>
      <w:r w:rsidR="00C14DC6">
        <w:t>000 in mobility grants for artists and cultural professionals</w:t>
      </w:r>
      <w:r>
        <w:t>;</w:t>
      </w:r>
    </w:p>
    <w:p w14:paraId="76F0B91B" w14:textId="65EA92F5" w:rsidR="00E1593B" w:rsidRDefault="00EB0E5C" w:rsidP="00E22D80">
      <w:pPr>
        <w:pStyle w:val="amprboxBLUEbulletlist"/>
      </w:pPr>
      <w:r>
        <w:t>EUR</w:t>
      </w:r>
      <w:r>
        <w:rPr>
          <w:rFonts w:ascii="Calibri" w:hAnsi="Calibri" w:cs="Calibri"/>
        </w:rPr>
        <w:t> </w:t>
      </w:r>
      <w:r w:rsidR="00B93BC2">
        <w:t>123</w:t>
      </w:r>
      <w:r>
        <w:rPr>
          <w:rFonts w:ascii="Calibri" w:hAnsi="Calibri" w:cs="Calibri"/>
        </w:rPr>
        <w:t> </w:t>
      </w:r>
      <w:r>
        <w:t>million</w:t>
      </w:r>
      <w:r w:rsidR="00B93BC2">
        <w:t xml:space="preserve"> to support civil-society organisations in Ukraine.</w:t>
      </w:r>
    </w:p>
    <w:p w14:paraId="695B3630" w14:textId="5B25E106" w:rsidR="00746207" w:rsidRDefault="00746207" w:rsidP="00746207">
      <w:pPr>
        <w:pStyle w:val="Heading5"/>
        <w:rPr>
          <w:noProof/>
        </w:rPr>
      </w:pPr>
      <w:r>
        <w:rPr>
          <w:noProof/>
        </w:rPr>
        <w:t>Military support</w:t>
      </w:r>
      <w:r w:rsidR="00C70CA4">
        <w:rPr>
          <w:noProof/>
        </w:rPr>
        <w:t xml:space="preserve"> and defence research</w:t>
      </w:r>
    </w:p>
    <w:p w14:paraId="440F0712" w14:textId="490EE269" w:rsidR="00132B6B" w:rsidRDefault="001E11D8" w:rsidP="00132B6B">
      <w:r w:rsidRPr="001A568A">
        <w:rPr>
          <w:rStyle w:val="Bold"/>
        </w:rPr>
        <w:t xml:space="preserve">The EU and </w:t>
      </w:r>
      <w:r w:rsidR="00F4615F">
        <w:rPr>
          <w:rStyle w:val="Bold"/>
        </w:rPr>
        <w:t>the</w:t>
      </w:r>
      <w:r w:rsidRPr="001A568A">
        <w:rPr>
          <w:rStyle w:val="Bold"/>
        </w:rPr>
        <w:t xml:space="preserve"> Member States have provided around </w:t>
      </w:r>
      <w:r w:rsidR="00231111" w:rsidRPr="001A568A" w:rsidDel="00EB0E5C">
        <w:rPr>
          <w:rStyle w:val="Bold"/>
        </w:rPr>
        <w:t>EUR</w:t>
      </w:r>
      <w:r w:rsidR="00EB0E5C">
        <w:rPr>
          <w:rStyle w:val="Bold"/>
          <w:rFonts w:ascii="Calibri" w:hAnsi="Calibri" w:cs="Calibri"/>
        </w:rPr>
        <w:t> </w:t>
      </w:r>
      <w:r w:rsidRPr="001A568A">
        <w:rPr>
          <w:rStyle w:val="Bold"/>
        </w:rPr>
        <w:t>6</w:t>
      </w:r>
      <w:r w:rsidR="00847F93" w:rsidRPr="001A568A">
        <w:rPr>
          <w:rStyle w:val="Bold"/>
        </w:rPr>
        <w:t>9.3</w:t>
      </w:r>
      <w:r w:rsidR="00EB0E5C">
        <w:rPr>
          <w:rStyle w:val="Bold"/>
          <w:rFonts w:ascii="Calibri" w:hAnsi="Calibri" w:cs="Calibri"/>
        </w:rPr>
        <w:t> </w:t>
      </w:r>
      <w:r w:rsidR="00EB0E5C">
        <w:rPr>
          <w:rStyle w:val="Bold"/>
        </w:rPr>
        <w:t>billion</w:t>
      </w:r>
      <w:r w:rsidRPr="001A568A">
        <w:rPr>
          <w:rStyle w:val="Bold"/>
        </w:rPr>
        <w:t xml:space="preserve"> in military support since </w:t>
      </w:r>
      <w:r w:rsidR="00CF4D68" w:rsidRPr="001A568A">
        <w:rPr>
          <w:rStyle w:val="Bold"/>
        </w:rPr>
        <w:t>2022</w:t>
      </w:r>
      <w:r w:rsidR="004E3F20" w:rsidRPr="004E3F20">
        <w:rPr>
          <w:rStyle w:val="Bold"/>
        </w:rPr>
        <w:t xml:space="preserve"> </w:t>
      </w:r>
      <w:r w:rsidR="004E3F20">
        <w:rPr>
          <w:rStyle w:val="Bold"/>
        </w:rPr>
        <w:t>through the European Peace Facility</w:t>
      </w:r>
      <w:r w:rsidR="006D565D" w:rsidRPr="001A568A">
        <w:rPr>
          <w:rStyle w:val="Bold"/>
        </w:rPr>
        <w:t>.</w:t>
      </w:r>
      <w:r>
        <w:rPr>
          <w:rStyle w:val="BoldAccent1"/>
          <w:rFonts w:eastAsia="Times New Roman"/>
        </w:rPr>
        <w:t xml:space="preserve"> </w:t>
      </w:r>
      <w:r w:rsidR="00EB0E5C">
        <w:t>EUR</w:t>
      </w:r>
      <w:r w:rsidR="00EB0E5C">
        <w:rPr>
          <w:rFonts w:ascii="Calibri" w:hAnsi="Calibri" w:cs="Calibri"/>
        </w:rPr>
        <w:t> </w:t>
      </w:r>
      <w:r>
        <w:t>6.</w:t>
      </w:r>
      <w:r w:rsidR="00847F93">
        <w:t>1</w:t>
      </w:r>
      <w:r w:rsidR="00EB0E5C">
        <w:rPr>
          <w:rFonts w:ascii="Calibri" w:hAnsi="Calibri" w:cs="Calibri"/>
        </w:rPr>
        <w:t> </w:t>
      </w:r>
      <w:r w:rsidR="00EB0E5C">
        <w:t>billion</w:t>
      </w:r>
      <w:r>
        <w:t xml:space="preserve"> of </w:t>
      </w:r>
      <w:r w:rsidR="006D565D">
        <w:t>this</w:t>
      </w:r>
      <w:r>
        <w:t xml:space="preserve"> has been channelled via the European Peace Facility.</w:t>
      </w:r>
      <w:r w:rsidR="006D565D">
        <w:t xml:space="preserve"> </w:t>
      </w:r>
      <w:r w:rsidR="006033ED">
        <w:t>Additionally,</w:t>
      </w:r>
      <w:r w:rsidR="006D565D">
        <w:t xml:space="preserve"> </w:t>
      </w:r>
      <w:r w:rsidR="009F4E9E">
        <w:t>t</w:t>
      </w:r>
      <w:r w:rsidR="00132B6B">
        <w:t xml:space="preserve">he EU has provided </w:t>
      </w:r>
      <w:r w:rsidR="00231111" w:rsidDel="00EB0E5C">
        <w:t>EUR</w:t>
      </w:r>
      <w:r w:rsidR="00EB0E5C">
        <w:rPr>
          <w:rFonts w:ascii="Calibri" w:hAnsi="Calibri" w:cs="Calibri"/>
        </w:rPr>
        <w:t> </w:t>
      </w:r>
      <w:r w:rsidR="00132B6B">
        <w:t>3.</w:t>
      </w:r>
      <w:r w:rsidR="00847F93">
        <w:t>7</w:t>
      </w:r>
      <w:r w:rsidR="00EB0E5C">
        <w:rPr>
          <w:rFonts w:ascii="Calibri" w:hAnsi="Calibri" w:cs="Calibri"/>
        </w:rPr>
        <w:t> </w:t>
      </w:r>
      <w:r w:rsidR="00EB0E5C">
        <w:t>billion</w:t>
      </w:r>
      <w:r w:rsidR="00132B6B">
        <w:t xml:space="preserve"> from the proceeds of Russian immobilised assets</w:t>
      </w:r>
      <w:r w:rsidR="00BC74D4">
        <w:t>, out of which EUR</w:t>
      </w:r>
      <w:r w:rsidR="004E3F20">
        <w:rPr>
          <w:rFonts w:ascii="Calibri" w:hAnsi="Calibri" w:cs="Calibri"/>
        </w:rPr>
        <w:t> </w:t>
      </w:r>
      <w:r w:rsidR="00BC74D4">
        <w:t>3.3</w:t>
      </w:r>
      <w:r w:rsidR="004E3F20">
        <w:rPr>
          <w:rFonts w:ascii="Calibri" w:hAnsi="Calibri" w:cs="Calibri"/>
        </w:rPr>
        <w:t> </w:t>
      </w:r>
      <w:r w:rsidR="00BC74D4">
        <w:t xml:space="preserve">billion were channelled to the </w:t>
      </w:r>
      <w:r w:rsidR="00010113">
        <w:t>European Peace Facility</w:t>
      </w:r>
      <w:r w:rsidR="00BC74D4">
        <w:t xml:space="preserve"> and EUR</w:t>
      </w:r>
      <w:r w:rsidR="009C6B6B">
        <w:rPr>
          <w:rFonts w:ascii="Calibri" w:hAnsi="Calibri" w:cs="Calibri"/>
        </w:rPr>
        <w:t> </w:t>
      </w:r>
      <w:r w:rsidR="00BC74D4">
        <w:t>0.4</w:t>
      </w:r>
      <w:r w:rsidR="009C6B6B">
        <w:rPr>
          <w:rFonts w:ascii="Calibri" w:hAnsi="Calibri" w:cs="Calibri"/>
        </w:rPr>
        <w:t> </w:t>
      </w:r>
      <w:r w:rsidR="00BC74D4">
        <w:t>billion to the Ukraine Facility</w:t>
      </w:r>
      <w:r w:rsidR="000632F4">
        <w:t xml:space="preserve">. The EU </w:t>
      </w:r>
      <w:r w:rsidR="00132B6B">
        <w:t>train</w:t>
      </w:r>
      <w:r w:rsidR="000632F4">
        <w:t>s</w:t>
      </w:r>
      <w:r w:rsidR="00132B6B">
        <w:t xml:space="preserve"> the Ukrainian Armed Forces through the EU Military Assistance Mission in support of Ukraine, which has so far trained around 85</w:t>
      </w:r>
      <w:r w:rsidR="00BC5CB6">
        <w:rPr>
          <w:rFonts w:ascii="Calibri" w:hAnsi="Calibri" w:cs="Calibri"/>
        </w:rPr>
        <w:t> </w:t>
      </w:r>
      <w:r w:rsidR="00132B6B">
        <w:t>000 Ukrainian military personnel.</w:t>
      </w:r>
    </w:p>
    <w:p w14:paraId="566B2466" w14:textId="7B3AE6F1" w:rsidR="00A15B8E" w:rsidRDefault="00D70D9B" w:rsidP="00CA428F">
      <w:r w:rsidRPr="001A568A">
        <w:rPr>
          <w:rStyle w:val="Bold"/>
        </w:rPr>
        <w:t xml:space="preserve">The EU is </w:t>
      </w:r>
      <w:r w:rsidR="00170B0A">
        <w:rPr>
          <w:rStyle w:val="Bold"/>
        </w:rPr>
        <w:t xml:space="preserve">also </w:t>
      </w:r>
      <w:r w:rsidRPr="001A568A">
        <w:rPr>
          <w:rStyle w:val="Bold"/>
        </w:rPr>
        <w:t xml:space="preserve">providing </w:t>
      </w:r>
      <w:r w:rsidR="00104C22" w:rsidRPr="001A568A">
        <w:rPr>
          <w:rStyle w:val="Bold"/>
        </w:rPr>
        <w:t xml:space="preserve">defence research and innovation instruments, </w:t>
      </w:r>
      <w:r w:rsidR="00BD5F66">
        <w:rPr>
          <w:rStyle w:val="Bold"/>
        </w:rPr>
        <w:t>mainly</w:t>
      </w:r>
      <w:r w:rsidR="00104C22" w:rsidRPr="001A568A">
        <w:rPr>
          <w:rStyle w:val="Bold"/>
        </w:rPr>
        <w:t xml:space="preserve"> through the European </w:t>
      </w:r>
      <w:r w:rsidR="007869BE" w:rsidRPr="001A568A">
        <w:rPr>
          <w:rStyle w:val="Bold"/>
        </w:rPr>
        <w:t>D</w:t>
      </w:r>
      <w:r w:rsidR="00104C22" w:rsidRPr="001A568A">
        <w:rPr>
          <w:rStyle w:val="Bold"/>
        </w:rPr>
        <w:t xml:space="preserve">efence </w:t>
      </w:r>
      <w:r w:rsidR="0073489B" w:rsidRPr="001A568A">
        <w:rPr>
          <w:rStyle w:val="Bold"/>
        </w:rPr>
        <w:t>Fund</w:t>
      </w:r>
      <w:r w:rsidR="00104C22" w:rsidRPr="001A568A">
        <w:rPr>
          <w:rStyle w:val="Bold"/>
        </w:rPr>
        <w:t>.</w:t>
      </w:r>
      <w:r w:rsidR="00104C22">
        <w:t xml:space="preserve"> </w:t>
      </w:r>
      <w:r w:rsidR="005453E0">
        <w:t xml:space="preserve">In 2025, the EU adopted the </w:t>
      </w:r>
      <w:r w:rsidR="00F2631C">
        <w:t>r</w:t>
      </w:r>
      <w:r w:rsidR="005453E0">
        <w:t>egulation to incentivise defence-related investments in the EU budget, which enabled the association of Ukraine to the European Defence Fund, with the objective of further enhancing industrial cooperation between the EU and Ukraine. Moreover, the EU announced the launch of BraveTechEU, a joint EU</w:t>
      </w:r>
      <w:r w:rsidR="00F2631C">
        <w:t>–</w:t>
      </w:r>
      <w:r w:rsidR="005453E0">
        <w:t xml:space="preserve">Ukraine initiative aimed at bringing closer together the EU and Ukrainian defence innovation ecosystems to develop battlefield-proven solutions. </w:t>
      </w:r>
    </w:p>
    <w:p w14:paraId="07FE5719" w14:textId="77777777" w:rsidR="00237332" w:rsidRPr="00237332" w:rsidRDefault="00237332" w:rsidP="00237332">
      <w:pPr>
        <w:pStyle w:val="Heading5"/>
        <w:rPr>
          <w:noProof/>
        </w:rPr>
      </w:pPr>
      <w:r w:rsidRPr="00237332">
        <w:rPr>
          <w:noProof/>
        </w:rPr>
        <w:t>Restrictive measures</w:t>
      </w:r>
    </w:p>
    <w:p w14:paraId="401D8FE1" w14:textId="0FA1F166" w:rsidR="00237332" w:rsidRDefault="00237332" w:rsidP="00CA428F">
      <w:r w:rsidRPr="00237332">
        <w:t>The EU adopted four additional packages of sanctions against Russia and Belarus in response to its war of aggression against Ukraine, further cutting access to critical technology, industrial goods and financial services, and reducing Russia’s revenue streams, in particular from energy. In order to increase the effectiveness and impact of the sanctions, the EU continued to put greater emphasis on anti-circumvention measures in the area of trade and energy, including the targeting of the shadow fleet used by Russia to evade the oil price cap. In parallel, the EU reinforced its cooperation and outreach to non-EU countries.</w:t>
      </w:r>
      <w:r>
        <w:t xml:space="preserve"> </w:t>
      </w:r>
    </w:p>
    <w:p w14:paraId="377647F4" w14:textId="32368B00" w:rsidR="00746207" w:rsidRPr="00746207" w:rsidRDefault="007237F5" w:rsidP="00746207">
      <w:pPr>
        <w:pStyle w:val="Heading4"/>
        <w:rPr>
          <w:rFonts w:ascii="EC Square Sans Pro" w:hAnsi="EC Square Sans Pro"/>
          <w:noProof/>
        </w:rPr>
      </w:pPr>
      <w:r>
        <w:rPr>
          <w:rFonts w:ascii="EC Square Sans Pro" w:hAnsi="EC Square Sans Pro"/>
          <w:noProof/>
        </w:rPr>
        <w:t>EU enlargement and the EU’s wider neighbourhood</w:t>
      </w:r>
    </w:p>
    <w:p w14:paraId="2870C8DC" w14:textId="4B8EE9B4" w:rsidR="00746207" w:rsidRDefault="00313F5C" w:rsidP="00746207">
      <w:r w:rsidRPr="001A568A">
        <w:rPr>
          <w:rStyle w:val="Bold"/>
        </w:rPr>
        <w:t>In 2025, the EU provided a wide range of support to enlargement countries</w:t>
      </w:r>
      <w:r w:rsidR="00361E7E" w:rsidRPr="00E0372D">
        <w:rPr>
          <w:rStyle w:val="Bold"/>
          <w:b w:val="0"/>
        </w:rPr>
        <w:t>,</w:t>
      </w:r>
      <w:r w:rsidR="00361E7E">
        <w:t xml:space="preserve"> including</w:t>
      </w:r>
      <w:r w:rsidR="00513835">
        <w:t xml:space="preserve"> the following.</w:t>
      </w:r>
    </w:p>
    <w:p w14:paraId="3D02EEF1" w14:textId="0E16613D" w:rsidR="00313F5C" w:rsidRDefault="00EB0E5C" w:rsidP="0041545A">
      <w:pPr>
        <w:pStyle w:val="ListBulletorangeLevel1"/>
      </w:pPr>
      <w:r>
        <w:t>EUR</w:t>
      </w:r>
      <w:r>
        <w:rPr>
          <w:rFonts w:ascii="Calibri" w:hAnsi="Calibri" w:cs="Calibri"/>
        </w:rPr>
        <w:t> </w:t>
      </w:r>
      <w:r w:rsidR="00332CAE">
        <w:t>184</w:t>
      </w:r>
      <w:r>
        <w:rPr>
          <w:rFonts w:ascii="Calibri" w:hAnsi="Calibri" w:cs="Calibri"/>
        </w:rPr>
        <w:t> </w:t>
      </w:r>
      <w:r>
        <w:t>million</w:t>
      </w:r>
      <w:r w:rsidR="00332CAE">
        <w:t xml:space="preserve"> in support disbursed under the Reform and Growth Facility for the Western Balkans.</w:t>
      </w:r>
    </w:p>
    <w:p w14:paraId="48150401" w14:textId="68E645AA" w:rsidR="00960C2C" w:rsidRDefault="00960C2C" w:rsidP="0041545A">
      <w:pPr>
        <w:pStyle w:val="ListBulletorangeLevel1"/>
      </w:pPr>
      <w:r w:rsidDel="00513835">
        <w:t>A</w:t>
      </w:r>
      <w:r>
        <w:t>s of June, the Western Balkans Guarantee 4 SME Resilience had committed the last of its</w:t>
      </w:r>
      <w:r w:rsidR="00B536F7">
        <w:t xml:space="preserve"> </w:t>
      </w:r>
      <w:r w:rsidR="00B536F7" w:rsidDel="00EB0E5C">
        <w:t>EUR</w:t>
      </w:r>
      <w:r w:rsidR="00EB0E5C">
        <w:rPr>
          <w:rFonts w:ascii="Calibri" w:hAnsi="Calibri" w:cs="Calibri"/>
        </w:rPr>
        <w:t> </w:t>
      </w:r>
      <w:r>
        <w:t>60</w:t>
      </w:r>
      <w:r w:rsidR="00EB0E5C">
        <w:rPr>
          <w:rFonts w:ascii="Calibri" w:hAnsi="Calibri" w:cs="Calibri"/>
        </w:rPr>
        <w:t> </w:t>
      </w:r>
      <w:r w:rsidR="00EB0E5C">
        <w:t>million</w:t>
      </w:r>
      <w:r>
        <w:t xml:space="preserve"> in EU funds, unlocking a total of</w:t>
      </w:r>
      <w:r w:rsidR="00B536F7">
        <w:t xml:space="preserve"> </w:t>
      </w:r>
      <w:r w:rsidR="00B536F7" w:rsidDel="00EB0E5C">
        <w:t>EUR</w:t>
      </w:r>
      <w:r w:rsidR="00EB0E5C">
        <w:rPr>
          <w:rFonts w:ascii="Calibri" w:hAnsi="Calibri" w:cs="Calibri"/>
        </w:rPr>
        <w:t> </w:t>
      </w:r>
      <w:r>
        <w:t>886</w:t>
      </w:r>
      <w:r w:rsidR="00EB0E5C">
        <w:rPr>
          <w:rFonts w:ascii="Calibri" w:hAnsi="Calibri" w:cs="Calibri"/>
        </w:rPr>
        <w:t> </w:t>
      </w:r>
      <w:r w:rsidR="00EB0E5C">
        <w:t>million</w:t>
      </w:r>
      <w:r>
        <w:t xml:space="preserve"> in financing to support the sustainable growth of small and medium-sized enterprises in the region.</w:t>
      </w:r>
    </w:p>
    <w:p w14:paraId="17862AB7" w14:textId="04B40A01" w:rsidR="00746207" w:rsidRDefault="00EB0E5C" w:rsidP="0041545A">
      <w:pPr>
        <w:pStyle w:val="ListBulletorangeLevel1"/>
      </w:pPr>
      <w:r>
        <w:t>EUR</w:t>
      </w:r>
      <w:r>
        <w:rPr>
          <w:rFonts w:ascii="Calibri" w:hAnsi="Calibri" w:cs="Calibri"/>
        </w:rPr>
        <w:t> </w:t>
      </w:r>
      <w:r w:rsidR="00C917DA">
        <w:t>288.9</w:t>
      </w:r>
      <w:r>
        <w:rPr>
          <w:rFonts w:ascii="Calibri" w:hAnsi="Calibri" w:cs="Calibri"/>
        </w:rPr>
        <w:t> </w:t>
      </w:r>
      <w:r>
        <w:t>million</w:t>
      </w:r>
      <w:r w:rsidR="00C917DA">
        <w:t xml:space="preserve"> was disbursed under the new Reform and Growth Facility for Moldova</w:t>
      </w:r>
      <w:r w:rsidR="00513835">
        <w:t>.</w:t>
      </w:r>
    </w:p>
    <w:p w14:paraId="02696B10" w14:textId="36F810FF" w:rsidR="009D5AC6" w:rsidRDefault="000E3398" w:rsidP="00003857">
      <w:pPr>
        <w:rPr>
          <w:rFonts w:ascii="Calibri" w:hAnsi="Calibri" w:cs="Calibri"/>
          <w:lang w:val="en-IE"/>
        </w:rPr>
      </w:pPr>
      <w:r w:rsidRPr="001A568A">
        <w:rPr>
          <w:rStyle w:val="Bold"/>
        </w:rPr>
        <w:t xml:space="preserve">In 2025, the Commission finalised the programming of </w:t>
      </w:r>
      <w:r w:rsidR="00611D41" w:rsidRPr="001A568A">
        <w:rPr>
          <w:rStyle w:val="Bold"/>
        </w:rPr>
        <w:t>the</w:t>
      </w:r>
      <w:r w:rsidRPr="001A568A">
        <w:rPr>
          <w:rStyle w:val="Bold"/>
        </w:rPr>
        <w:t xml:space="preserve"> </w:t>
      </w:r>
      <w:r w:rsidR="00361E7E" w:rsidRPr="001A568A">
        <w:rPr>
          <w:rStyle w:val="Bold"/>
        </w:rPr>
        <w:t>Instrument for Pre-Accession Assistance</w:t>
      </w:r>
      <w:r w:rsidRPr="001A568A">
        <w:rPr>
          <w:rStyle w:val="Bold"/>
        </w:rPr>
        <w:t xml:space="preserve"> III bilateral and multi-country multiannual action plans in favour of the Western</w:t>
      </w:r>
      <w:r w:rsidRPr="007237F5">
        <w:rPr>
          <w:rStyle w:val="BoldAccent1"/>
          <w:rFonts w:eastAsia="Times New Roman"/>
        </w:rPr>
        <w:t xml:space="preserve"> </w:t>
      </w:r>
      <w:r w:rsidRPr="001A568A">
        <w:rPr>
          <w:rStyle w:val="Bold"/>
        </w:rPr>
        <w:t>Balkans and Türkiye</w:t>
      </w:r>
      <w:r w:rsidRPr="00E0372D">
        <w:rPr>
          <w:rStyle w:val="Bold"/>
          <w:b w:val="0"/>
        </w:rPr>
        <w:t>,</w:t>
      </w:r>
      <w:r w:rsidR="007237F5">
        <w:rPr>
          <w:rFonts w:ascii="Calibri" w:hAnsi="Calibri" w:cs="Calibri"/>
          <w:lang w:val="en-IE"/>
        </w:rPr>
        <w:t xml:space="preserve"> </w:t>
      </w:r>
      <w:r w:rsidRPr="000E3398">
        <w:rPr>
          <w:lang w:val="en-IE"/>
        </w:rPr>
        <w:t>with the exception of</w:t>
      </w:r>
      <w:r w:rsidR="007237F5">
        <w:rPr>
          <w:rFonts w:ascii="Calibri" w:hAnsi="Calibri" w:cs="Calibri"/>
          <w:lang w:val="en-IE"/>
        </w:rPr>
        <w:t xml:space="preserve"> </w:t>
      </w:r>
      <w:r w:rsidRPr="000E3398">
        <w:rPr>
          <w:lang w:val="en-IE"/>
        </w:rPr>
        <w:t>Kosovo</w:t>
      </w:r>
      <w:r w:rsidR="004760B9">
        <w:rPr>
          <w:rFonts w:ascii="Calibri" w:hAnsi="Calibri" w:cs="Calibri"/>
          <w:lang w:val="en-IE"/>
        </w:rPr>
        <w:t> </w:t>
      </w:r>
      <w:r w:rsidR="004760B9" w:rsidRPr="004760B9">
        <w:rPr>
          <w:rFonts w:ascii="Calibri" w:hAnsi="Calibri" w:cs="Calibri"/>
          <w:lang w:val="en-IE"/>
        </w:rPr>
        <w:t>(</w:t>
      </w:r>
      <w:r w:rsidR="004760B9">
        <w:rPr>
          <w:rStyle w:val="FootnoteReference"/>
          <w:rFonts w:ascii="Calibri" w:hAnsi="Calibri" w:cs="Calibri"/>
          <w:lang w:val="en-IE"/>
        </w:rPr>
        <w:footnoteReference w:id="57"/>
      </w:r>
      <w:r w:rsidR="004760B9">
        <w:rPr>
          <w:rFonts w:ascii="Calibri" w:hAnsi="Calibri" w:cs="Calibri"/>
          <w:lang w:val="en-IE"/>
        </w:rPr>
        <w:t>)</w:t>
      </w:r>
      <w:r w:rsidRPr="000E3398">
        <w:rPr>
          <w:lang w:val="en-IE"/>
        </w:rPr>
        <w:t xml:space="preserve">. </w:t>
      </w:r>
      <w:r w:rsidR="00BA7691">
        <w:rPr>
          <w:lang w:val="en-IE"/>
        </w:rPr>
        <w:t>Actions</w:t>
      </w:r>
      <w:r w:rsidRPr="000E3398">
        <w:rPr>
          <w:lang w:val="en-IE"/>
        </w:rPr>
        <w:t xml:space="preserve"> adopted</w:t>
      </w:r>
      <w:r w:rsidR="00BA7691">
        <w:rPr>
          <w:lang w:val="en-IE"/>
        </w:rPr>
        <w:t xml:space="preserve"> included</w:t>
      </w:r>
      <w:r w:rsidR="00F77A81">
        <w:rPr>
          <w:lang w:val="en-IE"/>
        </w:rPr>
        <w:t xml:space="preserve"> </w:t>
      </w:r>
      <w:r w:rsidR="00A923B9" w:rsidRPr="00A923B9">
        <w:rPr>
          <w:lang w:val="en-IE"/>
        </w:rPr>
        <w:t xml:space="preserve">a </w:t>
      </w:r>
      <w:r w:rsidR="00A923B9">
        <w:rPr>
          <w:lang w:val="en-IE"/>
        </w:rPr>
        <w:t>m</w:t>
      </w:r>
      <w:r w:rsidR="00A923B9" w:rsidRPr="00A923B9">
        <w:rPr>
          <w:lang w:val="en-IE"/>
        </w:rPr>
        <w:t xml:space="preserve">ulti-country and </w:t>
      </w:r>
      <w:r w:rsidR="00A63C06">
        <w:rPr>
          <w:lang w:val="en-IE"/>
        </w:rPr>
        <w:t>c</w:t>
      </w:r>
      <w:r w:rsidR="00A923B9" w:rsidRPr="00A923B9">
        <w:rPr>
          <w:lang w:val="en-IE"/>
        </w:rPr>
        <w:t xml:space="preserve">ivil </w:t>
      </w:r>
      <w:r w:rsidR="00A63C06">
        <w:rPr>
          <w:lang w:val="en-IE"/>
        </w:rPr>
        <w:t>s</w:t>
      </w:r>
      <w:r w:rsidR="00A923B9" w:rsidRPr="00A923B9">
        <w:rPr>
          <w:lang w:val="en-IE"/>
        </w:rPr>
        <w:t xml:space="preserve">ociety </w:t>
      </w:r>
      <w:r w:rsidR="00A63C06">
        <w:rPr>
          <w:lang w:val="en-IE"/>
        </w:rPr>
        <w:t>f</w:t>
      </w:r>
      <w:r w:rsidR="00A923B9" w:rsidRPr="00A923B9">
        <w:rPr>
          <w:lang w:val="en-IE"/>
        </w:rPr>
        <w:t xml:space="preserve">acility and </w:t>
      </w:r>
      <w:r w:rsidR="00A63C06">
        <w:rPr>
          <w:lang w:val="en-IE"/>
        </w:rPr>
        <w:t>m</w:t>
      </w:r>
      <w:r w:rsidR="00A923B9" w:rsidRPr="00A923B9">
        <w:rPr>
          <w:lang w:val="en-IE"/>
        </w:rPr>
        <w:t xml:space="preserve">edia multiannual action plan for 2025–2027 </w:t>
      </w:r>
      <w:r w:rsidR="00A923B9">
        <w:rPr>
          <w:lang w:val="en-IE"/>
        </w:rPr>
        <w:t xml:space="preserve">worth </w:t>
      </w:r>
      <w:r w:rsidR="00A923B9" w:rsidRPr="00A923B9" w:rsidDel="00EB0E5C">
        <w:rPr>
          <w:lang w:val="en-IE"/>
        </w:rPr>
        <w:t>EUR</w:t>
      </w:r>
      <w:r w:rsidR="00EB0E5C">
        <w:rPr>
          <w:rFonts w:ascii="Calibri" w:hAnsi="Calibri" w:cs="Calibri"/>
          <w:lang w:val="en-IE"/>
        </w:rPr>
        <w:t> </w:t>
      </w:r>
      <w:r w:rsidR="00A923B9" w:rsidRPr="00A923B9">
        <w:rPr>
          <w:lang w:val="en-IE"/>
        </w:rPr>
        <w:t>553.9</w:t>
      </w:r>
      <w:r w:rsidR="00EB0E5C">
        <w:rPr>
          <w:rFonts w:ascii="Calibri" w:hAnsi="Calibri" w:cs="Calibri"/>
          <w:lang w:val="en-IE"/>
        </w:rPr>
        <w:t> </w:t>
      </w:r>
      <w:r w:rsidR="00EB0E5C">
        <w:rPr>
          <w:lang w:val="en-IE"/>
        </w:rPr>
        <w:t>million</w:t>
      </w:r>
      <w:r w:rsidR="00A923B9">
        <w:rPr>
          <w:lang w:val="en-IE"/>
        </w:rPr>
        <w:t>;</w:t>
      </w:r>
      <w:r w:rsidRPr="000E3398">
        <w:rPr>
          <w:lang w:val="en-IE"/>
        </w:rPr>
        <w:t xml:space="preserve"> a </w:t>
      </w:r>
      <w:r w:rsidR="009038BF" w:rsidRPr="000E3398">
        <w:rPr>
          <w:lang w:val="en-IE"/>
        </w:rPr>
        <w:t>mult</w:t>
      </w:r>
      <w:r w:rsidRPr="000E3398">
        <w:rPr>
          <w:lang w:val="en-IE"/>
        </w:rPr>
        <w:t xml:space="preserve">iannual action plan covering bilateral actions in favour of Albania, Bosnia and Herzegovina, Montenegro, North Macedonia and Serbia for 2025–2027 </w:t>
      </w:r>
      <w:r w:rsidR="00BA7691">
        <w:rPr>
          <w:lang w:val="en-IE"/>
        </w:rPr>
        <w:t xml:space="preserve">of </w:t>
      </w:r>
      <w:r w:rsidRPr="000E3398" w:rsidDel="00EB0E5C">
        <w:rPr>
          <w:lang w:val="en-IE"/>
        </w:rPr>
        <w:t>EUR</w:t>
      </w:r>
      <w:r w:rsidR="00EB0E5C">
        <w:rPr>
          <w:rFonts w:ascii="Calibri" w:hAnsi="Calibri" w:cs="Calibri"/>
          <w:lang w:val="en-IE"/>
        </w:rPr>
        <w:t> </w:t>
      </w:r>
      <w:r w:rsidRPr="000E3398">
        <w:rPr>
          <w:lang w:val="en-IE"/>
        </w:rPr>
        <w:t>491.9</w:t>
      </w:r>
      <w:r w:rsidR="00EB0E5C">
        <w:rPr>
          <w:rFonts w:ascii="Calibri" w:hAnsi="Calibri" w:cs="Calibri"/>
          <w:lang w:val="en-IE"/>
        </w:rPr>
        <w:t> </w:t>
      </w:r>
      <w:r w:rsidR="00EB0E5C">
        <w:rPr>
          <w:lang w:val="en-IE"/>
        </w:rPr>
        <w:t>million</w:t>
      </w:r>
      <w:r w:rsidRPr="000E3398">
        <w:rPr>
          <w:lang w:val="en-IE"/>
        </w:rPr>
        <w:t xml:space="preserve">; a </w:t>
      </w:r>
      <w:r w:rsidR="009D5AC6">
        <w:rPr>
          <w:lang w:val="en-IE"/>
        </w:rPr>
        <w:t>m</w:t>
      </w:r>
      <w:r w:rsidRPr="000E3398">
        <w:rPr>
          <w:lang w:val="en-IE"/>
        </w:rPr>
        <w:t xml:space="preserve">ultiannual action plan in favour of Türkiye for 2025–2027 </w:t>
      </w:r>
      <w:r w:rsidR="00BA7691">
        <w:rPr>
          <w:lang w:val="en-IE"/>
        </w:rPr>
        <w:t xml:space="preserve">for </w:t>
      </w:r>
      <w:r w:rsidRPr="000E3398" w:rsidDel="00EB0E5C">
        <w:rPr>
          <w:lang w:val="en-IE"/>
        </w:rPr>
        <w:t>EUR</w:t>
      </w:r>
      <w:r w:rsidR="00EB0E5C">
        <w:rPr>
          <w:rFonts w:ascii="Calibri" w:hAnsi="Calibri" w:cs="Calibri"/>
          <w:lang w:val="en-IE"/>
        </w:rPr>
        <w:t> </w:t>
      </w:r>
      <w:r w:rsidRPr="000E3398">
        <w:rPr>
          <w:lang w:val="en-IE"/>
        </w:rPr>
        <w:t>311.7</w:t>
      </w:r>
      <w:r w:rsidR="00EB0E5C">
        <w:rPr>
          <w:rFonts w:ascii="Calibri" w:hAnsi="Calibri" w:cs="Calibri"/>
          <w:lang w:val="en-IE"/>
        </w:rPr>
        <w:t> </w:t>
      </w:r>
      <w:r w:rsidR="00EB0E5C">
        <w:rPr>
          <w:lang w:val="en-IE"/>
        </w:rPr>
        <w:t>million</w:t>
      </w:r>
      <w:r w:rsidRPr="000E3398">
        <w:rPr>
          <w:lang w:val="en-IE"/>
        </w:rPr>
        <w:t xml:space="preserve">; and a multiannual action supporting essential needs for refugees and migration management in Türkiye for 2025–2027 </w:t>
      </w:r>
      <w:r w:rsidR="00BA7691">
        <w:rPr>
          <w:lang w:val="en-IE"/>
        </w:rPr>
        <w:t xml:space="preserve">of </w:t>
      </w:r>
      <w:r w:rsidRPr="000E3398" w:rsidDel="00EB0E5C">
        <w:rPr>
          <w:lang w:val="en-IE"/>
        </w:rPr>
        <w:t>EUR</w:t>
      </w:r>
      <w:r w:rsidR="00EB0E5C">
        <w:rPr>
          <w:rFonts w:ascii="Calibri" w:hAnsi="Calibri" w:cs="Calibri"/>
          <w:lang w:val="en-IE"/>
        </w:rPr>
        <w:t> </w:t>
      </w:r>
      <w:r w:rsidRPr="000E3398">
        <w:rPr>
          <w:lang w:val="en-IE"/>
        </w:rPr>
        <w:t>1.15</w:t>
      </w:r>
      <w:r w:rsidR="00EB0E5C">
        <w:rPr>
          <w:rFonts w:ascii="Calibri" w:hAnsi="Calibri" w:cs="Calibri"/>
          <w:lang w:val="en-IE"/>
        </w:rPr>
        <w:t> </w:t>
      </w:r>
      <w:r w:rsidR="00EB0E5C">
        <w:rPr>
          <w:lang w:val="en-IE"/>
        </w:rPr>
        <w:t>billion</w:t>
      </w:r>
      <w:r w:rsidRPr="000E3398">
        <w:rPr>
          <w:lang w:val="en-IE"/>
        </w:rPr>
        <w:t>.</w:t>
      </w:r>
      <w:r w:rsidRPr="000E3398">
        <w:rPr>
          <w:rFonts w:ascii="Calibri" w:hAnsi="Calibri" w:cs="Calibri"/>
          <w:lang w:val="en-IE"/>
        </w:rPr>
        <w:t> </w:t>
      </w:r>
    </w:p>
    <w:p w14:paraId="73F6A13E" w14:textId="4F59F1A8" w:rsidR="00643BE7" w:rsidRDefault="00643BE7" w:rsidP="00643BE7">
      <w:pPr>
        <w:rPr>
          <w:lang w:val="en-IE"/>
        </w:rPr>
      </w:pPr>
      <w:r w:rsidRPr="001A568A">
        <w:rPr>
          <w:rStyle w:val="Bold"/>
        </w:rPr>
        <w:t xml:space="preserve">Moldova </w:t>
      </w:r>
      <w:r w:rsidR="00765D29" w:rsidRPr="001A568A">
        <w:rPr>
          <w:rStyle w:val="Bold"/>
        </w:rPr>
        <w:t>became a</w:t>
      </w:r>
      <w:r w:rsidRPr="001A568A" w:rsidDel="00765D29">
        <w:rPr>
          <w:rStyle w:val="Bold"/>
        </w:rPr>
        <w:t xml:space="preserve"> </w:t>
      </w:r>
      <w:r w:rsidRPr="001A568A">
        <w:rPr>
          <w:rStyle w:val="Bold"/>
        </w:rPr>
        <w:t>candidate country</w:t>
      </w:r>
      <w:r w:rsidR="00072AC5">
        <w:rPr>
          <w:lang w:val="en-IE"/>
        </w:rPr>
        <w:t xml:space="preserve"> in 2022.</w:t>
      </w:r>
      <w:r>
        <w:rPr>
          <w:lang w:val="en-IE"/>
        </w:rPr>
        <w:t xml:space="preserve"> </w:t>
      </w:r>
      <w:r w:rsidR="00072AC5">
        <w:rPr>
          <w:lang w:val="en-IE"/>
        </w:rPr>
        <w:t>T</w:t>
      </w:r>
      <w:r>
        <w:rPr>
          <w:lang w:val="en-IE"/>
        </w:rPr>
        <w:t>he EU has cooperat</w:t>
      </w:r>
      <w:r w:rsidR="00E84492">
        <w:rPr>
          <w:lang w:val="en-IE"/>
        </w:rPr>
        <w:t>ed</w:t>
      </w:r>
      <w:r>
        <w:rPr>
          <w:lang w:val="en-IE"/>
        </w:rPr>
        <w:t xml:space="preserve"> with Moldova via the framework of the European Neighbourhood Policy and the Eastern Partnership. </w:t>
      </w:r>
      <w:r w:rsidR="00740312" w:rsidRPr="6D3B0B0A">
        <w:rPr>
          <w:lang w:val="en-IE"/>
        </w:rPr>
        <w:t xml:space="preserve">In February 2025, in the context of the energy crisis caused by the insecurity of Russian supplies, the Commission and Moldova agreed on a </w:t>
      </w:r>
      <w:r w:rsidR="00A017F6">
        <w:rPr>
          <w:lang w:val="en-IE"/>
        </w:rPr>
        <w:t>two</w:t>
      </w:r>
      <w:r w:rsidR="00740312" w:rsidRPr="6D3B0B0A">
        <w:rPr>
          <w:lang w:val="en-IE"/>
        </w:rPr>
        <w:t xml:space="preserve">-year </w:t>
      </w:r>
      <w:r w:rsidR="00477321">
        <w:rPr>
          <w:lang w:val="en-IE"/>
        </w:rPr>
        <w:t>c</w:t>
      </w:r>
      <w:r w:rsidR="00740312" w:rsidRPr="6D3B0B0A">
        <w:rPr>
          <w:lang w:val="en-IE"/>
        </w:rPr>
        <w:t xml:space="preserve">omprehensive </w:t>
      </w:r>
      <w:r w:rsidR="00477321">
        <w:rPr>
          <w:lang w:val="en-IE"/>
        </w:rPr>
        <w:t>s</w:t>
      </w:r>
      <w:r w:rsidR="00740312" w:rsidRPr="6D3B0B0A">
        <w:rPr>
          <w:lang w:val="en-IE"/>
        </w:rPr>
        <w:t xml:space="preserve">trategy for </w:t>
      </w:r>
      <w:r w:rsidR="00477321">
        <w:rPr>
          <w:lang w:val="en-IE"/>
        </w:rPr>
        <w:t>e</w:t>
      </w:r>
      <w:r w:rsidR="00740312" w:rsidRPr="6D3B0B0A">
        <w:rPr>
          <w:lang w:val="en-IE"/>
        </w:rPr>
        <w:t xml:space="preserve">nergy </w:t>
      </w:r>
      <w:r w:rsidR="00477321">
        <w:rPr>
          <w:lang w:val="en-IE"/>
        </w:rPr>
        <w:t>i</w:t>
      </w:r>
      <w:r w:rsidR="00740312" w:rsidRPr="6D3B0B0A">
        <w:rPr>
          <w:lang w:val="en-IE"/>
        </w:rPr>
        <w:t xml:space="preserve">ndependence and </w:t>
      </w:r>
      <w:r w:rsidR="00477321">
        <w:rPr>
          <w:lang w:val="en-IE"/>
        </w:rPr>
        <w:t>r</w:t>
      </w:r>
      <w:r w:rsidR="00740312" w:rsidRPr="6D3B0B0A">
        <w:rPr>
          <w:lang w:val="en-IE"/>
        </w:rPr>
        <w:t>esilience</w:t>
      </w:r>
      <w:r w:rsidR="00A93294">
        <w:rPr>
          <w:lang w:val="en-IE"/>
        </w:rPr>
        <w:t>,</w:t>
      </w:r>
      <w:r w:rsidR="00740312" w:rsidRPr="6D3B0B0A">
        <w:rPr>
          <w:lang w:val="en-IE"/>
        </w:rPr>
        <w:t xml:space="preserve"> providing quick EU support of up to EUR</w:t>
      </w:r>
      <w:r w:rsidR="00A017F6">
        <w:rPr>
          <w:rFonts w:ascii="Calibri" w:hAnsi="Calibri" w:cs="Calibri"/>
          <w:lang w:val="en-IE"/>
        </w:rPr>
        <w:t> </w:t>
      </w:r>
      <w:r w:rsidR="00740312" w:rsidRPr="6D3B0B0A">
        <w:rPr>
          <w:lang w:val="en-IE"/>
        </w:rPr>
        <w:t>160</w:t>
      </w:r>
      <w:r w:rsidR="00A017F6">
        <w:rPr>
          <w:rFonts w:ascii="Calibri" w:hAnsi="Calibri" w:cs="Calibri"/>
          <w:lang w:val="en-IE"/>
        </w:rPr>
        <w:t> </w:t>
      </w:r>
      <w:r w:rsidR="00740312" w:rsidRPr="0F8FC9DB">
        <w:rPr>
          <w:lang w:val="en-IE"/>
        </w:rPr>
        <w:t>million</w:t>
      </w:r>
      <w:r w:rsidR="00740312" w:rsidRPr="6D3B0B0A">
        <w:rPr>
          <w:lang w:val="en-IE"/>
        </w:rPr>
        <w:t xml:space="preserve"> to the country. </w:t>
      </w:r>
      <w:r>
        <w:rPr>
          <w:lang w:val="en-IE"/>
        </w:rPr>
        <w:t xml:space="preserve">In March, </w:t>
      </w:r>
      <w:r w:rsidRPr="007F2B39">
        <w:rPr>
          <w:lang w:val="en-IE"/>
        </w:rPr>
        <w:t xml:space="preserve">the Reform and Growth Facility for Moldova was </w:t>
      </w:r>
      <w:r>
        <w:rPr>
          <w:lang w:val="en-IE"/>
        </w:rPr>
        <w:t>creat</w:t>
      </w:r>
      <w:r w:rsidR="00B628B8">
        <w:rPr>
          <w:lang w:val="en-IE"/>
        </w:rPr>
        <w:t>ed,</w:t>
      </w:r>
      <w:r>
        <w:rPr>
          <w:lang w:val="en-IE"/>
        </w:rPr>
        <w:t xml:space="preserve"> a new financing tool of </w:t>
      </w:r>
      <w:r w:rsidDel="00EB0E5C">
        <w:rPr>
          <w:lang w:val="en-IE"/>
        </w:rPr>
        <w:t>EUR</w:t>
      </w:r>
      <w:r w:rsidR="00EB0E5C">
        <w:rPr>
          <w:rFonts w:ascii="Calibri" w:hAnsi="Calibri" w:cs="Calibri"/>
          <w:lang w:val="en-IE"/>
        </w:rPr>
        <w:t> </w:t>
      </w:r>
      <w:r>
        <w:rPr>
          <w:lang w:val="en-IE"/>
        </w:rPr>
        <w:t>1.9</w:t>
      </w:r>
      <w:r w:rsidR="00EB0E5C">
        <w:rPr>
          <w:rFonts w:ascii="Calibri" w:hAnsi="Calibri" w:cs="Calibri"/>
          <w:lang w:val="en-IE"/>
        </w:rPr>
        <w:t> </w:t>
      </w:r>
      <w:r w:rsidR="00EB0E5C">
        <w:rPr>
          <w:lang w:val="en-IE"/>
        </w:rPr>
        <w:t>billion</w:t>
      </w:r>
      <w:r>
        <w:rPr>
          <w:lang w:val="en-IE"/>
        </w:rPr>
        <w:t xml:space="preserve"> (2025-2027) to enact the Growth Plan. </w:t>
      </w:r>
      <w:r w:rsidRPr="007F2B39">
        <w:rPr>
          <w:lang w:val="en-IE"/>
        </w:rPr>
        <w:t>In Ju</w:t>
      </w:r>
      <w:r w:rsidR="00A664BC">
        <w:rPr>
          <w:lang w:val="en-IE"/>
        </w:rPr>
        <w:t>ne</w:t>
      </w:r>
      <w:r w:rsidRPr="007F2B39">
        <w:rPr>
          <w:lang w:val="en-IE"/>
        </w:rPr>
        <w:t xml:space="preserve"> 2025, Moldova received </w:t>
      </w:r>
      <w:r w:rsidRPr="007F2B39" w:rsidDel="00EB0E5C">
        <w:rPr>
          <w:lang w:val="en-IE"/>
        </w:rPr>
        <w:t>EUR</w:t>
      </w:r>
      <w:r w:rsidR="00EB0E5C">
        <w:rPr>
          <w:rFonts w:ascii="Calibri" w:hAnsi="Calibri" w:cs="Calibri"/>
          <w:lang w:val="en-IE"/>
        </w:rPr>
        <w:t> </w:t>
      </w:r>
      <w:r w:rsidR="006F6E45">
        <w:rPr>
          <w:lang w:val="en-IE"/>
        </w:rPr>
        <w:t>270</w:t>
      </w:r>
      <w:r w:rsidR="00EB0E5C">
        <w:rPr>
          <w:rFonts w:ascii="Calibri" w:hAnsi="Calibri" w:cs="Calibri"/>
          <w:lang w:val="en-IE"/>
        </w:rPr>
        <w:t> </w:t>
      </w:r>
      <w:r w:rsidR="00EB0E5C">
        <w:rPr>
          <w:lang w:val="en-IE"/>
        </w:rPr>
        <w:t>million</w:t>
      </w:r>
      <w:r w:rsidRPr="007F2B39">
        <w:rPr>
          <w:lang w:val="en-IE"/>
        </w:rPr>
        <w:t xml:space="preserve"> in pre-financing</w:t>
      </w:r>
      <w:r>
        <w:rPr>
          <w:lang w:val="en-IE"/>
        </w:rPr>
        <w:t xml:space="preserve"> loan</w:t>
      </w:r>
      <w:r w:rsidR="00A474A7">
        <w:rPr>
          <w:lang w:val="en-IE"/>
        </w:rPr>
        <w:t>s</w:t>
      </w:r>
      <w:r w:rsidRPr="007F2B39">
        <w:rPr>
          <w:lang w:val="en-IE"/>
        </w:rPr>
        <w:t xml:space="preserve"> under the </w:t>
      </w:r>
      <w:r w:rsidR="003C642F">
        <w:rPr>
          <w:lang w:val="en-IE"/>
        </w:rPr>
        <w:t>f</w:t>
      </w:r>
      <w:r w:rsidRPr="007F2B39">
        <w:rPr>
          <w:lang w:val="en-IE"/>
        </w:rPr>
        <w:t>acility</w:t>
      </w:r>
      <w:r>
        <w:rPr>
          <w:lang w:val="en-IE"/>
        </w:rPr>
        <w:t xml:space="preserve">, </w:t>
      </w:r>
      <w:r w:rsidR="00147D59" w:rsidRPr="4B348B53">
        <w:rPr>
          <w:lang w:val="en-IE"/>
        </w:rPr>
        <w:t xml:space="preserve">and </w:t>
      </w:r>
      <w:r w:rsidR="00147D59" w:rsidRPr="61CAC898">
        <w:rPr>
          <w:lang w:val="en-IE"/>
        </w:rPr>
        <w:t>EUR</w:t>
      </w:r>
      <w:r w:rsidR="00A017F6">
        <w:rPr>
          <w:rFonts w:ascii="Calibri" w:hAnsi="Calibri" w:cs="Calibri"/>
          <w:lang w:val="en-IE"/>
        </w:rPr>
        <w:t> </w:t>
      </w:r>
      <w:r w:rsidR="00147D59" w:rsidRPr="61CAC898">
        <w:rPr>
          <w:lang w:val="en-IE"/>
        </w:rPr>
        <w:t>24.3</w:t>
      </w:r>
      <w:r w:rsidR="005B15E9">
        <w:rPr>
          <w:rFonts w:ascii="Calibri" w:hAnsi="Calibri" w:cs="Calibri"/>
          <w:lang w:val="en-IE"/>
        </w:rPr>
        <w:t> </w:t>
      </w:r>
      <w:r w:rsidR="00147D59" w:rsidRPr="3E0937D5">
        <w:rPr>
          <w:lang w:val="en-IE"/>
        </w:rPr>
        <w:t xml:space="preserve">million was </w:t>
      </w:r>
      <w:r w:rsidR="00147D59" w:rsidRPr="054AE68F">
        <w:rPr>
          <w:lang w:val="en-IE"/>
        </w:rPr>
        <w:t>released</w:t>
      </w:r>
      <w:r w:rsidR="00524003">
        <w:rPr>
          <w:lang w:val="en-IE"/>
        </w:rPr>
        <w:t xml:space="preserve"> as</w:t>
      </w:r>
      <w:r w:rsidR="00147D59" w:rsidRPr="054AE68F">
        <w:rPr>
          <w:lang w:val="en-IE"/>
        </w:rPr>
        <w:t xml:space="preserve"> </w:t>
      </w:r>
      <w:r w:rsidR="00064E07">
        <w:rPr>
          <w:lang w:val="en-IE"/>
        </w:rPr>
        <w:t>non-repayable support</w:t>
      </w:r>
      <w:r w:rsidRPr="007F2B39">
        <w:rPr>
          <w:lang w:val="en-IE"/>
        </w:rPr>
        <w:t>.</w:t>
      </w:r>
      <w:r>
        <w:rPr>
          <w:lang w:val="en-IE"/>
        </w:rPr>
        <w:t xml:space="preserve"> Continued financial support under the </w:t>
      </w:r>
      <w:r w:rsidR="003C642F">
        <w:rPr>
          <w:lang w:val="en-IE"/>
        </w:rPr>
        <w:t>f</w:t>
      </w:r>
      <w:r>
        <w:rPr>
          <w:lang w:val="en-IE"/>
        </w:rPr>
        <w:t xml:space="preserve">acility is conditional upon successful implementation of reform. In September 2025, having established that Moldova had met four reform indicators from the Agenda, the Commission made its first regular payment under the </w:t>
      </w:r>
      <w:r w:rsidR="003C642F">
        <w:rPr>
          <w:lang w:val="en-IE"/>
        </w:rPr>
        <w:t>f</w:t>
      </w:r>
      <w:r>
        <w:rPr>
          <w:lang w:val="en-IE"/>
        </w:rPr>
        <w:t xml:space="preserve">acility, unlocking </w:t>
      </w:r>
      <w:r w:rsidDel="00EB0E5C">
        <w:rPr>
          <w:lang w:val="en-IE"/>
        </w:rPr>
        <w:t>EUR</w:t>
      </w:r>
      <w:r w:rsidR="00EB0E5C">
        <w:rPr>
          <w:rFonts w:ascii="Calibri" w:hAnsi="Calibri" w:cs="Calibri"/>
          <w:lang w:val="en-IE"/>
        </w:rPr>
        <w:t> </w:t>
      </w:r>
      <w:r>
        <w:rPr>
          <w:lang w:val="en-IE"/>
        </w:rPr>
        <w:t>18.9</w:t>
      </w:r>
      <w:r w:rsidR="00EB0E5C">
        <w:rPr>
          <w:rFonts w:ascii="Calibri" w:hAnsi="Calibri" w:cs="Calibri"/>
          <w:lang w:val="en-IE"/>
        </w:rPr>
        <w:t> </w:t>
      </w:r>
      <w:r w:rsidR="00EB0E5C">
        <w:rPr>
          <w:lang w:val="en-IE"/>
        </w:rPr>
        <w:t>million</w:t>
      </w:r>
      <w:r w:rsidR="007B0054">
        <w:rPr>
          <w:lang w:val="en-IE"/>
        </w:rPr>
        <w:t xml:space="preserve"> in loans</w:t>
      </w:r>
      <w:r>
        <w:rPr>
          <w:lang w:val="en-IE"/>
        </w:rPr>
        <w:t>. The reforms included</w:t>
      </w:r>
      <w:r w:rsidRPr="007F2B39">
        <w:rPr>
          <w:lang w:val="en-IE"/>
        </w:rPr>
        <w:t xml:space="preserve"> the development of open and competitive electricity and gas markets, a</w:t>
      </w:r>
      <w:r w:rsidR="003C642F">
        <w:rPr>
          <w:lang w:val="en-IE"/>
        </w:rPr>
        <w:t xml:space="preserve">long with </w:t>
      </w:r>
      <w:r w:rsidRPr="007F2B39">
        <w:rPr>
          <w:lang w:val="en-IE"/>
        </w:rPr>
        <w:t xml:space="preserve">measures to guarantee energy security. </w:t>
      </w:r>
    </w:p>
    <w:p w14:paraId="486EED81" w14:textId="3696AD7A" w:rsidR="004336CC" w:rsidRDefault="00B57E7D" w:rsidP="004336CC">
      <w:pPr>
        <w:rPr>
          <w:rFonts w:ascii="Calibri" w:hAnsi="Calibri" w:cs="Calibri"/>
        </w:rPr>
      </w:pPr>
      <w:r w:rsidRPr="001A568A">
        <w:rPr>
          <w:rStyle w:val="Bold"/>
        </w:rPr>
        <w:t>In the</w:t>
      </w:r>
      <w:r w:rsidR="00F15C8D" w:rsidRPr="001A568A">
        <w:rPr>
          <w:rStyle w:val="Bold"/>
        </w:rPr>
        <w:t xml:space="preserve"> </w:t>
      </w:r>
      <w:r w:rsidRPr="001A568A">
        <w:rPr>
          <w:rStyle w:val="Bold"/>
        </w:rPr>
        <w:t>Eastern</w:t>
      </w:r>
      <w:r w:rsidR="00F15C8D" w:rsidRPr="001A568A">
        <w:rPr>
          <w:rStyle w:val="Bold"/>
        </w:rPr>
        <w:t xml:space="preserve"> </w:t>
      </w:r>
      <w:r w:rsidRPr="001A568A">
        <w:rPr>
          <w:rStyle w:val="Bold"/>
        </w:rPr>
        <w:t>Neighbourhood,</w:t>
      </w:r>
      <w:r w:rsidR="00F15C8D" w:rsidRPr="001A568A">
        <w:rPr>
          <w:rStyle w:val="Bold"/>
        </w:rPr>
        <w:t xml:space="preserve"> </w:t>
      </w:r>
      <w:r w:rsidRPr="001A568A">
        <w:rPr>
          <w:rStyle w:val="Bold"/>
        </w:rPr>
        <w:t>the</w:t>
      </w:r>
      <w:r w:rsidR="00F15C8D" w:rsidRPr="001A568A">
        <w:rPr>
          <w:rStyle w:val="Bold"/>
        </w:rPr>
        <w:t xml:space="preserve"> </w:t>
      </w:r>
      <w:r w:rsidRPr="001A568A">
        <w:rPr>
          <w:rStyle w:val="Bold"/>
        </w:rPr>
        <w:t>Eastern</w:t>
      </w:r>
      <w:r w:rsidR="00F15C8D" w:rsidRPr="001A568A">
        <w:rPr>
          <w:rStyle w:val="Bold"/>
        </w:rPr>
        <w:t xml:space="preserve"> </w:t>
      </w:r>
      <w:r w:rsidRPr="001A568A">
        <w:rPr>
          <w:rStyle w:val="Bold"/>
        </w:rPr>
        <w:t>Partnership</w:t>
      </w:r>
      <w:r w:rsidR="00F15C8D" w:rsidRPr="001A568A">
        <w:rPr>
          <w:rStyle w:val="Bold"/>
        </w:rPr>
        <w:t xml:space="preserve"> </w:t>
      </w:r>
      <w:r w:rsidRPr="001A568A">
        <w:rPr>
          <w:rStyle w:val="Bold"/>
        </w:rPr>
        <w:t>continues to be</w:t>
      </w:r>
      <w:r w:rsidR="00F15C8D" w:rsidRPr="001A568A">
        <w:rPr>
          <w:rStyle w:val="Bold"/>
        </w:rPr>
        <w:t xml:space="preserve"> </w:t>
      </w:r>
      <w:r w:rsidRPr="001A568A">
        <w:rPr>
          <w:rStyle w:val="Bold"/>
        </w:rPr>
        <w:t>the overarching</w:t>
      </w:r>
      <w:r w:rsidR="00F15C8D" w:rsidRPr="001A568A">
        <w:rPr>
          <w:rStyle w:val="Bold"/>
        </w:rPr>
        <w:t xml:space="preserve"> </w:t>
      </w:r>
      <w:r w:rsidRPr="001A568A">
        <w:rPr>
          <w:rStyle w:val="Bold"/>
        </w:rPr>
        <w:t>policy framework to</w:t>
      </w:r>
      <w:r w:rsidR="00F15C8D" w:rsidRPr="001A568A">
        <w:rPr>
          <w:rStyle w:val="Bold"/>
        </w:rPr>
        <w:t xml:space="preserve"> </w:t>
      </w:r>
      <w:r w:rsidRPr="001A568A">
        <w:rPr>
          <w:rStyle w:val="Bold"/>
        </w:rPr>
        <w:t>enhance</w:t>
      </w:r>
      <w:r w:rsidR="00F15C8D" w:rsidRPr="001A568A">
        <w:rPr>
          <w:rStyle w:val="Bold"/>
        </w:rPr>
        <w:t xml:space="preserve"> </w:t>
      </w:r>
      <w:r w:rsidRPr="001A568A">
        <w:rPr>
          <w:rStyle w:val="Bold"/>
        </w:rPr>
        <w:t>regional cooperation,</w:t>
      </w:r>
      <w:r w:rsidR="00F15C8D" w:rsidRPr="001A568A">
        <w:rPr>
          <w:rStyle w:val="Bold"/>
        </w:rPr>
        <w:t xml:space="preserve"> </w:t>
      </w:r>
      <w:r w:rsidRPr="001A568A">
        <w:rPr>
          <w:rStyle w:val="Bold"/>
        </w:rPr>
        <w:t>promote</w:t>
      </w:r>
      <w:r w:rsidR="00F15C8D" w:rsidRPr="001A568A">
        <w:rPr>
          <w:rStyle w:val="Bold"/>
        </w:rPr>
        <w:t xml:space="preserve"> </w:t>
      </w:r>
      <w:r w:rsidRPr="001A568A">
        <w:rPr>
          <w:rStyle w:val="Bold"/>
        </w:rPr>
        <w:t>stability</w:t>
      </w:r>
      <w:r w:rsidR="00F15C8D" w:rsidRPr="001A568A">
        <w:rPr>
          <w:rStyle w:val="Bold"/>
        </w:rPr>
        <w:t xml:space="preserve"> </w:t>
      </w:r>
      <w:r w:rsidRPr="001A568A">
        <w:rPr>
          <w:rStyle w:val="Bold"/>
        </w:rPr>
        <w:t>and</w:t>
      </w:r>
      <w:r w:rsidR="00F15C8D" w:rsidRPr="001A568A">
        <w:rPr>
          <w:rStyle w:val="Bold"/>
        </w:rPr>
        <w:t xml:space="preserve"> </w:t>
      </w:r>
      <w:r w:rsidRPr="001A568A">
        <w:rPr>
          <w:rStyle w:val="Bold"/>
        </w:rPr>
        <w:t>economic growth</w:t>
      </w:r>
      <w:r w:rsidR="00F15C8D">
        <w:rPr>
          <w:rFonts w:ascii="Calibri" w:hAnsi="Calibri" w:cs="Calibri"/>
        </w:rPr>
        <w:t xml:space="preserve"> </w:t>
      </w:r>
      <w:r w:rsidR="004336CC" w:rsidRPr="00B57E7D">
        <w:t>a</w:t>
      </w:r>
      <w:r w:rsidR="000E6CDC">
        <w:t>nd</w:t>
      </w:r>
      <w:r w:rsidR="00B3448D">
        <w:rPr>
          <w:rFonts w:ascii="Calibri" w:hAnsi="Calibri" w:cs="Calibri"/>
        </w:rPr>
        <w:t xml:space="preserve"> </w:t>
      </w:r>
      <w:r w:rsidRPr="00B57E7D">
        <w:t>bring</w:t>
      </w:r>
      <w:r w:rsidR="00F15C8D">
        <w:rPr>
          <w:rFonts w:ascii="Calibri" w:hAnsi="Calibri" w:cs="Calibri"/>
        </w:rPr>
        <w:t xml:space="preserve"> </w:t>
      </w:r>
      <w:r w:rsidRPr="00B57E7D">
        <w:t xml:space="preserve">partner countries closer to the </w:t>
      </w:r>
      <w:r w:rsidR="00B3448D">
        <w:t>E</w:t>
      </w:r>
      <w:r w:rsidRPr="00B57E7D">
        <w:t>U.</w:t>
      </w:r>
      <w:r w:rsidR="004336CC">
        <w:t xml:space="preserve"> A</w:t>
      </w:r>
      <w:r w:rsidR="004336CC" w:rsidRPr="007741C0">
        <w:t>ssistance</w:t>
      </w:r>
      <w:r w:rsidR="004336CC">
        <w:rPr>
          <w:rFonts w:ascii="Calibri" w:hAnsi="Calibri" w:cs="Calibri"/>
        </w:rPr>
        <w:t xml:space="preserve"> </w:t>
      </w:r>
      <w:r w:rsidR="004336CC" w:rsidRPr="00B57E7D">
        <w:t xml:space="preserve">through </w:t>
      </w:r>
      <w:r w:rsidR="004336CC" w:rsidRPr="007741C0">
        <w:t>multi-annual</w:t>
      </w:r>
      <w:r w:rsidR="004336CC">
        <w:rPr>
          <w:rFonts w:ascii="Calibri" w:hAnsi="Calibri" w:cs="Calibri"/>
        </w:rPr>
        <w:t xml:space="preserve"> </w:t>
      </w:r>
      <w:r w:rsidR="004336CC" w:rsidRPr="007741C0">
        <w:t>action</w:t>
      </w:r>
      <w:r w:rsidR="004336CC">
        <w:rPr>
          <w:rFonts w:ascii="Calibri" w:hAnsi="Calibri" w:cs="Calibri"/>
        </w:rPr>
        <w:t xml:space="preserve"> </w:t>
      </w:r>
      <w:r w:rsidR="004336CC" w:rsidRPr="007741C0">
        <w:t>programmes</w:t>
      </w:r>
      <w:r w:rsidR="004336CC">
        <w:rPr>
          <w:rFonts w:ascii="Calibri" w:hAnsi="Calibri" w:cs="Calibri"/>
        </w:rPr>
        <w:t xml:space="preserve"> </w:t>
      </w:r>
      <w:r w:rsidR="004336CC" w:rsidRPr="007741C0">
        <w:t>covering the 2025</w:t>
      </w:r>
      <w:r w:rsidR="000E6CDC">
        <w:t>-</w:t>
      </w:r>
      <w:r w:rsidR="004336CC" w:rsidRPr="007741C0">
        <w:t>2027</w:t>
      </w:r>
      <w:r w:rsidR="004336CC">
        <w:rPr>
          <w:rFonts w:ascii="Calibri" w:hAnsi="Calibri" w:cs="Calibri"/>
        </w:rPr>
        <w:t xml:space="preserve"> </w:t>
      </w:r>
      <w:r w:rsidR="004336CC" w:rsidRPr="007741C0">
        <w:t>period was</w:t>
      </w:r>
      <w:r w:rsidR="004336CC">
        <w:rPr>
          <w:rFonts w:ascii="Calibri" w:hAnsi="Calibri" w:cs="Calibri"/>
        </w:rPr>
        <w:t xml:space="preserve"> </w:t>
      </w:r>
      <w:r w:rsidR="004336CC" w:rsidRPr="007741C0">
        <w:t>approved</w:t>
      </w:r>
      <w:r w:rsidR="004336CC">
        <w:rPr>
          <w:rFonts w:ascii="Calibri" w:hAnsi="Calibri" w:cs="Calibri"/>
        </w:rPr>
        <w:t xml:space="preserve"> </w:t>
      </w:r>
      <w:r w:rsidR="004336CC" w:rsidRPr="007741C0">
        <w:t>in July</w:t>
      </w:r>
      <w:r w:rsidR="00372682">
        <w:t xml:space="preserve"> </w:t>
      </w:r>
      <w:r w:rsidR="00C75223">
        <w:t xml:space="preserve">for </w:t>
      </w:r>
      <w:r w:rsidR="00372682" w:rsidRPr="00372682">
        <w:t>Armenia, Azerbaijan, Belarus, Georgia and Moldova</w:t>
      </w:r>
      <w:r w:rsidR="00470182">
        <w:t>,</w:t>
      </w:r>
      <w:r w:rsidR="007741C0" w:rsidRPr="007741C0">
        <w:t xml:space="preserve"> </w:t>
      </w:r>
      <w:r w:rsidR="00372682">
        <w:t>totalling</w:t>
      </w:r>
      <w:r w:rsidR="004336CC">
        <w:rPr>
          <w:rFonts w:ascii="Calibri" w:hAnsi="Calibri" w:cs="Calibri"/>
        </w:rPr>
        <w:t xml:space="preserve"> </w:t>
      </w:r>
      <w:r w:rsidR="004336CC" w:rsidRPr="007741C0">
        <w:t>EUR</w:t>
      </w:r>
      <w:r w:rsidR="00EB0E5C">
        <w:rPr>
          <w:rFonts w:ascii="Calibri" w:hAnsi="Calibri" w:cs="Calibri"/>
        </w:rPr>
        <w:t> </w:t>
      </w:r>
      <w:r w:rsidR="004336CC">
        <w:t>668.2</w:t>
      </w:r>
      <w:r w:rsidR="00EB0E5C">
        <w:rPr>
          <w:rFonts w:ascii="Calibri" w:hAnsi="Calibri" w:cs="Calibri"/>
        </w:rPr>
        <w:t> </w:t>
      </w:r>
      <w:r w:rsidR="004336CC" w:rsidRPr="007741C0">
        <w:t>million</w:t>
      </w:r>
      <w:r w:rsidR="004336CC">
        <w:t>.</w:t>
      </w:r>
    </w:p>
    <w:p w14:paraId="05EC99F2" w14:textId="6308CE75" w:rsidR="00746207" w:rsidRDefault="00AD3A40" w:rsidP="00746207">
      <w:r w:rsidRPr="00AD3A40">
        <w:rPr>
          <w:b/>
          <w:bCs/>
        </w:rPr>
        <w:t>In the Southern Neighbourhood</w:t>
      </w:r>
      <w:r w:rsidRPr="002B19C5">
        <w:t>,</w:t>
      </w:r>
      <w:r w:rsidR="00336931">
        <w:t xml:space="preserve"> </w:t>
      </w:r>
      <w:r w:rsidR="000B408B">
        <w:t xml:space="preserve">a </w:t>
      </w:r>
      <w:r w:rsidR="007741C0">
        <w:t>multiannual</w:t>
      </w:r>
      <w:r w:rsidR="00077679">
        <w:rPr>
          <w:rFonts w:ascii="Calibri" w:hAnsi="Calibri" w:cs="Calibri"/>
        </w:rPr>
        <w:t xml:space="preserve"> </w:t>
      </w:r>
      <w:r w:rsidR="00EE2E62" w:rsidRPr="00EE2E62">
        <w:t xml:space="preserve">cooperation programme </w:t>
      </w:r>
      <w:r w:rsidR="00CA379D">
        <w:t xml:space="preserve">was adopted </w:t>
      </w:r>
      <w:r w:rsidR="00EE2E62" w:rsidRPr="00EE2E62">
        <w:t>for Libya</w:t>
      </w:r>
      <w:r w:rsidR="001D1B71" w:rsidRPr="00EE2E62">
        <w:t xml:space="preserve">, with a budget of </w:t>
      </w:r>
      <w:r w:rsidR="001D1B71" w:rsidRPr="00EE2E62" w:rsidDel="00EB0E5C">
        <w:t>EUR</w:t>
      </w:r>
      <w:r w:rsidR="00EB0E5C">
        <w:rPr>
          <w:rFonts w:ascii="Calibri" w:hAnsi="Calibri" w:cs="Calibri"/>
        </w:rPr>
        <w:t> </w:t>
      </w:r>
      <w:r w:rsidR="001D1B71" w:rsidRPr="00EE2E62">
        <w:t>102</w:t>
      </w:r>
      <w:r w:rsidR="00EB0E5C">
        <w:rPr>
          <w:rFonts w:ascii="Calibri" w:hAnsi="Calibri" w:cs="Calibri"/>
        </w:rPr>
        <w:t> </w:t>
      </w:r>
      <w:r w:rsidR="00EB0E5C">
        <w:t>million</w:t>
      </w:r>
      <w:r w:rsidR="001D1B71">
        <w:t xml:space="preserve"> </w:t>
      </w:r>
      <w:r w:rsidR="00457E0C">
        <w:t>to</w:t>
      </w:r>
      <w:r w:rsidR="001D1B71">
        <w:t xml:space="preserve"> support </w:t>
      </w:r>
      <w:r w:rsidR="001D1B71" w:rsidRPr="00EE2E62">
        <w:t>governance and stabilisation (</w:t>
      </w:r>
      <w:r w:rsidR="001D1B71" w:rsidRPr="00EE2E62" w:rsidDel="00EB0E5C">
        <w:t>EUR</w:t>
      </w:r>
      <w:r w:rsidR="00EB0E5C">
        <w:rPr>
          <w:rFonts w:ascii="Calibri" w:hAnsi="Calibri" w:cs="Calibri"/>
        </w:rPr>
        <w:t> </w:t>
      </w:r>
      <w:r w:rsidR="001D1B71" w:rsidRPr="00EE2E62">
        <w:t>55</w:t>
      </w:r>
      <w:r w:rsidR="00EB0E5C">
        <w:rPr>
          <w:rFonts w:ascii="Calibri" w:hAnsi="Calibri" w:cs="Calibri"/>
        </w:rPr>
        <w:t> </w:t>
      </w:r>
      <w:r w:rsidR="00EB0E5C">
        <w:t>million</w:t>
      </w:r>
      <w:r w:rsidR="001D1B71" w:rsidRPr="00EE2E62">
        <w:t>)</w:t>
      </w:r>
      <w:r w:rsidR="007237F5">
        <w:t>,</w:t>
      </w:r>
      <w:r w:rsidR="001D1B71" w:rsidRPr="00EE2E62">
        <w:t xml:space="preserve"> economic growth and digital transformation (</w:t>
      </w:r>
      <w:r w:rsidR="001D1B71" w:rsidRPr="00EE2E62" w:rsidDel="00EB0E5C">
        <w:t>EUR</w:t>
      </w:r>
      <w:r w:rsidR="00EB0E5C">
        <w:rPr>
          <w:rFonts w:ascii="Calibri" w:hAnsi="Calibri" w:cs="Calibri"/>
        </w:rPr>
        <w:t> </w:t>
      </w:r>
      <w:r w:rsidR="001D1B71" w:rsidRPr="00EE2E62">
        <w:t>23.5</w:t>
      </w:r>
      <w:r w:rsidR="00EB0E5C">
        <w:rPr>
          <w:rFonts w:ascii="Calibri" w:hAnsi="Calibri" w:cs="Calibri"/>
        </w:rPr>
        <w:t> </w:t>
      </w:r>
      <w:r w:rsidR="00EB0E5C">
        <w:t>million</w:t>
      </w:r>
      <w:r w:rsidR="00111E76">
        <w:t>)</w:t>
      </w:r>
      <w:r w:rsidR="007237F5">
        <w:t>,</w:t>
      </w:r>
      <w:r w:rsidR="00111E76">
        <w:t xml:space="preserve"> along with </w:t>
      </w:r>
      <w:r w:rsidR="001D1B71" w:rsidRPr="00EE2E62">
        <w:t>climate, energy and environmental action (</w:t>
      </w:r>
      <w:r w:rsidR="001D1B71" w:rsidRPr="00EE2E62" w:rsidDel="00EB0E5C">
        <w:t>EUR</w:t>
      </w:r>
      <w:r w:rsidR="00EB0E5C">
        <w:rPr>
          <w:rFonts w:ascii="Calibri" w:hAnsi="Calibri" w:cs="Calibri"/>
        </w:rPr>
        <w:t> </w:t>
      </w:r>
      <w:r w:rsidR="001D1B71" w:rsidRPr="00EE2E62">
        <w:t>23.5</w:t>
      </w:r>
      <w:r w:rsidR="00EB0E5C">
        <w:rPr>
          <w:rFonts w:ascii="Calibri" w:hAnsi="Calibri" w:cs="Calibri"/>
        </w:rPr>
        <w:t> </w:t>
      </w:r>
      <w:r w:rsidR="00EB0E5C">
        <w:t>million</w:t>
      </w:r>
      <w:r w:rsidR="001D1B71" w:rsidRPr="00EE2E62">
        <w:t>).</w:t>
      </w:r>
      <w:r w:rsidR="007237F5">
        <w:rPr>
          <w:rFonts w:ascii="Calibri" w:hAnsi="Calibri" w:cs="Calibri"/>
        </w:rPr>
        <w:t xml:space="preserve"> </w:t>
      </w:r>
      <w:r w:rsidR="008D7B1E" w:rsidRPr="00796FB4">
        <w:t xml:space="preserve">Moreover, </w:t>
      </w:r>
      <w:r w:rsidR="008D7B1E">
        <w:t>i</w:t>
      </w:r>
      <w:r w:rsidR="001D1B71" w:rsidRPr="001D1B71">
        <w:t xml:space="preserve">n 2025, </w:t>
      </w:r>
      <w:r w:rsidR="001D1B71">
        <w:t xml:space="preserve">the </w:t>
      </w:r>
      <w:r w:rsidR="001D1B71" w:rsidRPr="001D1B71">
        <w:t>Strategic and Comprehensive Partnership with</w:t>
      </w:r>
      <w:r w:rsidR="008D7B1E">
        <w:rPr>
          <w:rFonts w:ascii="Calibri" w:hAnsi="Calibri" w:cs="Calibri"/>
        </w:rPr>
        <w:t xml:space="preserve"> </w:t>
      </w:r>
      <w:r w:rsidR="001D1B71" w:rsidRPr="00574287">
        <w:t>Egypt</w:t>
      </w:r>
      <w:r w:rsidR="008D7B1E" w:rsidRPr="001F1906">
        <w:t xml:space="preserve"> </w:t>
      </w:r>
      <w:r w:rsidR="001F1906" w:rsidRPr="001F1906">
        <w:t>(concluded in 2024)</w:t>
      </w:r>
      <w:r w:rsidR="001F1906">
        <w:rPr>
          <w:rFonts w:ascii="Calibri" w:hAnsi="Calibri" w:cs="Calibri"/>
        </w:rPr>
        <w:t xml:space="preserve"> </w:t>
      </w:r>
      <w:r w:rsidR="001D1B71" w:rsidRPr="001D1B71">
        <w:t>supported</w:t>
      </w:r>
      <w:r w:rsidR="008D7B1E">
        <w:rPr>
          <w:rFonts w:ascii="Calibri" w:hAnsi="Calibri" w:cs="Calibri"/>
        </w:rPr>
        <w:t xml:space="preserve"> </w:t>
      </w:r>
      <w:r w:rsidR="001D1B71" w:rsidRPr="001D1B71">
        <w:t>Egypt</w:t>
      </w:r>
      <w:r w:rsidR="001D1B71" w:rsidRPr="001D1B71">
        <w:rPr>
          <w:rFonts w:cs="EC Square Sans Pro"/>
        </w:rPr>
        <w:t>’</w:t>
      </w:r>
      <w:r w:rsidR="001D1B71" w:rsidRPr="001D1B71">
        <w:t>s</w:t>
      </w:r>
      <w:r w:rsidR="008D7B1E">
        <w:rPr>
          <w:rFonts w:ascii="Calibri" w:hAnsi="Calibri" w:cs="Calibri"/>
        </w:rPr>
        <w:t xml:space="preserve"> </w:t>
      </w:r>
      <w:r w:rsidR="001D1B71" w:rsidRPr="001D1B71">
        <w:t>green transition and overall</w:t>
      </w:r>
      <w:r w:rsidR="008D7B1E">
        <w:rPr>
          <w:rFonts w:ascii="Calibri" w:hAnsi="Calibri" w:cs="Calibri"/>
        </w:rPr>
        <w:t xml:space="preserve"> </w:t>
      </w:r>
      <w:r w:rsidR="001D1B71" w:rsidRPr="001D1B71">
        <w:t>social and economic development</w:t>
      </w:r>
      <w:r w:rsidR="008B5671">
        <w:t xml:space="preserve">. The partnership </w:t>
      </w:r>
      <w:r w:rsidR="00B51AD7">
        <w:t xml:space="preserve">also includes </w:t>
      </w:r>
      <w:r w:rsidR="007A4A7B">
        <w:t xml:space="preserve">an ongoing </w:t>
      </w:r>
      <w:r w:rsidR="00F70D14" w:rsidRPr="001D1B71">
        <w:t>macro-financial assistance operation</w:t>
      </w:r>
      <w:r w:rsidR="00F70D14">
        <w:t xml:space="preserve"> of up to </w:t>
      </w:r>
      <w:r w:rsidR="00F70D14" w:rsidRPr="001D1B71">
        <w:t>EUR</w:t>
      </w:r>
      <w:r w:rsidR="004A495E">
        <w:rPr>
          <w:rFonts w:ascii="Calibri" w:hAnsi="Calibri" w:cs="Calibri"/>
        </w:rPr>
        <w:t> </w:t>
      </w:r>
      <w:r w:rsidR="00F70D14" w:rsidRPr="001D1B71">
        <w:t>4</w:t>
      </w:r>
      <w:r w:rsidR="004A495E">
        <w:rPr>
          <w:rFonts w:ascii="Calibri" w:hAnsi="Calibri" w:cs="Calibri"/>
        </w:rPr>
        <w:t> </w:t>
      </w:r>
      <w:r w:rsidR="00F70D14" w:rsidRPr="001D1B71">
        <w:t xml:space="preserve">billion </w:t>
      </w:r>
      <w:r w:rsidR="00F70D14">
        <w:t>to support Egypt’s financial situation,</w:t>
      </w:r>
      <w:r w:rsidR="00463E35">
        <w:t xml:space="preserve"> out of which </w:t>
      </w:r>
      <w:r w:rsidR="00463E35" w:rsidRPr="00670115">
        <w:t>EUR</w:t>
      </w:r>
      <w:r w:rsidR="004A495E">
        <w:rPr>
          <w:rFonts w:ascii="Calibri" w:hAnsi="Calibri" w:cs="Calibri"/>
        </w:rPr>
        <w:t> </w:t>
      </w:r>
      <w:r w:rsidR="00463E35" w:rsidRPr="00670115">
        <w:t>1</w:t>
      </w:r>
      <w:r w:rsidR="004A495E">
        <w:rPr>
          <w:rFonts w:ascii="Calibri" w:hAnsi="Calibri" w:cs="Calibri"/>
        </w:rPr>
        <w:t> </w:t>
      </w:r>
      <w:r w:rsidR="00463E35" w:rsidRPr="00670115">
        <w:t>billion was disbursed in January</w:t>
      </w:r>
      <w:r w:rsidR="00463E35">
        <w:t xml:space="preserve"> 2026.</w:t>
      </w:r>
      <w:r w:rsidR="007237F5">
        <w:t xml:space="preserve"> Furthermore, </w:t>
      </w:r>
      <w:r w:rsidR="00431B84">
        <w:t>in September 2025,</w:t>
      </w:r>
      <w:r w:rsidR="007237F5">
        <w:t xml:space="preserve"> t</w:t>
      </w:r>
      <w:r w:rsidR="002B0604" w:rsidRPr="002B0604">
        <w:t xml:space="preserve">he </w:t>
      </w:r>
      <w:r w:rsidR="00575628">
        <w:t xml:space="preserve">EU disbursed </w:t>
      </w:r>
      <w:r w:rsidR="00926F2C">
        <w:t xml:space="preserve">the </w:t>
      </w:r>
      <w:r w:rsidR="002B0604" w:rsidRPr="002B0604">
        <w:t xml:space="preserve">first instalment of </w:t>
      </w:r>
      <w:r w:rsidR="00AC45E2">
        <w:t xml:space="preserve">the ongoing </w:t>
      </w:r>
      <w:r w:rsidR="00C86783">
        <w:t xml:space="preserve">macro-financial assistance </w:t>
      </w:r>
      <w:r w:rsidR="00716A30">
        <w:t>operation</w:t>
      </w:r>
      <w:r w:rsidR="00C86783">
        <w:t xml:space="preserve"> to Jordan</w:t>
      </w:r>
      <w:r w:rsidR="00E41710">
        <w:t>, amounting to</w:t>
      </w:r>
      <w:r w:rsidR="00C86783">
        <w:t xml:space="preserve"> </w:t>
      </w:r>
      <w:r w:rsidR="002B0604" w:rsidRPr="002B0604" w:rsidDel="00EB0E5C">
        <w:t>EUR</w:t>
      </w:r>
      <w:r w:rsidR="00EB0E5C">
        <w:rPr>
          <w:rFonts w:ascii="Calibri" w:hAnsi="Calibri" w:cs="Calibri"/>
        </w:rPr>
        <w:t> </w:t>
      </w:r>
      <w:r w:rsidR="002B0604" w:rsidRPr="002B0604">
        <w:t>250</w:t>
      </w:r>
      <w:r w:rsidR="00EB0E5C">
        <w:rPr>
          <w:rFonts w:ascii="Calibri" w:hAnsi="Calibri" w:cs="Calibri"/>
        </w:rPr>
        <w:t> </w:t>
      </w:r>
      <w:r w:rsidR="00EB0E5C">
        <w:t>million</w:t>
      </w:r>
      <w:r w:rsidR="007237F5">
        <w:t xml:space="preserve">. </w:t>
      </w:r>
      <w:r w:rsidR="0067247D" w:rsidRPr="00387261">
        <w:t>Furthermore, the adoption of the</w:t>
      </w:r>
      <w:r w:rsidR="0067247D" w:rsidRPr="00387261">
        <w:rPr>
          <w:b/>
          <w:bCs/>
        </w:rPr>
        <w:t xml:space="preserve"> Pact for the Mediterranean</w:t>
      </w:r>
      <w:r w:rsidR="0067247D" w:rsidRPr="00387261">
        <w:t xml:space="preserve"> provided a new framework for EU-Southern Mediterranean relations.</w:t>
      </w:r>
    </w:p>
    <w:p w14:paraId="6CAF30F4" w14:textId="1FB2631F" w:rsidR="00387261" w:rsidRDefault="00387261" w:rsidP="00387261">
      <w:r w:rsidRPr="00387261">
        <w:rPr>
          <w:lang w:val="en-IE"/>
        </w:rPr>
        <w:t xml:space="preserve">In 2025, the volatile situation in the </w:t>
      </w:r>
      <w:r w:rsidRPr="00387261">
        <w:rPr>
          <w:b/>
          <w:bCs/>
          <w:lang w:val="en-IE"/>
        </w:rPr>
        <w:t>Middle East</w:t>
      </w:r>
      <w:r w:rsidRPr="00387261">
        <w:rPr>
          <w:lang w:val="en-IE"/>
        </w:rPr>
        <w:t xml:space="preserve"> highlighted the need for a more structured and coordinated approach to cooperation in the region. The EU presented a proposal for a multiannual comprehensive programme for </w:t>
      </w:r>
      <w:r w:rsidRPr="00387261">
        <w:rPr>
          <w:b/>
          <w:bCs/>
          <w:lang w:val="en-IE"/>
        </w:rPr>
        <w:t>Palestine’s recovery and resilience</w:t>
      </w:r>
      <w:r w:rsidRPr="00387261">
        <w:rPr>
          <w:lang w:val="en-IE"/>
        </w:rPr>
        <w:t xml:space="preserve"> for the period 2025–2027, for an amount of EUR 1.6 billion. Moreover,</w:t>
      </w:r>
      <w:r w:rsidRPr="00387261">
        <w:t xml:space="preserve"> cooperation and engagement with the </w:t>
      </w:r>
      <w:r w:rsidRPr="00387261">
        <w:rPr>
          <w:b/>
          <w:bCs/>
        </w:rPr>
        <w:t>Gulf Cooperation Council</w:t>
      </w:r>
      <w:r w:rsidRPr="00387261">
        <w:t xml:space="preserve"> (GCC) and individual Gulf countries were strengthened, particularly in the areas of security, climate change, digital cooperation, and the energy transition. </w:t>
      </w:r>
      <w:r w:rsidR="00117E3D">
        <w:t xml:space="preserve">In addition, </w:t>
      </w:r>
      <w:r w:rsidR="0067247D">
        <w:t>Syria’s</w:t>
      </w:r>
      <w:r w:rsidR="0067247D" w:rsidRPr="009C727C">
        <w:t xml:space="preserve"> efforts to restart </w:t>
      </w:r>
      <w:r w:rsidR="0067247D">
        <w:t>its</w:t>
      </w:r>
      <w:r w:rsidR="0067247D" w:rsidRPr="009C727C">
        <w:t xml:space="preserve"> economy, including through reinforced capacity building and support to key economic sectors,</w:t>
      </w:r>
      <w:r w:rsidR="0067247D">
        <w:rPr>
          <w:rFonts w:ascii="Calibri" w:hAnsi="Calibri" w:cs="Calibri"/>
        </w:rPr>
        <w:t xml:space="preserve"> </w:t>
      </w:r>
      <w:r w:rsidR="0067247D">
        <w:t xml:space="preserve">were supported with </w:t>
      </w:r>
      <w:r w:rsidR="0067247D" w:rsidRPr="009C727C" w:rsidDel="00EB0E5C">
        <w:t>EUR</w:t>
      </w:r>
      <w:r w:rsidR="0067247D">
        <w:rPr>
          <w:rFonts w:ascii="Calibri" w:hAnsi="Calibri" w:cs="Calibri"/>
        </w:rPr>
        <w:t> </w:t>
      </w:r>
      <w:r w:rsidR="0067247D" w:rsidRPr="009C727C">
        <w:t>1</w:t>
      </w:r>
      <w:r w:rsidR="0067247D">
        <w:t>39</w:t>
      </w:r>
      <w:r w:rsidR="0067247D" w:rsidRPr="009C727C">
        <w:rPr>
          <w:rFonts w:ascii="Calibri" w:hAnsi="Calibri" w:cs="Calibri"/>
        </w:rPr>
        <w:t> </w:t>
      </w:r>
      <w:r w:rsidR="0067247D" w:rsidRPr="009C727C">
        <w:t>million</w:t>
      </w:r>
      <w:r w:rsidR="0067247D">
        <w:t>.</w:t>
      </w:r>
    </w:p>
    <w:p w14:paraId="296CC35E" w14:textId="6000168A" w:rsidR="00746207" w:rsidRPr="00746207" w:rsidRDefault="00746207" w:rsidP="00746207">
      <w:pPr>
        <w:pStyle w:val="Heading4"/>
        <w:rPr>
          <w:rFonts w:ascii="EC Square Sans Pro" w:hAnsi="EC Square Sans Pro"/>
          <w:noProof/>
        </w:rPr>
      </w:pPr>
      <w:r w:rsidRPr="00746207">
        <w:rPr>
          <w:rFonts w:ascii="EC Square Sans Pro" w:hAnsi="EC Square Sans Pro"/>
          <w:noProof/>
        </w:rPr>
        <w:t>The EU’s foreign policy and international relations</w:t>
      </w:r>
    </w:p>
    <w:p w14:paraId="3BC3BD7B" w14:textId="0E9F8215" w:rsidR="000A6922" w:rsidRDefault="000A6922" w:rsidP="000A6922">
      <w:pPr>
        <w:pStyle w:val="Heading5"/>
        <w:rPr>
          <w:noProof/>
        </w:rPr>
      </w:pPr>
      <w:r>
        <w:rPr>
          <w:noProof/>
        </w:rPr>
        <w:t>International partnerships</w:t>
      </w:r>
    </w:p>
    <w:p w14:paraId="103AEF0A" w14:textId="48286EB9" w:rsidR="00BF699D" w:rsidRDefault="00BF699D" w:rsidP="00746207">
      <w:r w:rsidRPr="001A568A">
        <w:rPr>
          <w:rStyle w:val="Bold"/>
        </w:rPr>
        <w:t xml:space="preserve">The Global Gateway is </w:t>
      </w:r>
      <w:r w:rsidR="001E0499" w:rsidRPr="001A568A">
        <w:rPr>
          <w:rStyle w:val="Bold"/>
        </w:rPr>
        <w:t>instrument</w:t>
      </w:r>
      <w:r w:rsidR="008A605F" w:rsidRPr="001A568A">
        <w:rPr>
          <w:rStyle w:val="Bold"/>
        </w:rPr>
        <w:t xml:space="preserve">al in supporting </w:t>
      </w:r>
      <w:r w:rsidR="001E0499" w:rsidRPr="001A568A">
        <w:rPr>
          <w:rStyle w:val="Bold"/>
        </w:rPr>
        <w:t>the EU’s international partnerships.</w:t>
      </w:r>
      <w:r>
        <w:t xml:space="preserve"> </w:t>
      </w:r>
      <w:r w:rsidR="00176F42" w:rsidRPr="00830279">
        <w:rPr>
          <w:rFonts w:eastAsiaTheme="minorEastAsia"/>
        </w:rPr>
        <w:t>In 2025, the EU and its Member States continued scaling up the Global Gateway strategy. The second Global Gateway Forum was organised and President von der Leyen announced that the EU, Member States and European financing institutions, following a Team Europe approach</w:t>
      </w:r>
      <w:r w:rsidR="00176F42">
        <w:rPr>
          <w:rFonts w:eastAsiaTheme="minorEastAsia"/>
        </w:rPr>
        <w:t>,</w:t>
      </w:r>
      <w:r w:rsidR="00176F42" w:rsidRPr="00830279">
        <w:rPr>
          <w:rFonts w:eastAsiaTheme="minorEastAsia"/>
        </w:rPr>
        <w:t xml:space="preserve"> had mobilised over </w:t>
      </w:r>
      <w:r w:rsidR="00176F42" w:rsidDel="00EB0E5C">
        <w:t>EUR</w:t>
      </w:r>
      <w:r w:rsidR="00176F42">
        <w:rPr>
          <w:rFonts w:ascii="Calibri" w:hAnsi="Calibri" w:cs="Calibri"/>
        </w:rPr>
        <w:t> </w:t>
      </w:r>
      <w:r w:rsidR="00176F42">
        <w:t>306</w:t>
      </w:r>
      <w:r w:rsidR="00176F42">
        <w:rPr>
          <w:rFonts w:ascii="Calibri" w:hAnsi="Calibri" w:cs="Calibri"/>
        </w:rPr>
        <w:t> </w:t>
      </w:r>
      <w:r w:rsidR="00176F42">
        <w:t>billion</w:t>
      </w:r>
      <w:r w:rsidR="00176F42" w:rsidRPr="00830279">
        <w:rPr>
          <w:rFonts w:eastAsiaTheme="minorEastAsia"/>
        </w:rPr>
        <w:t xml:space="preserve"> in investments, exceeding the original </w:t>
      </w:r>
      <w:r w:rsidR="00176F42" w:rsidDel="00EB0E5C">
        <w:t>EUR</w:t>
      </w:r>
      <w:r w:rsidR="00176F42">
        <w:rPr>
          <w:rFonts w:ascii="Calibri" w:hAnsi="Calibri" w:cs="Calibri"/>
        </w:rPr>
        <w:t> </w:t>
      </w:r>
      <w:r w:rsidR="00176F42">
        <w:t>300</w:t>
      </w:r>
      <w:r w:rsidR="00176F42">
        <w:rPr>
          <w:rFonts w:ascii="Calibri" w:hAnsi="Calibri" w:cs="Calibri"/>
        </w:rPr>
        <w:t> </w:t>
      </w:r>
      <w:r w:rsidR="00176F42">
        <w:t xml:space="preserve">billion </w:t>
      </w:r>
      <w:r w:rsidR="00176F42" w:rsidRPr="00830279">
        <w:rPr>
          <w:rFonts w:eastAsiaTheme="minorEastAsia"/>
        </w:rPr>
        <w:t>target.</w:t>
      </w:r>
    </w:p>
    <w:p w14:paraId="4B2801C6" w14:textId="101D7221" w:rsidR="008C1EA5" w:rsidRDefault="00B753A4" w:rsidP="00746207">
      <w:r w:rsidRPr="001A568A">
        <w:rPr>
          <w:rStyle w:val="Bold"/>
        </w:rPr>
        <w:t>T</w:t>
      </w:r>
      <w:r w:rsidR="008C1EA5" w:rsidRPr="001A568A">
        <w:rPr>
          <w:rStyle w:val="Bold"/>
        </w:rPr>
        <w:t>he 25th anniversary of the EU</w:t>
      </w:r>
      <w:r w:rsidR="006A767E">
        <w:rPr>
          <w:rStyle w:val="Bold"/>
        </w:rPr>
        <w:t>–</w:t>
      </w:r>
      <w:r w:rsidR="008C1EA5" w:rsidRPr="001A568A">
        <w:rPr>
          <w:rStyle w:val="Bold"/>
        </w:rPr>
        <w:t>African Union partnership</w:t>
      </w:r>
      <w:r w:rsidRPr="001A568A">
        <w:rPr>
          <w:rStyle w:val="Bold"/>
        </w:rPr>
        <w:t xml:space="preserve"> was celebrated in 2025</w:t>
      </w:r>
      <w:r w:rsidR="008C1EA5" w:rsidRPr="001A568A">
        <w:rPr>
          <w:rStyle w:val="Bold"/>
        </w:rPr>
        <w:t xml:space="preserve">. </w:t>
      </w:r>
      <w:r w:rsidR="008C1EA5" w:rsidRPr="00F1590F">
        <w:t xml:space="preserve">Through the Global Gateway, </w:t>
      </w:r>
      <w:r w:rsidR="00460CA0">
        <w:t xml:space="preserve">by 2025 </w:t>
      </w:r>
      <w:r w:rsidR="008C1EA5" w:rsidRPr="00F1590F">
        <w:t xml:space="preserve">the EU mobilised </w:t>
      </w:r>
      <w:r w:rsidR="00460CA0">
        <w:t>EUR</w:t>
      </w:r>
      <w:r w:rsidR="00460CA0">
        <w:rPr>
          <w:rFonts w:ascii="Calibri" w:hAnsi="Calibri" w:cs="Calibri"/>
        </w:rPr>
        <w:t> </w:t>
      </w:r>
      <w:r w:rsidR="008C1EA5" w:rsidRPr="00F1590F">
        <w:t>120</w:t>
      </w:r>
      <w:r w:rsidR="00EB0E5C">
        <w:rPr>
          <w:rFonts w:ascii="Calibri" w:hAnsi="Calibri" w:cs="Calibri"/>
        </w:rPr>
        <w:t> </w:t>
      </w:r>
      <w:r w:rsidR="00EB0E5C">
        <w:t>billion</w:t>
      </w:r>
      <w:r w:rsidR="008C1EA5" w:rsidRPr="00F1590F">
        <w:t xml:space="preserve"> for projects across Africa. At the G20 Summit in South Africa, the final pledging event of the Scaling up Renewables in Africa Global Gateway campaign mobilised </w:t>
      </w:r>
      <w:r w:rsidR="00460CA0">
        <w:t>EUR</w:t>
      </w:r>
      <w:r w:rsidR="00460CA0">
        <w:rPr>
          <w:rFonts w:ascii="Calibri" w:hAnsi="Calibri" w:cs="Calibri"/>
        </w:rPr>
        <w:t> </w:t>
      </w:r>
      <w:r w:rsidR="008C1EA5" w:rsidRPr="00F1590F">
        <w:t>15.5</w:t>
      </w:r>
      <w:r w:rsidR="00EB0E5C">
        <w:rPr>
          <w:rFonts w:ascii="Calibri" w:hAnsi="Calibri" w:cs="Calibri"/>
        </w:rPr>
        <w:t> </w:t>
      </w:r>
      <w:r w:rsidR="00EB0E5C">
        <w:t>billion</w:t>
      </w:r>
      <w:r w:rsidR="008C1EA5" w:rsidRPr="00F1590F">
        <w:t xml:space="preserve"> for clean energy and access to electricity across the continent</w:t>
      </w:r>
      <w:r w:rsidR="00464959" w:rsidRPr="00464959">
        <w:rPr>
          <w:rFonts w:cs="Calibri"/>
        </w:rPr>
        <w:t> </w:t>
      </w:r>
      <w:r w:rsidR="00464959" w:rsidRPr="00464959">
        <w:t>(</w:t>
      </w:r>
      <w:r w:rsidR="00464959">
        <w:rPr>
          <w:rStyle w:val="FootnoteReference"/>
        </w:rPr>
        <w:footnoteReference w:id="58"/>
      </w:r>
      <w:r w:rsidR="00464959">
        <w:t>)</w:t>
      </w:r>
      <w:r w:rsidR="0093160F">
        <w:t>.</w:t>
      </w:r>
      <w:r w:rsidR="00BB7420">
        <w:t xml:space="preserve"> </w:t>
      </w:r>
    </w:p>
    <w:p w14:paraId="219CEAFC" w14:textId="04D7912B" w:rsidR="00FC6142" w:rsidRDefault="00FC6142" w:rsidP="00746207">
      <w:pPr>
        <w:rPr>
          <w:rFonts w:ascii="Calibri" w:hAnsi="Calibri" w:cs="Calibri"/>
        </w:rPr>
      </w:pPr>
      <w:r w:rsidRPr="00830279">
        <w:t>Throughout 2025</w:t>
      </w:r>
      <w:r>
        <w:t>,</w:t>
      </w:r>
      <w:r w:rsidRPr="00830279">
        <w:t xml:space="preserve"> the </w:t>
      </w:r>
      <w:r w:rsidRPr="00670115">
        <w:rPr>
          <w:b/>
          <w:bCs/>
        </w:rPr>
        <w:t>EU-</w:t>
      </w:r>
      <w:r w:rsidRPr="00830279">
        <w:rPr>
          <w:b/>
          <w:bCs/>
        </w:rPr>
        <w:t>Latin America and</w:t>
      </w:r>
      <w:r>
        <w:rPr>
          <w:b/>
          <w:bCs/>
        </w:rPr>
        <w:t xml:space="preserve"> the</w:t>
      </w:r>
      <w:r w:rsidRPr="00830279">
        <w:rPr>
          <w:b/>
          <w:bCs/>
        </w:rPr>
        <w:t xml:space="preserve"> Caribbean</w:t>
      </w:r>
      <w:r w:rsidRPr="00830279">
        <w:t xml:space="preserve"> </w:t>
      </w:r>
      <w:r w:rsidR="00EC3E10" w:rsidRPr="002B19C5">
        <w:rPr>
          <w:b/>
        </w:rPr>
        <w:t>(LAC)</w:t>
      </w:r>
      <w:r w:rsidR="00EC3E10">
        <w:t xml:space="preserve"> </w:t>
      </w:r>
      <w:r w:rsidRPr="00830279">
        <w:rPr>
          <w:b/>
          <w:bCs/>
        </w:rPr>
        <w:t>Global Gateway Investment Agenda</w:t>
      </w:r>
      <w:r w:rsidRPr="00830279">
        <w:t xml:space="preserve"> delivered tangible results</w:t>
      </w:r>
      <w:r w:rsidRPr="00830279">
        <w:rPr>
          <w:rFonts w:eastAsia="Aptos"/>
        </w:rPr>
        <w:t>,</w:t>
      </w:r>
      <w:r w:rsidRPr="00830279">
        <w:t xml:space="preserve"> reaffirming the </w:t>
      </w:r>
      <w:r w:rsidRPr="00830279">
        <w:rPr>
          <w:rFonts w:eastAsia="Aptos"/>
        </w:rPr>
        <w:t>EU’s position</w:t>
      </w:r>
      <w:r w:rsidRPr="00830279">
        <w:t xml:space="preserve"> as</w:t>
      </w:r>
      <w:r w:rsidRPr="00830279">
        <w:rPr>
          <w:rFonts w:eastAsia="Aptos"/>
        </w:rPr>
        <w:t xml:space="preserve"> the</w:t>
      </w:r>
      <w:r w:rsidRPr="00830279">
        <w:t xml:space="preserve"> leading investor in </w:t>
      </w:r>
      <w:r w:rsidR="00EC3E10">
        <w:t>the region</w:t>
      </w:r>
      <w:r w:rsidRPr="00830279">
        <w:rPr>
          <w:rFonts w:eastAsia="Aptos"/>
        </w:rPr>
        <w:t>. More than</w:t>
      </w:r>
      <w:r w:rsidRPr="00830279">
        <w:t xml:space="preserve"> 80 projects </w:t>
      </w:r>
      <w:r w:rsidRPr="00830279">
        <w:rPr>
          <w:rFonts w:eastAsia="Aptos"/>
        </w:rPr>
        <w:t>advanced</w:t>
      </w:r>
      <w:r w:rsidRPr="00830279">
        <w:t xml:space="preserve"> in </w:t>
      </w:r>
      <w:r w:rsidRPr="00830279">
        <w:rPr>
          <w:rFonts w:eastAsia="Aptos"/>
        </w:rPr>
        <w:t>their</w:t>
      </w:r>
      <w:r w:rsidRPr="00830279">
        <w:t xml:space="preserve"> implementation, </w:t>
      </w:r>
      <w:r w:rsidRPr="00830279">
        <w:rPr>
          <w:rFonts w:eastAsia="Aptos"/>
        </w:rPr>
        <w:t>illustrating</w:t>
      </w:r>
      <w:r w:rsidRPr="00830279">
        <w:t xml:space="preserve"> the </w:t>
      </w:r>
      <w:r w:rsidRPr="00830279">
        <w:rPr>
          <w:rFonts w:eastAsia="Aptos"/>
        </w:rPr>
        <w:t>strength of the</w:t>
      </w:r>
      <w:r w:rsidRPr="00830279">
        <w:t xml:space="preserve"> </w:t>
      </w:r>
      <w:r w:rsidR="006A201D">
        <w:t>T</w:t>
      </w:r>
      <w:r w:rsidRPr="00830279">
        <w:t xml:space="preserve">eam Europe </w:t>
      </w:r>
      <w:r w:rsidRPr="00830279">
        <w:rPr>
          <w:rFonts w:eastAsia="Aptos"/>
        </w:rPr>
        <w:t>approach</w:t>
      </w:r>
      <w:r w:rsidRPr="00830279">
        <w:t xml:space="preserve"> and </w:t>
      </w:r>
      <w:r w:rsidRPr="00830279">
        <w:rPr>
          <w:rFonts w:eastAsia="Aptos"/>
        </w:rPr>
        <w:t xml:space="preserve">its concrete </w:t>
      </w:r>
      <w:r w:rsidRPr="00830279">
        <w:t xml:space="preserve">impact </w:t>
      </w:r>
      <w:r w:rsidRPr="00830279">
        <w:rPr>
          <w:rFonts w:eastAsia="Aptos"/>
        </w:rPr>
        <w:t>on</w:t>
      </w:r>
      <w:r w:rsidRPr="00830279">
        <w:t xml:space="preserve"> the </w:t>
      </w:r>
      <w:r w:rsidRPr="00830279">
        <w:rPr>
          <w:rFonts w:eastAsia="Aptos"/>
        </w:rPr>
        <w:t>ground</w:t>
      </w:r>
      <w:r w:rsidR="007B3F92">
        <w:rPr>
          <w:rFonts w:eastAsia="Aptos"/>
        </w:rPr>
        <w:t>,</w:t>
      </w:r>
      <w:r w:rsidRPr="00830279">
        <w:rPr>
          <w:rFonts w:eastAsia="Aptos"/>
        </w:rPr>
        <w:t xml:space="preserve"> including</w:t>
      </w:r>
      <w:r w:rsidR="00EC3E10">
        <w:rPr>
          <w:rFonts w:eastAsia="Aptos"/>
        </w:rPr>
        <w:t>,</w:t>
      </w:r>
      <w:r w:rsidRPr="00830279">
        <w:rPr>
          <w:rFonts w:eastAsia="Aptos"/>
        </w:rPr>
        <w:t xml:space="preserve"> for example: </w:t>
      </w:r>
      <w:r w:rsidRPr="00830279">
        <w:t>regional electricity integration</w:t>
      </w:r>
      <w:r w:rsidRPr="00830279">
        <w:rPr>
          <w:rFonts w:eastAsia="Aptos"/>
        </w:rPr>
        <w:t>,</w:t>
      </w:r>
      <w:r w:rsidRPr="00830279">
        <w:t xml:space="preserve"> the EU-LAC </w:t>
      </w:r>
      <w:r w:rsidRPr="004570AA">
        <w:t>high</w:t>
      </w:r>
      <w:r w:rsidR="007B3F92">
        <w:t>-</w:t>
      </w:r>
      <w:r w:rsidRPr="004570AA">
        <w:t xml:space="preserve"> performance computing network and the valorisation of sargassum in the Caribbean.</w:t>
      </w:r>
      <w:r w:rsidRPr="004570AA">
        <w:rPr>
          <w:rFonts w:ascii="Calibri" w:hAnsi="Calibri" w:cs="Calibri"/>
        </w:rPr>
        <w:t> </w:t>
      </w:r>
    </w:p>
    <w:p w14:paraId="76569DB9" w14:textId="5CE8D7DD" w:rsidR="00CC291D" w:rsidDel="00CC291D" w:rsidRDefault="00CC291D" w:rsidP="00CC291D">
      <w:pPr>
        <w:rPr>
          <w:rFonts w:ascii="Calibri" w:hAnsi="Calibri" w:cs="Calibri"/>
        </w:rPr>
      </w:pPr>
      <w:r>
        <w:t xml:space="preserve">In 2025, </w:t>
      </w:r>
      <w:r w:rsidR="00AD28A7" w:rsidRPr="00830279">
        <w:t>a Team Europe Global Gateway investment package mobilised EUR</w:t>
      </w:r>
      <w:r w:rsidR="00AD28A7" w:rsidRPr="00830279">
        <w:rPr>
          <w:rFonts w:ascii="Calibri" w:hAnsi="Calibri" w:cs="Calibri"/>
        </w:rPr>
        <w:t> </w:t>
      </w:r>
      <w:r w:rsidR="00AD28A7" w:rsidRPr="00830279">
        <w:t>12</w:t>
      </w:r>
      <w:r w:rsidR="00B27288">
        <w:rPr>
          <w:rFonts w:ascii="Calibri" w:hAnsi="Calibri" w:cs="Calibri"/>
        </w:rPr>
        <w:t> </w:t>
      </w:r>
      <w:r w:rsidR="00AD28A7" w:rsidRPr="00830279">
        <w:t xml:space="preserve">billion for </w:t>
      </w:r>
      <w:r w:rsidR="00AD28A7" w:rsidRPr="00830279">
        <w:rPr>
          <w:b/>
          <w:bCs/>
        </w:rPr>
        <w:t>Central Asia</w:t>
      </w:r>
      <w:r w:rsidR="00AD28A7" w:rsidRPr="00830279">
        <w:t xml:space="preserve"> and</w:t>
      </w:r>
      <w:r w:rsidR="004B4BAC">
        <w:t>,</w:t>
      </w:r>
      <w:r>
        <w:t xml:space="preserve"> a</w:t>
      </w:r>
      <w:r w:rsidRPr="00C85A14">
        <w:t>t the first</w:t>
      </w:r>
      <w:r>
        <w:t>-</w:t>
      </w:r>
      <w:r w:rsidRPr="00C85A14">
        <w:t>ever</w:t>
      </w:r>
      <w:r>
        <w:rPr>
          <w:rFonts w:ascii="Calibri" w:hAnsi="Calibri" w:cs="Calibri"/>
        </w:rPr>
        <w:t xml:space="preserve"> </w:t>
      </w:r>
      <w:r w:rsidRPr="00C85A14">
        <w:t>EU</w:t>
      </w:r>
      <w:r>
        <w:t>–</w:t>
      </w:r>
      <w:r w:rsidRPr="00C85A14">
        <w:t>Pacific Business Forum</w:t>
      </w:r>
      <w:r>
        <w:t>,</w:t>
      </w:r>
      <w:r w:rsidRPr="00C85A14">
        <w:t xml:space="preserve"> </w:t>
      </w:r>
      <w:r>
        <w:t xml:space="preserve">the </w:t>
      </w:r>
      <w:r w:rsidRPr="00C85A14">
        <w:t>Commission</w:t>
      </w:r>
      <w:r>
        <w:rPr>
          <w:rFonts w:ascii="Calibri" w:hAnsi="Calibri" w:cs="Calibri"/>
        </w:rPr>
        <w:t xml:space="preserve"> </w:t>
      </w:r>
      <w:r w:rsidRPr="00C85A14">
        <w:t>announced nearly</w:t>
      </w:r>
      <w:r>
        <w:rPr>
          <w:rFonts w:ascii="Calibri" w:hAnsi="Calibri" w:cs="Calibri"/>
        </w:rPr>
        <w:t xml:space="preserve"> </w:t>
      </w:r>
      <w:r w:rsidRPr="00C85A14">
        <w:t>EUR</w:t>
      </w:r>
      <w:r w:rsidRPr="00C85A14">
        <w:rPr>
          <w:rFonts w:ascii="Calibri" w:hAnsi="Calibri" w:cs="Calibri"/>
        </w:rPr>
        <w:t> </w:t>
      </w:r>
      <w:r w:rsidRPr="00C85A14">
        <w:t>300</w:t>
      </w:r>
      <w:r w:rsidRPr="00C85A14">
        <w:rPr>
          <w:rFonts w:ascii="Calibri" w:hAnsi="Calibri" w:cs="Calibri"/>
        </w:rPr>
        <w:t> </w:t>
      </w:r>
      <w:r w:rsidRPr="00C85A14">
        <w:t>million</w:t>
      </w:r>
      <w:r>
        <w:rPr>
          <w:rFonts w:ascii="Calibri" w:hAnsi="Calibri" w:cs="Calibri"/>
        </w:rPr>
        <w:t xml:space="preserve"> </w:t>
      </w:r>
      <w:r w:rsidRPr="00C85A14">
        <w:t>of Global Gateway investments dedicated to the entire Pacific region.</w:t>
      </w:r>
      <w:r>
        <w:t xml:space="preserve"> </w:t>
      </w:r>
      <w:r w:rsidRPr="001312FE">
        <w:t xml:space="preserve">The EU </w:t>
      </w:r>
      <w:r>
        <w:t xml:space="preserve">also </w:t>
      </w:r>
      <w:r w:rsidRPr="001312FE">
        <w:t xml:space="preserve">introduced a </w:t>
      </w:r>
      <w:r w:rsidRPr="001312FE" w:rsidDel="00EB0E5C">
        <w:t>EUR</w:t>
      </w:r>
      <w:r>
        <w:rPr>
          <w:rFonts w:ascii="Calibri" w:hAnsi="Calibri" w:cs="Calibri"/>
        </w:rPr>
        <w:t> </w:t>
      </w:r>
      <w:r w:rsidRPr="001312FE">
        <w:t>42</w:t>
      </w:r>
      <w:r>
        <w:rPr>
          <w:rFonts w:ascii="Calibri" w:hAnsi="Calibri" w:cs="Calibri"/>
        </w:rPr>
        <w:t> </w:t>
      </w:r>
      <w:r w:rsidRPr="001312FE">
        <w:t>million initiative to strengthen Asia-Pacific capacities in using Copernicus data for spatial planning and climate change mitigation.</w:t>
      </w:r>
    </w:p>
    <w:p w14:paraId="70A43CFB" w14:textId="5A9C1714" w:rsidR="00FD7C05" w:rsidRDefault="00827C0D" w:rsidP="00746207">
      <w:pPr>
        <w:rPr>
          <w:rFonts w:ascii="Calibri" w:hAnsi="Calibri" w:cs="Calibri"/>
        </w:rPr>
      </w:pPr>
      <w:r w:rsidRPr="001A568A">
        <w:rPr>
          <w:rStyle w:val="Bold"/>
        </w:rPr>
        <w:t xml:space="preserve">The European Fund for Sustainable Development Plus </w:t>
      </w:r>
      <w:r w:rsidR="00266A86" w:rsidRPr="001A568A">
        <w:rPr>
          <w:rStyle w:val="Bold"/>
        </w:rPr>
        <w:t>contributed to</w:t>
      </w:r>
      <w:r w:rsidR="006A06CF" w:rsidRPr="001A568A">
        <w:rPr>
          <w:rStyle w:val="Bold"/>
        </w:rPr>
        <w:t xml:space="preserve"> the </w:t>
      </w:r>
      <w:r w:rsidR="00266A86" w:rsidRPr="001A568A">
        <w:rPr>
          <w:rStyle w:val="Bold"/>
        </w:rPr>
        <w:t>expansion of</w:t>
      </w:r>
      <w:r w:rsidRPr="001A568A">
        <w:rPr>
          <w:rStyle w:val="Bold"/>
        </w:rPr>
        <w:t xml:space="preserve"> </w:t>
      </w:r>
      <w:r w:rsidR="00A564A6">
        <w:rPr>
          <w:rStyle w:val="Bold"/>
        </w:rPr>
        <w:t xml:space="preserve">the </w:t>
      </w:r>
      <w:r w:rsidRPr="001A568A">
        <w:rPr>
          <w:rStyle w:val="Bold"/>
        </w:rPr>
        <w:t xml:space="preserve">Global Gateway </w:t>
      </w:r>
      <w:r w:rsidRPr="00827C0D">
        <w:t>by sharing the risks of development finance partners when they mobilise their own resources, thereby attracting</w:t>
      </w:r>
      <w:r w:rsidR="00A96C60">
        <w:rPr>
          <w:rFonts w:ascii="Calibri" w:hAnsi="Calibri" w:cs="Calibri"/>
        </w:rPr>
        <w:t xml:space="preserve"> </w:t>
      </w:r>
      <w:r w:rsidRPr="00827C0D">
        <w:t>additional</w:t>
      </w:r>
      <w:r w:rsidR="00A96C60">
        <w:rPr>
          <w:rFonts w:ascii="Calibri" w:hAnsi="Calibri" w:cs="Calibri"/>
        </w:rPr>
        <w:t xml:space="preserve"> </w:t>
      </w:r>
      <w:r w:rsidRPr="00827C0D">
        <w:t>investors</w:t>
      </w:r>
      <w:r w:rsidR="004F2C80">
        <w:t>,</w:t>
      </w:r>
      <w:r w:rsidRPr="00827C0D">
        <w:t xml:space="preserve"> notably from the private sector.</w:t>
      </w:r>
      <w:r>
        <w:t xml:space="preserve"> </w:t>
      </w:r>
      <w:r w:rsidR="005F74B0">
        <w:t>In 2025, t</w:t>
      </w:r>
      <w:r w:rsidR="00FD7C05" w:rsidRPr="00FD7C05">
        <w:t xml:space="preserve">he EU budget </w:t>
      </w:r>
      <w:r w:rsidR="00384CBD">
        <w:t xml:space="preserve">provided cover </w:t>
      </w:r>
      <w:r w:rsidR="00FD7C05" w:rsidRPr="00FD7C05">
        <w:t xml:space="preserve">for European Investment Bank loans of approximately </w:t>
      </w:r>
      <w:r w:rsidR="00FD7C05" w:rsidRPr="00FD7C05" w:rsidDel="00EB0E5C">
        <w:t>EUR</w:t>
      </w:r>
      <w:r w:rsidR="00EB0E5C">
        <w:rPr>
          <w:rFonts w:ascii="Calibri" w:hAnsi="Calibri" w:cs="Calibri"/>
        </w:rPr>
        <w:t> </w:t>
      </w:r>
      <w:r w:rsidR="00FD7C05" w:rsidRPr="00FD7C05">
        <w:t>4</w:t>
      </w:r>
      <w:r w:rsidR="00EB0E5C">
        <w:rPr>
          <w:rFonts w:ascii="Calibri" w:hAnsi="Calibri" w:cs="Calibri"/>
        </w:rPr>
        <w:t> </w:t>
      </w:r>
      <w:r w:rsidR="00EB0E5C">
        <w:t>billion</w:t>
      </w:r>
      <w:r w:rsidR="00A97AF3">
        <w:t>,</w:t>
      </w:r>
      <w:r w:rsidR="00E868A1">
        <w:t xml:space="preserve"> which are</w:t>
      </w:r>
      <w:r w:rsidR="00FD7C05" w:rsidRPr="00FD7C05">
        <w:t xml:space="preserve"> expected to</w:t>
      </w:r>
      <w:r w:rsidR="00A96C60">
        <w:rPr>
          <w:rFonts w:ascii="Calibri" w:hAnsi="Calibri" w:cs="Calibri"/>
        </w:rPr>
        <w:t xml:space="preserve"> </w:t>
      </w:r>
      <w:r w:rsidR="00FD7C05" w:rsidRPr="00FD7C05">
        <w:t>leverage</w:t>
      </w:r>
      <w:r w:rsidR="00A96C60">
        <w:rPr>
          <w:rFonts w:ascii="Calibri" w:hAnsi="Calibri" w:cs="Calibri"/>
        </w:rPr>
        <w:t xml:space="preserve"> </w:t>
      </w:r>
      <w:r w:rsidR="00FD7C05" w:rsidRPr="00FD7C05" w:rsidDel="00EB0E5C">
        <w:t>EUR</w:t>
      </w:r>
      <w:r w:rsidR="00EB0E5C">
        <w:rPr>
          <w:rFonts w:ascii="Calibri" w:hAnsi="Calibri" w:cs="Calibri"/>
        </w:rPr>
        <w:t> </w:t>
      </w:r>
      <w:r w:rsidR="00FF033E">
        <w:t>14</w:t>
      </w:r>
      <w:r w:rsidR="00EB0E5C">
        <w:rPr>
          <w:rFonts w:ascii="Calibri" w:hAnsi="Calibri" w:cs="Calibri"/>
        </w:rPr>
        <w:t> </w:t>
      </w:r>
      <w:r w:rsidR="00EB0E5C">
        <w:t>billion</w:t>
      </w:r>
      <w:r w:rsidR="00FD7C05" w:rsidRPr="00FD7C05">
        <w:t xml:space="preserve"> in total investment</w:t>
      </w:r>
      <w:r w:rsidR="00E868A1">
        <w:t>. The</w:t>
      </w:r>
      <w:r w:rsidR="006350DE">
        <w:t xml:space="preserve"> extended guarantee also covered </w:t>
      </w:r>
      <w:r w:rsidR="00FD7C05" w:rsidRPr="00FD7C05">
        <w:t xml:space="preserve">open architecture guarantees for </w:t>
      </w:r>
      <w:r w:rsidR="00FD7C05" w:rsidRPr="00FD7C05" w:rsidDel="00EB0E5C">
        <w:t>EUR</w:t>
      </w:r>
      <w:r w:rsidR="00EB0E5C">
        <w:rPr>
          <w:rFonts w:ascii="Calibri" w:hAnsi="Calibri" w:cs="Calibri"/>
        </w:rPr>
        <w:t> </w:t>
      </w:r>
      <w:r w:rsidR="00FD7C05" w:rsidRPr="00FD7C05">
        <w:t>2.5</w:t>
      </w:r>
      <w:r w:rsidR="00EB0E5C">
        <w:rPr>
          <w:rFonts w:ascii="Calibri" w:hAnsi="Calibri" w:cs="Calibri"/>
        </w:rPr>
        <w:t> </w:t>
      </w:r>
      <w:r w:rsidR="00EB0E5C">
        <w:t>billion</w:t>
      </w:r>
      <w:r w:rsidR="00FD7C05" w:rsidRPr="00FD7C05">
        <w:t xml:space="preserve">, with an estimated total investment of </w:t>
      </w:r>
      <w:r w:rsidR="00D210BC">
        <w:t>at least</w:t>
      </w:r>
      <w:r w:rsidR="00FD7C05" w:rsidRPr="00FD7C05">
        <w:t xml:space="preserve"> </w:t>
      </w:r>
      <w:r w:rsidR="00FD7C05" w:rsidRPr="00FD7C05" w:rsidDel="00EB0E5C">
        <w:t>EUR</w:t>
      </w:r>
      <w:r w:rsidR="00EB0E5C">
        <w:rPr>
          <w:rFonts w:ascii="Calibri" w:hAnsi="Calibri" w:cs="Calibri"/>
        </w:rPr>
        <w:t> </w:t>
      </w:r>
      <w:r w:rsidR="0017722D">
        <w:t>5</w:t>
      </w:r>
      <w:r w:rsidR="00EB0E5C">
        <w:rPr>
          <w:rFonts w:ascii="Calibri" w:hAnsi="Calibri" w:cs="Calibri"/>
        </w:rPr>
        <w:t> </w:t>
      </w:r>
      <w:r w:rsidR="00EB0E5C">
        <w:t>billion</w:t>
      </w:r>
      <w:r w:rsidR="00FD7C05" w:rsidRPr="00FD7C05">
        <w:t>.</w:t>
      </w:r>
      <w:r w:rsidR="002002D7">
        <w:rPr>
          <w:rFonts w:ascii="Calibri" w:hAnsi="Calibri" w:cs="Calibri"/>
        </w:rPr>
        <w:t xml:space="preserve"> </w:t>
      </w:r>
      <w:r w:rsidR="00BB0F66">
        <w:t xml:space="preserve">Examples of </w:t>
      </w:r>
      <w:r w:rsidR="00BE67FB">
        <w:t xml:space="preserve">open architecture </w:t>
      </w:r>
      <w:r w:rsidR="00D1435C">
        <w:t>guarantees</w:t>
      </w:r>
      <w:r w:rsidR="00BE67FB">
        <w:t xml:space="preserve"> under the </w:t>
      </w:r>
      <w:r w:rsidR="00A64EDE" w:rsidRPr="00E0372D">
        <w:rPr>
          <w:rStyle w:val="Bold"/>
          <w:b w:val="0"/>
        </w:rPr>
        <w:t xml:space="preserve">European Fund for Sustainable Development </w:t>
      </w:r>
      <w:r w:rsidR="00A64EDE" w:rsidRPr="00E0372D">
        <w:rPr>
          <w:rStyle w:val="Bold"/>
          <w:b w:val="0"/>
          <w:bCs/>
        </w:rPr>
        <w:t>Plus</w:t>
      </w:r>
      <w:r w:rsidR="00BE67FB">
        <w:t xml:space="preserve"> include </w:t>
      </w:r>
      <w:r w:rsidR="00D07B62">
        <w:t xml:space="preserve">scaling up </w:t>
      </w:r>
      <w:hyperlink r:id="rId66" w:history="1">
        <w:r w:rsidR="00D1435C" w:rsidRPr="006F234D">
          <w:rPr>
            <w:rStyle w:val="Hyperlink"/>
          </w:rPr>
          <w:t>sustainable</w:t>
        </w:r>
        <w:r w:rsidR="00D07B62" w:rsidRPr="006F234D">
          <w:rPr>
            <w:rStyle w:val="Hyperlink"/>
          </w:rPr>
          <w:t xml:space="preserve"> finance</w:t>
        </w:r>
      </w:hyperlink>
      <w:r w:rsidR="004F5BCB">
        <w:t xml:space="preserve"> in Africa</w:t>
      </w:r>
      <w:r w:rsidR="001365E4" w:rsidRPr="00D1435C">
        <w:rPr>
          <w:rFonts w:cs="Calibri"/>
        </w:rPr>
        <w:t> </w:t>
      </w:r>
      <w:r w:rsidR="001365E4" w:rsidRPr="001365E4">
        <w:t>(</w:t>
      </w:r>
      <w:r w:rsidR="001365E4">
        <w:rPr>
          <w:rStyle w:val="FootnoteReference"/>
        </w:rPr>
        <w:footnoteReference w:id="59"/>
      </w:r>
      <w:r w:rsidR="001365E4">
        <w:t>)</w:t>
      </w:r>
      <w:r w:rsidR="009F24F2">
        <w:t xml:space="preserve">, </w:t>
      </w:r>
      <w:r w:rsidR="00704A31">
        <w:t>contributing to a</w:t>
      </w:r>
      <w:r w:rsidR="001C194C" w:rsidRPr="001C194C">
        <w:t xml:space="preserve"> reliable and sustainable </w:t>
      </w:r>
      <w:hyperlink r:id="rId67" w:history="1">
        <w:r w:rsidR="001C194C" w:rsidRPr="006F234D">
          <w:rPr>
            <w:rStyle w:val="Hyperlink"/>
          </w:rPr>
          <w:t>energy supply</w:t>
        </w:r>
      </w:hyperlink>
      <w:r w:rsidR="001C194C" w:rsidRPr="001C194C">
        <w:t xml:space="preserve"> in Africa and the Asia Pacific region</w:t>
      </w:r>
      <w:r w:rsidR="006F234D" w:rsidRPr="00D1435C">
        <w:rPr>
          <w:rFonts w:cs="Calibri"/>
        </w:rPr>
        <w:t> </w:t>
      </w:r>
      <w:r w:rsidR="006F234D" w:rsidRPr="006F234D">
        <w:t>(</w:t>
      </w:r>
      <w:r w:rsidR="006F234D">
        <w:rPr>
          <w:rStyle w:val="FootnoteReference"/>
        </w:rPr>
        <w:footnoteReference w:id="60"/>
      </w:r>
      <w:r w:rsidR="006F234D">
        <w:t>)</w:t>
      </w:r>
      <w:r w:rsidR="00704A31">
        <w:t xml:space="preserve"> and </w:t>
      </w:r>
      <w:hyperlink r:id="rId68" w:history="1">
        <w:r w:rsidR="00E96746" w:rsidRPr="00553741">
          <w:rPr>
            <w:rStyle w:val="Hyperlink"/>
          </w:rPr>
          <w:t>access to fi</w:t>
        </w:r>
        <w:r w:rsidR="00553741" w:rsidRPr="00553741">
          <w:rPr>
            <w:rStyle w:val="Hyperlink"/>
          </w:rPr>
          <w:t>na</w:t>
        </w:r>
        <w:r w:rsidR="00E96746" w:rsidRPr="00553741">
          <w:rPr>
            <w:rStyle w:val="Hyperlink"/>
          </w:rPr>
          <w:t>nce</w:t>
        </w:r>
      </w:hyperlink>
      <w:r w:rsidR="00E96746">
        <w:t xml:space="preserve"> for small and medium-sized enterprises, </w:t>
      </w:r>
      <w:r w:rsidR="00D1435C">
        <w:t>particularly</w:t>
      </w:r>
      <w:r w:rsidR="00E96746">
        <w:t xml:space="preserve"> start-ups and woman-led</w:t>
      </w:r>
      <w:r w:rsidR="00C51D5F">
        <w:t xml:space="preserve"> enterprises</w:t>
      </w:r>
      <w:r w:rsidR="00E96746">
        <w:t>,</w:t>
      </w:r>
      <w:r w:rsidR="001365E4">
        <w:t xml:space="preserve"> in Africa and the </w:t>
      </w:r>
      <w:r w:rsidR="00553741">
        <w:t xml:space="preserve">European </w:t>
      </w:r>
      <w:r w:rsidR="001365E4">
        <w:t>Neighbourhood</w:t>
      </w:r>
      <w:r w:rsidR="00553741" w:rsidRPr="00D1435C">
        <w:rPr>
          <w:rFonts w:cs="Calibri"/>
        </w:rPr>
        <w:t> </w:t>
      </w:r>
      <w:r w:rsidR="00553741" w:rsidRPr="00553741">
        <w:t>(</w:t>
      </w:r>
      <w:r w:rsidR="00553741">
        <w:rPr>
          <w:rStyle w:val="FootnoteReference"/>
        </w:rPr>
        <w:footnoteReference w:id="61"/>
      </w:r>
      <w:r w:rsidR="00553741">
        <w:t>)</w:t>
      </w:r>
      <w:r w:rsidR="001365E4">
        <w:t>.</w:t>
      </w:r>
    </w:p>
    <w:p w14:paraId="057315BE" w14:textId="74F83199" w:rsidR="00D2490B" w:rsidRDefault="00D733AF" w:rsidP="00746207">
      <w:r w:rsidRPr="001A568A">
        <w:rPr>
          <w:rStyle w:val="Bold"/>
        </w:rPr>
        <w:t>As pa</w:t>
      </w:r>
      <w:r w:rsidR="000D37C1" w:rsidRPr="001A568A">
        <w:rPr>
          <w:rStyle w:val="Bold"/>
        </w:rPr>
        <w:t xml:space="preserve">rt of the </w:t>
      </w:r>
      <w:r w:rsidR="007F6583" w:rsidRPr="001A568A">
        <w:rPr>
          <w:rStyle w:val="Bold"/>
        </w:rPr>
        <w:t>EU</w:t>
      </w:r>
      <w:r w:rsidR="006E33AB">
        <w:rPr>
          <w:rStyle w:val="Bold"/>
        </w:rPr>
        <w:t>–</w:t>
      </w:r>
      <w:r w:rsidR="007F6583" w:rsidRPr="001A568A">
        <w:rPr>
          <w:rStyle w:val="Bold"/>
        </w:rPr>
        <w:t>Overseas Countries and Territories cooperation</w:t>
      </w:r>
      <w:r w:rsidR="000D37C1" w:rsidRPr="001A568A">
        <w:rPr>
          <w:rStyle w:val="Bold"/>
        </w:rPr>
        <w:t xml:space="preserve">, </w:t>
      </w:r>
      <w:r w:rsidR="007F6583" w:rsidRPr="001A568A">
        <w:rPr>
          <w:rStyle w:val="Bold"/>
        </w:rPr>
        <w:t>the Decision on the Overseas Association, including Greenland</w:t>
      </w:r>
      <w:r w:rsidR="000D37C1" w:rsidRPr="001A568A">
        <w:rPr>
          <w:rStyle w:val="Bold"/>
        </w:rPr>
        <w:t xml:space="preserve"> </w:t>
      </w:r>
      <w:r w:rsidR="000D37C1">
        <w:t xml:space="preserve">has supported </w:t>
      </w:r>
      <w:r w:rsidR="007F6583" w:rsidRPr="007F6583">
        <w:t xml:space="preserve">actions up to 2025 </w:t>
      </w:r>
      <w:r w:rsidR="000D37C1">
        <w:t>amounting to</w:t>
      </w:r>
      <w:r w:rsidR="007F6583" w:rsidRPr="007F6583">
        <w:t xml:space="preserve"> </w:t>
      </w:r>
      <w:r w:rsidR="007F6583" w:rsidRPr="007F6583" w:rsidDel="00EB0E5C">
        <w:t>EUR</w:t>
      </w:r>
      <w:r w:rsidR="00EB0E5C">
        <w:rPr>
          <w:rFonts w:ascii="Calibri" w:hAnsi="Calibri" w:cs="Calibri"/>
        </w:rPr>
        <w:t> </w:t>
      </w:r>
      <w:r w:rsidR="007F6583" w:rsidRPr="007F6583">
        <w:t>366.3</w:t>
      </w:r>
      <w:r w:rsidR="00E4192A">
        <w:rPr>
          <w:rFonts w:ascii="Calibri" w:hAnsi="Calibri" w:cs="Calibri"/>
        </w:rPr>
        <w:t> </w:t>
      </w:r>
      <w:r w:rsidR="007F6583" w:rsidRPr="007F6583">
        <w:t>million. In 2025,</w:t>
      </w:r>
      <w:r w:rsidR="007F6583" w:rsidRPr="007F6583">
        <w:rPr>
          <w:rFonts w:ascii="Arial" w:hAnsi="Arial" w:cs="Arial"/>
        </w:rPr>
        <w:t> </w:t>
      </w:r>
      <w:r w:rsidR="007F6583" w:rsidRPr="007F6583">
        <w:t>the first</w:t>
      </w:r>
      <w:r w:rsidR="007F6583" w:rsidRPr="007F6583">
        <w:rPr>
          <w:rFonts w:ascii="Arial" w:hAnsi="Arial" w:cs="Arial"/>
        </w:rPr>
        <w:t> </w:t>
      </w:r>
      <w:r w:rsidR="007F6583" w:rsidRPr="007F6583">
        <w:t xml:space="preserve">three </w:t>
      </w:r>
      <w:r w:rsidR="004E5580">
        <w:t>new</w:t>
      </w:r>
      <w:r w:rsidR="007F6583" w:rsidRPr="007F6583">
        <w:t xml:space="preserve"> </w:t>
      </w:r>
      <w:r w:rsidR="005F5ABD">
        <w:t xml:space="preserve">intra-regional </w:t>
      </w:r>
      <w:r w:rsidR="007F6583" w:rsidRPr="007F6583">
        <w:t xml:space="preserve">actions were adopted for a total of </w:t>
      </w:r>
      <w:r w:rsidR="007F6583" w:rsidRPr="007F6583" w:rsidDel="00EB0E5C">
        <w:t>EUR</w:t>
      </w:r>
      <w:r w:rsidR="00EB0E5C">
        <w:rPr>
          <w:rFonts w:ascii="Calibri" w:hAnsi="Calibri" w:cs="Calibri"/>
        </w:rPr>
        <w:t> </w:t>
      </w:r>
      <w:r w:rsidR="007F6583" w:rsidRPr="007F6583">
        <w:t>4.8</w:t>
      </w:r>
      <w:r w:rsidR="00E4192A">
        <w:rPr>
          <w:rFonts w:ascii="Calibri" w:hAnsi="Calibri" w:cs="Calibri"/>
        </w:rPr>
        <w:t> </w:t>
      </w:r>
      <w:r w:rsidR="007F6583" w:rsidRPr="007F6583">
        <w:t>million:</w:t>
      </w:r>
      <w:r w:rsidR="007F6583" w:rsidRPr="007F6583">
        <w:rPr>
          <w:rFonts w:ascii="Arial" w:hAnsi="Arial" w:cs="Arial"/>
        </w:rPr>
        <w:t> </w:t>
      </w:r>
      <w:r w:rsidR="007F6583" w:rsidRPr="007F6583">
        <w:t>one</w:t>
      </w:r>
      <w:r w:rsidR="007F6583" w:rsidRPr="007F6583">
        <w:rPr>
          <w:rFonts w:ascii="Arial" w:hAnsi="Arial" w:cs="Arial"/>
        </w:rPr>
        <w:t> </w:t>
      </w:r>
      <w:r w:rsidR="007F6583" w:rsidRPr="007F6583">
        <w:t>intra-regional programme</w:t>
      </w:r>
      <w:r w:rsidR="007F6583" w:rsidRPr="007F6583">
        <w:rPr>
          <w:rFonts w:ascii="Arial" w:hAnsi="Arial" w:cs="Arial"/>
        </w:rPr>
        <w:t> </w:t>
      </w:r>
      <w:r w:rsidR="007F6583" w:rsidRPr="007F6583">
        <w:t>for the French Southern and Antarctic Lands,</w:t>
      </w:r>
      <w:r w:rsidR="007F6583" w:rsidRPr="00DE336C">
        <w:rPr>
          <w:rFonts w:ascii="Arial" w:hAnsi="Arial" w:cs="Arial"/>
        </w:rPr>
        <w:t> </w:t>
      </w:r>
      <w:r w:rsidR="007F6583" w:rsidRPr="00E0372D">
        <w:rPr>
          <w:rFonts w:asciiTheme="minorHAnsi" w:hAnsiTheme="minorHAnsi"/>
        </w:rPr>
        <w:t>a</w:t>
      </w:r>
      <w:r w:rsidR="007F6583" w:rsidRPr="00DE336C">
        <w:rPr>
          <w:rFonts w:ascii="Arial" w:hAnsi="Arial" w:cs="Arial"/>
        </w:rPr>
        <w:t> </w:t>
      </w:r>
      <w:r w:rsidR="007F6583" w:rsidRPr="00E0372D">
        <w:rPr>
          <w:rFonts w:asciiTheme="minorHAnsi" w:hAnsiTheme="minorHAnsi"/>
        </w:rPr>
        <w:t>programme</w:t>
      </w:r>
      <w:r w:rsidR="007F6583" w:rsidRPr="00DE336C">
        <w:rPr>
          <w:rFonts w:ascii="Arial" w:hAnsi="Arial" w:cs="Arial"/>
        </w:rPr>
        <w:t> </w:t>
      </w:r>
      <w:r w:rsidR="007F6583" w:rsidRPr="00E0372D">
        <w:rPr>
          <w:rFonts w:asciiTheme="minorHAnsi" w:hAnsiTheme="minorHAnsi"/>
        </w:rPr>
        <w:t>dedicated to</w:t>
      </w:r>
      <w:r w:rsidR="007F6583" w:rsidRPr="00DE336C">
        <w:rPr>
          <w:rFonts w:ascii="Arial" w:hAnsi="Arial" w:cs="Arial"/>
        </w:rPr>
        <w:t> </w:t>
      </w:r>
      <w:r w:rsidR="006E33AB" w:rsidRPr="00E0372D">
        <w:rPr>
          <w:rFonts w:asciiTheme="minorHAnsi" w:hAnsiTheme="minorHAnsi" w:cs="Arial"/>
        </w:rPr>
        <w:t>c</w:t>
      </w:r>
      <w:r w:rsidR="007F6583" w:rsidRPr="00E0372D">
        <w:rPr>
          <w:rFonts w:asciiTheme="minorHAnsi" w:hAnsiTheme="minorHAnsi"/>
        </w:rPr>
        <w:t>ulture</w:t>
      </w:r>
      <w:r w:rsidR="007F6583" w:rsidRPr="00DE336C">
        <w:rPr>
          <w:rFonts w:ascii="Arial" w:hAnsi="Arial" w:cs="Arial"/>
        </w:rPr>
        <w:t> </w:t>
      </w:r>
      <w:r w:rsidR="007F6583" w:rsidRPr="00E0372D">
        <w:rPr>
          <w:rFonts w:asciiTheme="minorHAnsi" w:hAnsiTheme="minorHAnsi"/>
        </w:rPr>
        <w:t xml:space="preserve">and a </w:t>
      </w:r>
      <w:r w:rsidR="006E33AB" w:rsidRPr="00E0372D">
        <w:rPr>
          <w:rFonts w:asciiTheme="minorHAnsi" w:hAnsiTheme="minorHAnsi"/>
        </w:rPr>
        <w:t>s</w:t>
      </w:r>
      <w:r w:rsidR="007F6583" w:rsidRPr="00E0372D">
        <w:rPr>
          <w:rFonts w:asciiTheme="minorHAnsi" w:hAnsiTheme="minorHAnsi"/>
        </w:rPr>
        <w:t>upport</w:t>
      </w:r>
      <w:r w:rsidR="00316BEE">
        <w:t>-</w:t>
      </w:r>
      <w:r w:rsidR="007F6583" w:rsidRPr="007F6583">
        <w:t xml:space="preserve">measures programme, both covering all </w:t>
      </w:r>
      <w:r w:rsidR="00316BEE">
        <w:t>overseas countries and territories</w:t>
      </w:r>
      <w:r w:rsidR="007F6583" w:rsidRPr="007F6583">
        <w:t>.</w:t>
      </w:r>
      <w:r w:rsidR="00761071">
        <w:t xml:space="preserve"> </w:t>
      </w:r>
      <w:r w:rsidR="00890758" w:rsidRPr="00830279">
        <w:t>Territorial cooperation continued to cover several sectors from water to energy, tourism or natural capital. The EU supported</w:t>
      </w:r>
      <w:r w:rsidR="00E22BD0">
        <w:t xml:space="preserve">, for example, </w:t>
      </w:r>
      <w:r w:rsidR="00CA347D">
        <w:t>case</w:t>
      </w:r>
      <w:r w:rsidR="00E22BD0">
        <w:t xml:space="preserve">s such as the disaster risk </w:t>
      </w:r>
      <w:r w:rsidR="006D1673">
        <w:t>reduction policy</w:t>
      </w:r>
      <w:r w:rsidR="00CA347D">
        <w:t xml:space="preserve"> of </w:t>
      </w:r>
      <w:r w:rsidR="00143747" w:rsidRPr="00143747">
        <w:t>Saint Barthélemy, supported with EUR</w:t>
      </w:r>
      <w:r w:rsidR="00316BEE">
        <w:rPr>
          <w:rFonts w:ascii="Calibri" w:hAnsi="Calibri" w:cs="Calibri"/>
        </w:rPr>
        <w:t> </w:t>
      </w:r>
      <w:r w:rsidR="00143747" w:rsidRPr="00143747">
        <w:t>2.5</w:t>
      </w:r>
      <w:r w:rsidR="00316BEE">
        <w:rPr>
          <w:rFonts w:ascii="Calibri" w:hAnsi="Calibri" w:cs="Calibri"/>
        </w:rPr>
        <w:t> </w:t>
      </w:r>
      <w:r w:rsidR="00143747" w:rsidRPr="00143747">
        <w:t xml:space="preserve">million, </w:t>
      </w:r>
      <w:r w:rsidR="000361F3">
        <w:t xml:space="preserve">where </w:t>
      </w:r>
      <w:r w:rsidR="00143747" w:rsidRPr="00143747">
        <w:t>by 2025 the territory had acquired four rescue and assistance vehicles, carried out training courses on search and rescue and installed a tsunami alert system.</w:t>
      </w:r>
    </w:p>
    <w:p w14:paraId="6CAEE6A9" w14:textId="0DA80636" w:rsidR="00746207" w:rsidRDefault="00746207" w:rsidP="00746207">
      <w:pPr>
        <w:pStyle w:val="Heading5"/>
        <w:rPr>
          <w:noProof/>
        </w:rPr>
      </w:pPr>
      <w:r>
        <w:rPr>
          <w:noProof/>
        </w:rPr>
        <w:t>Supporting peace and security</w:t>
      </w:r>
    </w:p>
    <w:p w14:paraId="282A8A6A" w14:textId="0A22478B" w:rsidR="00606DC0" w:rsidRPr="00606DC0" w:rsidRDefault="007174F2" w:rsidP="00746207">
      <w:r w:rsidRPr="001A568A">
        <w:rPr>
          <w:rStyle w:val="Bold"/>
        </w:rPr>
        <w:t xml:space="preserve">Under the </w:t>
      </w:r>
      <w:r w:rsidR="00457AAA" w:rsidRPr="001A568A">
        <w:rPr>
          <w:rStyle w:val="Bold"/>
        </w:rPr>
        <w:t>Neighbourhood, Development and International Cooperation Instrument</w:t>
      </w:r>
      <w:r w:rsidR="006B6912">
        <w:rPr>
          <w:rStyle w:val="Bold"/>
          <w:rFonts w:ascii="Calibri" w:hAnsi="Calibri" w:cs="Calibri"/>
        </w:rPr>
        <w:t> </w:t>
      </w:r>
      <w:r w:rsidR="00457AAA" w:rsidRPr="001A568A">
        <w:rPr>
          <w:rStyle w:val="Bold"/>
        </w:rPr>
        <w:t xml:space="preserve">– Global Europe, </w:t>
      </w:r>
      <w:r w:rsidR="00D70873" w:rsidRPr="001A568A">
        <w:rPr>
          <w:rStyle w:val="Bold"/>
        </w:rPr>
        <w:t>in 2025</w:t>
      </w:r>
      <w:r w:rsidR="00457AAA" w:rsidRPr="001A568A">
        <w:rPr>
          <w:rStyle w:val="Bold"/>
        </w:rPr>
        <w:t xml:space="preserve"> the </w:t>
      </w:r>
      <w:r w:rsidR="00206AB5" w:rsidRPr="001A568A">
        <w:rPr>
          <w:rStyle w:val="Bold"/>
        </w:rPr>
        <w:t>EU supported</w:t>
      </w:r>
      <w:r w:rsidR="00643BB6" w:rsidRPr="001A568A">
        <w:rPr>
          <w:rStyle w:val="Bold"/>
        </w:rPr>
        <w:t xml:space="preserve"> 85 crisis response interventions</w:t>
      </w:r>
      <w:r w:rsidR="00643BB6">
        <w:t xml:space="preserve"> amounting to </w:t>
      </w:r>
      <w:r w:rsidR="00643BB6" w:rsidDel="00EB0E5C">
        <w:t>EUR</w:t>
      </w:r>
      <w:r w:rsidR="00EB0E5C">
        <w:rPr>
          <w:rFonts w:ascii="Calibri" w:hAnsi="Calibri" w:cs="Calibri"/>
        </w:rPr>
        <w:t> </w:t>
      </w:r>
      <w:r w:rsidR="00643BB6">
        <w:t>228.85</w:t>
      </w:r>
      <w:r w:rsidR="00EB0E5C">
        <w:rPr>
          <w:rFonts w:ascii="Calibri" w:hAnsi="Calibri" w:cs="Calibri"/>
        </w:rPr>
        <w:t> </w:t>
      </w:r>
      <w:r w:rsidR="00EB0E5C">
        <w:t>million</w:t>
      </w:r>
      <w:r w:rsidR="00206AB5">
        <w:t xml:space="preserve">, and other interventions </w:t>
      </w:r>
      <w:r w:rsidR="004478D0">
        <w:t xml:space="preserve">related to foreign policy needs </w:t>
      </w:r>
      <w:r w:rsidR="00206AB5">
        <w:t xml:space="preserve">totalling </w:t>
      </w:r>
      <w:r w:rsidR="00206AB5" w:rsidDel="00EB0E5C">
        <w:t>EU</w:t>
      </w:r>
      <w:r w:rsidR="00A1740E" w:rsidDel="00EB0E5C">
        <w:t>R</w:t>
      </w:r>
      <w:r w:rsidR="00EB0E5C">
        <w:rPr>
          <w:rFonts w:ascii="Calibri" w:hAnsi="Calibri" w:cs="Calibri"/>
        </w:rPr>
        <w:t> </w:t>
      </w:r>
      <w:r w:rsidR="00206AB5">
        <w:t>112.45</w:t>
      </w:r>
      <w:r w:rsidR="00EB0E5C">
        <w:rPr>
          <w:rFonts w:ascii="Calibri" w:hAnsi="Calibri" w:cs="Calibri"/>
        </w:rPr>
        <w:t> </w:t>
      </w:r>
      <w:r w:rsidR="00EB0E5C">
        <w:t>million</w:t>
      </w:r>
      <w:r w:rsidR="00EC0F85" w:rsidRPr="00EC0F85">
        <w:t>.</w:t>
      </w:r>
      <w:r>
        <w:rPr>
          <w:rFonts w:ascii="Calibri" w:hAnsi="Calibri" w:cs="Calibri"/>
        </w:rPr>
        <w:t xml:space="preserve"> </w:t>
      </w:r>
      <w:r w:rsidR="00EC0F85" w:rsidRPr="00EC0F85">
        <w:t>This included responding</w:t>
      </w:r>
      <w:r>
        <w:rPr>
          <w:rFonts w:ascii="Calibri" w:hAnsi="Calibri" w:cs="Calibri"/>
        </w:rPr>
        <w:t xml:space="preserve"> </w:t>
      </w:r>
      <w:r w:rsidR="00EC0F85" w:rsidRPr="00EC0F85">
        <w:t>to Russia’s war of aggression against Ukraine,</w:t>
      </w:r>
      <w:r>
        <w:rPr>
          <w:rFonts w:ascii="Calibri" w:hAnsi="Calibri" w:cs="Calibri"/>
        </w:rPr>
        <w:t xml:space="preserve"> </w:t>
      </w:r>
      <w:r w:rsidR="00EC0F85" w:rsidRPr="00EC0F85">
        <w:t>supporting</w:t>
      </w:r>
      <w:r>
        <w:rPr>
          <w:rFonts w:ascii="Calibri" w:hAnsi="Calibri" w:cs="Calibri"/>
        </w:rPr>
        <w:t xml:space="preserve"> </w:t>
      </w:r>
      <w:r w:rsidR="00EC0F85" w:rsidRPr="00EC0F85">
        <w:t xml:space="preserve">the Middle East </w:t>
      </w:r>
      <w:r w:rsidR="0052137C">
        <w:t>p</w:t>
      </w:r>
      <w:r w:rsidR="00EC0F85" w:rsidRPr="00EC0F85">
        <w:t xml:space="preserve">eace </w:t>
      </w:r>
      <w:r w:rsidR="0052137C">
        <w:t>p</w:t>
      </w:r>
      <w:r w:rsidR="00EC0F85" w:rsidRPr="00EC0F85">
        <w:t>rocess,</w:t>
      </w:r>
      <w:r>
        <w:rPr>
          <w:rFonts w:ascii="Calibri" w:hAnsi="Calibri" w:cs="Calibri"/>
        </w:rPr>
        <w:t xml:space="preserve"> </w:t>
      </w:r>
      <w:r w:rsidR="00EC0F85" w:rsidRPr="00EC0F85">
        <w:t>addressing</w:t>
      </w:r>
      <w:r>
        <w:rPr>
          <w:rFonts w:ascii="Calibri" w:hAnsi="Calibri" w:cs="Calibri"/>
        </w:rPr>
        <w:t xml:space="preserve"> </w:t>
      </w:r>
      <w:r w:rsidR="00EC0F85" w:rsidRPr="00EC0F85">
        <w:t xml:space="preserve">instability in </w:t>
      </w:r>
      <w:r w:rsidR="0052137C" w:rsidRPr="00EC0F85">
        <w:t>Lebanon</w:t>
      </w:r>
      <w:r w:rsidR="0052137C">
        <w:t>, Sudan and</w:t>
      </w:r>
      <w:r w:rsidR="0052137C" w:rsidRPr="00EC0F85">
        <w:t xml:space="preserve"> </w:t>
      </w:r>
      <w:r w:rsidR="00EC0F85" w:rsidRPr="00EC0F85">
        <w:t>Syria</w:t>
      </w:r>
      <w:r>
        <w:rPr>
          <w:rFonts w:ascii="Calibri" w:hAnsi="Calibri" w:cs="Calibri"/>
        </w:rPr>
        <w:t xml:space="preserve"> </w:t>
      </w:r>
      <w:r w:rsidR="00EC0F85" w:rsidRPr="00EC0F85">
        <w:t>and</w:t>
      </w:r>
      <w:r w:rsidRPr="00EC0F85" w:rsidDel="00590483">
        <w:t xml:space="preserve"> </w:t>
      </w:r>
      <w:r w:rsidR="00EC0F85" w:rsidRPr="00EC0F85">
        <w:t>fighting disinformation in the Sahel</w:t>
      </w:r>
      <w:r>
        <w:rPr>
          <w:rFonts w:ascii="Calibri" w:hAnsi="Calibri" w:cs="Calibri"/>
        </w:rPr>
        <w:t xml:space="preserve"> </w:t>
      </w:r>
      <w:r w:rsidR="00EC0F85" w:rsidRPr="00EC0F85">
        <w:t>and</w:t>
      </w:r>
      <w:r>
        <w:rPr>
          <w:rFonts w:ascii="Calibri" w:hAnsi="Calibri" w:cs="Calibri"/>
        </w:rPr>
        <w:t xml:space="preserve"> </w:t>
      </w:r>
      <w:r w:rsidR="00EC0F85" w:rsidRPr="00EC0F85">
        <w:t>Moldova.</w:t>
      </w:r>
      <w:r w:rsidR="00D55AE6">
        <w:t xml:space="preserve"> </w:t>
      </w:r>
      <w:r w:rsidR="00206AB5">
        <w:t>Moreover,</w:t>
      </w:r>
      <w:r w:rsidR="00DF4A36" w:rsidRPr="00DF4A36">
        <w:t xml:space="preserve"> </w:t>
      </w:r>
      <w:r w:rsidR="00DF4A36" w:rsidRPr="00DF4A36" w:rsidDel="00EB0E5C">
        <w:t>EUR</w:t>
      </w:r>
      <w:r w:rsidR="00EB0E5C">
        <w:rPr>
          <w:rFonts w:ascii="Calibri" w:hAnsi="Calibri" w:cs="Calibri"/>
        </w:rPr>
        <w:t> </w:t>
      </w:r>
      <w:r w:rsidR="00DF4A36" w:rsidRPr="00DF4A36">
        <w:t>121.5</w:t>
      </w:r>
      <w:r w:rsidR="00EB0E5C">
        <w:rPr>
          <w:rFonts w:ascii="Calibri" w:hAnsi="Calibri" w:cs="Calibri"/>
        </w:rPr>
        <w:t> </w:t>
      </w:r>
      <w:r w:rsidR="00EB0E5C">
        <w:t>million</w:t>
      </w:r>
      <w:r w:rsidR="00DF4A36" w:rsidRPr="00DF4A36">
        <w:t xml:space="preserve"> </w:t>
      </w:r>
      <w:r w:rsidR="00D55AE6">
        <w:t>w</w:t>
      </w:r>
      <w:r w:rsidR="00590483">
        <w:t>as</w:t>
      </w:r>
      <w:r w:rsidR="00D55AE6">
        <w:t xml:space="preserve"> provided </w:t>
      </w:r>
      <w:r w:rsidR="00DF4A36" w:rsidRPr="00DF4A36">
        <w:t>for resilience and peacebuilding.</w:t>
      </w:r>
      <w:r w:rsidR="00FA3318">
        <w:t xml:space="preserve"> </w:t>
      </w:r>
      <w:r w:rsidR="004B154B">
        <w:t xml:space="preserve">In the case of Afghanistan, </w:t>
      </w:r>
      <w:r w:rsidR="005670BD">
        <w:t xml:space="preserve">in 2025 </w:t>
      </w:r>
      <w:r w:rsidR="004B154B">
        <w:t>the Commission</w:t>
      </w:r>
      <w:r w:rsidR="00606DC0" w:rsidRPr="00606DC0">
        <w:t xml:space="preserve"> adopted </w:t>
      </w:r>
      <w:r w:rsidR="001E1644" w:rsidRPr="00606DC0">
        <w:t>an</w:t>
      </w:r>
      <w:r w:rsidR="00606DC0" w:rsidRPr="00606DC0">
        <w:t xml:space="preserve"> </w:t>
      </w:r>
      <w:r w:rsidR="00606DC0" w:rsidRPr="00606DC0" w:rsidDel="00EB0E5C">
        <w:t>EUR</w:t>
      </w:r>
      <w:r w:rsidR="00EB0E5C">
        <w:rPr>
          <w:rFonts w:ascii="Calibri" w:hAnsi="Calibri" w:cs="Calibri"/>
        </w:rPr>
        <w:t> </w:t>
      </w:r>
      <w:r w:rsidR="00606DC0" w:rsidRPr="00606DC0">
        <w:t>83</w:t>
      </w:r>
      <w:r w:rsidR="00EB0E5C">
        <w:rPr>
          <w:rFonts w:ascii="Calibri" w:hAnsi="Calibri" w:cs="Calibri"/>
        </w:rPr>
        <w:t> </w:t>
      </w:r>
      <w:r w:rsidR="00EB0E5C">
        <w:t>million</w:t>
      </w:r>
      <w:r w:rsidR="00606DC0" w:rsidRPr="00606DC0">
        <w:t xml:space="preserve"> programme to support basic needs and livelihoods under the</w:t>
      </w:r>
      <w:r w:rsidR="00D55AE6">
        <w:rPr>
          <w:rFonts w:ascii="Calibri" w:hAnsi="Calibri" w:cs="Calibri"/>
        </w:rPr>
        <w:t xml:space="preserve"> </w:t>
      </w:r>
      <w:r w:rsidR="00606DC0" w:rsidRPr="00606DC0">
        <w:rPr>
          <w:rFonts w:cs="EC Square Sans Pro"/>
        </w:rPr>
        <w:t>‘</w:t>
      </w:r>
      <w:r w:rsidR="00606DC0" w:rsidRPr="00606DC0">
        <w:t>for women, by women’</w:t>
      </w:r>
      <w:r w:rsidR="00D55AE6">
        <w:rPr>
          <w:rFonts w:ascii="Calibri" w:hAnsi="Calibri" w:cs="Calibri"/>
        </w:rPr>
        <w:t xml:space="preserve"> </w:t>
      </w:r>
      <w:r w:rsidR="00606DC0" w:rsidRPr="00606DC0">
        <w:t xml:space="preserve">principle </w:t>
      </w:r>
      <w:r w:rsidR="004B154B">
        <w:t>and</w:t>
      </w:r>
      <w:r w:rsidR="00606DC0" w:rsidRPr="00606DC0">
        <w:t xml:space="preserve"> allocated an additional </w:t>
      </w:r>
      <w:r w:rsidR="00606DC0" w:rsidRPr="00606DC0" w:rsidDel="00EB0E5C">
        <w:t>EUR</w:t>
      </w:r>
      <w:r w:rsidR="00EB0E5C">
        <w:rPr>
          <w:rFonts w:ascii="Calibri" w:hAnsi="Calibri" w:cs="Calibri"/>
        </w:rPr>
        <w:t> </w:t>
      </w:r>
      <w:r w:rsidR="00606DC0" w:rsidRPr="00606DC0">
        <w:t>38.5</w:t>
      </w:r>
      <w:r w:rsidR="00EB0E5C">
        <w:rPr>
          <w:rFonts w:ascii="Calibri" w:hAnsi="Calibri" w:cs="Calibri"/>
        </w:rPr>
        <w:t> </w:t>
      </w:r>
      <w:r w:rsidR="00EB0E5C">
        <w:t>million</w:t>
      </w:r>
      <w:r w:rsidR="00606DC0" w:rsidRPr="00606DC0">
        <w:t xml:space="preserve"> to address the displacement crisis</w:t>
      </w:r>
      <w:r w:rsidR="004B154B">
        <w:t>.</w:t>
      </w:r>
      <w:r w:rsidR="001F084D">
        <w:t xml:space="preserve"> </w:t>
      </w:r>
      <w:r w:rsidR="00606DC0" w:rsidRPr="00606DC0">
        <w:t xml:space="preserve">To support peace and security in South Asia, the EU launched a </w:t>
      </w:r>
      <w:r w:rsidR="00606DC0" w:rsidRPr="00606DC0" w:rsidDel="00EB0E5C">
        <w:t>EUR</w:t>
      </w:r>
      <w:r w:rsidR="00EB0E5C">
        <w:rPr>
          <w:rFonts w:ascii="Calibri" w:hAnsi="Calibri" w:cs="Calibri"/>
        </w:rPr>
        <w:t> </w:t>
      </w:r>
      <w:r w:rsidR="00606DC0" w:rsidRPr="00606DC0">
        <w:t>5</w:t>
      </w:r>
      <w:r w:rsidR="00EB0E5C">
        <w:rPr>
          <w:rFonts w:ascii="Calibri" w:hAnsi="Calibri" w:cs="Calibri"/>
        </w:rPr>
        <w:t> </w:t>
      </w:r>
      <w:r w:rsidR="00EB0E5C">
        <w:t>million</w:t>
      </w:r>
      <w:r w:rsidR="00606DC0" w:rsidRPr="00606DC0">
        <w:t xml:space="preserve"> programme</w:t>
      </w:r>
      <w:r w:rsidR="00A1740E">
        <w:rPr>
          <w:rFonts w:ascii="Calibri" w:hAnsi="Calibri" w:cs="Calibri"/>
        </w:rPr>
        <w:t xml:space="preserve"> </w:t>
      </w:r>
      <w:r w:rsidR="00606DC0" w:rsidRPr="00606DC0">
        <w:rPr>
          <w:rFonts w:cs="EC Square Sans Pro"/>
        </w:rPr>
        <w:t>‘</w:t>
      </w:r>
      <w:r w:rsidR="00606DC0" w:rsidRPr="00606DC0">
        <w:t>Supporting Asian countries’ resilience to violent extremism in the digital space’</w:t>
      </w:r>
      <w:r w:rsidR="00A1740E">
        <w:rPr>
          <w:rFonts w:ascii="Calibri" w:hAnsi="Calibri" w:cs="Calibri"/>
        </w:rPr>
        <w:t xml:space="preserve"> </w:t>
      </w:r>
      <w:r w:rsidR="00606DC0" w:rsidRPr="00606DC0">
        <w:t>and adopted a regional programme to support resilience and cross-border cooperation, notably to respond to challenges posed by technology-enabled crime and terrorism.</w:t>
      </w:r>
    </w:p>
    <w:p w14:paraId="11EB6ED6" w14:textId="5C1A0299" w:rsidR="004A5946" w:rsidRDefault="004A5946" w:rsidP="004A5946">
      <w:pPr>
        <w:rPr>
          <w:noProof/>
        </w:rPr>
      </w:pPr>
      <w:r>
        <w:rPr>
          <w:noProof/>
        </w:rPr>
        <w:t xml:space="preserve">Under the </w:t>
      </w:r>
      <w:r w:rsidRPr="001A568A">
        <w:rPr>
          <w:rStyle w:val="Bold"/>
        </w:rPr>
        <w:t>common foreign and security policy</w:t>
      </w:r>
      <w:r w:rsidRPr="00E0372D">
        <w:rPr>
          <w:rStyle w:val="BoldAccent1"/>
          <w:rFonts w:eastAsia="Times New Roman"/>
          <w:b w:val="0"/>
        </w:rPr>
        <w:t>,</w:t>
      </w:r>
      <w:r>
        <w:rPr>
          <w:noProof/>
        </w:rPr>
        <w:t xml:space="preserve"> in 2025 the EU financed</w:t>
      </w:r>
      <w:r w:rsidR="007440E0">
        <w:rPr>
          <w:noProof/>
        </w:rPr>
        <w:t>,</w:t>
      </w:r>
      <w:r>
        <w:rPr>
          <w:noProof/>
        </w:rPr>
        <w:t xml:space="preserve"> with a total of EUR</w:t>
      </w:r>
      <w:r>
        <w:rPr>
          <w:rFonts w:ascii="Calibri" w:hAnsi="Calibri" w:cs="Calibri"/>
          <w:noProof/>
        </w:rPr>
        <w:t> </w:t>
      </w:r>
      <w:r>
        <w:rPr>
          <w:noProof/>
        </w:rPr>
        <w:t>416.7</w:t>
      </w:r>
      <w:r w:rsidR="00EB0E5C">
        <w:rPr>
          <w:rFonts w:ascii="Calibri" w:hAnsi="Calibri" w:cs="Calibri"/>
          <w:noProof/>
        </w:rPr>
        <w:t> </w:t>
      </w:r>
      <w:r w:rsidR="00EB0E5C">
        <w:rPr>
          <w:noProof/>
        </w:rPr>
        <w:t>million</w:t>
      </w:r>
      <w:r w:rsidR="007440E0">
        <w:rPr>
          <w:noProof/>
        </w:rPr>
        <w:t>,</w:t>
      </w:r>
      <w:r>
        <w:rPr>
          <w:noProof/>
        </w:rPr>
        <w:t xml:space="preserve"> 13 civilian common security and defence policy missions; 13 EU Special Representatives; and 30 ongoing non-proliferation and disarmament actions, with 12 actions launched in 2025.</w:t>
      </w:r>
    </w:p>
    <w:p w14:paraId="00C89E28" w14:textId="3EF7052B" w:rsidR="0052503C" w:rsidRDefault="001F084D" w:rsidP="00746207">
      <w:r w:rsidRPr="001A568A">
        <w:rPr>
          <w:rStyle w:val="Bold"/>
        </w:rPr>
        <w:t>I</w:t>
      </w:r>
      <w:r w:rsidR="00663D14" w:rsidRPr="001A568A">
        <w:rPr>
          <w:rStyle w:val="Bold"/>
        </w:rPr>
        <w:t xml:space="preserve">n the </w:t>
      </w:r>
      <w:r w:rsidR="005F2029" w:rsidRPr="001A568A">
        <w:rPr>
          <w:rStyle w:val="Bold"/>
        </w:rPr>
        <w:t>context of the Global Alliance to Counter Migrant Smuggling</w:t>
      </w:r>
      <w:r w:rsidR="008E219A" w:rsidRPr="001A568A">
        <w:rPr>
          <w:rStyle w:val="Bold"/>
        </w:rPr>
        <w:t>,</w:t>
      </w:r>
      <w:r w:rsidR="00913DB3" w:rsidRPr="001A568A">
        <w:rPr>
          <w:rStyle w:val="Bold"/>
        </w:rPr>
        <w:t xml:space="preserve"> </w:t>
      </w:r>
      <w:r w:rsidR="00D27958" w:rsidRPr="001A568A">
        <w:rPr>
          <w:rStyle w:val="Bold"/>
        </w:rPr>
        <w:t>the Commission l</w:t>
      </w:r>
      <w:r w:rsidR="00BE553B" w:rsidRPr="001A568A">
        <w:rPr>
          <w:rStyle w:val="Bold"/>
        </w:rPr>
        <w:t>aunch</w:t>
      </w:r>
      <w:r w:rsidR="00D27958" w:rsidRPr="001A568A">
        <w:rPr>
          <w:rStyle w:val="Bold"/>
        </w:rPr>
        <w:t>ed</w:t>
      </w:r>
      <w:r w:rsidR="00BE553B" w:rsidRPr="001A568A">
        <w:rPr>
          <w:rStyle w:val="Bold"/>
        </w:rPr>
        <w:t xml:space="preserve"> </w:t>
      </w:r>
      <w:r w:rsidR="00913DB3" w:rsidRPr="001A568A">
        <w:rPr>
          <w:rStyle w:val="Bold"/>
        </w:rPr>
        <w:t>a</w:t>
      </w:r>
      <w:r w:rsidR="00C11715" w:rsidRPr="001A568A">
        <w:rPr>
          <w:rStyle w:val="Bold"/>
        </w:rPr>
        <w:t xml:space="preserve">n action </w:t>
      </w:r>
      <w:r w:rsidR="0052503C" w:rsidRPr="001A568A">
        <w:rPr>
          <w:rStyle w:val="Bold"/>
        </w:rPr>
        <w:t>on the financial and digital dimensions of migrant smuggling</w:t>
      </w:r>
      <w:r w:rsidR="008B68FA">
        <w:t xml:space="preserve"> </w:t>
      </w:r>
      <w:r w:rsidR="0052503C" w:rsidRPr="0052503C">
        <w:t xml:space="preserve">as part of a </w:t>
      </w:r>
      <w:r w:rsidR="0052503C" w:rsidRPr="0052503C" w:rsidDel="00EB0E5C">
        <w:t>EUR</w:t>
      </w:r>
      <w:r w:rsidR="00EB0E5C">
        <w:rPr>
          <w:rFonts w:ascii="Calibri" w:hAnsi="Calibri" w:cs="Calibri"/>
        </w:rPr>
        <w:t> </w:t>
      </w:r>
      <w:r w:rsidR="0052503C" w:rsidRPr="0052503C">
        <w:t>78</w:t>
      </w:r>
      <w:r w:rsidR="00EB0E5C">
        <w:rPr>
          <w:rFonts w:ascii="Calibri" w:hAnsi="Calibri" w:cs="Calibri"/>
        </w:rPr>
        <w:t> </w:t>
      </w:r>
      <w:r w:rsidR="00EB0E5C">
        <w:t>million</w:t>
      </w:r>
      <w:r w:rsidR="0052503C" w:rsidRPr="0052503C">
        <w:t xml:space="preserve"> EU funding package</w:t>
      </w:r>
      <w:r w:rsidR="0052503C" w:rsidRPr="0052503C" w:rsidDel="004A2D66">
        <w:t>.</w:t>
      </w:r>
      <w:r w:rsidR="00D3622D">
        <w:rPr>
          <w:rFonts w:ascii="Calibri" w:hAnsi="Calibri" w:cs="Calibri"/>
        </w:rPr>
        <w:t xml:space="preserve"> </w:t>
      </w:r>
      <w:r w:rsidR="00D3622D" w:rsidRPr="002401E9">
        <w:t xml:space="preserve">The Commission also </w:t>
      </w:r>
      <w:r w:rsidR="00F841AD">
        <w:t>makes use of</w:t>
      </w:r>
      <w:r w:rsidR="006B7456">
        <w:t xml:space="preserve"> funds from the Asylum, Migration and Integration Fund </w:t>
      </w:r>
      <w:r w:rsidR="00A36215">
        <w:t xml:space="preserve">towards </w:t>
      </w:r>
      <w:r w:rsidR="00552541">
        <w:t>actions under</w:t>
      </w:r>
      <w:r w:rsidR="00A36215">
        <w:t xml:space="preserve"> the Global Alliance to Counter Migrant Smuggling</w:t>
      </w:r>
      <w:r w:rsidR="003D3865">
        <w:t xml:space="preserve">, including </w:t>
      </w:r>
      <w:r w:rsidR="00552541">
        <w:t>EUR</w:t>
      </w:r>
      <w:r w:rsidR="003D3865">
        <w:rPr>
          <w:rFonts w:ascii="Calibri" w:hAnsi="Calibri" w:cs="Calibri"/>
        </w:rPr>
        <w:t> </w:t>
      </w:r>
      <w:r w:rsidR="00552541">
        <w:t>10</w:t>
      </w:r>
      <w:r w:rsidR="00EB0E5C">
        <w:rPr>
          <w:rFonts w:ascii="Calibri" w:hAnsi="Calibri" w:cs="Calibri"/>
        </w:rPr>
        <w:t> </w:t>
      </w:r>
      <w:r w:rsidR="00EB0E5C">
        <w:t>million</w:t>
      </w:r>
      <w:r w:rsidR="00552541">
        <w:t xml:space="preserve"> in 2025</w:t>
      </w:r>
      <w:r w:rsidR="003D3865">
        <w:t xml:space="preserve">, and </w:t>
      </w:r>
      <w:r w:rsidR="00B641C3">
        <w:t>contributed with approximately EUR</w:t>
      </w:r>
      <w:r w:rsidR="00131E3C">
        <w:rPr>
          <w:rFonts w:ascii="Calibri" w:hAnsi="Calibri" w:cs="Calibri"/>
        </w:rPr>
        <w:t> </w:t>
      </w:r>
      <w:r w:rsidR="00B641C3">
        <w:t>12</w:t>
      </w:r>
      <w:r w:rsidR="00EB0E5C">
        <w:rPr>
          <w:rFonts w:ascii="Calibri" w:hAnsi="Calibri" w:cs="Calibri"/>
        </w:rPr>
        <w:t> </w:t>
      </w:r>
      <w:r w:rsidR="00EB0E5C">
        <w:t>million</w:t>
      </w:r>
      <w:r w:rsidR="00B641C3">
        <w:t xml:space="preserve"> through the Internal Security </w:t>
      </w:r>
      <w:r w:rsidR="003D341F">
        <w:t>F</w:t>
      </w:r>
      <w:r w:rsidR="00B641C3">
        <w:t xml:space="preserve">und to the </w:t>
      </w:r>
      <w:r w:rsidR="00FD6008">
        <w:t>Common Operational Partnership with non-EU countries to counter migrant smuggling and trafficking in human beings.</w:t>
      </w:r>
    </w:p>
    <w:p w14:paraId="45462A65" w14:textId="32E23991" w:rsidR="00746207" w:rsidRDefault="00385BC1" w:rsidP="00746207">
      <w:pPr>
        <w:pStyle w:val="Heading5"/>
        <w:rPr>
          <w:noProof/>
        </w:rPr>
      </w:pPr>
      <w:r>
        <w:rPr>
          <w:noProof/>
        </w:rPr>
        <w:t>EU provision of</w:t>
      </w:r>
      <w:r w:rsidR="00746207">
        <w:rPr>
          <w:noProof/>
        </w:rPr>
        <w:t xml:space="preserve"> humanitarian aid</w:t>
      </w:r>
    </w:p>
    <w:p w14:paraId="6B21D1B9" w14:textId="12D24ED6" w:rsidR="00E2313C" w:rsidRDefault="00E2313C" w:rsidP="002C2348">
      <w:r w:rsidRPr="00795512">
        <w:rPr>
          <w:rStyle w:val="Bold"/>
        </w:rPr>
        <w:t xml:space="preserve">The current </w:t>
      </w:r>
      <w:r w:rsidR="003E55B5">
        <w:rPr>
          <w:rStyle w:val="Bold"/>
        </w:rPr>
        <w:t>hardening</w:t>
      </w:r>
      <w:r w:rsidRPr="00795512">
        <w:rPr>
          <w:rStyle w:val="Bold"/>
        </w:rPr>
        <w:t xml:space="preserve"> geopolitical context and the impacts of climate change are exacerbating tensions, fuelling existing conflicts and extending protracted crises</w:t>
      </w:r>
      <w:r w:rsidRPr="00E0372D">
        <w:rPr>
          <w:rStyle w:val="Bold"/>
        </w:rPr>
        <w:t>.</w:t>
      </w:r>
      <w:r>
        <w:t xml:space="preserve"> In this context, the EU remains a </w:t>
      </w:r>
      <w:r w:rsidRPr="00E2313C">
        <w:t xml:space="preserve">reliable and principled humanitarian actor. </w:t>
      </w:r>
    </w:p>
    <w:p w14:paraId="37792BC1" w14:textId="2DD35766" w:rsidR="00652A3A" w:rsidRDefault="002C2348" w:rsidP="002C2348">
      <w:r w:rsidRPr="00454988">
        <w:rPr>
          <w:rStyle w:val="Bold"/>
        </w:rPr>
        <w:t>In 2025</w:t>
      </w:r>
      <w:r w:rsidR="00C80A70">
        <w:rPr>
          <w:rStyle w:val="Bold"/>
        </w:rPr>
        <w:t>,</w:t>
      </w:r>
      <w:r w:rsidRPr="00454988">
        <w:rPr>
          <w:rStyle w:val="Bold"/>
        </w:rPr>
        <w:t xml:space="preserve"> the EU </w:t>
      </w:r>
      <w:r w:rsidR="00EE39CB">
        <w:rPr>
          <w:rStyle w:val="Bold"/>
        </w:rPr>
        <w:t xml:space="preserve">continued its support </w:t>
      </w:r>
      <w:r w:rsidR="00767F93">
        <w:rPr>
          <w:rStyle w:val="Bold"/>
        </w:rPr>
        <w:t>to Palestine</w:t>
      </w:r>
      <w:r w:rsidR="00767F93" w:rsidRPr="00767F93">
        <w:rPr>
          <w:rStyle w:val="Bold"/>
          <w:rFonts w:cs="Calibri"/>
        </w:rPr>
        <w:t> </w:t>
      </w:r>
      <w:r w:rsidR="00767F93" w:rsidRPr="002B19C5">
        <w:rPr>
          <w:rStyle w:val="Bold"/>
          <w:b w:val="0"/>
        </w:rPr>
        <w:t>(</w:t>
      </w:r>
      <w:r w:rsidR="00767F93">
        <w:rPr>
          <w:rStyle w:val="FootnoteReference"/>
          <w:b/>
          <w:spacing w:val="1"/>
        </w:rPr>
        <w:footnoteReference w:id="62"/>
      </w:r>
      <w:r w:rsidR="00767F93" w:rsidRPr="002B19C5">
        <w:rPr>
          <w:rStyle w:val="Bold"/>
          <w:b w:val="0"/>
          <w:bCs/>
        </w:rPr>
        <w:t>)</w:t>
      </w:r>
      <w:r w:rsidRPr="00454988">
        <w:rPr>
          <w:rStyle w:val="Bold"/>
        </w:rPr>
        <w:t>.</w:t>
      </w:r>
      <w:r>
        <w:t xml:space="preserve"> </w:t>
      </w:r>
      <w:r w:rsidR="005F29A5" w:rsidRPr="005F29A5">
        <w:t xml:space="preserve">The </w:t>
      </w:r>
      <w:r w:rsidR="004957D3">
        <w:t>situation</w:t>
      </w:r>
      <w:r w:rsidR="005F29A5" w:rsidRPr="005F29A5">
        <w:t xml:space="preserve"> in the occupied Palestinian territory</w:t>
      </w:r>
      <w:r w:rsidR="00F81B26">
        <w:t xml:space="preserve"> has deteriorated</w:t>
      </w:r>
      <w:r w:rsidR="00BE412D">
        <w:t xml:space="preserve"> dramatically </w:t>
      </w:r>
      <w:r w:rsidR="0018794E">
        <w:t xml:space="preserve">following </w:t>
      </w:r>
      <w:r w:rsidR="005F29A5" w:rsidRPr="005F29A5">
        <w:t xml:space="preserve">the </w:t>
      </w:r>
      <w:r w:rsidR="00C61132">
        <w:t xml:space="preserve">October </w:t>
      </w:r>
      <w:r w:rsidR="005F29A5" w:rsidRPr="005F29A5">
        <w:t>2023 terrorist attacks on Israel</w:t>
      </w:r>
      <w:r w:rsidR="00893A9F">
        <w:t xml:space="preserve"> </w:t>
      </w:r>
      <w:r w:rsidR="00893A9F" w:rsidRPr="00893A9F">
        <w:t xml:space="preserve">and the ensuing military operations </w:t>
      </w:r>
      <w:r w:rsidR="008F50C4">
        <w:t xml:space="preserve">by Israel </w:t>
      </w:r>
      <w:r w:rsidR="00893A9F" w:rsidRPr="00893A9F">
        <w:t>in Gaza and the West Bank, resulting in a catastrophic humanitarian situation</w:t>
      </w:r>
      <w:r w:rsidR="004732D0">
        <w:t>,</w:t>
      </w:r>
      <w:r w:rsidR="005F29A5" w:rsidRPr="005F29A5" w:rsidDel="004732D0">
        <w:t xml:space="preserve"> </w:t>
      </w:r>
      <w:r w:rsidR="005F29A5" w:rsidRPr="005F29A5">
        <w:t>large-scale destruction and suffering</w:t>
      </w:r>
      <w:r w:rsidR="00315294">
        <w:t xml:space="preserve">, with </w:t>
      </w:r>
      <w:r w:rsidR="00315294" w:rsidRPr="1F6FA380">
        <w:rPr>
          <w:lang w:val="en-IE"/>
        </w:rPr>
        <w:t>t</w:t>
      </w:r>
      <w:r w:rsidR="00315294">
        <w:t>he entire population of Gaza</w:t>
      </w:r>
      <w:r w:rsidR="00315294" w:rsidRPr="00E0372D">
        <w:t xml:space="preserve"> </w:t>
      </w:r>
      <w:r w:rsidR="00315294">
        <w:t>(2.1</w:t>
      </w:r>
      <w:r w:rsidR="00EB0E5C">
        <w:rPr>
          <w:rFonts w:ascii="Calibri" w:hAnsi="Calibri" w:cs="Calibri"/>
        </w:rPr>
        <w:t> </w:t>
      </w:r>
      <w:r w:rsidR="00EB0E5C">
        <w:t>million</w:t>
      </w:r>
      <w:r w:rsidR="00315294">
        <w:t xml:space="preserve">) </w:t>
      </w:r>
      <w:r w:rsidR="00546D8C">
        <w:t>subject to</w:t>
      </w:r>
      <w:r w:rsidR="00315294">
        <w:t xml:space="preserve"> security and protection risks</w:t>
      </w:r>
      <w:r w:rsidR="00E2313C" w:rsidRPr="005F29A5">
        <w:t xml:space="preserve"> of unprecedented severity.</w:t>
      </w:r>
      <w:r w:rsidR="005F29A5" w:rsidRPr="005F29A5">
        <w:t xml:space="preserve"> </w:t>
      </w:r>
      <w:r>
        <w:t xml:space="preserve">Under the </w:t>
      </w:r>
      <w:r w:rsidR="00035B0E">
        <w:t>h</w:t>
      </w:r>
      <w:r>
        <w:t xml:space="preserve">umanitarian </w:t>
      </w:r>
      <w:r w:rsidR="00035B0E">
        <w:t>a</w:t>
      </w:r>
      <w:r>
        <w:t xml:space="preserve">id programme, </w:t>
      </w:r>
      <w:r w:rsidRPr="00517AB2" w:rsidDel="00EB0E5C">
        <w:t>EUR</w:t>
      </w:r>
      <w:r w:rsidR="00EB0E5C">
        <w:rPr>
          <w:rFonts w:ascii="Calibri" w:hAnsi="Calibri" w:cs="Calibri"/>
        </w:rPr>
        <w:t> </w:t>
      </w:r>
      <w:r w:rsidRPr="00517AB2">
        <w:t>220</w:t>
      </w:r>
      <w:r w:rsidR="00EB0E5C">
        <w:rPr>
          <w:rFonts w:ascii="Calibri" w:hAnsi="Calibri" w:cs="Calibri"/>
        </w:rPr>
        <w:t> </w:t>
      </w:r>
      <w:r w:rsidR="00EB0E5C">
        <w:t>million</w:t>
      </w:r>
      <w:r w:rsidRPr="00517AB2">
        <w:t xml:space="preserve"> </w:t>
      </w:r>
      <w:r>
        <w:t xml:space="preserve">was </w:t>
      </w:r>
      <w:r w:rsidRPr="00517AB2">
        <w:t>committed to address the needs of the occupied Palestinian territories</w:t>
      </w:r>
      <w:r>
        <w:t xml:space="preserve"> where t</w:t>
      </w:r>
      <w:r w:rsidRPr="00517AB2">
        <w:t>he entire population of Gaza</w:t>
      </w:r>
      <w:r w:rsidR="00E91E2C">
        <w:t xml:space="preserve"> is</w:t>
      </w:r>
      <w:r w:rsidRPr="00517AB2">
        <w:t xml:space="preserve"> facing acute food insecurity. </w:t>
      </w:r>
      <w:r w:rsidR="00652A3A" w:rsidRPr="00652A3A">
        <w:t xml:space="preserve">In April 2025, </w:t>
      </w:r>
      <w:r w:rsidR="001E1644" w:rsidRPr="00652A3A">
        <w:t>the</w:t>
      </w:r>
      <w:r w:rsidR="00652A3A" w:rsidRPr="00652A3A">
        <w:t xml:space="preserve"> Commission presented a proposal for a </w:t>
      </w:r>
      <w:r w:rsidR="0013556A">
        <w:rPr>
          <w:noProof/>
        </w:rPr>
        <w:t>EUR</w:t>
      </w:r>
      <w:r w:rsidR="0013556A">
        <w:rPr>
          <w:rFonts w:ascii="Calibri" w:hAnsi="Calibri" w:cs="Calibri"/>
          <w:noProof/>
        </w:rPr>
        <w:t> </w:t>
      </w:r>
      <w:r w:rsidR="0013556A">
        <w:rPr>
          <w:noProof/>
        </w:rPr>
        <w:t>1.6</w:t>
      </w:r>
      <w:r w:rsidR="00D91167">
        <w:rPr>
          <w:rFonts w:ascii="Calibri" w:hAnsi="Calibri" w:cs="Calibri"/>
        </w:rPr>
        <w:t> </w:t>
      </w:r>
      <w:r w:rsidR="00652A3A" w:rsidRPr="00652A3A">
        <w:t xml:space="preserve">billion </w:t>
      </w:r>
      <w:r w:rsidR="005551BE">
        <w:t>m</w:t>
      </w:r>
      <w:r w:rsidR="00652A3A" w:rsidRPr="00652A3A">
        <w:t xml:space="preserve">ultiannual and </w:t>
      </w:r>
      <w:r w:rsidR="005551BE">
        <w:t>c</w:t>
      </w:r>
      <w:r w:rsidR="00652A3A" w:rsidRPr="00652A3A">
        <w:t xml:space="preserve">omprehensive </w:t>
      </w:r>
      <w:r w:rsidR="005551BE">
        <w:t>p</w:t>
      </w:r>
      <w:r w:rsidR="00652A3A" w:rsidRPr="00652A3A">
        <w:t>rogramme for Palestin</w:t>
      </w:r>
      <w:r w:rsidR="00004411">
        <w:t>ian</w:t>
      </w:r>
      <w:r w:rsidR="00652A3A" w:rsidRPr="00652A3A">
        <w:t xml:space="preserve"> </w:t>
      </w:r>
      <w:r w:rsidR="001F38BC">
        <w:t>r</w:t>
      </w:r>
      <w:r w:rsidR="00652A3A" w:rsidRPr="00652A3A">
        <w:t xml:space="preserve">ecovery and </w:t>
      </w:r>
      <w:r w:rsidR="001F38BC">
        <w:t>r</w:t>
      </w:r>
      <w:r w:rsidR="00652A3A" w:rsidRPr="00652A3A">
        <w:t xml:space="preserve">esilience (2025-2027). Part of the funds (i.e. </w:t>
      </w:r>
      <w:r w:rsidR="0013556A">
        <w:rPr>
          <w:noProof/>
        </w:rPr>
        <w:t>EUR</w:t>
      </w:r>
      <w:r w:rsidR="0013556A">
        <w:rPr>
          <w:rFonts w:ascii="Calibri" w:hAnsi="Calibri" w:cs="Calibri"/>
          <w:noProof/>
        </w:rPr>
        <w:t> </w:t>
      </w:r>
      <w:r w:rsidR="0013556A">
        <w:rPr>
          <w:noProof/>
        </w:rPr>
        <w:t>0.5</w:t>
      </w:r>
      <w:r w:rsidR="00D91167">
        <w:rPr>
          <w:rFonts w:ascii="Calibri" w:hAnsi="Calibri" w:cs="Calibri"/>
        </w:rPr>
        <w:t> </w:t>
      </w:r>
      <w:r w:rsidR="00652A3A" w:rsidRPr="00652A3A">
        <w:t>billion) w</w:t>
      </w:r>
      <w:r w:rsidR="0013556A">
        <w:t>as</w:t>
      </w:r>
      <w:r w:rsidR="00652A3A" w:rsidRPr="00652A3A">
        <w:t xml:space="preserve"> committed in 2025</w:t>
      </w:r>
      <w:r w:rsidR="0013556A">
        <w:t>.</w:t>
      </w:r>
    </w:p>
    <w:p w14:paraId="1B46E896" w14:textId="3030BCAD" w:rsidR="001F084D" w:rsidRDefault="00C32ED4" w:rsidP="00746207">
      <w:r w:rsidRPr="00454988">
        <w:rPr>
          <w:rStyle w:val="Bold"/>
        </w:rPr>
        <w:t>Furthermore</w:t>
      </w:r>
      <w:r w:rsidR="002C2348" w:rsidRPr="00454988">
        <w:rPr>
          <w:rStyle w:val="Bold"/>
        </w:rPr>
        <w:t>, i</w:t>
      </w:r>
      <w:r w:rsidR="00B7606A" w:rsidRPr="00454988">
        <w:rPr>
          <w:rStyle w:val="Bold"/>
        </w:rPr>
        <w:t xml:space="preserve">n 2025 the EU </w:t>
      </w:r>
      <w:r w:rsidR="00774A1A" w:rsidRPr="00454988">
        <w:rPr>
          <w:rStyle w:val="Bold"/>
        </w:rPr>
        <w:t xml:space="preserve">provided </w:t>
      </w:r>
      <w:r w:rsidR="00E759C5" w:rsidRPr="00454988" w:rsidDel="00EB0E5C">
        <w:rPr>
          <w:rStyle w:val="Bold"/>
        </w:rPr>
        <w:t>EUR</w:t>
      </w:r>
      <w:r w:rsidR="00EB0E5C">
        <w:rPr>
          <w:rStyle w:val="Bold"/>
          <w:rFonts w:ascii="Calibri" w:hAnsi="Calibri" w:cs="Calibri"/>
        </w:rPr>
        <w:t> </w:t>
      </w:r>
      <w:r w:rsidR="00B7606A" w:rsidRPr="00454988">
        <w:rPr>
          <w:rStyle w:val="Bold"/>
        </w:rPr>
        <w:t>2.56</w:t>
      </w:r>
      <w:r w:rsidR="00EB0E5C">
        <w:rPr>
          <w:rStyle w:val="Bold"/>
          <w:rFonts w:ascii="Calibri" w:hAnsi="Calibri" w:cs="Calibri"/>
        </w:rPr>
        <w:t> </w:t>
      </w:r>
      <w:r w:rsidR="00EB0E5C">
        <w:rPr>
          <w:rStyle w:val="Bold"/>
        </w:rPr>
        <w:t>billion</w:t>
      </w:r>
      <w:r w:rsidR="00B7606A" w:rsidRPr="00454988">
        <w:rPr>
          <w:rStyle w:val="Bold"/>
        </w:rPr>
        <w:t xml:space="preserve"> in humanitarian </w:t>
      </w:r>
      <w:r w:rsidR="00774A1A" w:rsidRPr="00454988">
        <w:rPr>
          <w:rStyle w:val="Bold"/>
        </w:rPr>
        <w:t>aid</w:t>
      </w:r>
      <w:r w:rsidR="00B77162" w:rsidRPr="00454988">
        <w:rPr>
          <w:rStyle w:val="Bold"/>
        </w:rPr>
        <w:t xml:space="preserve"> to the most vulnerable</w:t>
      </w:r>
      <w:r w:rsidR="001C3106">
        <w:rPr>
          <w:rStyle w:val="Bold"/>
        </w:rPr>
        <w:t xml:space="preserve"> people</w:t>
      </w:r>
      <w:r w:rsidR="00B7606A" w:rsidRPr="00454988">
        <w:rPr>
          <w:rStyle w:val="Bold"/>
        </w:rPr>
        <w:t>.</w:t>
      </w:r>
      <w:r w:rsidR="0090014E">
        <w:t xml:space="preserve"> </w:t>
      </w:r>
      <w:r w:rsidR="007B5DC4">
        <w:t>Overall</w:t>
      </w:r>
      <w:r w:rsidR="00E47320" w:rsidRPr="00E47320">
        <w:t xml:space="preserve">, the EU and its Member States are providing around 33.8% of the global share of committed humanitarian aid contributions. </w:t>
      </w:r>
      <w:r w:rsidR="00223466">
        <w:t>Examples of this support include:</w:t>
      </w:r>
    </w:p>
    <w:p w14:paraId="694D7F81" w14:textId="4AA5EA2B" w:rsidR="00223466" w:rsidRDefault="00EB0E5C" w:rsidP="0041545A">
      <w:pPr>
        <w:pStyle w:val="ListBulletorangeLevel1"/>
      </w:pPr>
      <w:r>
        <w:t>EUR</w:t>
      </w:r>
      <w:r>
        <w:rPr>
          <w:rFonts w:ascii="Calibri" w:hAnsi="Calibri" w:cs="Calibri"/>
        </w:rPr>
        <w:t> </w:t>
      </w:r>
      <w:r w:rsidR="00223466" w:rsidRPr="000F12F8">
        <w:t>273</w:t>
      </w:r>
      <w:r>
        <w:rPr>
          <w:rFonts w:ascii="Calibri" w:hAnsi="Calibri" w:cs="Calibri"/>
        </w:rPr>
        <w:t> </w:t>
      </w:r>
      <w:r>
        <w:t>million</w:t>
      </w:r>
      <w:r w:rsidR="00223466" w:rsidRPr="000F12F8">
        <w:t xml:space="preserve"> in response </w:t>
      </w:r>
      <w:r w:rsidR="00223466">
        <w:t xml:space="preserve">to the </w:t>
      </w:r>
      <w:r w:rsidR="00223466" w:rsidRPr="00454988">
        <w:rPr>
          <w:rStyle w:val="Bold"/>
        </w:rPr>
        <w:t>crisis in Sudan</w:t>
      </w:r>
      <w:r w:rsidR="00223466">
        <w:t xml:space="preserve">, which continues to be </w:t>
      </w:r>
      <w:r w:rsidR="00223466" w:rsidRPr="000F12F8">
        <w:t>the world’s largest displacement crisis</w:t>
      </w:r>
      <w:r w:rsidR="00223466">
        <w:t>;</w:t>
      </w:r>
    </w:p>
    <w:p w14:paraId="0DB73831" w14:textId="67B7C551" w:rsidR="00223466" w:rsidRPr="00454988" w:rsidRDefault="00EB0E5C" w:rsidP="0041545A">
      <w:pPr>
        <w:pStyle w:val="ListBulletorangeLevel1"/>
        <w:rPr>
          <w:rStyle w:val="Bold"/>
        </w:rPr>
      </w:pPr>
      <w:r>
        <w:t>EUR</w:t>
      </w:r>
      <w:r>
        <w:rPr>
          <w:rFonts w:ascii="Calibri" w:hAnsi="Calibri" w:cs="Calibri"/>
        </w:rPr>
        <w:t> </w:t>
      </w:r>
      <w:r w:rsidR="00223466">
        <w:t>129</w:t>
      </w:r>
      <w:r>
        <w:rPr>
          <w:rFonts w:ascii="Calibri" w:hAnsi="Calibri" w:cs="Calibri"/>
        </w:rPr>
        <w:t> </w:t>
      </w:r>
      <w:r>
        <w:t>million</w:t>
      </w:r>
      <w:r w:rsidR="00223466">
        <w:t xml:space="preserve"> to the African Great Lakes Region</w:t>
      </w:r>
      <w:r w:rsidR="00C9136E">
        <w:t>,</w:t>
      </w:r>
      <w:r w:rsidR="00223466">
        <w:t xml:space="preserve"> in response to the dramatic escalation of conflict in the eastern part of the </w:t>
      </w:r>
      <w:r w:rsidR="00223466" w:rsidRPr="00454988">
        <w:rPr>
          <w:rStyle w:val="Bold"/>
        </w:rPr>
        <w:t>Democratic Republic of the Congo</w:t>
      </w:r>
      <w:r w:rsidR="00223466" w:rsidRPr="00E0372D">
        <w:rPr>
          <w:rStyle w:val="Bold"/>
          <w:b w:val="0"/>
          <w:bCs/>
        </w:rPr>
        <w:t>;</w:t>
      </w:r>
    </w:p>
    <w:p w14:paraId="125CFB4D" w14:textId="365383C6" w:rsidR="00223466" w:rsidRDefault="00EB0E5C" w:rsidP="0041545A">
      <w:pPr>
        <w:pStyle w:val="ListBulletorangeLevel1"/>
      </w:pPr>
      <w:r>
        <w:t>EUR</w:t>
      </w:r>
      <w:r>
        <w:rPr>
          <w:rFonts w:ascii="Calibri" w:hAnsi="Calibri" w:cs="Calibri"/>
        </w:rPr>
        <w:t> </w:t>
      </w:r>
      <w:r w:rsidR="00223466" w:rsidRPr="009F1161">
        <w:t>124</w:t>
      </w:r>
      <w:r w:rsidR="00223466" w:rsidRPr="009F1161">
        <w:rPr>
          <w:rFonts w:ascii="Calibri" w:hAnsi="Calibri" w:cs="Calibri"/>
        </w:rPr>
        <w:t> </w:t>
      </w:r>
      <w:r w:rsidR="00223466" w:rsidRPr="009F1161">
        <w:t>million</w:t>
      </w:r>
      <w:r w:rsidR="00223466" w:rsidRPr="00805173">
        <w:t xml:space="preserve"> </w:t>
      </w:r>
      <w:r w:rsidR="00223466" w:rsidRPr="009F1161">
        <w:t>in</w:t>
      </w:r>
      <w:r w:rsidR="00223466" w:rsidRPr="00805173">
        <w:t xml:space="preserve"> </w:t>
      </w:r>
      <w:r w:rsidR="00223466" w:rsidRPr="009F1161">
        <w:t>humanitarian</w:t>
      </w:r>
      <w:r w:rsidR="00223466" w:rsidRPr="00805173">
        <w:t xml:space="preserve"> </w:t>
      </w:r>
      <w:r w:rsidR="00223466" w:rsidRPr="009F1161">
        <w:t>assistance</w:t>
      </w:r>
      <w:r w:rsidR="00223466">
        <w:t>, chiefly f</w:t>
      </w:r>
      <w:r w:rsidR="00223466" w:rsidRPr="009F1161">
        <w:t>ood security and nutrition</w:t>
      </w:r>
      <w:r w:rsidR="00223466">
        <w:t xml:space="preserve">, to the </w:t>
      </w:r>
      <w:r w:rsidR="00223466" w:rsidRPr="00454988">
        <w:rPr>
          <w:rStyle w:val="Bold"/>
        </w:rPr>
        <w:t>Central Sahel region</w:t>
      </w:r>
      <w:r w:rsidR="00223466" w:rsidRPr="00E0372D">
        <w:rPr>
          <w:rStyle w:val="Bold"/>
          <w:b w:val="0"/>
        </w:rPr>
        <w:t>,</w:t>
      </w:r>
      <w:r w:rsidR="00223466">
        <w:t xml:space="preserve"> despite growing humanitarian access restrictions, to address the crisis triggered by forced displacements to the Gulf of Guinea and Mauritania;</w:t>
      </w:r>
    </w:p>
    <w:p w14:paraId="49A83133" w14:textId="76DC9109" w:rsidR="00223466" w:rsidRDefault="00EB0E5C" w:rsidP="0041545A">
      <w:pPr>
        <w:pStyle w:val="ListBulletorangeLevel1"/>
      </w:pPr>
      <w:r>
        <w:t>EUR</w:t>
      </w:r>
      <w:r>
        <w:rPr>
          <w:rFonts w:ascii="Calibri" w:hAnsi="Calibri" w:cs="Calibri"/>
        </w:rPr>
        <w:t> </w:t>
      </w:r>
      <w:r w:rsidR="00223466">
        <w:t>55</w:t>
      </w:r>
      <w:r>
        <w:rPr>
          <w:rFonts w:ascii="Calibri" w:hAnsi="Calibri" w:cs="Calibri"/>
        </w:rPr>
        <w:t> </w:t>
      </w:r>
      <w:r>
        <w:t>million</w:t>
      </w:r>
      <w:r w:rsidR="00223466">
        <w:t xml:space="preserve"> to address the conflict in </w:t>
      </w:r>
      <w:r w:rsidR="00223466" w:rsidRPr="00454988">
        <w:rPr>
          <w:rStyle w:val="Bold"/>
        </w:rPr>
        <w:t>Myanmar</w:t>
      </w:r>
      <w:r w:rsidR="00223466" w:rsidRPr="00E0372D">
        <w:rPr>
          <w:rStyle w:val="Bold"/>
          <w:b w:val="0"/>
        </w:rPr>
        <w:t>,</w:t>
      </w:r>
      <w:r w:rsidR="00223466">
        <w:t xml:space="preserve"> a</w:t>
      </w:r>
      <w:r w:rsidR="001A4B95">
        <w:t xml:space="preserve">long with </w:t>
      </w:r>
      <w:r w:rsidR="00223466">
        <w:t>over 1</w:t>
      </w:r>
      <w:r w:rsidR="00BC5CB6">
        <w:rPr>
          <w:rFonts w:ascii="Calibri" w:hAnsi="Calibri" w:cs="Calibri"/>
        </w:rPr>
        <w:t> </w:t>
      </w:r>
      <w:r w:rsidR="00223466">
        <w:t xml:space="preserve">000 metric tonnes of aid via multiple humanitarian air bridges; </w:t>
      </w:r>
    </w:p>
    <w:p w14:paraId="07D43B07" w14:textId="0137E01E" w:rsidR="00223466" w:rsidRDefault="00EB0E5C" w:rsidP="0041545A">
      <w:pPr>
        <w:pStyle w:val="ListBulletorangeLevel1"/>
      </w:pPr>
      <w:r>
        <w:t>EUR</w:t>
      </w:r>
      <w:r>
        <w:rPr>
          <w:rFonts w:ascii="Calibri" w:hAnsi="Calibri" w:cs="Calibri"/>
        </w:rPr>
        <w:t> </w:t>
      </w:r>
      <w:r w:rsidR="00223466">
        <w:t>39</w:t>
      </w:r>
      <w:r>
        <w:rPr>
          <w:rFonts w:ascii="Calibri" w:hAnsi="Calibri" w:cs="Calibri"/>
        </w:rPr>
        <w:t> </w:t>
      </w:r>
      <w:r>
        <w:t>million</w:t>
      </w:r>
      <w:r w:rsidR="00223466">
        <w:t xml:space="preserve"> in humanitarian aid to </w:t>
      </w:r>
      <w:r w:rsidR="00223466" w:rsidRPr="00454988">
        <w:rPr>
          <w:rStyle w:val="Bold"/>
        </w:rPr>
        <w:t>Rohingya refugees in Bangladesh</w:t>
      </w:r>
      <w:r w:rsidR="001A4B95">
        <w:t>;</w:t>
      </w:r>
    </w:p>
    <w:p w14:paraId="6D0590B4" w14:textId="3E6DC36C" w:rsidR="00956D28" w:rsidRDefault="00EB0E5C" w:rsidP="0041545A">
      <w:pPr>
        <w:pStyle w:val="ListBulletorangeLevel1"/>
      </w:pPr>
      <w:r>
        <w:t>EUR</w:t>
      </w:r>
      <w:r>
        <w:rPr>
          <w:rFonts w:ascii="Calibri" w:hAnsi="Calibri" w:cs="Calibri"/>
        </w:rPr>
        <w:t> </w:t>
      </w:r>
      <w:r w:rsidR="00956D28">
        <w:t>52</w:t>
      </w:r>
      <w:r>
        <w:rPr>
          <w:rFonts w:ascii="Calibri" w:hAnsi="Calibri" w:cs="Calibri"/>
        </w:rPr>
        <w:t> </w:t>
      </w:r>
      <w:r>
        <w:t>million</w:t>
      </w:r>
      <w:r w:rsidR="00956D28">
        <w:t xml:space="preserve"> to help people in </w:t>
      </w:r>
      <w:r w:rsidR="00956D28" w:rsidRPr="00454988">
        <w:rPr>
          <w:rStyle w:val="Bold"/>
        </w:rPr>
        <w:t>Venezuela</w:t>
      </w:r>
      <w:r w:rsidR="00956D28">
        <w:t xml:space="preserve"> have</w:t>
      </w:r>
      <w:r w:rsidR="002F7F92">
        <w:t>, among other things,</w:t>
      </w:r>
      <w:r w:rsidR="00956D28">
        <w:t xml:space="preserve"> access to health services and clean water.</w:t>
      </w:r>
    </w:p>
    <w:p w14:paraId="51EC85C6" w14:textId="5B937E76" w:rsidR="00444B65" w:rsidRDefault="009228AE" w:rsidP="009228AE">
      <w:pPr>
        <w:pStyle w:val="ImageTitle"/>
      </w:pPr>
      <w:r>
        <w:t xml:space="preserve">EU </w:t>
      </w:r>
      <w:r w:rsidR="005C3664">
        <w:t>h</w:t>
      </w:r>
      <w:r>
        <w:t>umanitarian aid in 2025</w:t>
      </w:r>
    </w:p>
    <w:p w14:paraId="225BC32C" w14:textId="713C245B" w:rsidR="009228AE" w:rsidRPr="009228AE" w:rsidRDefault="004A1F0B" w:rsidP="009228AE">
      <w:r w:rsidRPr="004A1F0B">
        <w:rPr>
          <w:noProof/>
        </w:rPr>
        <w:drawing>
          <wp:inline distT="0" distB="0" distL="0" distR="0" wp14:anchorId="3A005698" wp14:editId="24E47BBB">
            <wp:extent cx="5760085" cy="3416060"/>
            <wp:effectExtent l="0" t="0" r="0" b="0"/>
            <wp:docPr id="518846134" name="Picture 14" descr="This donut chart shows the distribution of the 2.56 billion euro of EU humanitarian aid in 2025. 255 million euro were attributed to Moldova, Türkiye, Ukraine and South Caucasus; 293.4 million to non-geographical allocations; 441 million euro to Asia, Latin America, Pacific and Caribbean; 880.5 million euro to Sub-Saharan Africa; and finally, 692 million euro to Middle East and North Africa.">
              <a:extLst xmlns:a="http://schemas.openxmlformats.org/drawingml/2006/main">
                <a:ext uri="{FF2B5EF4-FFF2-40B4-BE49-F238E27FC236}">
                  <a16:creationId xmlns:a16="http://schemas.microsoft.com/office/drawing/2014/main" id="{1EC41536-B1BB-8152-57F6-4756516452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846134" name="Picture 14" descr="This donut chart shows the distribution of the 2.56 billion euro of EU humanitarian aid in 2025. 255 million euro were attributed to Moldova, Türkiye, Ukraine and South Caucasus; 293.4 million to non-geographical allocations; 441 million euro to Asia, Latin America, Pacific and Caribbean; 880.5 million euro to Sub-Saharan Africa; and finally, 692 million euro to Middle East and North Africa.">
                      <a:extLst>
                        <a:ext uri="{FF2B5EF4-FFF2-40B4-BE49-F238E27FC236}">
                          <a16:creationId xmlns:a16="http://schemas.microsoft.com/office/drawing/2014/main" id="{1EC41536-B1BB-8152-57F6-475651645225}"/>
                        </a:ext>
                      </a:extLst>
                    </pic:cNvPr>
                    <pic:cNvPicPr>
                      <a:picLocks noChangeAspect="1"/>
                    </pic:cNvPicPr>
                  </pic:nvPicPr>
                  <pic:blipFill rotWithShape="1">
                    <a:blip r:embed="rId69"/>
                    <a:srcRect l="4022" t="7739" r="6667" b="11068"/>
                    <a:stretch>
                      <a:fillRect/>
                    </a:stretch>
                  </pic:blipFill>
                  <pic:spPr bwMode="auto">
                    <a:xfrm>
                      <a:off x="0" y="0"/>
                      <a:ext cx="5760085" cy="3416060"/>
                    </a:xfrm>
                    <a:prstGeom prst="rect">
                      <a:avLst/>
                    </a:prstGeom>
                    <a:ln>
                      <a:noFill/>
                    </a:ln>
                    <a:extLst>
                      <a:ext uri="{53640926-AAD7-44D8-BBD7-CCE9431645EC}">
                        <a14:shadowObscured xmlns:a14="http://schemas.microsoft.com/office/drawing/2010/main"/>
                      </a:ext>
                    </a:extLst>
                  </pic:spPr>
                </pic:pic>
              </a:graphicData>
            </a:graphic>
          </wp:inline>
        </w:drawing>
      </w:r>
    </w:p>
    <w:p w14:paraId="79C160EB" w14:textId="18DE185E" w:rsidR="00F93EEC" w:rsidRPr="00DA78C0" w:rsidRDefault="0047473A" w:rsidP="009228AE">
      <w:pPr>
        <w:rPr>
          <w:rFonts w:asciiTheme="minorHAnsi" w:eastAsiaTheme="minorEastAsia" w:hAnsiTheme="minorHAnsi"/>
          <w:sz w:val="16"/>
        </w:rPr>
      </w:pPr>
      <w:r w:rsidRPr="00B64118">
        <w:rPr>
          <w:noProof/>
          <w:sz w:val="16"/>
          <w:szCs w:val="16"/>
        </w:rPr>
        <w:t>NB:</w:t>
      </w:r>
      <w:r w:rsidRPr="00B64118" w:rsidDel="00104C5B">
        <w:rPr>
          <w:noProof/>
          <w:sz w:val="16"/>
          <w:szCs w:val="16"/>
        </w:rPr>
        <w:t xml:space="preserve"> </w:t>
      </w:r>
      <w:r w:rsidR="005B4B4F">
        <w:rPr>
          <w:rFonts w:asciiTheme="minorHAnsi" w:eastAsiaTheme="minorEastAsia" w:hAnsiTheme="minorHAnsi"/>
          <w:sz w:val="16"/>
        </w:rPr>
        <w:t>Support for</w:t>
      </w:r>
      <w:r w:rsidR="005A07CE" w:rsidRPr="005A07CE">
        <w:rPr>
          <w:rFonts w:asciiTheme="minorHAnsi" w:eastAsiaTheme="minorEastAsia" w:hAnsiTheme="minorHAnsi"/>
          <w:sz w:val="16"/>
        </w:rPr>
        <w:t xml:space="preserve"> Moldova, Türkiye, Ukraine and South Caucasus includes</w:t>
      </w:r>
      <w:r w:rsidR="005B4B4F">
        <w:rPr>
          <w:rFonts w:asciiTheme="minorHAnsi" w:eastAsiaTheme="minorEastAsia" w:hAnsiTheme="minorHAnsi"/>
          <w:sz w:val="16"/>
        </w:rPr>
        <w:t xml:space="preserve"> </w:t>
      </w:r>
      <w:r w:rsidR="005B4B4F" w:rsidRPr="005B4B4F">
        <w:rPr>
          <w:rFonts w:asciiTheme="minorHAnsi" w:eastAsiaTheme="minorEastAsia" w:hAnsiTheme="minorHAnsi"/>
          <w:bCs/>
          <w:sz w:val="16"/>
        </w:rPr>
        <w:t>EUR</w:t>
      </w:r>
      <w:r w:rsidR="005B4B4F" w:rsidRPr="005B4B4F">
        <w:rPr>
          <w:rFonts w:ascii="Calibri" w:eastAsiaTheme="minorEastAsia" w:hAnsi="Calibri" w:cs="Calibri"/>
          <w:bCs/>
          <w:sz w:val="16"/>
        </w:rPr>
        <w:t> </w:t>
      </w:r>
      <w:r w:rsidR="005B4B4F">
        <w:rPr>
          <w:rFonts w:asciiTheme="minorHAnsi" w:eastAsiaTheme="minorEastAsia" w:hAnsiTheme="minorHAnsi"/>
          <w:bCs/>
          <w:sz w:val="16"/>
        </w:rPr>
        <w:t>2</w:t>
      </w:r>
      <w:r w:rsidR="005B4B4F" w:rsidRPr="005B4B4F">
        <w:rPr>
          <w:rFonts w:ascii="Calibri" w:eastAsiaTheme="minorEastAsia" w:hAnsi="Calibri" w:cs="Calibri"/>
          <w:bCs/>
          <w:sz w:val="16"/>
        </w:rPr>
        <w:t> </w:t>
      </w:r>
      <w:r w:rsidR="005B4B4F" w:rsidRPr="005B4B4F">
        <w:rPr>
          <w:rFonts w:asciiTheme="minorHAnsi" w:eastAsiaTheme="minorEastAsia" w:hAnsiTheme="minorHAnsi"/>
          <w:bCs/>
          <w:sz w:val="16"/>
        </w:rPr>
        <w:t>million</w:t>
      </w:r>
      <w:r w:rsidR="005A07CE" w:rsidRPr="005A07CE">
        <w:rPr>
          <w:rFonts w:asciiTheme="minorHAnsi" w:eastAsiaTheme="minorEastAsia" w:hAnsiTheme="minorHAnsi"/>
          <w:sz w:val="16"/>
        </w:rPr>
        <w:t xml:space="preserve"> for Central Asia, allocated within the Humanitarian Implementation Plan for Türkiye</w:t>
      </w:r>
      <w:r w:rsidR="00171498">
        <w:rPr>
          <w:rFonts w:asciiTheme="minorHAnsi" w:eastAsiaTheme="minorEastAsia" w:hAnsiTheme="minorHAnsi"/>
          <w:sz w:val="16"/>
        </w:rPr>
        <w:t>.</w:t>
      </w:r>
    </w:p>
    <w:p w14:paraId="3AFDED5D" w14:textId="3F4ED5D4" w:rsidR="00746207" w:rsidRPr="00746207" w:rsidRDefault="009228AE" w:rsidP="00746207">
      <w:r w:rsidRPr="00454988">
        <w:rPr>
          <w:rStyle w:val="Bold"/>
        </w:rPr>
        <w:t>In 2025, over EUR</w:t>
      </w:r>
      <w:r w:rsidRPr="001A568A">
        <w:rPr>
          <w:rStyle w:val="Bold"/>
          <w:rFonts w:ascii="Calibri" w:hAnsi="Calibri" w:cs="Calibri"/>
        </w:rPr>
        <w:t> </w:t>
      </w:r>
      <w:r w:rsidRPr="00454988">
        <w:rPr>
          <w:rStyle w:val="Bold"/>
        </w:rPr>
        <w:t>110</w:t>
      </w:r>
      <w:r w:rsidR="00EB0E5C">
        <w:rPr>
          <w:rStyle w:val="Bold"/>
          <w:rFonts w:ascii="Calibri" w:hAnsi="Calibri" w:cs="Calibri"/>
        </w:rPr>
        <w:t> </w:t>
      </w:r>
      <w:r w:rsidR="00EB0E5C">
        <w:rPr>
          <w:rStyle w:val="Bold"/>
        </w:rPr>
        <w:t>million</w:t>
      </w:r>
      <w:r w:rsidRPr="00454988">
        <w:rPr>
          <w:rStyle w:val="Bold"/>
        </w:rPr>
        <w:t xml:space="preserve"> was allocated for the operational activities of ReliefEU.</w:t>
      </w:r>
      <w:r>
        <w:t xml:space="preserve"> During 2025, R</w:t>
      </w:r>
      <w:r w:rsidRPr="00324C41">
        <w:t xml:space="preserve">eliefEU funding was mobilised a total of 118 times in 60 countries, providing a total of </w:t>
      </w:r>
      <w:r w:rsidRPr="00324C41" w:rsidDel="00EB0E5C">
        <w:t>EUR</w:t>
      </w:r>
      <w:r w:rsidR="00EB0E5C">
        <w:rPr>
          <w:rFonts w:ascii="Calibri" w:hAnsi="Calibri" w:cs="Calibri"/>
        </w:rPr>
        <w:t> </w:t>
      </w:r>
      <w:r w:rsidRPr="00324C41">
        <w:t>53.5</w:t>
      </w:r>
      <w:r w:rsidR="00EB0E5C">
        <w:rPr>
          <w:rFonts w:ascii="Calibri" w:hAnsi="Calibri" w:cs="Calibri"/>
        </w:rPr>
        <w:t> </w:t>
      </w:r>
      <w:r w:rsidR="00EB0E5C">
        <w:t>million</w:t>
      </w:r>
      <w:r w:rsidRPr="00324C41">
        <w:t xml:space="preserve"> in first-line emergency humanitarian funding.</w:t>
      </w:r>
      <w:r>
        <w:t xml:space="preserve"> </w:t>
      </w:r>
      <w:r w:rsidRPr="00793BD1">
        <w:t>ReliefEU capacities responded to 20 crises affecting 18</w:t>
      </w:r>
      <w:r w:rsidR="008619E7">
        <w:t xml:space="preserve"> countries.</w:t>
      </w:r>
    </w:p>
    <w:p w14:paraId="32C10E62" w14:textId="4A501FE6" w:rsidR="000D7D9F" w:rsidRDefault="0052060F" w:rsidP="0052060F">
      <w:pPr>
        <w:suppressAutoHyphens w:val="0"/>
        <w:rPr>
          <w:noProof/>
          <w:highlight w:val="lightGray"/>
        </w:rPr>
      </w:pPr>
      <w:r>
        <w:rPr>
          <w:noProof/>
          <w:highlight w:val="lightGray"/>
        </w:rPr>
        <w:br w:type="page"/>
      </w:r>
    </w:p>
    <w:p w14:paraId="19539AB9" w14:textId="16E33ABE" w:rsidR="0052060F" w:rsidRPr="003E29CF" w:rsidRDefault="00D02818" w:rsidP="0052060F">
      <w:pPr>
        <w:pStyle w:val="Heading3"/>
        <w:rPr>
          <w:rFonts w:ascii="EC Square Sans Pro" w:hAnsi="EC Square Sans Pro"/>
          <w:noProof/>
          <w:highlight w:val="lightGray"/>
        </w:rPr>
      </w:pPr>
      <w:r w:rsidRPr="00D02818">
        <w:rPr>
          <w:rFonts w:ascii="EC Square Sans Pro" w:hAnsi="EC Square Sans Pro"/>
          <w:noProof/>
        </w:rPr>
        <w:t>Delivering together and preparing our Union for the future</w:t>
      </w:r>
    </w:p>
    <w:p w14:paraId="37637C48" w14:textId="6E93383B" w:rsidR="0052060F" w:rsidRPr="00C654FC" w:rsidRDefault="00EE6126" w:rsidP="0052060F">
      <w:pPr>
        <w:pStyle w:val="amprquotetext"/>
        <w:rPr>
          <w:rFonts w:ascii="EC Square Sans Pro" w:hAnsi="EC Square Sans Pro"/>
        </w:rPr>
      </w:pPr>
      <w:r>
        <w:t>We want a budget that ensures Europe's agency in a fast-changing world. A budget that is faster and more ambitious. Simpler and more flexible. A strong budget for Europe's independence moment</w:t>
      </w:r>
      <w:r w:rsidR="00BB4484" w:rsidRPr="0004436F">
        <w:rPr>
          <w:rFonts w:ascii="Calibri" w:hAnsi="Calibri" w:cs="Calibri"/>
          <w:noProof/>
        </w:rPr>
        <w:t> </w:t>
      </w:r>
      <w:r w:rsidR="0052060F" w:rsidRPr="008013EC">
        <w:rPr>
          <w:rFonts w:ascii="EC Square Sans Pro" w:hAnsi="EC Square Sans Pro"/>
          <w:i w:val="0"/>
          <w:noProof/>
        </w:rPr>
        <w:t>(</w:t>
      </w:r>
      <w:r w:rsidR="0052060F" w:rsidRPr="00E0372D">
        <w:rPr>
          <w:rStyle w:val="FootnoteReference"/>
          <w:i w:val="0"/>
        </w:rPr>
        <w:footnoteReference w:id="63"/>
      </w:r>
      <w:r w:rsidR="0052060F" w:rsidRPr="008013EC">
        <w:rPr>
          <w:rFonts w:ascii="EC Square Sans Pro" w:hAnsi="EC Square Sans Pro"/>
          <w:i w:val="0"/>
          <w:noProof/>
        </w:rPr>
        <w:t>)</w:t>
      </w:r>
      <w:r w:rsidR="00BB4484">
        <w:rPr>
          <w:rFonts w:ascii="EC Square Sans Pro" w:hAnsi="EC Square Sans Pro"/>
          <w:i w:val="0"/>
          <w:noProof/>
        </w:rPr>
        <w:t>.</w:t>
      </w:r>
    </w:p>
    <w:p w14:paraId="7EA39E29" w14:textId="77777777" w:rsidR="0052060F" w:rsidRPr="00E0372D" w:rsidRDefault="0052060F" w:rsidP="0052060F">
      <w:pPr>
        <w:pStyle w:val="amprquoteauthor"/>
        <w:rPr>
          <w:i w:val="0"/>
        </w:rPr>
      </w:pPr>
      <w:r w:rsidRPr="00E0372D">
        <w:rPr>
          <w:i w:val="0"/>
        </w:rPr>
        <w:t>Ursula von der Leyen</w:t>
      </w:r>
    </w:p>
    <w:p w14:paraId="65F77A16" w14:textId="77777777" w:rsidR="0052060F" w:rsidRPr="00C654FC" w:rsidRDefault="0052060F" w:rsidP="0052060F">
      <w:pPr>
        <w:pStyle w:val="amprquoteauthortitle"/>
        <w:rPr>
          <w:rFonts w:ascii="EC Square Sans Pro" w:hAnsi="EC Square Sans Pro"/>
        </w:rPr>
      </w:pPr>
      <w:r w:rsidRPr="00C654FC">
        <w:rPr>
          <w:rFonts w:ascii="EC Square Sans Pro" w:hAnsi="EC Square Sans Pro"/>
        </w:rPr>
        <w:t>President of the European Commission</w:t>
      </w:r>
    </w:p>
    <w:p w14:paraId="667CF052" w14:textId="500D9D3A" w:rsidR="009D7708" w:rsidRPr="006A43AC" w:rsidRDefault="006A43AC" w:rsidP="006A43AC">
      <w:pPr>
        <w:pStyle w:val="Heading4"/>
        <w:rPr>
          <w:lang w:eastAsia="fr-BE"/>
        </w:rPr>
      </w:pPr>
      <w:r w:rsidRPr="006A43AC">
        <w:rPr>
          <w:lang w:eastAsia="fr-BE"/>
        </w:rPr>
        <w:t>Working on a</w:t>
      </w:r>
      <w:r w:rsidR="006B7D89">
        <w:rPr>
          <w:lang w:eastAsia="fr-BE"/>
        </w:rPr>
        <w:t>n ambitious</w:t>
      </w:r>
      <w:r w:rsidRPr="006A43AC">
        <w:rPr>
          <w:lang w:eastAsia="fr-BE"/>
        </w:rPr>
        <w:t xml:space="preserve"> budget for the future</w:t>
      </w:r>
    </w:p>
    <w:p w14:paraId="6B7E5DF1" w14:textId="3DA3D33C" w:rsidR="006813D5" w:rsidRDefault="000F107D" w:rsidP="00810952">
      <w:pPr>
        <w:suppressAutoHyphens w:val="0"/>
        <w:rPr>
          <w:noProof/>
        </w:rPr>
      </w:pPr>
      <w:r w:rsidRPr="00454988">
        <w:rPr>
          <w:rStyle w:val="Bold"/>
        </w:rPr>
        <w:t>I</w:t>
      </w:r>
      <w:r w:rsidR="00810952" w:rsidRPr="00454988">
        <w:rPr>
          <w:rStyle w:val="Bold"/>
        </w:rPr>
        <w:t>n 2025, the Commission adopted its proposal for the 2028</w:t>
      </w:r>
      <w:r w:rsidR="0095104D">
        <w:rPr>
          <w:rStyle w:val="Bold"/>
        </w:rPr>
        <w:t>-</w:t>
      </w:r>
      <w:r w:rsidR="00810952" w:rsidRPr="00454988">
        <w:rPr>
          <w:rStyle w:val="Bold"/>
        </w:rPr>
        <w:t xml:space="preserve">2034 </w:t>
      </w:r>
      <w:r w:rsidR="00E16FF7" w:rsidRPr="00454988">
        <w:rPr>
          <w:rStyle w:val="Bold"/>
        </w:rPr>
        <w:t>multiannual fina</w:t>
      </w:r>
      <w:r w:rsidR="00C94CBE" w:rsidRPr="00454988">
        <w:rPr>
          <w:rStyle w:val="Bold"/>
        </w:rPr>
        <w:t>n</w:t>
      </w:r>
      <w:r w:rsidR="00E16FF7" w:rsidRPr="00454988">
        <w:rPr>
          <w:rStyle w:val="Bold"/>
        </w:rPr>
        <w:t>cial framework</w:t>
      </w:r>
      <w:r w:rsidR="00810952" w:rsidRPr="00E0372D">
        <w:rPr>
          <w:rStyle w:val="Bold"/>
          <w:b w:val="0"/>
        </w:rPr>
        <w:t>,</w:t>
      </w:r>
      <w:r w:rsidR="00810952">
        <w:rPr>
          <w:noProof/>
        </w:rPr>
        <w:t xml:space="preserve"> designed </w:t>
      </w:r>
      <w:r w:rsidR="00195D68">
        <w:rPr>
          <w:noProof/>
        </w:rPr>
        <w:t>to provide a simpler, more flexible and future</w:t>
      </w:r>
      <w:r w:rsidR="0095104D">
        <w:rPr>
          <w:noProof/>
        </w:rPr>
        <w:t>-</w:t>
      </w:r>
      <w:r w:rsidR="00195D68">
        <w:rPr>
          <w:noProof/>
        </w:rPr>
        <w:t>proof budget</w:t>
      </w:r>
      <w:r w:rsidR="00A4508F">
        <w:rPr>
          <w:noProof/>
        </w:rPr>
        <w:t>, a</w:t>
      </w:r>
      <w:r w:rsidR="0095104D">
        <w:rPr>
          <w:noProof/>
        </w:rPr>
        <w:t xml:space="preserve">nd </w:t>
      </w:r>
      <w:r w:rsidR="00A4508F">
        <w:rPr>
          <w:noProof/>
        </w:rPr>
        <w:t>to</w:t>
      </w:r>
      <w:r w:rsidR="00195D68">
        <w:rPr>
          <w:noProof/>
        </w:rPr>
        <w:t xml:space="preserve"> </w:t>
      </w:r>
      <w:r w:rsidR="00810952">
        <w:rPr>
          <w:noProof/>
        </w:rPr>
        <w:t xml:space="preserve">respond to growing geopolitical, economic and sustainability challenges. At nearly </w:t>
      </w:r>
      <w:r w:rsidR="003B3495" w:rsidDel="00E03143">
        <w:rPr>
          <w:noProof/>
        </w:rPr>
        <w:t>EUR</w:t>
      </w:r>
      <w:r w:rsidR="00E03143">
        <w:rPr>
          <w:rFonts w:ascii="Calibri" w:hAnsi="Calibri" w:cs="Calibri"/>
          <w:noProof/>
        </w:rPr>
        <w:t> </w:t>
      </w:r>
      <w:r w:rsidR="00810952">
        <w:rPr>
          <w:noProof/>
        </w:rPr>
        <w:t>2</w:t>
      </w:r>
      <w:r w:rsidR="00EB0E5C">
        <w:rPr>
          <w:rFonts w:ascii="Calibri" w:hAnsi="Calibri" w:cs="Calibri"/>
          <w:noProof/>
        </w:rPr>
        <w:t> </w:t>
      </w:r>
      <w:r w:rsidR="00EB0E5C">
        <w:rPr>
          <w:noProof/>
        </w:rPr>
        <w:t>trillion</w:t>
      </w:r>
      <w:r w:rsidR="00810952">
        <w:rPr>
          <w:noProof/>
        </w:rPr>
        <w:t xml:space="preserve"> (equivalent to 1.26 % of the EU</w:t>
      </w:r>
      <w:r w:rsidR="00772B1D">
        <w:rPr>
          <w:noProof/>
        </w:rPr>
        <w:t xml:space="preserve"> </w:t>
      </w:r>
      <w:r w:rsidR="00810952">
        <w:rPr>
          <w:noProof/>
        </w:rPr>
        <w:t>gross national income),</w:t>
      </w:r>
      <w:r w:rsidR="00810952" w:rsidRPr="006C32DC">
        <w:rPr>
          <w:spacing w:val="1"/>
        </w:rPr>
        <w:t xml:space="preserve"> </w:t>
      </w:r>
      <w:r w:rsidR="006C32DC">
        <w:rPr>
          <w:bCs/>
          <w:spacing w:val="1"/>
        </w:rPr>
        <w:t xml:space="preserve">with about </w:t>
      </w:r>
      <w:r w:rsidR="006C32DC" w:rsidRPr="00CC3297">
        <w:rPr>
          <w:bCs/>
          <w:spacing w:val="1"/>
        </w:rPr>
        <w:t>EUR</w:t>
      </w:r>
      <w:r w:rsidR="006C32DC" w:rsidRPr="00CC3297">
        <w:rPr>
          <w:rFonts w:ascii="Calibri" w:hAnsi="Calibri" w:cs="Calibri"/>
          <w:bCs/>
          <w:spacing w:val="1"/>
        </w:rPr>
        <w:t> </w:t>
      </w:r>
      <w:r w:rsidR="006C32DC" w:rsidRPr="00CC3297">
        <w:rPr>
          <w:bCs/>
          <w:spacing w:val="1"/>
        </w:rPr>
        <w:t>2</w:t>
      </w:r>
      <w:r w:rsidR="006C32DC">
        <w:rPr>
          <w:bCs/>
          <w:spacing w:val="1"/>
        </w:rPr>
        <w:t>5</w:t>
      </w:r>
      <w:r w:rsidR="00EB0E5C">
        <w:rPr>
          <w:rFonts w:ascii="Calibri" w:hAnsi="Calibri" w:cs="Calibri"/>
          <w:bCs/>
          <w:spacing w:val="1"/>
        </w:rPr>
        <w:t> </w:t>
      </w:r>
      <w:r w:rsidR="00EB0E5C">
        <w:rPr>
          <w:bCs/>
          <w:spacing w:val="1"/>
        </w:rPr>
        <w:t>billion</w:t>
      </w:r>
      <w:r w:rsidR="006C32DC">
        <w:rPr>
          <w:bCs/>
          <w:spacing w:val="1"/>
        </w:rPr>
        <w:t xml:space="preserve"> annually (0.11% </w:t>
      </w:r>
      <w:r w:rsidR="00772B1D">
        <w:rPr>
          <w:noProof/>
        </w:rPr>
        <w:t>the EU gross national income</w:t>
      </w:r>
      <w:r w:rsidR="006C32DC">
        <w:rPr>
          <w:bCs/>
          <w:spacing w:val="1"/>
        </w:rPr>
        <w:t>) for the repayment of the loans used to finance NextGenerationEU</w:t>
      </w:r>
      <w:r w:rsidR="00810952">
        <w:rPr>
          <w:noProof/>
        </w:rPr>
        <w:t xml:space="preserve">, it would provide a simpler, more flexible and more targeted budget to support the EU’s independence, security, prosperity, inclusiveness and resilience in the </w:t>
      </w:r>
      <w:r w:rsidR="00847C6D">
        <w:rPr>
          <w:noProof/>
        </w:rPr>
        <w:t>coming decade</w:t>
      </w:r>
      <w:r w:rsidR="008013EC">
        <w:rPr>
          <w:noProof/>
        </w:rPr>
        <w:t>.</w:t>
      </w:r>
    </w:p>
    <w:p w14:paraId="7633C166" w14:textId="77777777" w:rsidR="003E5096" w:rsidRDefault="003E5096" w:rsidP="003E5096">
      <w:pPr>
        <w:suppressAutoHyphens w:val="0"/>
        <w:rPr>
          <w:noProof/>
        </w:rPr>
      </w:pPr>
      <w:r>
        <w:rPr>
          <w:noProof/>
        </w:rPr>
        <w:t xml:space="preserve">The Commission proposal is anchored on </w:t>
      </w:r>
      <w:r w:rsidRPr="00454988">
        <w:rPr>
          <w:rStyle w:val="Bold"/>
        </w:rPr>
        <w:t>three main pillars</w:t>
      </w:r>
      <w:r>
        <w:rPr>
          <w:noProof/>
        </w:rPr>
        <w:t xml:space="preserve">: </w:t>
      </w:r>
    </w:p>
    <w:p w14:paraId="3A8F6E93" w14:textId="36398117" w:rsidR="003E5096" w:rsidRPr="00805173" w:rsidRDefault="003E5096" w:rsidP="0041545A">
      <w:pPr>
        <w:pStyle w:val="ListBulletorangeLevel1"/>
      </w:pPr>
      <w:r w:rsidRPr="00805173">
        <w:t xml:space="preserve">fostering the achievement of the </w:t>
      </w:r>
      <w:r w:rsidR="005B1B82">
        <w:t>E</w:t>
      </w:r>
      <w:r w:rsidRPr="00805173">
        <w:t xml:space="preserve">U’s priorities at </w:t>
      </w:r>
      <w:r w:rsidR="002D6396">
        <w:t xml:space="preserve">the </w:t>
      </w:r>
      <w:r w:rsidRPr="00805173">
        <w:t>local, regional and national level</w:t>
      </w:r>
      <w:r w:rsidR="002D6396">
        <w:t>s</w:t>
      </w:r>
      <w:r w:rsidRPr="00805173">
        <w:t xml:space="preserve"> with the new </w:t>
      </w:r>
      <w:r w:rsidR="00727A74">
        <w:t>n</w:t>
      </w:r>
      <w:r w:rsidRPr="00805173">
        <w:t xml:space="preserve">ational and </w:t>
      </w:r>
      <w:r w:rsidR="00727A74">
        <w:t>r</w:t>
      </w:r>
      <w:r w:rsidRPr="00805173">
        <w:t xml:space="preserve">egional </w:t>
      </w:r>
      <w:r w:rsidR="00727A74">
        <w:t>p</w:t>
      </w:r>
      <w:r w:rsidRPr="00805173">
        <w:t xml:space="preserve">artnership </w:t>
      </w:r>
      <w:r w:rsidR="00727A74">
        <w:t>p</w:t>
      </w:r>
      <w:r w:rsidRPr="00805173">
        <w:t xml:space="preserve">lans worth </w:t>
      </w:r>
      <w:r w:rsidRPr="00805173" w:rsidDel="00E03143">
        <w:t>EUR</w:t>
      </w:r>
      <w:r w:rsidR="00E03143">
        <w:rPr>
          <w:rFonts w:ascii="Calibri" w:hAnsi="Calibri" w:cs="Calibri"/>
        </w:rPr>
        <w:t> </w:t>
      </w:r>
      <w:r w:rsidRPr="00805173">
        <w:t>865</w:t>
      </w:r>
      <w:r w:rsidR="00EB0E5C">
        <w:rPr>
          <w:rFonts w:ascii="Calibri" w:hAnsi="Calibri" w:cs="Calibri"/>
        </w:rPr>
        <w:t> </w:t>
      </w:r>
      <w:r w:rsidR="00EB0E5C">
        <w:t>billion</w:t>
      </w:r>
      <w:r w:rsidRPr="00805173">
        <w:t xml:space="preserve">; </w:t>
      </w:r>
    </w:p>
    <w:p w14:paraId="2B91D572" w14:textId="21355A24" w:rsidR="003E5096" w:rsidRPr="00805173" w:rsidRDefault="003E5096" w:rsidP="0041545A">
      <w:pPr>
        <w:pStyle w:val="ListBulletorangeLevel1"/>
      </w:pPr>
      <w:r w:rsidRPr="00805173">
        <w:t xml:space="preserve">delivering on a more competitive Europe though the European Competitiveness Fund and Horizon Europe, worth </w:t>
      </w:r>
      <w:r w:rsidRPr="00805173" w:rsidDel="00E03143">
        <w:t>EUR</w:t>
      </w:r>
      <w:r w:rsidR="00E03143">
        <w:rPr>
          <w:rFonts w:ascii="Calibri" w:hAnsi="Calibri" w:cs="Calibri"/>
        </w:rPr>
        <w:t> </w:t>
      </w:r>
      <w:r w:rsidRPr="00805173">
        <w:t>409</w:t>
      </w:r>
      <w:r w:rsidR="00EB0E5C">
        <w:rPr>
          <w:rFonts w:ascii="Calibri" w:hAnsi="Calibri" w:cs="Calibri"/>
        </w:rPr>
        <w:t> </w:t>
      </w:r>
      <w:r w:rsidR="00EB0E5C">
        <w:t>billion</w:t>
      </w:r>
      <w:r w:rsidRPr="00805173">
        <w:t xml:space="preserve">; </w:t>
      </w:r>
    </w:p>
    <w:p w14:paraId="31B0EF7D" w14:textId="22C09064" w:rsidR="003E5096" w:rsidRPr="00805173" w:rsidRDefault="003E5096" w:rsidP="0041545A">
      <w:pPr>
        <w:pStyle w:val="ListBulletorangeLevel1"/>
      </w:pPr>
      <w:r w:rsidRPr="00805173">
        <w:t xml:space="preserve">building long-term, mutually beneficial partnerships with </w:t>
      </w:r>
      <w:r w:rsidR="00783AC1">
        <w:t xml:space="preserve">non-EU </w:t>
      </w:r>
      <w:r w:rsidRPr="00805173">
        <w:t xml:space="preserve">countries though Global Europe, worth </w:t>
      </w:r>
      <w:r w:rsidRPr="00805173" w:rsidDel="00E03143">
        <w:t>EUR</w:t>
      </w:r>
      <w:r w:rsidR="00E03143">
        <w:rPr>
          <w:rFonts w:ascii="Calibri" w:hAnsi="Calibri" w:cs="Calibri"/>
        </w:rPr>
        <w:t> </w:t>
      </w:r>
      <w:r w:rsidRPr="00805173">
        <w:t>200</w:t>
      </w:r>
      <w:r w:rsidR="00EB0E5C">
        <w:rPr>
          <w:rFonts w:ascii="Calibri" w:hAnsi="Calibri" w:cs="Calibri"/>
        </w:rPr>
        <w:t> </w:t>
      </w:r>
      <w:r w:rsidR="00EB0E5C">
        <w:t>billion</w:t>
      </w:r>
      <w:r w:rsidRPr="00805173">
        <w:t>.</w:t>
      </w:r>
    </w:p>
    <w:p w14:paraId="6EDBA479" w14:textId="53DD62FE" w:rsidR="00A50401" w:rsidRDefault="00A50401" w:rsidP="006813D5">
      <w:pPr>
        <w:suppressAutoHyphens w:val="0"/>
        <w:rPr>
          <w:noProof/>
        </w:rPr>
      </w:pPr>
      <w:r w:rsidRPr="00454988">
        <w:rPr>
          <w:rStyle w:val="Bold"/>
        </w:rPr>
        <w:t>These main pillars are complemented by other programmes</w:t>
      </w:r>
      <w:r w:rsidRPr="00E0372D">
        <w:rPr>
          <w:rStyle w:val="Bold"/>
          <w:b w:val="0"/>
        </w:rPr>
        <w:t>,</w:t>
      </w:r>
      <w:r w:rsidRPr="00A50401">
        <w:rPr>
          <w:noProof/>
        </w:rPr>
        <w:t xml:space="preserve"> including the EU’s flagship programmes for infrastructure investments (the Connecting Europe Facility) and for investing in people and values (Erasmus+ and AgoraEU).</w:t>
      </w:r>
    </w:p>
    <w:p w14:paraId="46A017AA" w14:textId="18ECF7AB" w:rsidR="006813D5" w:rsidRDefault="00F3723D" w:rsidP="006813D5">
      <w:pPr>
        <w:suppressAutoHyphens w:val="0"/>
        <w:rPr>
          <w:noProof/>
        </w:rPr>
      </w:pPr>
      <w:r>
        <w:rPr>
          <w:noProof/>
        </w:rPr>
        <w:t>Overall, the next proposed multiannual financial framework would:</w:t>
      </w:r>
    </w:p>
    <w:p w14:paraId="599A0AF7" w14:textId="21AC5B86" w:rsidR="00F3723D" w:rsidRPr="006D4508" w:rsidRDefault="00A1060E" w:rsidP="0041545A">
      <w:pPr>
        <w:pStyle w:val="ListBulletorangeLevel1"/>
      </w:pPr>
      <w:r w:rsidRPr="006D4508">
        <w:t>p</w:t>
      </w:r>
      <w:r w:rsidR="00562B9C" w:rsidRPr="006D4508">
        <w:t xml:space="preserve">rovide greater flexibility across the EU budget, thus allowing the EU to act and react </w:t>
      </w:r>
      <w:r w:rsidR="00930EEE">
        <w:t>quickly</w:t>
      </w:r>
      <w:r w:rsidR="00562B9C" w:rsidRPr="006D4508">
        <w:t xml:space="preserve"> when faced with unexpectedly circumstances or new policy priorities;</w:t>
      </w:r>
    </w:p>
    <w:p w14:paraId="06310D60" w14:textId="007A2FA4" w:rsidR="00562B9C" w:rsidRPr="006D4508" w:rsidRDefault="00A1060E" w:rsidP="0041545A">
      <w:pPr>
        <w:pStyle w:val="ListBulletorangeLevel1"/>
      </w:pPr>
      <w:r w:rsidRPr="006D4508">
        <w:t>be simpler, with more streamlined and harmonised EU financial programmes, making it easier for people and businesses to access funding opportunities;</w:t>
      </w:r>
    </w:p>
    <w:p w14:paraId="01D5ADCF" w14:textId="36B448EF" w:rsidR="00A1060E" w:rsidRPr="006D4508" w:rsidRDefault="004F3B01" w:rsidP="0041545A">
      <w:pPr>
        <w:pStyle w:val="ListBulletorangeLevel1"/>
      </w:pPr>
      <w:r w:rsidRPr="006D4508">
        <w:t xml:space="preserve">be more adaptable to local needs, with </w:t>
      </w:r>
      <w:r w:rsidR="00727A74">
        <w:t>n</w:t>
      </w:r>
      <w:r w:rsidRPr="006D4508">
        <w:t xml:space="preserve">ational and </w:t>
      </w:r>
      <w:r w:rsidR="00727A74">
        <w:t>r</w:t>
      </w:r>
      <w:r w:rsidRPr="006D4508">
        <w:t xml:space="preserve">egional </w:t>
      </w:r>
      <w:r w:rsidR="00727A74">
        <w:t>p</w:t>
      </w:r>
      <w:r w:rsidRPr="006D4508">
        <w:t xml:space="preserve">artnership </w:t>
      </w:r>
      <w:r w:rsidR="00727A74">
        <w:t>p</w:t>
      </w:r>
      <w:r w:rsidRPr="006D4508">
        <w:t xml:space="preserve">lans </w:t>
      </w:r>
      <w:r w:rsidR="00B43077" w:rsidRPr="006D4508">
        <w:t xml:space="preserve">allowing more targeted impacts and greater </w:t>
      </w:r>
      <w:r w:rsidR="006D4508" w:rsidRPr="006D4508">
        <w:t>flexibility</w:t>
      </w:r>
      <w:r w:rsidR="00B43077" w:rsidRPr="006D4508">
        <w:t xml:space="preserve"> for </w:t>
      </w:r>
      <w:r w:rsidR="00BD085B" w:rsidRPr="006D4508">
        <w:t>supporting economic, social and territorial cohesion across the EU;</w:t>
      </w:r>
    </w:p>
    <w:p w14:paraId="0C82375E" w14:textId="00830D44" w:rsidR="00BD085B" w:rsidRPr="006D4508" w:rsidRDefault="00BD085B" w:rsidP="0041545A">
      <w:pPr>
        <w:pStyle w:val="ListBulletorangeLevel1"/>
      </w:pPr>
      <w:r w:rsidRPr="006D4508">
        <w:t xml:space="preserve">boost competitiveness </w:t>
      </w:r>
      <w:r w:rsidR="001F76A7" w:rsidRPr="006D4508">
        <w:t>via greater support for innovation, technological development and for secure supply chains;</w:t>
      </w:r>
    </w:p>
    <w:p w14:paraId="13FE8623" w14:textId="549A5902" w:rsidR="00904199" w:rsidRPr="006D4508" w:rsidRDefault="00904199" w:rsidP="0041545A">
      <w:pPr>
        <w:pStyle w:val="ListBulletorangeLevel1"/>
      </w:pPr>
      <w:r w:rsidRPr="006D4508">
        <w:t>establish new own resources to ensure appropriate revenues for EU priorities while min</w:t>
      </w:r>
      <w:r w:rsidR="00BD72D4" w:rsidRPr="006D4508">
        <w:t>i</w:t>
      </w:r>
      <w:r w:rsidRPr="006D4508">
        <w:t>mising pressure on national public finances.</w:t>
      </w:r>
    </w:p>
    <w:p w14:paraId="207EE5C5" w14:textId="1F9DCC11" w:rsidR="00031AFD" w:rsidRDefault="00384DDB" w:rsidP="00796F20">
      <w:pPr>
        <w:rPr>
          <w:highlight w:val="lightGray"/>
        </w:rPr>
      </w:pPr>
      <w:r w:rsidRPr="00454988">
        <w:rPr>
          <w:rStyle w:val="Bold"/>
        </w:rPr>
        <w:t xml:space="preserve">The proposal also provides for innovative financing via </w:t>
      </w:r>
      <w:r w:rsidR="00553ADF" w:rsidRPr="00454988">
        <w:rPr>
          <w:rStyle w:val="Bold"/>
        </w:rPr>
        <w:t xml:space="preserve">five </w:t>
      </w:r>
      <w:r w:rsidRPr="00454988">
        <w:rPr>
          <w:rStyle w:val="Bold"/>
        </w:rPr>
        <w:t>new own resources, to reduce pressure on national budgets.</w:t>
      </w:r>
      <w:r>
        <w:rPr>
          <w:b/>
        </w:rPr>
        <w:t xml:space="preserve"> </w:t>
      </w:r>
      <w:r w:rsidR="00F30BBF">
        <w:rPr>
          <w:noProof/>
        </w:rPr>
        <w:t>These will provide the EU with the</w:t>
      </w:r>
      <w:r w:rsidR="00F30BBF" w:rsidRPr="00F30BBF">
        <w:rPr>
          <w:noProof/>
        </w:rPr>
        <w:t xml:space="preserve"> means to fund its priorities while repaying what the EU has borrowed under NextGenerationEU and limiting the national contributions to the EU budget.</w:t>
      </w:r>
      <w:r w:rsidRPr="00384DDB">
        <w:rPr>
          <w:noProof/>
        </w:rPr>
        <w:t xml:space="preserve"> These include revenues from the EU Emissions Trading System, proceeds from the Carbon </w:t>
      </w:r>
      <w:r w:rsidR="004B17D4">
        <w:rPr>
          <w:noProof/>
        </w:rPr>
        <w:t>B</w:t>
      </w:r>
      <w:r w:rsidRPr="00384DDB">
        <w:rPr>
          <w:noProof/>
        </w:rPr>
        <w:t xml:space="preserve">order </w:t>
      </w:r>
      <w:r w:rsidR="004B17D4">
        <w:rPr>
          <w:noProof/>
        </w:rPr>
        <w:t>A</w:t>
      </w:r>
      <w:r w:rsidRPr="00384DDB">
        <w:rPr>
          <w:noProof/>
        </w:rPr>
        <w:t xml:space="preserve">djustment </w:t>
      </w:r>
      <w:r w:rsidR="004B17D4">
        <w:rPr>
          <w:noProof/>
        </w:rPr>
        <w:t>M</w:t>
      </w:r>
      <w:r w:rsidRPr="00384DDB">
        <w:rPr>
          <w:noProof/>
        </w:rPr>
        <w:t>echanism, a new own resource based on non-collected e-waste, a tobacco excise duty a</w:t>
      </w:r>
      <w:r w:rsidR="00A7486F">
        <w:rPr>
          <w:noProof/>
        </w:rPr>
        <w:t>nd</w:t>
      </w:r>
      <w:r w:rsidRPr="00384DDB" w:rsidDel="00A7486F">
        <w:rPr>
          <w:noProof/>
        </w:rPr>
        <w:t xml:space="preserve"> </w:t>
      </w:r>
      <w:r w:rsidRPr="00384DDB">
        <w:rPr>
          <w:noProof/>
        </w:rPr>
        <w:t xml:space="preserve">a contribution from companies operating and selling in the EU with a net turnover of at least </w:t>
      </w:r>
      <w:r w:rsidRPr="00384DDB" w:rsidDel="00E03143">
        <w:rPr>
          <w:noProof/>
        </w:rPr>
        <w:t>EUR</w:t>
      </w:r>
      <w:r w:rsidR="00E03143">
        <w:rPr>
          <w:rFonts w:ascii="Calibri" w:hAnsi="Calibri" w:cs="Calibri"/>
          <w:noProof/>
        </w:rPr>
        <w:t> </w:t>
      </w:r>
      <w:r w:rsidRPr="00384DDB">
        <w:rPr>
          <w:noProof/>
        </w:rPr>
        <w:t>100</w:t>
      </w:r>
      <w:r w:rsidR="00EB0E5C">
        <w:rPr>
          <w:rFonts w:ascii="Calibri" w:hAnsi="Calibri" w:cs="Calibri"/>
          <w:noProof/>
        </w:rPr>
        <w:t> </w:t>
      </w:r>
      <w:r w:rsidR="00EB0E5C">
        <w:rPr>
          <w:noProof/>
        </w:rPr>
        <w:t>million</w:t>
      </w:r>
      <w:r w:rsidRPr="00384DDB">
        <w:rPr>
          <w:noProof/>
        </w:rPr>
        <w:t>.</w:t>
      </w:r>
    </w:p>
    <w:p w14:paraId="5AA9480C" w14:textId="7F1CB839" w:rsidR="0052060F" w:rsidRDefault="00D01CCA" w:rsidP="00796F20">
      <w:pPr>
        <w:pStyle w:val="ImageTitle"/>
      </w:pPr>
      <w:r>
        <w:t xml:space="preserve">Proposal for the </w:t>
      </w:r>
      <w:r w:rsidR="00A7486F">
        <w:t xml:space="preserve">2028-2034 </w:t>
      </w:r>
      <w:r w:rsidR="000C25A2">
        <w:t>multiannual financial framework</w:t>
      </w:r>
    </w:p>
    <w:p w14:paraId="548D06D8" w14:textId="2990C5AF" w:rsidR="0004788D" w:rsidRPr="0004788D" w:rsidRDefault="00A96132" w:rsidP="00EE3971">
      <w:pPr>
        <w:pStyle w:val="ImageSubtitle"/>
        <w:rPr>
          <w:highlight w:val="lightGray"/>
        </w:rPr>
      </w:pPr>
      <w:r w:rsidRPr="00A96132">
        <w:rPr>
          <w:noProof/>
          <w:color w:val="auto"/>
        </w:rPr>
        <w:t xml:space="preserve"> </w:t>
      </w:r>
      <w:r w:rsidRPr="00A96132">
        <w:rPr>
          <w:noProof/>
          <w:highlight w:val="lightGray"/>
        </w:rPr>
        <w:drawing>
          <wp:inline distT="0" distB="0" distL="0" distR="0" wp14:anchorId="56CD350D" wp14:editId="619F0730">
            <wp:extent cx="5760085" cy="4512623"/>
            <wp:effectExtent l="0" t="0" r="0" b="2540"/>
            <wp:docPr id="20" name="Picture 19" descr="This graph shows the figures and main features of the financial proposal for the 2028-2034 multiannual financial framework. It explains that compared with the previous multiannual financial framework period this proposal reduces de number of programmes from 52 to 16, it is simpler for beneficiaries, results-oriented and more agile. A donut chart shows the distribution of the total 2 trillion proposed in percentage and absolute numbers: the European Competitiveness Fund share is 409 billion (including Horizon Europe but not including 41 billion euro of Innovation Fund), corresponding to 21%. For Erasmus 49 billion euro, 2%. For Global Europe 200 billion, which means 10%. For Next generation EU repayment 168 billion, 8%. The biggest share goes to the National and regional partnership plans with 865 billion euro corresponding to 44% and a list of other programs will be attributed 293 billion euro, which means 15%, including administration and decentralized agencies. ">
              <a:extLst xmlns:a="http://schemas.openxmlformats.org/drawingml/2006/main">
                <a:ext uri="{FF2B5EF4-FFF2-40B4-BE49-F238E27FC236}">
                  <a16:creationId xmlns:a16="http://schemas.microsoft.com/office/drawing/2014/main" id="{688A64D0-E8D8-B385-997C-AB0A1ED483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This graph shows the figures and main features of the financial proposal for the 2028-2034 multiannual financial framework. It explains that compared with the previous multiannual financial framework period this proposal reduces de number of programmes from 52 to 16, it is simpler for beneficiaries, results-oriented and more agile. A donut chart shows the distribution of the total 2 trillion proposed in percentage and absolute numbers: the European Competitiveness Fund share is 409 billion (including Horizon Europe but not including 41 billion euro of Innovation Fund), corresponding to 21%. For Erasmus 49 billion euro, 2%. For Global Europe 200 billion, which means 10%. For Next generation EU repayment 168 billion, 8%. The biggest share goes to the National and regional partnership plans with 865 billion euro corresponding to 44% and a list of other programs will be attributed 293 billion euro, which means 15%, including administration and decentralized agencies. ">
                      <a:extLst>
                        <a:ext uri="{FF2B5EF4-FFF2-40B4-BE49-F238E27FC236}">
                          <a16:creationId xmlns:a16="http://schemas.microsoft.com/office/drawing/2014/main" id="{688A64D0-E8D8-B385-997C-AB0A1ED483B0}"/>
                        </a:ext>
                      </a:extLst>
                    </pic:cNvPr>
                    <pic:cNvPicPr>
                      <a:picLocks noChangeAspect="1"/>
                    </pic:cNvPicPr>
                  </pic:nvPicPr>
                  <pic:blipFill rotWithShape="1">
                    <a:blip r:embed="rId70"/>
                    <a:srcRect l="5926" t="4682" r="7513" b="3557"/>
                    <a:stretch>
                      <a:fillRect/>
                    </a:stretch>
                  </pic:blipFill>
                  <pic:spPr bwMode="auto">
                    <a:xfrm>
                      <a:off x="0" y="0"/>
                      <a:ext cx="5760085" cy="4512623"/>
                    </a:xfrm>
                    <a:prstGeom prst="rect">
                      <a:avLst/>
                    </a:prstGeom>
                    <a:ln>
                      <a:noFill/>
                    </a:ln>
                    <a:extLst>
                      <a:ext uri="{53640926-AAD7-44D8-BBD7-CCE9431645EC}">
                        <a14:shadowObscured xmlns:a14="http://schemas.microsoft.com/office/drawing/2010/main"/>
                      </a:ext>
                    </a:extLst>
                  </pic:spPr>
                </pic:pic>
              </a:graphicData>
            </a:graphic>
          </wp:inline>
        </w:drawing>
      </w:r>
    </w:p>
    <w:p w14:paraId="73A43A20" w14:textId="13D1BB83" w:rsidR="000D7D9F" w:rsidRPr="000E3E72" w:rsidRDefault="007272D5" w:rsidP="000D7D9F">
      <w:pPr>
        <w:pStyle w:val="Heading2"/>
        <w:spacing w:after="360"/>
        <w:rPr>
          <w:rFonts w:ascii="EC Square Sans Pro" w:hAnsi="EC Square Sans Pro"/>
        </w:rPr>
      </w:pPr>
      <w:bookmarkStart w:id="40" w:name="_Toc168585655"/>
      <w:bookmarkStart w:id="41" w:name="_Toc196895480"/>
      <w:bookmarkStart w:id="42" w:name="_Toc231480357"/>
      <w:bookmarkStart w:id="43" w:name="_Toc231486612"/>
      <w:r>
        <w:rPr>
          <w:rFonts w:ascii="EC Square Sans Pro" w:hAnsi="EC Square Sans Pro"/>
        </w:rPr>
        <w:t>4</w:t>
      </w:r>
      <w:r w:rsidR="000D7D9F" w:rsidRPr="00B13363">
        <w:rPr>
          <w:rFonts w:ascii="EC Square Sans Pro" w:hAnsi="EC Square Sans Pro"/>
        </w:rPr>
        <w:t xml:space="preserve">. Horizontal </w:t>
      </w:r>
      <w:r w:rsidR="000D7D9F" w:rsidRPr="000E3E72">
        <w:rPr>
          <w:rFonts w:ascii="EC Square Sans Pro" w:hAnsi="EC Square Sans Pro"/>
        </w:rPr>
        <w:t>policy priorities in the EU budget</w:t>
      </w:r>
      <w:bookmarkEnd w:id="40"/>
      <w:bookmarkEnd w:id="41"/>
      <w:bookmarkEnd w:id="42"/>
      <w:bookmarkEnd w:id="43"/>
    </w:p>
    <w:p w14:paraId="7E56DAFA" w14:textId="595D8BCA" w:rsidR="000D7D9F" w:rsidRPr="00B13363" w:rsidRDefault="000D7D9F" w:rsidP="000D7D9F">
      <w:r w:rsidRPr="000E3E72">
        <w:t>This section provides information on the financing of initiatives relat</w:t>
      </w:r>
      <w:r w:rsidR="00A7486F">
        <w:t>ing</w:t>
      </w:r>
      <w:r w:rsidRPr="000E3E72">
        <w:t xml:space="preserve"> to the objectives of climate, biodiversity, gender equality and </w:t>
      </w:r>
      <w:r w:rsidR="00A402D6">
        <w:t>SDGs</w:t>
      </w:r>
      <w:r w:rsidRPr="000E3E72">
        <w:t>, as provided for in point</w:t>
      </w:r>
      <w:r w:rsidRPr="000E3E72">
        <w:rPr>
          <w:rFonts w:ascii="Calibri" w:hAnsi="Calibri" w:cs="Calibri"/>
        </w:rPr>
        <w:t> </w:t>
      </w:r>
      <w:r w:rsidRPr="000E3E72">
        <w:t xml:space="preserve">16(d–g) of the interinstitutional agreement of </w:t>
      </w:r>
      <w:r w:rsidRPr="000E3E72" w:rsidDel="00E81C4F">
        <w:t>16</w:t>
      </w:r>
      <w:r w:rsidRPr="000E3E72" w:rsidDel="00E81C4F">
        <w:rPr>
          <w:rFonts w:ascii="Calibri" w:hAnsi="Calibri" w:cs="Calibri"/>
        </w:rPr>
        <w:t> </w:t>
      </w:r>
      <w:r w:rsidRPr="000E3E72">
        <w:t>December 2020</w:t>
      </w:r>
      <w:r w:rsidR="00AA5A4D" w:rsidRPr="000E3E72">
        <w:rPr>
          <w:rFonts w:ascii="Calibri" w:hAnsi="Calibri" w:cs="Calibri"/>
        </w:rPr>
        <w:t> </w:t>
      </w:r>
      <w:r w:rsidRPr="000E3E72">
        <w:t>(</w:t>
      </w:r>
      <w:r w:rsidRPr="000E3E72">
        <w:rPr>
          <w:rStyle w:val="FootnoteReference"/>
        </w:rPr>
        <w:footnoteReference w:id="64"/>
      </w:r>
      <w:r w:rsidRPr="000E3E72">
        <w:t>). Information on the contribution of the EU budget to the</w:t>
      </w:r>
      <w:r w:rsidRPr="000E3E72" w:rsidDel="00E81C4F">
        <w:t xml:space="preserve"> </w:t>
      </w:r>
      <w:r w:rsidRPr="000E3E72">
        <w:t xml:space="preserve">promoting the digital transition is </w:t>
      </w:r>
      <w:r w:rsidRPr="00B13363">
        <w:t xml:space="preserve">also provided. </w:t>
      </w:r>
    </w:p>
    <w:p w14:paraId="651BA4AD" w14:textId="2881F9F5" w:rsidR="000D7D9F" w:rsidRPr="00B13363" w:rsidRDefault="000D7D9F" w:rsidP="000D7D9F">
      <w:pPr>
        <w:pStyle w:val="Heading3"/>
        <w:spacing w:before="240"/>
        <w:rPr>
          <w:rFonts w:ascii="EC Square Sans Pro" w:hAnsi="EC Square Sans Pro"/>
        </w:rPr>
      </w:pPr>
      <w:r w:rsidRPr="00B13363">
        <w:rPr>
          <w:rFonts w:ascii="EC Square Sans Pro" w:hAnsi="EC Square Sans Pro"/>
        </w:rPr>
        <w:t>Green budgeting</w:t>
      </w:r>
    </w:p>
    <w:p w14:paraId="7089646D" w14:textId="5AFE05C6" w:rsidR="000D7D9F" w:rsidRPr="00B13363" w:rsidRDefault="000D7D9F" w:rsidP="000D7D9F">
      <w:pPr>
        <w:rPr>
          <w:spacing w:val="-2"/>
        </w:rPr>
      </w:pPr>
      <w:r w:rsidRPr="00D7362E">
        <w:rPr>
          <w:rStyle w:val="Bold"/>
        </w:rPr>
        <w:t xml:space="preserve">The Commission uses green budgeting to enhance the transparency of EU funding </w:t>
      </w:r>
      <w:r w:rsidR="000D2637" w:rsidRPr="00D7362E">
        <w:rPr>
          <w:rStyle w:val="Bold"/>
        </w:rPr>
        <w:t xml:space="preserve">and </w:t>
      </w:r>
      <w:r w:rsidRPr="00D7362E">
        <w:rPr>
          <w:rStyle w:val="Bold"/>
        </w:rPr>
        <w:t>support</w:t>
      </w:r>
      <w:r w:rsidR="000D2637" w:rsidRPr="00D7362E">
        <w:rPr>
          <w:rStyle w:val="Bold"/>
        </w:rPr>
        <w:t xml:space="preserve"> the achievement </w:t>
      </w:r>
      <w:r w:rsidR="003F18CC" w:rsidRPr="00D7362E">
        <w:rPr>
          <w:rStyle w:val="Bold"/>
        </w:rPr>
        <w:t>of</w:t>
      </w:r>
      <w:r w:rsidRPr="00D7362E">
        <w:rPr>
          <w:rStyle w:val="Bold"/>
        </w:rPr>
        <w:t xml:space="preserve"> climate and environmental objectives</w:t>
      </w:r>
      <w:r w:rsidRPr="00B13363">
        <w:rPr>
          <w:spacing w:val="-2"/>
        </w:rPr>
        <w:t xml:space="preserve">, in line with the Paris Agreement and the European Green Deal. </w:t>
      </w:r>
    </w:p>
    <w:p w14:paraId="61DE92CC" w14:textId="30D2EBAD" w:rsidR="000D7D9F" w:rsidRPr="00F11A93" w:rsidRDefault="000D7D9F" w:rsidP="00D7362E">
      <w:r w:rsidRPr="00F11A93">
        <w:t>To underscore its commitment to its climate and environmental goals, the EU has set quantitative spending targets for</w:t>
      </w:r>
      <w:r w:rsidRPr="00F11A93" w:rsidDel="00C20F1F">
        <w:t xml:space="preserve"> its </w:t>
      </w:r>
      <w:r w:rsidRPr="00F11A93">
        <w:t xml:space="preserve">2021-2027 multiannual financial framework and NextGenerationEU funding. In particular, </w:t>
      </w:r>
      <w:r w:rsidRPr="00F11A93">
        <w:rPr>
          <w:rStyle w:val="Bold"/>
        </w:rPr>
        <w:t>the EU has committed to dedicating at least 30% of its multiannual financial framework and NextGenerationEU budget to climate-relevant expenditure, and 7.5% of the 2024 annual budget</w:t>
      </w:r>
      <w:r w:rsidRPr="00F11A93" w:rsidDel="00996EBF">
        <w:rPr>
          <w:rStyle w:val="Bold"/>
        </w:rPr>
        <w:t xml:space="preserve"> and</w:t>
      </w:r>
      <w:r w:rsidRPr="00F11A93">
        <w:rPr>
          <w:rStyle w:val="Bold"/>
        </w:rPr>
        <w:t xml:space="preserve"> 10% of the 2026 and 2027</w:t>
      </w:r>
      <w:r w:rsidRPr="00F11A93">
        <w:t xml:space="preserve"> </w:t>
      </w:r>
      <w:r w:rsidRPr="00F11A93">
        <w:rPr>
          <w:rStyle w:val="Bold"/>
        </w:rPr>
        <w:t>annual budgets to protecting and enhancing biodiversity</w:t>
      </w:r>
      <w:r w:rsidRPr="00F11A93">
        <w:t xml:space="preserve">. </w:t>
      </w:r>
    </w:p>
    <w:p w14:paraId="352E0D72" w14:textId="1DD94AD2" w:rsidR="00031AFD" w:rsidRDefault="000D7D9F" w:rsidP="00D14A4D">
      <w:pPr>
        <w:pStyle w:val="ImageTitle"/>
        <w:spacing w:before="240" w:after="0"/>
        <w:rPr>
          <w:noProof/>
        </w:rPr>
      </w:pPr>
      <w:r w:rsidRPr="008072FE">
        <w:t>Expected climate and biodiversity contribution (budgetary commitments) in the 2021-2027 period (million EUR)</w:t>
      </w:r>
    </w:p>
    <w:p w14:paraId="2A536655" w14:textId="05644647" w:rsidR="003B7860" w:rsidRPr="003B7860" w:rsidRDefault="00777A1A" w:rsidP="00F840FE">
      <w:pPr>
        <w:pStyle w:val="ImageSubtitle"/>
        <w:jc w:val="center"/>
      </w:pPr>
      <w:r w:rsidRPr="00777A1A">
        <w:rPr>
          <w:noProof/>
          <w:color w:val="auto"/>
        </w:rPr>
        <w:t xml:space="preserve"> </w:t>
      </w:r>
      <w:r w:rsidRPr="00777A1A">
        <w:rPr>
          <w:noProof/>
        </w:rPr>
        <w:drawing>
          <wp:inline distT="0" distB="0" distL="0" distR="0" wp14:anchorId="30AF4FCD" wp14:editId="14AD143D">
            <wp:extent cx="5695446" cy="3339365"/>
            <wp:effectExtent l="0" t="0" r="635" b="0"/>
            <wp:docPr id="484289651" name="Picture 3" descr="This chart shows the evolution of climate and biodiversity contributions and expected contributions (budgetary commitments) for the 2021 to 2027 period, in million euros and in percentage. The percentage dedicated to biodiversity has evolved from 3.7% in 2021 to 5.2% in 2022, 4.5% in 2023, 7.9% in 2024 7.8% in 2025 and is expected to reach 8.1% in 2026 and 8.1% in 2027. &#10;Concerning climate, the percentage starts in 33% in 2021, raises to 37% in 2022 and 2023, drops down to 32.9% in 2024 and 33% in 2025, and is expected to decrease further to 30% and 29.4% in 2026 and 2027, respectively.">
              <a:extLst xmlns:a="http://schemas.openxmlformats.org/drawingml/2006/main">
                <a:ext uri="{FF2B5EF4-FFF2-40B4-BE49-F238E27FC236}">
                  <a16:creationId xmlns:a16="http://schemas.microsoft.com/office/drawing/2014/main" id="{98800355-F3E9-E600-03F4-E416F40EA9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289651" name="Picture 3" descr="This chart shows the evolution of climate and biodiversity contributions and expected contributions (budgetary commitments) for the 2021 to 2027 period, in million euros and in percentage. The percentage dedicated to biodiversity has evolved from 3.7% in 2021 to 5.2% in 2022, 4.5% in 2023, 7.9% in 2024 7.8% in 2025 and is expected to reach 8.1% in 2026 and 8.1% in 2027. &#10;Concerning climate, the percentage starts in 33% in 2021, raises to 37% in 2022 and 2023, drops down to 32.9% in 2024 and 33% in 2025, and is expected to decrease further to 30% and 29.4% in 2026 and 2027, respectively.">
                      <a:extLst>
                        <a:ext uri="{FF2B5EF4-FFF2-40B4-BE49-F238E27FC236}">
                          <a16:creationId xmlns:a16="http://schemas.microsoft.com/office/drawing/2014/main" id="{98800355-F3E9-E600-03F4-E416F40EA99C}"/>
                        </a:ext>
                      </a:extLst>
                    </pic:cNvPr>
                    <pic:cNvPicPr>
                      <a:picLocks noChangeAspect="1"/>
                    </pic:cNvPicPr>
                  </pic:nvPicPr>
                  <pic:blipFill rotWithShape="1">
                    <a:blip r:embed="rId71"/>
                    <a:srcRect l="5859" t="13868" r="1902" b="8560"/>
                    <a:stretch>
                      <a:fillRect/>
                    </a:stretch>
                  </pic:blipFill>
                  <pic:spPr bwMode="auto">
                    <a:xfrm>
                      <a:off x="0" y="0"/>
                      <a:ext cx="5705961" cy="3345530"/>
                    </a:xfrm>
                    <a:prstGeom prst="rect">
                      <a:avLst/>
                    </a:prstGeom>
                    <a:ln>
                      <a:noFill/>
                    </a:ln>
                    <a:extLst>
                      <a:ext uri="{53640926-AAD7-44D8-BBD7-CCE9431645EC}">
                        <a14:shadowObscured xmlns:a14="http://schemas.microsoft.com/office/drawing/2010/main"/>
                      </a:ext>
                    </a:extLst>
                  </pic:spPr>
                </pic:pic>
              </a:graphicData>
            </a:graphic>
          </wp:inline>
        </w:drawing>
      </w:r>
    </w:p>
    <w:p w14:paraId="4FA1865B" w14:textId="26A81C3F" w:rsidR="000D7D9F" w:rsidRPr="00B13363" w:rsidRDefault="000D7D9F" w:rsidP="000D7D9F">
      <w:pPr>
        <w:pStyle w:val="ImageNotes"/>
      </w:pPr>
      <w:r w:rsidRPr="00B13363">
        <w:t>NB: As the same action can contribute to more than one objective, it is important to recall that horizontal priorities (e.g. climate and biodiversity figures) cannot be summed up to avoid double counting.</w:t>
      </w:r>
    </w:p>
    <w:p w14:paraId="02AC23C9" w14:textId="77777777" w:rsidR="000D7D9F" w:rsidRPr="00B13363" w:rsidRDefault="000D7D9F" w:rsidP="000D7D9F">
      <w:pPr>
        <w:pStyle w:val="ImageSource"/>
      </w:pPr>
      <w:r w:rsidRPr="00B13363">
        <w:rPr>
          <w:rStyle w:val="Italic"/>
        </w:rPr>
        <w:t>Source:</w:t>
      </w:r>
      <w:r w:rsidRPr="00B13363">
        <w:t xml:space="preserve"> European Commission.</w:t>
      </w:r>
    </w:p>
    <w:p w14:paraId="20E57784" w14:textId="482445E1" w:rsidR="000D7D9F" w:rsidRPr="008072FE" w:rsidRDefault="000D7D9F" w:rsidP="000D7D9F">
      <w:pPr>
        <w:spacing w:before="360"/>
      </w:pPr>
      <w:r w:rsidRPr="008072FE">
        <w:t xml:space="preserve">The data available for the 2021-2027 period show that the </w:t>
      </w:r>
      <w:r w:rsidRPr="008072FE">
        <w:rPr>
          <w:rStyle w:val="Bold"/>
        </w:rPr>
        <w:t xml:space="preserve">EU budget, including NextGenerationEU, </w:t>
      </w:r>
      <w:r w:rsidR="004C7582">
        <w:rPr>
          <w:rStyle w:val="Bold"/>
        </w:rPr>
        <w:br/>
      </w:r>
      <w:r w:rsidRPr="008072FE">
        <w:rPr>
          <w:rStyle w:val="Bold"/>
        </w:rPr>
        <w:t>is on track to reach its 30% target for climate mainstreaming</w:t>
      </w:r>
      <w:r w:rsidR="00EC78D5">
        <w:rPr>
          <w:rStyle w:val="Bold"/>
          <w:noProof/>
        </w:rPr>
        <w:t xml:space="preserve"> </w:t>
      </w:r>
      <w:r w:rsidR="00852B8C">
        <w:rPr>
          <w:rStyle w:val="Bold"/>
          <w:noProof/>
        </w:rPr>
        <w:t>over</w:t>
      </w:r>
      <w:r w:rsidR="00EC78D5">
        <w:rPr>
          <w:rStyle w:val="Bold"/>
          <w:noProof/>
        </w:rPr>
        <w:t xml:space="preserve"> the period</w:t>
      </w:r>
      <w:r w:rsidRPr="008072FE">
        <w:t xml:space="preserve">, thanks to the strong </w:t>
      </w:r>
      <w:r w:rsidR="003934DF">
        <w:t>contribution from</w:t>
      </w:r>
      <w:r w:rsidRPr="008072FE">
        <w:t xml:space="preserve"> the Recovery and Resilience Facility and the </w:t>
      </w:r>
      <w:r w:rsidR="00A60D0D">
        <w:t>REP</w:t>
      </w:r>
      <w:r w:rsidR="00A60D0D" w:rsidRPr="008072FE">
        <w:t xml:space="preserve">owerEU </w:t>
      </w:r>
      <w:r w:rsidRPr="008072FE">
        <w:t xml:space="preserve">plan. The figures presented </w:t>
      </w:r>
      <w:r w:rsidR="004C7582">
        <w:br/>
      </w:r>
      <w:r w:rsidRPr="008072FE">
        <w:t xml:space="preserve">in this report use past commitments for </w:t>
      </w:r>
      <w:r w:rsidR="002A4A15">
        <w:t xml:space="preserve">the </w:t>
      </w:r>
      <w:r w:rsidRPr="008072FE">
        <w:t>years 2021-202</w:t>
      </w:r>
      <w:r w:rsidR="00BE5C81" w:rsidRPr="008072FE">
        <w:t>5</w:t>
      </w:r>
      <w:r w:rsidRPr="008072FE">
        <w:t xml:space="preserve"> and expected commitment appropriations </w:t>
      </w:r>
      <w:r w:rsidR="004C7582">
        <w:br/>
      </w:r>
      <w:r w:rsidRPr="008072FE">
        <w:t>for 202</w:t>
      </w:r>
      <w:r w:rsidR="00BE5C81" w:rsidRPr="008072FE">
        <w:t>6</w:t>
      </w:r>
      <w:r w:rsidRPr="008072FE">
        <w:t>-2027</w:t>
      </w:r>
      <w:r w:rsidR="00A61F83" w:rsidRPr="0033351C">
        <w:rPr>
          <w:rFonts w:cs="Calibri"/>
        </w:rPr>
        <w:t> </w:t>
      </w:r>
      <w:r w:rsidR="00A61F83" w:rsidRPr="00A61F83">
        <w:t>(</w:t>
      </w:r>
      <w:r w:rsidR="00A61F83">
        <w:rPr>
          <w:rStyle w:val="FootnoteReference"/>
        </w:rPr>
        <w:footnoteReference w:id="65"/>
      </w:r>
      <w:r w:rsidR="00A61F83">
        <w:t>)</w:t>
      </w:r>
      <w:r w:rsidRPr="008072FE">
        <w:t>.</w:t>
      </w:r>
    </w:p>
    <w:p w14:paraId="3421390F" w14:textId="3C19753F" w:rsidR="00BC1655" w:rsidRDefault="00BC1655" w:rsidP="000D7D9F">
      <w:r w:rsidRPr="00592995">
        <w:t xml:space="preserve">The Innovation Fund, financed by revenues from the Emission Trading System and channelled through the </w:t>
      </w:r>
      <w:r w:rsidR="00377BBD">
        <w:t>E</w:t>
      </w:r>
      <w:r w:rsidRPr="00592995">
        <w:t>U budget</w:t>
      </w:r>
      <w:r w:rsidR="00377BBD">
        <w:t>,</w:t>
      </w:r>
      <w:r w:rsidRPr="00592995">
        <w:t xml:space="preserve"> provide</w:t>
      </w:r>
      <w:r>
        <w:t>s</w:t>
      </w:r>
      <w:r w:rsidRPr="00592995">
        <w:t xml:space="preserve"> important impetus to the climate objectives. The Modernisation Fund, an off-budget instrument financed by the Emission Trading System, also contributes to the climate efforts of Member States</w:t>
      </w:r>
      <w:r w:rsidR="00377BBD">
        <w:t>.</w:t>
      </w:r>
    </w:p>
    <w:p w14:paraId="5A93E373" w14:textId="1DD22209" w:rsidR="000D7D9F" w:rsidRPr="00B13363" w:rsidRDefault="000D7D9F" w:rsidP="0012252E">
      <w:r w:rsidRPr="008072FE">
        <w:rPr>
          <w:rStyle w:val="Bold"/>
        </w:rPr>
        <w:t>For biodiversity mainstreaming, while the 2024 ambition was achieved, the 2026 and 2027 targets are projected to fall below the initial ambitions.</w:t>
      </w:r>
      <w:r w:rsidRPr="008072FE">
        <w:t xml:space="preserve"> More details are available in the dedicated biodiversity section below.</w:t>
      </w:r>
    </w:p>
    <w:p w14:paraId="0EAB8D4A" w14:textId="1A5072E8" w:rsidR="0018546C" w:rsidRPr="00627180" w:rsidRDefault="0018546C" w:rsidP="0018546C">
      <w:pPr>
        <w:pStyle w:val="amprboxBLUEBoxTitle"/>
        <w:rPr>
          <w:lang w:val="en-US"/>
        </w:rPr>
      </w:pPr>
      <w:r w:rsidRPr="0018546C">
        <w:t>The climate and biodiversity contributions are calculated based on commitment appropriations</w:t>
      </w:r>
      <w:r w:rsidR="00377BBD">
        <w:t>,</w:t>
      </w:r>
      <w:r w:rsidRPr="0018546C">
        <w:t xml:space="preserve"> as shown below</w:t>
      </w:r>
      <w:r w:rsidR="00377BBD">
        <w:t>.</w:t>
      </w:r>
    </w:p>
    <w:p w14:paraId="2FBCD6F9" w14:textId="68C8AD3B" w:rsidR="0018546C" w:rsidRDefault="0018546C" w:rsidP="0018546C">
      <w:pPr>
        <w:pStyle w:val="amprboxBLUEbulletlist"/>
        <w:rPr>
          <w:rStyle w:val="Bold"/>
          <w:b w:val="0"/>
        </w:rPr>
      </w:pPr>
      <w:r w:rsidRPr="006D4508">
        <w:rPr>
          <w:rStyle w:val="Bold"/>
          <w:b w:val="0"/>
        </w:rPr>
        <w:t>For direct management, estimates are prepared based on the most updated data available. For future estimates, work programmes, sectoral targets and historical values are used.</w:t>
      </w:r>
    </w:p>
    <w:p w14:paraId="215EA7FD" w14:textId="4D56469A" w:rsidR="0018546C" w:rsidRPr="006D4508" w:rsidRDefault="0018546C" w:rsidP="0018546C">
      <w:pPr>
        <w:pStyle w:val="amprboxBLUEbulletlist"/>
        <w:rPr>
          <w:rStyle w:val="Bold"/>
          <w:b w:val="0"/>
        </w:rPr>
      </w:pPr>
      <w:r w:rsidRPr="006D4508">
        <w:rPr>
          <w:rStyle w:val="Bold"/>
          <w:b w:val="0"/>
        </w:rPr>
        <w:t xml:space="preserve">For shared management, past and future figures are presented on the basis of the programmes and </w:t>
      </w:r>
      <w:r w:rsidR="009036F9">
        <w:rPr>
          <w:rStyle w:val="Bold"/>
          <w:b w:val="0"/>
        </w:rPr>
        <w:t>CAP</w:t>
      </w:r>
      <w:r w:rsidRPr="006D4508">
        <w:rPr>
          <w:rStyle w:val="Bold"/>
          <w:b w:val="0"/>
        </w:rPr>
        <w:t xml:space="preserve"> strategic plans agreed with the Member States</w:t>
      </w:r>
      <w:r w:rsidR="007C5112">
        <w:rPr>
          <w:rStyle w:val="Bold"/>
          <w:b w:val="0"/>
        </w:rPr>
        <w:t>,</w:t>
      </w:r>
      <w:r w:rsidRPr="006D4508">
        <w:rPr>
          <w:rStyle w:val="Bold"/>
          <w:b w:val="0"/>
        </w:rPr>
        <w:t xml:space="preserve"> and updated in accordance with the annual reports.</w:t>
      </w:r>
    </w:p>
    <w:p w14:paraId="5983846C" w14:textId="77777777" w:rsidR="0018546C" w:rsidRPr="006D4508" w:rsidRDefault="0018546C" w:rsidP="0018546C">
      <w:pPr>
        <w:pStyle w:val="amprboxBLUEbulletlist"/>
        <w:rPr>
          <w:rStyle w:val="Bold"/>
          <w:b w:val="0"/>
        </w:rPr>
      </w:pPr>
      <w:r w:rsidRPr="006D4508">
        <w:rPr>
          <w:rStyle w:val="Bold"/>
          <w:b w:val="0"/>
        </w:rPr>
        <w:t>For indirect management, the figures are based on the existing targets and agreements with implementing partners, along with their annual reports.</w:t>
      </w:r>
    </w:p>
    <w:p w14:paraId="670DD28B" w14:textId="06F06361" w:rsidR="0018546C" w:rsidRPr="00B13363" w:rsidRDefault="0018546C" w:rsidP="00173EAD">
      <w:pPr>
        <w:pStyle w:val="amprboxBLUEbulletlist"/>
      </w:pPr>
      <w:r w:rsidRPr="006D4508">
        <w:rPr>
          <w:rStyle w:val="Bold"/>
          <w:rFonts w:eastAsia="Times New Roman"/>
          <w:b w:val="0"/>
        </w:rPr>
        <w:t>Past expenditure is revised annually following a quality review conducted by Commission departments, incorporating additional information available on the selected project.</w:t>
      </w:r>
    </w:p>
    <w:p w14:paraId="7689A424" w14:textId="1B54F5D7" w:rsidR="000D7D9F" w:rsidRPr="008072FE" w:rsidRDefault="000D7D9F" w:rsidP="00E752F1">
      <w:pPr>
        <w:pStyle w:val="Heading4"/>
        <w:rPr>
          <w:rFonts w:ascii="EC Square Sans Pro" w:hAnsi="EC Square Sans Pro"/>
        </w:rPr>
      </w:pPr>
      <w:r w:rsidRPr="008072FE">
        <w:rPr>
          <w:rFonts w:ascii="EC Square Sans Pro" w:hAnsi="EC Square Sans Pro"/>
        </w:rPr>
        <w:t>Focus on results</w:t>
      </w:r>
      <w:r w:rsidRPr="008072FE">
        <w:rPr>
          <w:rFonts w:ascii="Calibri" w:hAnsi="Calibri" w:cs="Calibri"/>
        </w:rPr>
        <w:t> </w:t>
      </w:r>
      <w:r w:rsidRPr="00F73804" w:rsidDel="006163F2">
        <w:rPr>
          <w:sz w:val="22"/>
          <w:szCs w:val="22"/>
        </w:rPr>
        <w:t>(</w:t>
      </w:r>
      <w:r w:rsidRPr="00F73804" w:rsidDel="006163F2">
        <w:rPr>
          <w:rStyle w:val="FootnoteReference"/>
          <w:sz w:val="22"/>
          <w:szCs w:val="22"/>
        </w:rPr>
        <w:footnoteReference w:id="66"/>
      </w:r>
      <w:r w:rsidRPr="00F73804" w:rsidDel="006163F2">
        <w:rPr>
          <w:sz w:val="22"/>
          <w:szCs w:val="22"/>
        </w:rPr>
        <w:t>)</w:t>
      </w:r>
    </w:p>
    <w:tbl>
      <w:tblPr>
        <w:tblStyle w:val="Infographicboxes"/>
        <w:tblW w:w="8799" w:type="dxa"/>
        <w:tblLook w:val="04A0" w:firstRow="1" w:lastRow="0" w:firstColumn="1" w:lastColumn="0" w:noHBand="0" w:noVBand="1"/>
      </w:tblPr>
      <w:tblGrid>
        <w:gridCol w:w="4962"/>
        <w:gridCol w:w="3837"/>
      </w:tblGrid>
      <w:tr w:rsidR="00955760" w:rsidRPr="00B13363" w14:paraId="4170C66D" w14:textId="77777777" w:rsidTr="00EE3971">
        <w:trPr>
          <w:cantSplit/>
        </w:trPr>
        <w:tc>
          <w:tcPr>
            <w:tcW w:w="4962" w:type="dxa"/>
          </w:tcPr>
          <w:p w14:paraId="0F47F007" w14:textId="4749636E" w:rsidR="00955760" w:rsidRPr="00EE3971" w:rsidRDefault="00955760" w:rsidP="00955760">
            <w:pPr>
              <w:rPr>
                <w:b/>
                <w:color w:val="003399" w:themeColor="text2"/>
                <w:spacing w:val="1"/>
              </w:rPr>
            </w:pPr>
            <w:r w:rsidRPr="00955760">
              <w:rPr>
                <w:rStyle w:val="BoldAccent1"/>
              </w:rPr>
              <w:t>49 gigawatt-hours</w:t>
            </w:r>
            <w:r>
              <w:rPr>
                <w:rStyle w:val="BoldAccent1"/>
              </w:rPr>
              <w:t xml:space="preserve"> </w:t>
            </w:r>
            <w:r w:rsidRPr="00EE3971">
              <w:rPr>
                <w:rStyle w:val="BoldAccent1"/>
                <w:b w:val="0"/>
              </w:rPr>
              <w:t>of estimated energy efficiency savings per year from private and public buildings.</w:t>
            </w:r>
          </w:p>
        </w:tc>
        <w:tc>
          <w:tcPr>
            <w:tcW w:w="3837" w:type="dxa"/>
          </w:tcPr>
          <w:p w14:paraId="40E58D76" w14:textId="6F59C1DA" w:rsidR="00955760" w:rsidRPr="00B13363" w:rsidRDefault="00955760" w:rsidP="00955760">
            <w:r w:rsidRPr="00EE3971">
              <w:rPr>
                <w:rStyle w:val="BoldAccent1"/>
              </w:rPr>
              <w:t xml:space="preserve">1 380 additional gigawatt-hours </w:t>
            </w:r>
            <w:r w:rsidR="004A5BAB">
              <w:rPr>
                <w:rStyle w:val="BoldAccent1"/>
              </w:rPr>
              <w:br/>
            </w:r>
            <w:r w:rsidRPr="00EE3971">
              <w:rPr>
                <w:rStyle w:val="BoldAccent1"/>
                <w:b w:val="0"/>
              </w:rPr>
              <w:t>of renewable energy capacity installed.</w:t>
            </w:r>
          </w:p>
        </w:tc>
      </w:tr>
      <w:tr w:rsidR="00955760" w:rsidRPr="00B13363" w14:paraId="1569B05C" w14:textId="77777777" w:rsidTr="00EE3971">
        <w:trPr>
          <w:cantSplit/>
        </w:trPr>
        <w:tc>
          <w:tcPr>
            <w:tcW w:w="8799" w:type="dxa"/>
            <w:gridSpan w:val="2"/>
          </w:tcPr>
          <w:p w14:paraId="4B339861" w14:textId="5393F3D0" w:rsidR="00955760" w:rsidRPr="00EE3971" w:rsidRDefault="00955760" w:rsidP="00955760">
            <w:pPr>
              <w:rPr>
                <w:b/>
                <w:color w:val="003399" w:themeColor="text2"/>
                <w:spacing w:val="1"/>
              </w:rPr>
            </w:pPr>
            <w:r w:rsidRPr="00955760">
              <w:rPr>
                <w:rStyle w:val="BoldAccent1"/>
              </w:rPr>
              <w:t xml:space="preserve">124 million tonnes of carbon dioxide equivalent avoided per year, </w:t>
            </w:r>
            <w:r w:rsidRPr="00EE3971">
              <w:rPr>
                <w:rStyle w:val="BoldAccent1"/>
                <w:b w:val="0"/>
              </w:rPr>
              <w:t>of which almost half was through NextGenerationEU green bond investment. Additionally, 962 million tonnes of carbon dioxide reduction are expected from the Innovation Fund, ongoing or completed projects, over their first 10 years of operation.</w:t>
            </w:r>
          </w:p>
        </w:tc>
      </w:tr>
    </w:tbl>
    <w:p w14:paraId="67544E6C" w14:textId="77777777" w:rsidR="00555A81" w:rsidRDefault="00555A81">
      <w:pPr>
        <w:suppressAutoHyphens w:val="0"/>
        <w:rPr>
          <w:rStyle w:val="Bold"/>
        </w:rPr>
      </w:pPr>
      <w:r>
        <w:rPr>
          <w:rStyle w:val="Bold"/>
        </w:rPr>
        <w:br w:type="page"/>
      </w:r>
    </w:p>
    <w:p w14:paraId="735DB096" w14:textId="3651547E" w:rsidR="000D7D9F" w:rsidRPr="00B13363" w:rsidRDefault="000D7D9F" w:rsidP="000D7D9F">
      <w:r w:rsidRPr="00D7362E">
        <w:rPr>
          <w:rStyle w:val="Bold"/>
        </w:rPr>
        <w:t xml:space="preserve">A </w:t>
      </w:r>
      <w:r w:rsidR="00CC3C21" w:rsidRPr="00D7362E">
        <w:rPr>
          <w:rStyle w:val="Bold"/>
        </w:rPr>
        <w:t>clear</w:t>
      </w:r>
      <w:r w:rsidRPr="00D7362E">
        <w:rPr>
          <w:rStyle w:val="Bold"/>
        </w:rPr>
        <w:t xml:space="preserve"> focus on results is </w:t>
      </w:r>
      <w:r w:rsidR="0049054E" w:rsidRPr="00D7362E">
        <w:rPr>
          <w:rStyle w:val="Bold"/>
        </w:rPr>
        <w:t>essential</w:t>
      </w:r>
      <w:r w:rsidRPr="00D7362E">
        <w:rPr>
          <w:rStyle w:val="Bold"/>
        </w:rPr>
        <w:t xml:space="preserve"> for </w:t>
      </w:r>
      <w:r w:rsidR="0049054E" w:rsidRPr="00D7362E">
        <w:rPr>
          <w:rStyle w:val="Bold"/>
        </w:rPr>
        <w:t xml:space="preserve">effective </w:t>
      </w:r>
      <w:r w:rsidRPr="00D7362E">
        <w:rPr>
          <w:rStyle w:val="Bold"/>
        </w:rPr>
        <w:t xml:space="preserve">green </w:t>
      </w:r>
      <w:r w:rsidR="0049054E" w:rsidRPr="00D7362E">
        <w:rPr>
          <w:rStyle w:val="Bold"/>
        </w:rPr>
        <w:t>budgeting</w:t>
      </w:r>
      <w:r w:rsidRPr="00D7362E">
        <w:rPr>
          <w:rStyle w:val="Bold"/>
        </w:rPr>
        <w:t xml:space="preserve"> and EU budget </w:t>
      </w:r>
      <w:r w:rsidR="00666E7B" w:rsidRPr="00D7362E">
        <w:rPr>
          <w:rStyle w:val="Bold"/>
        </w:rPr>
        <w:t xml:space="preserve">implementation </w:t>
      </w:r>
      <w:r w:rsidRPr="00D7362E">
        <w:rPr>
          <w:rStyle w:val="Bold"/>
        </w:rPr>
        <w:t xml:space="preserve">in general. </w:t>
      </w:r>
      <w:r w:rsidRPr="00B13363">
        <w:t xml:space="preserve">The results stemming from available indicators can be used to achieve more targeted spending and to improve steering of the EU budget. It can also make the green transition more efficient by improving accountability. The latter is also important in view of the need to contribute to multiple international commitments. </w:t>
      </w:r>
    </w:p>
    <w:p w14:paraId="6C4C5257" w14:textId="77777777" w:rsidR="000D7D9F" w:rsidRPr="00B13363" w:rsidRDefault="000D7D9F" w:rsidP="000D7D9F">
      <w:r w:rsidRPr="00D7362E">
        <w:rPr>
          <w:rStyle w:val="Bold"/>
        </w:rPr>
        <w:t>The focus on emission reductions through energy efficiency and renewable energy expansion is crucial for achieving the EU’s climate neutrality goals and achieving the 2030 targets.</w:t>
      </w:r>
      <w:r w:rsidRPr="00B13363">
        <w:t xml:space="preserve"> The above results show that the EU budget is helping Member States to diversify their energy mix and gradually reduce their reliance on fossil fuels. This results in lower energy costs and decreased emissions of greenhouse gases and air pollutants, helping combat climate change.</w:t>
      </w:r>
    </w:p>
    <w:p w14:paraId="46FFCA84" w14:textId="027C959B" w:rsidR="000D7D9F" w:rsidRPr="006D1201" w:rsidDel="00453D82" w:rsidRDefault="000D7D9F" w:rsidP="006D1201">
      <w:pPr>
        <w:pStyle w:val="Heading4"/>
        <w:spacing w:before="280" w:after="120"/>
      </w:pPr>
      <w:r w:rsidRPr="006D1201">
        <w:t>Measuring the impact of NextGenerationEU investment</w:t>
      </w:r>
    </w:p>
    <w:p w14:paraId="5E090DFB" w14:textId="10967888" w:rsidR="000D7D9F" w:rsidRPr="00B13363" w:rsidRDefault="000D7D9F" w:rsidP="000D7D9F">
      <w:r w:rsidRPr="00B13363">
        <w:t>In</w:t>
      </w:r>
      <w:r>
        <w:t xml:space="preserve"> </w:t>
      </w:r>
      <w:r w:rsidR="0033632E">
        <w:t>December</w:t>
      </w:r>
      <w:r w:rsidR="00594489">
        <w:t xml:space="preserve"> </w:t>
      </w:r>
      <w:r w:rsidRPr="00B13363">
        <w:rPr>
          <w:noProof/>
        </w:rPr>
        <w:t>202</w:t>
      </w:r>
      <w:r w:rsidR="002D5179">
        <w:rPr>
          <w:noProof/>
        </w:rPr>
        <w:t>5</w:t>
      </w:r>
      <w:r w:rsidRPr="00B13363">
        <w:t xml:space="preserve"> the Commission published the </w:t>
      </w:r>
      <w:r w:rsidR="0033632E">
        <w:t>thir</w:t>
      </w:r>
      <w:r w:rsidR="00FB4C8F">
        <w:t>d</w:t>
      </w:r>
      <w:r w:rsidR="0033632E">
        <w:t xml:space="preserve"> annual</w:t>
      </w:r>
      <w:r w:rsidR="0033632E" w:rsidRPr="00B13363">
        <w:t xml:space="preserve"> </w:t>
      </w:r>
      <w:r w:rsidRPr="00B13363">
        <w:t>impact report for NextGenerationEU green bonds</w:t>
      </w:r>
      <w:r w:rsidR="00FB4C8F">
        <w:t>. The</w:t>
      </w:r>
      <w:r w:rsidRPr="00B13363">
        <w:t xml:space="preserve"> reports mark a major achievement in transparency, enabling the measurement of the </w:t>
      </w:r>
      <w:r w:rsidRPr="00735141">
        <w:rPr>
          <w:rStyle w:val="Bold"/>
        </w:rPr>
        <w:t>concrete climate impact of the investment</w:t>
      </w:r>
      <w:r w:rsidRPr="00B13363">
        <w:t xml:space="preserve"> financed by</w:t>
      </w:r>
      <w:r w:rsidR="00A03C07">
        <w:t xml:space="preserve"> these</w:t>
      </w:r>
      <w:r w:rsidRPr="00B13363">
        <w:t xml:space="preserve"> bonds.</w:t>
      </w:r>
    </w:p>
    <w:p w14:paraId="01C419B3" w14:textId="6EC4CB9B" w:rsidR="000D7D9F" w:rsidRPr="00B13363" w:rsidRDefault="000D7D9F" w:rsidP="000D7D9F">
      <w:r w:rsidRPr="00B13363">
        <w:t xml:space="preserve">Building on the robust EU green bond framework, the report is based on detailed analyses of the milestones and targets for green-bond-financed investment under the Recovery and Resilience Facility. This provides the basis for calculating their climate impact, allowing the measuring of progress on the path to a sustainable future and ensuring a direct link between funding and climate impact. </w:t>
      </w:r>
    </w:p>
    <w:p w14:paraId="3392A764" w14:textId="4FE77CCA" w:rsidR="000D7D9F" w:rsidRPr="00B13363" w:rsidRDefault="000D7D9F" w:rsidP="000D7D9F">
      <w:r w:rsidRPr="00B13363">
        <w:t>The analysis shows that after full implementation, NextGenerationEU</w:t>
      </w:r>
      <w:r w:rsidRPr="00B13363">
        <w:rPr>
          <w:rStyle w:val="Bold"/>
        </w:rPr>
        <w:t xml:space="preserve"> green bond investment</w:t>
      </w:r>
      <w:r w:rsidRPr="00B13363" w:rsidDel="00D06331">
        <w:rPr>
          <w:rStyle w:val="Bold"/>
        </w:rPr>
        <w:t xml:space="preserve"> </w:t>
      </w:r>
      <w:r w:rsidRPr="00B13363">
        <w:rPr>
          <w:rStyle w:val="Bold"/>
        </w:rPr>
        <w:t xml:space="preserve">has the potential to avoid greenhouse gas emissions by a total of </w:t>
      </w:r>
      <w:r w:rsidR="00C71C8F">
        <w:rPr>
          <w:rStyle w:val="Bold"/>
        </w:rPr>
        <w:t>53.4</w:t>
      </w:r>
      <w:r w:rsidR="00C71C8F" w:rsidRPr="00B13363" w:rsidDel="00D06331">
        <w:rPr>
          <w:rStyle w:val="Bold"/>
          <w:rFonts w:ascii="Calibri" w:hAnsi="Calibri" w:cs="Calibri"/>
        </w:rPr>
        <w:t> </w:t>
      </w:r>
      <w:r w:rsidRPr="00B13363">
        <w:rPr>
          <w:rStyle w:val="Bold"/>
        </w:rPr>
        <w:t xml:space="preserve">million tonnes of carbon dioxide equivalent per </w:t>
      </w:r>
      <w:r w:rsidRPr="00B13363" w:rsidDel="00D06331">
        <w:rPr>
          <w:rStyle w:val="Bold"/>
        </w:rPr>
        <w:t>year</w:t>
      </w:r>
      <w:r w:rsidRPr="00B13363" w:rsidDel="00D06331">
        <w:rPr>
          <w:rFonts w:ascii="Calibri" w:hAnsi="Calibri" w:cs="Calibri"/>
        </w:rPr>
        <w:t> </w:t>
      </w:r>
      <w:r w:rsidRPr="00B13363">
        <w:rPr>
          <w:rFonts w:cs="EC Square Sans Pro"/>
        </w:rPr>
        <w:t>–</w:t>
      </w:r>
      <w:r w:rsidRPr="00B13363">
        <w:t xml:space="preserve"> equivalent to 1.5% of the EU’s total emissions in 2022. The report estimates a current annual reduction of </w:t>
      </w:r>
      <w:r w:rsidR="00162C34">
        <w:t>14.0</w:t>
      </w:r>
      <w:r w:rsidRPr="00B13363">
        <w:rPr>
          <w:rFonts w:ascii="Calibri" w:hAnsi="Calibri" w:cs="Calibri"/>
        </w:rPr>
        <w:t> </w:t>
      </w:r>
      <w:r w:rsidRPr="00B13363">
        <w:t>million</w:t>
      </w:r>
      <w:r w:rsidRPr="00B13363">
        <w:rPr>
          <w:rFonts w:ascii="Calibri" w:hAnsi="Calibri" w:cs="Calibri"/>
        </w:rPr>
        <w:t> </w:t>
      </w:r>
      <w:r w:rsidRPr="00B13363">
        <w:t>tonnes of carbon dioxide</w:t>
      </w:r>
      <w:r w:rsidRPr="00B13363" w:rsidDel="0004571C">
        <w:t xml:space="preserve"> </w:t>
      </w:r>
      <w:r w:rsidRPr="00B13363">
        <w:t xml:space="preserve">equivalent, a figure that </w:t>
      </w:r>
      <w:r w:rsidR="00DA4F3B">
        <w:t xml:space="preserve">represents 26.2% of the total projected amount </w:t>
      </w:r>
      <w:r w:rsidR="00F97959">
        <w:t xml:space="preserve">and </w:t>
      </w:r>
      <w:r w:rsidRPr="00B13363">
        <w:t>continue</w:t>
      </w:r>
      <w:r w:rsidR="00F97959">
        <w:t>s</w:t>
      </w:r>
      <w:r w:rsidRPr="00B13363">
        <w:t xml:space="preserve"> to increase as the implementation of the Recovery and Resilience Facility accelerates</w:t>
      </w:r>
      <w:r w:rsidR="00F97959">
        <w:t xml:space="preserve"> (</w:t>
      </w:r>
      <w:r w:rsidR="001008B5">
        <w:t>c</w:t>
      </w:r>
      <w:r w:rsidR="00141720">
        <w:t xml:space="preserve">ompared </w:t>
      </w:r>
      <w:r w:rsidR="001008B5">
        <w:t>with</w:t>
      </w:r>
      <w:r w:rsidR="00141720">
        <w:t xml:space="preserve"> 2.7% in 2024)</w:t>
      </w:r>
      <w:r w:rsidRPr="00B13363">
        <w:t>.</w:t>
      </w:r>
    </w:p>
    <w:p w14:paraId="1C2C8225" w14:textId="38C07249" w:rsidR="000D7D9F" w:rsidRPr="00B13363" w:rsidRDefault="000D7D9F" w:rsidP="000D7D9F">
      <w:pPr>
        <w:pStyle w:val="Heading4"/>
      </w:pPr>
      <w:r w:rsidRPr="00B13363">
        <w:t>EU-supported activities and the EU taxonomy for sustainable finance</w:t>
      </w:r>
    </w:p>
    <w:p w14:paraId="72897E9C" w14:textId="47C8CD3C" w:rsidR="000D7D9F" w:rsidRPr="00B13363" w:rsidRDefault="000D7D9F" w:rsidP="000D7D9F">
      <w:r w:rsidRPr="00B13363">
        <w:t>For the</w:t>
      </w:r>
      <w:r w:rsidRPr="00B13363" w:rsidDel="000D1980">
        <w:t xml:space="preserve"> </w:t>
      </w:r>
      <w:r w:rsidR="000D1980" w:rsidRPr="00B13363">
        <w:t>third</w:t>
      </w:r>
      <w:r w:rsidRPr="00B13363">
        <w:t xml:space="preserve"> consecutive year, the </w:t>
      </w:r>
      <w:r w:rsidRPr="00B13363" w:rsidDel="00C20DB9">
        <w:t>‘</w:t>
      </w:r>
      <w:r w:rsidRPr="00B13363">
        <w:t>programme performance statements’ (</w:t>
      </w:r>
      <w:r w:rsidRPr="00B13363" w:rsidDel="00C20DB9">
        <w:t>Annex</w:t>
      </w:r>
      <w:r w:rsidRPr="00B13363" w:rsidDel="00C20DB9">
        <w:rPr>
          <w:rFonts w:ascii="Calibri" w:hAnsi="Calibri" w:cs="Calibri"/>
        </w:rPr>
        <w:t> </w:t>
      </w:r>
      <w:r w:rsidRPr="00B13363">
        <w:t>4 to this report) of several key EU budget programmes include an analysis of how their supported activities relate to the EU taxonomy for sustainable activities. This addition provides an important starting point for future analyses of how EU spending contributes to a greener future</w:t>
      </w:r>
      <w:r w:rsidRPr="00B13363">
        <w:rPr>
          <w:rFonts w:ascii="Calibri" w:hAnsi="Calibri" w:cs="Calibri"/>
        </w:rPr>
        <w:t> </w:t>
      </w:r>
      <w:r w:rsidRPr="00B13363">
        <w:rPr>
          <w:rFonts w:cs="Calibri"/>
          <w:sz w:val="22"/>
        </w:rPr>
        <w:t>(</w:t>
      </w:r>
      <w:r w:rsidRPr="00B13363">
        <w:rPr>
          <w:rStyle w:val="FootnoteReference"/>
        </w:rPr>
        <w:footnoteReference w:id="67"/>
      </w:r>
      <w:r w:rsidRPr="00B13363">
        <w:rPr>
          <w:rFonts w:cs="Calibri"/>
          <w:sz w:val="22"/>
        </w:rPr>
        <w:t>)</w:t>
      </w:r>
      <w:r w:rsidRPr="00B13363">
        <w:t>.</w:t>
      </w:r>
    </w:p>
    <w:p w14:paraId="1FCB1737" w14:textId="09B6A243" w:rsidR="000D7D9F" w:rsidRPr="00B13363" w:rsidRDefault="000D7D9F" w:rsidP="000D7D9F">
      <w:r w:rsidRPr="00B13363">
        <w:t>While the analysis of the relationship between the supported activities and the taxonomy</w:t>
      </w:r>
      <w:r w:rsidRPr="00B13363" w:rsidDel="007112ED">
        <w:t xml:space="preserve"> </w:t>
      </w:r>
      <w:r w:rsidRPr="00B13363">
        <w:t xml:space="preserve">in the Recovery and Resilience Facility has been detailed previously in the context of NextGenerationEU green bond reporting, </w:t>
      </w:r>
      <w:r w:rsidR="008970D8">
        <w:br/>
      </w:r>
      <w:r w:rsidRPr="00B13363">
        <w:t>the scope cover</w:t>
      </w:r>
      <w:r w:rsidR="000F6F8F" w:rsidRPr="00B13363">
        <w:t>s</w:t>
      </w:r>
      <w:r w:rsidRPr="00B13363">
        <w:t xml:space="preserve"> additional programmes that may invest in activities covered by the EU taxonomy. </w:t>
      </w:r>
      <w:r w:rsidR="008970D8">
        <w:br/>
      </w:r>
      <w:r w:rsidRPr="00B13363">
        <w:t>This approach offers a more comprehensive view of the EU’s commitment to sustainable financing across its various initiatives.</w:t>
      </w:r>
    </w:p>
    <w:p w14:paraId="408FF45B" w14:textId="0D350E3C" w:rsidR="00CA1D39" w:rsidRPr="006D1201" w:rsidDel="00453D82" w:rsidRDefault="00CA1D39" w:rsidP="006D1201">
      <w:pPr>
        <w:pStyle w:val="Heading4"/>
        <w:spacing w:before="280" w:after="120"/>
      </w:pPr>
      <w:r>
        <w:t>Support to climate and environment</w:t>
      </w:r>
      <w:r w:rsidR="00413755">
        <w:t>al</w:t>
      </w:r>
      <w:r>
        <w:t xml:space="preserve"> objectives in </w:t>
      </w:r>
      <w:r w:rsidRPr="00CA1D39">
        <w:t xml:space="preserve">the 2028-2034 </w:t>
      </w:r>
      <w:r w:rsidR="001341E2">
        <w:br/>
      </w:r>
      <w:r w:rsidRPr="00CA1D39">
        <w:t>long-term budget</w:t>
      </w:r>
    </w:p>
    <w:p w14:paraId="31E8BBDD" w14:textId="0F267B92" w:rsidR="00133EE6" w:rsidRDefault="00CA1D39" w:rsidP="00CA1D39">
      <w:r w:rsidRPr="00D7362E">
        <w:rPr>
          <w:rStyle w:val="Bold"/>
        </w:rPr>
        <w:t>The impact assessment </w:t>
      </w:r>
      <w:r w:rsidRPr="00D7362E">
        <w:rPr>
          <w:bCs/>
        </w:rPr>
        <w:t>(</w:t>
      </w:r>
      <w:r w:rsidRPr="00D7362E">
        <w:rPr>
          <w:rStyle w:val="FootnoteReference"/>
          <w:bCs/>
        </w:rPr>
        <w:footnoteReference w:id="68"/>
      </w:r>
      <w:r w:rsidRPr="00D7362E">
        <w:rPr>
          <w:bCs/>
        </w:rPr>
        <w:t xml:space="preserve">) </w:t>
      </w:r>
      <w:r w:rsidRPr="003F2C12">
        <w:rPr>
          <w:rStyle w:val="Bold"/>
        </w:rPr>
        <w:t xml:space="preserve">underpinning the Commission proposal for a Performance </w:t>
      </w:r>
      <w:r w:rsidR="003A3E56" w:rsidRPr="003F2C12">
        <w:rPr>
          <w:rStyle w:val="Bold"/>
        </w:rPr>
        <w:t>R</w:t>
      </w:r>
      <w:r w:rsidRPr="003F2C12">
        <w:rPr>
          <w:rStyle w:val="Bold"/>
        </w:rPr>
        <w:t>egulation highlighted the lessons learned from the current programming period.</w:t>
      </w:r>
      <w:r>
        <w:t xml:space="preserve"> It identified a number of positive developments a</w:t>
      </w:r>
      <w:r w:rsidR="009614A0">
        <w:t xml:space="preserve">nd </w:t>
      </w:r>
      <w:r>
        <w:t>challenges, such as the lack of a harmonised methodology to track contributions to green objectives across EU budget programmes, overlaps in tracking between climate and biodiversity a</w:t>
      </w:r>
      <w:r w:rsidR="009614A0">
        <w:t xml:space="preserve">nd </w:t>
      </w:r>
      <w:r>
        <w:t>a lack</w:t>
      </w:r>
      <w:r w:rsidRPr="008A377F">
        <w:t xml:space="preserve"> of programme</w:t>
      </w:r>
      <w:r>
        <w:t>-specific</w:t>
      </w:r>
      <w:r w:rsidRPr="008A377F">
        <w:t xml:space="preserve"> targets for biodiversity</w:t>
      </w:r>
      <w:r>
        <w:t xml:space="preserve">. </w:t>
      </w:r>
    </w:p>
    <w:p w14:paraId="620F5BB5" w14:textId="3587D54F" w:rsidR="00F02761" w:rsidRDefault="00CA1D39" w:rsidP="00CA1D39">
      <w:r>
        <w:t xml:space="preserve">As a result, </w:t>
      </w:r>
      <w:r w:rsidRPr="00D7362E">
        <w:rPr>
          <w:rStyle w:val="Bold"/>
        </w:rPr>
        <w:t>for the 2028-</w:t>
      </w:r>
      <w:r w:rsidRPr="003F2C12">
        <w:rPr>
          <w:rStyle w:val="Bold"/>
        </w:rPr>
        <w:t xml:space="preserve">2034 </w:t>
      </w:r>
      <w:r w:rsidR="0038144F" w:rsidRPr="003F2C12">
        <w:rPr>
          <w:rStyle w:val="Bold"/>
        </w:rPr>
        <w:t>multiannual financial framework</w:t>
      </w:r>
      <w:r w:rsidRPr="003F2C12">
        <w:rPr>
          <w:rStyle w:val="Bold"/>
        </w:rPr>
        <w:t>, the Commission propose</w:t>
      </w:r>
      <w:r w:rsidR="00413755" w:rsidRPr="003F2C12">
        <w:rPr>
          <w:rStyle w:val="Bold"/>
        </w:rPr>
        <w:t>d</w:t>
      </w:r>
      <w:r w:rsidRPr="003F2C12">
        <w:rPr>
          <w:rStyle w:val="Bold"/>
        </w:rPr>
        <w:t xml:space="preserve"> a spending target of 35% of the EU budget, covering all climate and environmental objectives</w:t>
      </w:r>
      <w:r w:rsidRPr="00B771B3">
        <w:t>, including</w:t>
      </w:r>
      <w:r>
        <w:t xml:space="preserve"> circular economy, water and clean air,</w:t>
      </w:r>
      <w:r w:rsidRPr="00B6281C">
        <w:t xml:space="preserve"> in </w:t>
      </w:r>
      <w:r>
        <w:t>addition to climate change mitigation and adaptation, and biodiversity, while avoiding risks of double counting.</w:t>
      </w:r>
      <w:r w:rsidRPr="00B6281C">
        <w:t xml:space="preserve"> </w:t>
      </w:r>
      <w:r>
        <w:t>The proposal further includes p</w:t>
      </w:r>
      <w:r w:rsidRPr="008E2775">
        <w:t xml:space="preserve">rogramme-specific </w:t>
      </w:r>
      <w:r>
        <w:t xml:space="preserve">spending </w:t>
      </w:r>
      <w:r w:rsidRPr="008E2775">
        <w:t xml:space="preserve">targets </w:t>
      </w:r>
      <w:r>
        <w:t xml:space="preserve">for national and </w:t>
      </w:r>
      <w:r w:rsidR="00727A74">
        <w:t>r</w:t>
      </w:r>
      <w:r>
        <w:t xml:space="preserve">egional </w:t>
      </w:r>
      <w:r w:rsidR="00727A74">
        <w:t>p</w:t>
      </w:r>
      <w:r>
        <w:t xml:space="preserve">artnership </w:t>
      </w:r>
      <w:r w:rsidR="00727A74">
        <w:t>p</w:t>
      </w:r>
      <w:r>
        <w:t xml:space="preserve">lans, the European Competitiveness Fund, Horizon Europe, the Connecting Europe Facility and Global Europe. </w:t>
      </w:r>
      <w:r w:rsidRPr="008C75DE">
        <w:t xml:space="preserve">The contribution of all EU budget programmes to climate and environmental policies will be tracked according to </w:t>
      </w:r>
      <w:r>
        <w:t>a harmonised</w:t>
      </w:r>
      <w:r w:rsidRPr="008C75DE">
        <w:t xml:space="preserve"> methodology set out in the Performance Regulation</w:t>
      </w:r>
      <w:r>
        <w:t xml:space="preserve">, </w:t>
      </w:r>
      <w:r w:rsidRPr="003E71C8">
        <w:t>allow</w:t>
      </w:r>
      <w:r>
        <w:t>ing</w:t>
      </w:r>
      <w:r w:rsidRPr="003E71C8">
        <w:t xml:space="preserve"> to track contributions relevant for the European Green Deal</w:t>
      </w:r>
      <w:r w:rsidRPr="008C75DE">
        <w:t>.</w:t>
      </w:r>
      <w:r>
        <w:t xml:space="preserve"> </w:t>
      </w:r>
    </w:p>
    <w:p w14:paraId="482D6E0D" w14:textId="50B5A621" w:rsidR="00E81404" w:rsidRPr="003F2C12" w:rsidRDefault="00E81404" w:rsidP="006F76F7">
      <w:pPr>
        <w:rPr>
          <w:bCs/>
        </w:rPr>
      </w:pPr>
      <w:r w:rsidRPr="00D7362E">
        <w:rPr>
          <w:rStyle w:val="Bold"/>
        </w:rPr>
        <w:t>The proposed Performance Regulation</w:t>
      </w:r>
      <w:r w:rsidR="0057277B" w:rsidRPr="0057277B">
        <w:t xml:space="preserve"> </w:t>
      </w:r>
      <w:r w:rsidR="0057277B" w:rsidRPr="00D7362E">
        <w:rPr>
          <w:rStyle w:val="Bold"/>
        </w:rPr>
        <w:t xml:space="preserve">further introduces, for the first time, a harmonised set of output and result indicators </w:t>
      </w:r>
      <w:r w:rsidR="0057277B" w:rsidRPr="003F2C12">
        <w:rPr>
          <w:rStyle w:val="Bold"/>
        </w:rPr>
        <w:t xml:space="preserve">applicable across all EU budget programmes. </w:t>
      </w:r>
      <w:r w:rsidR="0057277B" w:rsidRPr="00D1388D">
        <w:rPr>
          <w:bCs/>
        </w:rPr>
        <w:t xml:space="preserve">This would allow the aggregation of performance data at </w:t>
      </w:r>
      <w:r w:rsidR="00186904">
        <w:rPr>
          <w:bCs/>
        </w:rPr>
        <w:t xml:space="preserve">the </w:t>
      </w:r>
      <w:r w:rsidR="0057277B" w:rsidRPr="00D1388D">
        <w:rPr>
          <w:bCs/>
        </w:rPr>
        <w:t xml:space="preserve">EU budget level and strengthen monitoring of climate action and environmental protection. The framework includes indicators such as </w:t>
      </w:r>
      <w:r w:rsidR="00E11716">
        <w:rPr>
          <w:bCs/>
        </w:rPr>
        <w:t>‘</w:t>
      </w:r>
      <w:r w:rsidR="0057277B" w:rsidRPr="00D1388D">
        <w:rPr>
          <w:bCs/>
        </w:rPr>
        <w:t>annual GHG emissions avoided (tCO2e)</w:t>
      </w:r>
      <w:r w:rsidR="00E36894">
        <w:rPr>
          <w:bCs/>
        </w:rPr>
        <w:t>’</w:t>
      </w:r>
      <w:r w:rsidR="0057277B" w:rsidRPr="00D1388D">
        <w:rPr>
          <w:bCs/>
        </w:rPr>
        <w:t xml:space="preserve">, </w:t>
      </w:r>
      <w:r w:rsidR="00E36894">
        <w:rPr>
          <w:bCs/>
        </w:rPr>
        <w:t>‘</w:t>
      </w:r>
      <w:r w:rsidR="00E53CE8">
        <w:rPr>
          <w:bCs/>
        </w:rPr>
        <w:t>n</w:t>
      </w:r>
      <w:r w:rsidR="0057277B" w:rsidRPr="00D1388D">
        <w:rPr>
          <w:bCs/>
        </w:rPr>
        <w:t>ew or additional energy capacity installed in electricity production (MW)</w:t>
      </w:r>
      <w:r w:rsidR="00E53CE8">
        <w:rPr>
          <w:bCs/>
        </w:rPr>
        <w:t>’</w:t>
      </w:r>
      <w:r w:rsidR="0057277B" w:rsidRPr="00D1388D">
        <w:rPr>
          <w:bCs/>
        </w:rPr>
        <w:t xml:space="preserve"> and</w:t>
      </w:r>
      <w:r w:rsidR="00E11716">
        <w:rPr>
          <w:bCs/>
        </w:rPr>
        <w:t xml:space="preserve"> ‘</w:t>
      </w:r>
      <w:r w:rsidR="0057277B" w:rsidRPr="00D1388D">
        <w:rPr>
          <w:bCs/>
        </w:rPr>
        <w:t>hectares of protected or restored areas</w:t>
      </w:r>
      <w:r w:rsidR="00E53CE8">
        <w:rPr>
          <w:bCs/>
        </w:rPr>
        <w:t>’</w:t>
      </w:r>
      <w:r w:rsidR="0057277B" w:rsidRPr="00D1388D">
        <w:rPr>
          <w:bCs/>
        </w:rPr>
        <w:t>.</w:t>
      </w:r>
    </w:p>
    <w:p w14:paraId="7F1D98CF" w14:textId="463C60E0" w:rsidR="00CA1D39" w:rsidRPr="00B13363" w:rsidRDefault="00CA1D39" w:rsidP="00CA1D39">
      <w:r>
        <w:t>The Commission also propose</w:t>
      </w:r>
      <w:r w:rsidR="0038554F">
        <w:t>d</w:t>
      </w:r>
      <w:r>
        <w:t xml:space="preserve"> </w:t>
      </w:r>
      <w:r w:rsidRPr="00F53663">
        <w:t xml:space="preserve">a horizontal and systemic approach to integrate the </w:t>
      </w:r>
      <w:r w:rsidR="00295B22" w:rsidRPr="006E1FA8">
        <w:rPr>
          <w:rFonts w:eastAsia="EC Square Sans Pro" w:cs="EC Square Sans Pro"/>
          <w:noProof/>
        </w:rPr>
        <w:t>do no significant harm</w:t>
      </w:r>
      <w:r w:rsidR="00295B22" w:rsidRPr="00F53663" w:rsidDel="00295B22">
        <w:t xml:space="preserve"> </w:t>
      </w:r>
      <w:r w:rsidRPr="00F53663">
        <w:t xml:space="preserve">principle across all </w:t>
      </w:r>
      <w:r w:rsidR="00CD4977">
        <w:t>EU</w:t>
      </w:r>
      <w:r w:rsidR="007E1D14" w:rsidRPr="00F53663" w:rsidDel="007E1D14">
        <w:t xml:space="preserve"> </w:t>
      </w:r>
      <w:r w:rsidRPr="00F53663">
        <w:t xml:space="preserve">programmes. </w:t>
      </w:r>
      <w:r w:rsidR="00BC14A0">
        <w:t xml:space="preserve">Guidance on </w:t>
      </w:r>
      <w:r w:rsidR="0064169B" w:rsidRPr="006E1FA8">
        <w:rPr>
          <w:rFonts w:eastAsia="EC Square Sans Pro" w:cs="EC Square Sans Pro"/>
          <w:noProof/>
        </w:rPr>
        <w:t>do no significant harm</w:t>
      </w:r>
      <w:r w:rsidR="0064169B" w:rsidDel="0064169B">
        <w:t xml:space="preserve"> </w:t>
      </w:r>
      <w:r w:rsidRPr="00F53663">
        <w:t>will define environmental and climate conditions</w:t>
      </w:r>
      <w:r>
        <w:t xml:space="preserve">, </w:t>
      </w:r>
      <w:r w:rsidRPr="00F333C8">
        <w:t>build</w:t>
      </w:r>
      <w:r>
        <w:t>ing</w:t>
      </w:r>
      <w:r w:rsidRPr="00F333C8">
        <w:t xml:space="preserve"> on the lessons learned from the implementation of the </w:t>
      </w:r>
      <w:r w:rsidR="0064169B" w:rsidRPr="006E1FA8">
        <w:rPr>
          <w:rFonts w:eastAsia="EC Square Sans Pro" w:cs="EC Square Sans Pro"/>
          <w:noProof/>
        </w:rPr>
        <w:t>do no significant harm</w:t>
      </w:r>
      <w:r w:rsidR="0064169B" w:rsidRPr="00F333C8" w:rsidDel="0064169B">
        <w:t xml:space="preserve"> </w:t>
      </w:r>
      <w:r w:rsidRPr="00F333C8">
        <w:t>principle in existing programmes</w:t>
      </w:r>
      <w:r>
        <w:t>.</w:t>
      </w:r>
    </w:p>
    <w:p w14:paraId="4D466C3A" w14:textId="61715741" w:rsidR="000D7D9F" w:rsidRPr="003E29CF" w:rsidRDefault="000D7D9F" w:rsidP="000D7D9F">
      <w:pPr>
        <w:suppressAutoHyphens w:val="0"/>
        <w:rPr>
          <w:noProof/>
          <w:highlight w:val="lightGray"/>
        </w:rPr>
      </w:pPr>
      <w:r w:rsidRPr="003E29CF">
        <w:rPr>
          <w:noProof/>
          <w:highlight w:val="lightGray"/>
        </w:rPr>
        <w:br w:type="page"/>
      </w:r>
    </w:p>
    <w:p w14:paraId="21B2BF58" w14:textId="77777777" w:rsidR="000D7D9F" w:rsidRPr="00B13363" w:rsidRDefault="000D7D9F" w:rsidP="000D7D9F">
      <w:pPr>
        <w:pStyle w:val="Heading3"/>
        <w:spacing w:before="0"/>
        <w:rPr>
          <w:rFonts w:ascii="EC Square Sans Pro" w:hAnsi="EC Square Sans Pro"/>
        </w:rPr>
      </w:pPr>
      <w:r w:rsidRPr="00B13363">
        <w:rPr>
          <w:rFonts w:ascii="EC Square Sans Pro" w:hAnsi="EC Square Sans Pro"/>
        </w:rPr>
        <w:t>Climate mainstreaming</w:t>
      </w:r>
    </w:p>
    <w:p w14:paraId="61635760" w14:textId="30D5E5E7" w:rsidR="000D7D9F" w:rsidRPr="00B13363" w:rsidRDefault="00A36260" w:rsidP="000D7D9F">
      <w:pPr>
        <w:pStyle w:val="Heading4"/>
        <w:spacing w:before="120"/>
        <w:rPr>
          <w:rFonts w:ascii="EC Square Sans Pro" w:hAnsi="EC Square Sans Pro"/>
        </w:rPr>
      </w:pPr>
      <w:r>
        <w:rPr>
          <w:rFonts w:ascii="EC Square Sans Pro" w:hAnsi="EC Square Sans Pro"/>
        </w:rPr>
        <w:t>Examples of a</w:t>
      </w:r>
      <w:r w:rsidR="000D7D9F" w:rsidRPr="00B13363">
        <w:rPr>
          <w:rFonts w:ascii="EC Square Sans Pro" w:hAnsi="EC Square Sans Pro"/>
        </w:rPr>
        <w:t>chievements</w:t>
      </w:r>
    </w:p>
    <w:tbl>
      <w:tblPr>
        <w:tblStyle w:val="Infographicboxes"/>
        <w:tblW w:w="0" w:type="auto"/>
        <w:tblLook w:val="0600" w:firstRow="0" w:lastRow="0" w:firstColumn="0" w:lastColumn="0" w:noHBand="1" w:noVBand="1"/>
      </w:tblPr>
      <w:tblGrid>
        <w:gridCol w:w="4520"/>
        <w:gridCol w:w="4521"/>
      </w:tblGrid>
      <w:tr w:rsidR="000D7D9F" w:rsidRPr="003E29CF" w14:paraId="1D7B79A8" w14:textId="77777777" w:rsidTr="00042015">
        <w:tc>
          <w:tcPr>
            <w:tcW w:w="4520" w:type="dxa"/>
          </w:tcPr>
          <w:p w14:paraId="3B1BF7DC" w14:textId="23E65F67" w:rsidR="000D7D9F" w:rsidRPr="00B13363" w:rsidRDefault="00F81F92">
            <w:pPr>
              <w:rPr>
                <w:color w:val="003399" w:themeColor="text2"/>
              </w:rPr>
            </w:pPr>
            <w:r w:rsidRPr="002725A6">
              <w:rPr>
                <w:b/>
                <w:bCs/>
                <w:noProof/>
                <w:color w:val="003399" w:themeColor="text2"/>
              </w:rPr>
              <w:t>LIFE</w:t>
            </w:r>
            <w:r w:rsidRPr="002725A6">
              <w:rPr>
                <w:noProof/>
                <w:color w:val="003399" w:themeColor="text2"/>
              </w:rPr>
              <w:t xml:space="preserve"> projects have achieved a reduction of 14</w:t>
            </w:r>
            <w:r w:rsidR="00BC14A0">
              <w:rPr>
                <w:rFonts w:ascii="Calibri" w:hAnsi="Calibri" w:cs="Calibri"/>
                <w:noProof/>
                <w:color w:val="003399" w:themeColor="text2"/>
              </w:rPr>
              <w:t> </w:t>
            </w:r>
            <w:r w:rsidRPr="002725A6">
              <w:rPr>
                <w:noProof/>
                <w:color w:val="003399" w:themeColor="text2"/>
              </w:rPr>
              <w:t>162</w:t>
            </w:r>
            <w:r w:rsidR="00BC14A0">
              <w:rPr>
                <w:rFonts w:ascii="Calibri" w:hAnsi="Calibri" w:cs="Calibri"/>
                <w:noProof/>
                <w:color w:val="003399" w:themeColor="text2"/>
              </w:rPr>
              <w:t> </w:t>
            </w:r>
            <w:r w:rsidRPr="002725A6">
              <w:rPr>
                <w:noProof/>
                <w:color w:val="003399" w:themeColor="text2"/>
              </w:rPr>
              <w:t>593</w:t>
            </w:r>
            <w:r w:rsidR="00BC14A0">
              <w:rPr>
                <w:rFonts w:ascii="Calibri" w:hAnsi="Calibri" w:cs="Calibri"/>
                <w:noProof/>
                <w:color w:val="003399" w:themeColor="text2"/>
              </w:rPr>
              <w:t> </w:t>
            </w:r>
            <w:r w:rsidRPr="002725A6">
              <w:rPr>
                <w:noProof/>
                <w:color w:val="003399" w:themeColor="text2"/>
              </w:rPr>
              <w:t xml:space="preserve">tonnes of </w:t>
            </w:r>
            <w:r w:rsidR="00BC14A0">
              <w:rPr>
                <w:noProof/>
                <w:color w:val="003399" w:themeColor="text2"/>
              </w:rPr>
              <w:t>carbon dioxide</w:t>
            </w:r>
            <w:r w:rsidRPr="002725A6">
              <w:rPr>
                <w:noProof/>
                <w:color w:val="003399" w:themeColor="text2"/>
              </w:rPr>
              <w:t xml:space="preserve"> equivalent per year, annual primary energy savings of 8</w:t>
            </w:r>
            <w:r w:rsidR="00BC14A0">
              <w:rPr>
                <w:rFonts w:ascii="Calibri" w:hAnsi="Calibri" w:cs="Calibri"/>
                <w:noProof/>
                <w:color w:val="003399" w:themeColor="text2"/>
              </w:rPr>
              <w:t> </w:t>
            </w:r>
            <w:r w:rsidRPr="002725A6">
              <w:rPr>
                <w:noProof/>
                <w:color w:val="003399" w:themeColor="text2"/>
              </w:rPr>
              <w:t xml:space="preserve">332 </w:t>
            </w:r>
            <w:r w:rsidR="00727776">
              <w:rPr>
                <w:noProof/>
                <w:color w:val="003399" w:themeColor="text2"/>
              </w:rPr>
              <w:t>gigawatt-hours</w:t>
            </w:r>
            <w:r w:rsidRPr="002725A6">
              <w:rPr>
                <w:noProof/>
                <w:color w:val="003399" w:themeColor="text2"/>
              </w:rPr>
              <w:t xml:space="preserve"> and additional renewable energy production of 3</w:t>
            </w:r>
            <w:r w:rsidR="005904A4">
              <w:rPr>
                <w:rFonts w:ascii="Calibri" w:hAnsi="Calibri" w:cs="Calibri"/>
                <w:noProof/>
                <w:color w:val="003399" w:themeColor="text2"/>
              </w:rPr>
              <w:t> </w:t>
            </w:r>
            <w:r w:rsidRPr="002725A6">
              <w:rPr>
                <w:noProof/>
                <w:color w:val="003399" w:themeColor="text2"/>
              </w:rPr>
              <w:t xml:space="preserve">153 </w:t>
            </w:r>
            <w:r w:rsidR="005904A4">
              <w:rPr>
                <w:noProof/>
                <w:color w:val="003399" w:themeColor="text2"/>
              </w:rPr>
              <w:t xml:space="preserve">gigawatt-hours </w:t>
            </w:r>
            <w:r w:rsidRPr="002725A6">
              <w:rPr>
                <w:noProof/>
                <w:color w:val="003399" w:themeColor="text2"/>
              </w:rPr>
              <w:t>per year. Over 3.5</w:t>
            </w:r>
            <w:r w:rsidR="00EB0E5C">
              <w:rPr>
                <w:rFonts w:ascii="Calibri" w:hAnsi="Calibri" w:cs="Calibri"/>
                <w:noProof/>
                <w:color w:val="003399" w:themeColor="text2"/>
              </w:rPr>
              <w:t> </w:t>
            </w:r>
            <w:r w:rsidR="00EB0E5C">
              <w:rPr>
                <w:noProof/>
                <w:color w:val="003399" w:themeColor="text2"/>
              </w:rPr>
              <w:t>million</w:t>
            </w:r>
            <w:r w:rsidRPr="002725A6">
              <w:rPr>
                <w:noProof/>
                <w:color w:val="003399" w:themeColor="text2"/>
              </w:rPr>
              <w:t xml:space="preserve"> citizens have benefited from reduced vulnerability to climate change</w:t>
            </w:r>
            <w:r w:rsidRPr="00B13363">
              <w:rPr>
                <w:color w:val="003399" w:themeColor="text2"/>
              </w:rPr>
              <w:t>.</w:t>
            </w:r>
          </w:p>
        </w:tc>
        <w:tc>
          <w:tcPr>
            <w:tcW w:w="4521" w:type="dxa"/>
          </w:tcPr>
          <w:p w14:paraId="3B0081AC" w14:textId="3161D291" w:rsidR="000D7D9F" w:rsidRPr="00B13363" w:rsidRDefault="00CC61A8">
            <w:r w:rsidRPr="002831A1">
              <w:rPr>
                <w:color w:val="003399" w:themeColor="text2"/>
              </w:rPr>
              <w:t>Under Global Europe (</w:t>
            </w:r>
            <w:r w:rsidRPr="002831A1">
              <w:rPr>
                <w:b/>
                <w:color w:val="003399" w:themeColor="text2"/>
              </w:rPr>
              <w:t>Neighbourhood, Development and International Cooperation Instrument</w:t>
            </w:r>
            <w:r w:rsidRPr="002831A1">
              <w:rPr>
                <w:color w:val="003399" w:themeColor="text2"/>
              </w:rPr>
              <w:t>), the EU is actively advancing the green transition in the Eastern Partnership through targeted programmes delivering concrete results. The EU4Climate Resilience programme (</w:t>
            </w:r>
            <w:r w:rsidR="00E03143">
              <w:rPr>
                <w:color w:val="003399" w:themeColor="text2"/>
              </w:rPr>
              <w:t>EUR</w:t>
            </w:r>
            <w:r w:rsidR="00E03143">
              <w:rPr>
                <w:rFonts w:ascii="Calibri" w:hAnsi="Calibri" w:cs="Calibri"/>
                <w:color w:val="003399" w:themeColor="text2"/>
              </w:rPr>
              <w:t> </w:t>
            </w:r>
            <w:r w:rsidRPr="002831A1">
              <w:rPr>
                <w:color w:val="003399" w:themeColor="text2"/>
              </w:rPr>
              <w:t>17</w:t>
            </w:r>
            <w:r w:rsidR="00EB0E5C">
              <w:rPr>
                <w:rFonts w:ascii="Calibri" w:hAnsi="Calibri" w:cs="Calibri"/>
                <w:color w:val="003399" w:themeColor="text2"/>
              </w:rPr>
              <w:t> </w:t>
            </w:r>
            <w:r w:rsidR="00EB0E5C">
              <w:rPr>
                <w:color w:val="003399" w:themeColor="text2"/>
              </w:rPr>
              <w:t>million</w:t>
            </w:r>
            <w:r w:rsidRPr="002831A1">
              <w:rPr>
                <w:color w:val="003399" w:themeColor="text2"/>
              </w:rPr>
              <w:t xml:space="preserve">) provides technical support and pilot projects to strengthen climate adaptation at </w:t>
            </w:r>
            <w:r w:rsidR="000753C5">
              <w:rPr>
                <w:color w:val="003399" w:themeColor="text2"/>
              </w:rPr>
              <w:t xml:space="preserve">the </w:t>
            </w:r>
            <w:r w:rsidRPr="002831A1">
              <w:rPr>
                <w:color w:val="003399" w:themeColor="text2"/>
              </w:rPr>
              <w:t>municipal level, helping partner countries meet their Paris Agreement commitments and align with EU legislation</w:t>
            </w:r>
            <w:r w:rsidR="000D7D9F" w:rsidRPr="002831A1">
              <w:rPr>
                <w:color w:val="003399" w:themeColor="text2"/>
              </w:rPr>
              <w:t>.</w:t>
            </w:r>
          </w:p>
        </w:tc>
      </w:tr>
      <w:tr w:rsidR="000D7D9F" w:rsidRPr="003E29CF" w14:paraId="38A8CB61" w14:textId="77777777" w:rsidTr="00042015">
        <w:tc>
          <w:tcPr>
            <w:tcW w:w="4520" w:type="dxa"/>
          </w:tcPr>
          <w:p w14:paraId="24F6D12A" w14:textId="1C8AD7E4" w:rsidR="000D7D9F" w:rsidRPr="00B13363" w:rsidRDefault="00F81F92">
            <w:pPr>
              <w:rPr>
                <w:color w:val="003399" w:themeColor="text2"/>
              </w:rPr>
            </w:pPr>
            <w:r w:rsidRPr="00550DFD">
              <w:rPr>
                <w:noProof/>
                <w:color w:val="003399" w:themeColor="text2"/>
              </w:rPr>
              <w:t xml:space="preserve">In the ‘Cities’ mission of </w:t>
            </w:r>
            <w:r w:rsidRPr="00550DFD">
              <w:rPr>
                <w:b/>
                <w:bCs/>
                <w:noProof/>
                <w:color w:val="003399" w:themeColor="text2"/>
              </w:rPr>
              <w:t>Horizon Europe</w:t>
            </w:r>
            <w:r w:rsidRPr="00550DFD">
              <w:rPr>
                <w:noProof/>
                <w:color w:val="003399" w:themeColor="text2"/>
              </w:rPr>
              <w:t>, 103 cities have formally committed to climate neutrality, with an expected reduction of carbon dioxide emissions equal to approximately 6.2% of the EU total in 2023</w:t>
            </w:r>
            <w:r w:rsidRPr="00B13363">
              <w:rPr>
                <w:color w:val="003399" w:themeColor="text2"/>
              </w:rPr>
              <w:t>.</w:t>
            </w:r>
          </w:p>
        </w:tc>
        <w:tc>
          <w:tcPr>
            <w:tcW w:w="4521" w:type="dxa"/>
          </w:tcPr>
          <w:p w14:paraId="714D2C48" w14:textId="0A0DDD97" w:rsidR="000D7D9F" w:rsidRPr="00B13363" w:rsidRDefault="0061304D">
            <w:pPr>
              <w:rPr>
                <w:color w:val="003399" w:themeColor="text2"/>
              </w:rPr>
            </w:pPr>
            <w:r w:rsidRPr="0061304D">
              <w:rPr>
                <w:noProof/>
                <w:color w:val="003399" w:themeColor="text2"/>
              </w:rPr>
              <w:t xml:space="preserve">Under the </w:t>
            </w:r>
            <w:r w:rsidR="009036F9">
              <w:rPr>
                <w:b/>
                <w:bCs/>
                <w:noProof/>
                <w:color w:val="003399" w:themeColor="text2"/>
              </w:rPr>
              <w:t>CAP</w:t>
            </w:r>
            <w:r w:rsidRPr="0061304D">
              <w:rPr>
                <w:noProof/>
                <w:color w:val="003399" w:themeColor="text2"/>
              </w:rPr>
              <w:t>, actions to enhance carbon sequestration and storage in soils and biomass have been carried out on 38% of the EU’s agricultural area</w:t>
            </w:r>
            <w:r w:rsidR="000D7D9F" w:rsidRPr="00D7362E">
              <w:rPr>
                <w:rStyle w:val="Bold"/>
                <w:b w:val="0"/>
                <w:bCs/>
                <w:color w:val="003399" w:themeColor="text2"/>
              </w:rPr>
              <w:t>.</w:t>
            </w:r>
          </w:p>
        </w:tc>
      </w:tr>
      <w:tr w:rsidR="003172C6" w:rsidRPr="003E29CF" w14:paraId="02739450" w14:textId="77777777" w:rsidTr="00042015">
        <w:tc>
          <w:tcPr>
            <w:tcW w:w="4520" w:type="dxa"/>
          </w:tcPr>
          <w:p w14:paraId="25E68A65" w14:textId="7B6FB69F" w:rsidR="003172C6" w:rsidRPr="00550DFD" w:rsidRDefault="00CD50EA">
            <w:pPr>
              <w:rPr>
                <w:noProof/>
                <w:color w:val="003399" w:themeColor="text2"/>
              </w:rPr>
            </w:pPr>
            <w:r w:rsidRPr="0087125F">
              <w:rPr>
                <w:b/>
                <w:color w:val="003399" w:themeColor="text2"/>
              </w:rPr>
              <w:t>Cohesion Policy</w:t>
            </w:r>
            <w:r w:rsidRPr="00CD50EA">
              <w:rPr>
                <w:noProof/>
                <w:color w:val="003399" w:themeColor="text2"/>
              </w:rPr>
              <w:t xml:space="preserve"> plays a key role in strengthening climate adaptation not only through infrastructure investments, but also by supporting the development and implementation of climate adaptation strategies. By the end of 2025, the funds have supported the creation of 52 strategies across EU regions, ensuring a structured and long-term approach to resilience.</w:t>
            </w:r>
          </w:p>
        </w:tc>
        <w:tc>
          <w:tcPr>
            <w:tcW w:w="4521" w:type="dxa"/>
          </w:tcPr>
          <w:p w14:paraId="1857FC37" w14:textId="77777777" w:rsidR="003172C6" w:rsidRPr="0061304D" w:rsidRDefault="003172C6">
            <w:pPr>
              <w:rPr>
                <w:noProof/>
                <w:color w:val="003399" w:themeColor="text2"/>
              </w:rPr>
            </w:pPr>
          </w:p>
        </w:tc>
      </w:tr>
    </w:tbl>
    <w:p w14:paraId="3E8F2094" w14:textId="1CEF747B" w:rsidR="000D7D9F" w:rsidRPr="008072FE" w:rsidRDefault="000D7D9F" w:rsidP="000D7D9F">
      <w:pPr>
        <w:pStyle w:val="Heading4"/>
        <w:spacing w:before="280" w:after="120"/>
        <w:rPr>
          <w:rFonts w:ascii="EC Square Sans Pro" w:hAnsi="EC Square Sans Pro"/>
        </w:rPr>
      </w:pPr>
      <w:r w:rsidRPr="008072FE">
        <w:rPr>
          <w:rFonts w:ascii="EC Square Sans Pro" w:hAnsi="EC Square Sans Pro"/>
        </w:rPr>
        <w:t>How much do we spend?</w:t>
      </w:r>
    </w:p>
    <w:p w14:paraId="13E1AD87" w14:textId="43B31DDE" w:rsidR="000D7D9F" w:rsidRPr="008072FE" w:rsidRDefault="000D7D9F" w:rsidP="000D7D9F">
      <w:pPr>
        <w:pStyle w:val="ImageTitle"/>
      </w:pPr>
      <w:r w:rsidRPr="008072FE">
        <w:t>Climate contribution in the 2021-2027 period (million EUR)</w:t>
      </w:r>
      <w:r w:rsidR="003F4B29">
        <w:t xml:space="preserve"> </w:t>
      </w:r>
    </w:p>
    <w:p w14:paraId="53CACCC3" w14:textId="4441ED45" w:rsidR="000D7D9F" w:rsidRPr="003E29CF" w:rsidRDefault="008B7C26" w:rsidP="00541054">
      <w:pPr>
        <w:pStyle w:val="ImagePlaceholder"/>
        <w:rPr>
          <w:highlight w:val="lightGray"/>
        </w:rPr>
      </w:pPr>
      <w:r w:rsidRPr="008B7C26">
        <w:rPr>
          <w:highlight w:val="lightGray"/>
        </w:rPr>
        <w:drawing>
          <wp:inline distT="0" distB="0" distL="0" distR="0" wp14:anchorId="3002FD2F" wp14:editId="12B238A1">
            <wp:extent cx="5526568" cy="3532238"/>
            <wp:effectExtent l="0" t="0" r="0" b="0"/>
            <wp:docPr id="1796247160" name="Picture 5" descr="Donut chart showing the total Climate expenditure of 661 306 million euros for the 2021-2027 period. This amount is distributed as follows: Common agricultural policy 145 582  million euros; Just Transition Mechanism 19 356 million euros, Neighborhood, Development and International Cooperation Instrument - Global Europe 19 958 million euros, Horizon Europe – the framework programme for research and innovation 32 751 million euros; Connecting Europe Facility, including Military Mobility 24 264 million euros, (European Regional Development Fund and Cohesion Fund) 94 833 million euros; Recovery and Resilience Facility represents the biggest share with 264 193 million euro and finally other with  60 380 million euros.  ">
              <a:extLst xmlns:a="http://schemas.openxmlformats.org/drawingml/2006/main">
                <a:ext uri="{FF2B5EF4-FFF2-40B4-BE49-F238E27FC236}">
                  <a16:creationId xmlns:a16="http://schemas.microsoft.com/office/drawing/2014/main" id="{125DDC71-D7AF-E037-4A71-578B46B263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47160" name="Picture 5" descr="Donut chart showing the total Climate expenditure of 661 306 million euros for the 2021-2027 period. This amount is distributed as follows: Common agricultural policy 145 582  million euros; Just Transition Mechanism 19 356 million euros, Neighborhood, Development and International Cooperation Instrument - Global Europe 19 958 million euros, Horizon Europe – the framework programme for research and innovation 32 751 million euros; Connecting Europe Facility, including Military Mobility 24 264 million euros, (European Regional Development Fund and Cohesion Fund) 94 833 million euros; Recovery and Resilience Facility represents the biggest share with 264 193 million euro and finally other with  60 380 million euros.  ">
                      <a:extLst>
                        <a:ext uri="{FF2B5EF4-FFF2-40B4-BE49-F238E27FC236}">
                          <a16:creationId xmlns:a16="http://schemas.microsoft.com/office/drawing/2014/main" id="{125DDC71-D7AF-E037-4A71-578B46B26359}"/>
                        </a:ext>
                      </a:extLst>
                    </pic:cNvPr>
                    <pic:cNvPicPr>
                      <a:picLocks noChangeAspect="1"/>
                    </pic:cNvPicPr>
                  </pic:nvPicPr>
                  <pic:blipFill rotWithShape="1">
                    <a:blip r:embed="rId72"/>
                    <a:srcRect l="1337" t="6907" r="2666" b="10873"/>
                    <a:stretch>
                      <a:fillRect/>
                    </a:stretch>
                  </pic:blipFill>
                  <pic:spPr bwMode="auto">
                    <a:xfrm>
                      <a:off x="0" y="0"/>
                      <a:ext cx="5529483" cy="3534101"/>
                    </a:xfrm>
                    <a:prstGeom prst="rect">
                      <a:avLst/>
                    </a:prstGeom>
                    <a:ln>
                      <a:noFill/>
                    </a:ln>
                    <a:extLst>
                      <a:ext uri="{53640926-AAD7-44D8-BBD7-CCE9431645EC}">
                        <a14:shadowObscured xmlns:a14="http://schemas.microsoft.com/office/drawing/2010/main"/>
                      </a:ext>
                    </a:extLst>
                  </pic:spPr>
                </pic:pic>
              </a:graphicData>
            </a:graphic>
          </wp:inline>
        </w:drawing>
      </w:r>
    </w:p>
    <w:p w14:paraId="261E41F0" w14:textId="77777777" w:rsidR="000D7D9F" w:rsidRPr="008072FE" w:rsidRDefault="000D7D9F" w:rsidP="000D7D9F">
      <w:pPr>
        <w:pStyle w:val="ImageSource"/>
      </w:pPr>
      <w:r w:rsidRPr="001B7D68">
        <w:rPr>
          <w:rStyle w:val="Italic"/>
        </w:rPr>
        <w:t>Source:</w:t>
      </w:r>
      <w:r w:rsidRPr="008072FE">
        <w:t xml:space="preserve"> European Commission. </w:t>
      </w:r>
    </w:p>
    <w:p w14:paraId="71D459A5" w14:textId="70242B8E" w:rsidR="000D7D9F" w:rsidRPr="008072FE" w:rsidRDefault="000D7D9F" w:rsidP="000D7D9F">
      <w:r w:rsidRPr="008072FE">
        <w:rPr>
          <w:rStyle w:val="Bold"/>
        </w:rPr>
        <w:t xml:space="preserve">For the 2021-2027 period, the EU </w:t>
      </w:r>
      <w:r w:rsidRPr="008072FE" w:rsidDel="002D73E7">
        <w:rPr>
          <w:rStyle w:val="Bold"/>
        </w:rPr>
        <w:t>budget</w:t>
      </w:r>
      <w:r w:rsidRPr="008072FE" w:rsidDel="002D73E7">
        <w:rPr>
          <w:rStyle w:val="Bold"/>
          <w:rFonts w:ascii="Calibri" w:hAnsi="Calibri" w:cs="Calibri"/>
        </w:rPr>
        <w:t> </w:t>
      </w:r>
      <w:r w:rsidRPr="008072FE" w:rsidDel="002D73E7">
        <w:rPr>
          <w:rStyle w:val="Bold"/>
        </w:rPr>
        <w:t>–</w:t>
      </w:r>
      <w:r w:rsidRPr="008072FE">
        <w:rPr>
          <w:rStyle w:val="Bold"/>
        </w:rPr>
        <w:t xml:space="preserve"> including NextGenerationEU</w:t>
      </w:r>
      <w:r w:rsidRPr="008072FE">
        <w:rPr>
          <w:rStyle w:val="Bold"/>
          <w:rFonts w:ascii="Calibri" w:hAnsi="Calibri" w:cs="Calibri"/>
        </w:rPr>
        <w:t> </w:t>
      </w:r>
      <w:r w:rsidRPr="008072FE" w:rsidDel="002D73E7">
        <w:rPr>
          <w:rStyle w:val="Bold"/>
        </w:rPr>
        <w:t>–</w:t>
      </w:r>
      <w:r w:rsidRPr="008072FE">
        <w:rPr>
          <w:rStyle w:val="Bold"/>
        </w:rPr>
        <w:t xml:space="preserve"> is projected to contribute EUR</w:t>
      </w:r>
      <w:r w:rsidRPr="008072FE">
        <w:rPr>
          <w:rStyle w:val="Bold"/>
          <w:rFonts w:ascii="Calibri" w:hAnsi="Calibri" w:cs="Calibri"/>
        </w:rPr>
        <w:t> </w:t>
      </w:r>
      <w:r w:rsidRPr="008072FE">
        <w:rPr>
          <w:rStyle w:val="Bold"/>
          <w:noProof/>
        </w:rPr>
        <w:t>6</w:t>
      </w:r>
      <w:r w:rsidR="00A27488">
        <w:rPr>
          <w:rStyle w:val="Bold"/>
          <w:noProof/>
        </w:rPr>
        <w:t>6</w:t>
      </w:r>
      <w:r w:rsidR="51096D3B" w:rsidRPr="25AF5FD7">
        <w:rPr>
          <w:rStyle w:val="Bold"/>
          <w:noProof/>
        </w:rPr>
        <w:t>2</w:t>
      </w:r>
      <w:r w:rsidRPr="008072FE">
        <w:rPr>
          <w:rStyle w:val="Bold"/>
          <w:rFonts w:ascii="Calibri" w:hAnsi="Calibri" w:cs="Calibri"/>
        </w:rPr>
        <w:t> </w:t>
      </w:r>
      <w:r w:rsidRPr="008072FE">
        <w:rPr>
          <w:rStyle w:val="Bold"/>
        </w:rPr>
        <w:t xml:space="preserve">billion to climate mainstreaming objectives, representing </w:t>
      </w:r>
      <w:r w:rsidRPr="25AF5FD7">
        <w:rPr>
          <w:rStyle w:val="Bold"/>
        </w:rPr>
        <w:t>3</w:t>
      </w:r>
      <w:r w:rsidR="24223376" w:rsidRPr="25AF5FD7">
        <w:rPr>
          <w:rStyle w:val="Bold"/>
        </w:rPr>
        <w:t>4</w:t>
      </w:r>
      <w:r w:rsidRPr="008072FE">
        <w:rPr>
          <w:rStyle w:val="Bold"/>
        </w:rPr>
        <w:t xml:space="preserve">% of the budget envelope, surpassing the initial target of 30%. </w:t>
      </w:r>
      <w:r w:rsidRPr="008072FE">
        <w:t>Additionally, through the InvestEU programme</w:t>
      </w:r>
      <w:r w:rsidR="00E1603F">
        <w:t>,</w:t>
      </w:r>
      <w:r w:rsidRPr="008072FE">
        <w:t xml:space="preserve"> the EU budget is expected to help mobilise over </w:t>
      </w:r>
      <w:r w:rsidRPr="008072FE" w:rsidDel="00E7488E">
        <w:t>EUR</w:t>
      </w:r>
      <w:r w:rsidRPr="008072FE">
        <w:rPr>
          <w:rFonts w:ascii="Calibri" w:hAnsi="Calibri" w:cs="Calibri"/>
        </w:rPr>
        <w:t> </w:t>
      </w:r>
      <w:r w:rsidRPr="008072FE">
        <w:t>1</w:t>
      </w:r>
      <w:r w:rsidR="004B78F4">
        <w:t>28</w:t>
      </w:r>
      <w:r w:rsidRPr="008072FE">
        <w:rPr>
          <w:rFonts w:ascii="Calibri" w:hAnsi="Calibri" w:cs="Calibri"/>
        </w:rPr>
        <w:t> </w:t>
      </w:r>
      <w:r w:rsidRPr="008072FE">
        <w:t>billion in investment to meet EU climate goals.</w:t>
      </w:r>
    </w:p>
    <w:p w14:paraId="5B1A93DC" w14:textId="08210D92" w:rsidR="000D7D9F" w:rsidRPr="00B13363" w:rsidRDefault="000D7D9F" w:rsidP="000D7D9F">
      <w:pPr>
        <w:pStyle w:val="Heading4"/>
        <w:rPr>
          <w:rFonts w:ascii="EC Square Sans Pro" w:hAnsi="EC Square Sans Pro"/>
        </w:rPr>
      </w:pPr>
      <w:r w:rsidRPr="00B13363">
        <w:rPr>
          <w:rFonts w:ascii="EC Square Sans Pro" w:hAnsi="EC Square Sans Pro"/>
        </w:rPr>
        <w:t>Differentiating between climate change mitigation</w:t>
      </w:r>
      <w:r w:rsidR="00D1553F" w:rsidDel="00CE4028">
        <w:rPr>
          <w:rFonts w:ascii="EC Square Sans Pro" w:hAnsi="EC Square Sans Pro"/>
        </w:rPr>
        <w:t xml:space="preserve"> </w:t>
      </w:r>
      <w:r w:rsidRPr="00B13363" w:rsidDel="00CE4028">
        <w:rPr>
          <w:rFonts w:ascii="EC Square Sans Pro" w:hAnsi="EC Square Sans Pro"/>
        </w:rPr>
        <w:t xml:space="preserve">and </w:t>
      </w:r>
      <w:r w:rsidRPr="00B13363">
        <w:rPr>
          <w:rFonts w:ascii="EC Square Sans Pro" w:hAnsi="EC Square Sans Pro"/>
        </w:rPr>
        <w:t>adaptation expenditure</w:t>
      </w:r>
    </w:p>
    <w:p w14:paraId="07FE6268" w14:textId="77777777" w:rsidR="000D7D9F" w:rsidRPr="00B13363" w:rsidRDefault="000D7D9F" w:rsidP="000D7D9F">
      <w:r w:rsidRPr="00B13363">
        <w:t xml:space="preserve">Under the interinstitutional agreement of </w:t>
      </w:r>
      <w:r w:rsidRPr="00B13363" w:rsidDel="006C6196">
        <w:t>16</w:t>
      </w:r>
      <w:r w:rsidRPr="00B13363">
        <w:rPr>
          <w:rFonts w:ascii="Calibri" w:hAnsi="Calibri" w:cs="Calibri"/>
        </w:rPr>
        <w:t> </w:t>
      </w:r>
      <w:r w:rsidRPr="00B13363">
        <w:t>December 2020, the Commission committed to report on climate expenditure, differentiating between climate change mitigation and adaptation, where feasible. To allow for such reporting, an external study was commissioned to assist in developing a methodology to disaggregate climate expenditure across these</w:t>
      </w:r>
      <w:r w:rsidRPr="00B13363" w:rsidDel="00DA0F9E">
        <w:t xml:space="preserve"> </w:t>
      </w:r>
      <w:r w:rsidRPr="00B13363">
        <w:t xml:space="preserve">two dimensions. </w:t>
      </w:r>
    </w:p>
    <w:p w14:paraId="4511D2B3" w14:textId="1001DC42" w:rsidR="000D7D9F" w:rsidRPr="00B13363" w:rsidRDefault="000D7D9F" w:rsidP="000D7D9F">
      <w:r w:rsidRPr="00B13363">
        <w:t xml:space="preserve">The methodology was designed to avoid creating additional administrative burdens by building on the existing system of intervention fields used under the </w:t>
      </w:r>
      <w:hyperlink r:id="rId73" w:history="1">
        <w:r w:rsidRPr="00B13363">
          <w:rPr>
            <w:rStyle w:val="Hyperlink"/>
          </w:rPr>
          <w:t>Common Provisions Regulation</w:t>
        </w:r>
      </w:hyperlink>
      <w:r w:rsidRPr="00B13363">
        <w:t xml:space="preserve"> for cohesion funds and the Recovery and Resilience Facility. For external action programmes, existing methodologies were used, while for the </w:t>
      </w:r>
      <w:r w:rsidR="009036F9">
        <w:t>CAP</w:t>
      </w:r>
      <w:r w:rsidRPr="00B13363">
        <w:t xml:space="preserve">, the methodology was developed as a part of a specific study commissioned for this policy. </w:t>
      </w:r>
    </w:p>
    <w:p w14:paraId="7F231835" w14:textId="6E48E621" w:rsidR="00E70561" w:rsidRDefault="000D7D9F" w:rsidP="00541054">
      <w:pPr>
        <w:pStyle w:val="ImageTitle"/>
        <w:rPr>
          <w:highlight w:val="lightGray"/>
        </w:rPr>
      </w:pPr>
      <w:r w:rsidRPr="0071678B">
        <w:t>Climate contribution in the 2021-</w:t>
      </w:r>
      <w:r w:rsidRPr="0071678B">
        <w:rPr>
          <w:noProof/>
        </w:rPr>
        <w:t>202</w:t>
      </w:r>
      <w:r w:rsidR="0071678B" w:rsidRPr="0071678B">
        <w:rPr>
          <w:noProof/>
        </w:rPr>
        <w:t>5</w:t>
      </w:r>
      <w:r w:rsidRPr="0071678B">
        <w:t xml:space="preserve"> period disaggregated by climate mitigation </w:t>
      </w:r>
      <w:r w:rsidR="005B59EC">
        <w:br/>
      </w:r>
      <w:r w:rsidRPr="0071678B">
        <w:t xml:space="preserve">and climate adaptation </w:t>
      </w:r>
    </w:p>
    <w:p w14:paraId="6B1C4BDB" w14:textId="123B0652" w:rsidR="000D7D9F" w:rsidRPr="003E29CF" w:rsidRDefault="001E7C4F" w:rsidP="00541054">
      <w:pPr>
        <w:pStyle w:val="ImagePlaceholder"/>
        <w:rPr>
          <w:highlight w:val="lightGray"/>
        </w:rPr>
      </w:pPr>
      <w:r w:rsidRPr="001E7C4F">
        <w:t xml:space="preserve"> </w:t>
      </w:r>
      <w:r w:rsidRPr="001E7C4F">
        <w:rPr>
          <w:highlight w:val="lightGray"/>
        </w:rPr>
        <w:drawing>
          <wp:inline distT="0" distB="0" distL="0" distR="0" wp14:anchorId="14B2805E" wp14:editId="02BEF114">
            <wp:extent cx="5369357" cy="3186430"/>
            <wp:effectExtent l="0" t="0" r="3175" b="0"/>
            <wp:docPr id="5" name="Picture 4" descr="Donut chart showing the percentages of Climate contribution in the 2021-2025 period disaggregated by climate mitigation and climate adaptation. The biggest share is for Climate change mitigation with 72%, second biggest is climate change adaptation with 18%, third is Cross-cutting climate mitigation and adaptation with 9% and finally 1% of not attributable. ">
              <a:extLst xmlns:a="http://schemas.openxmlformats.org/drawingml/2006/main">
                <a:ext uri="{FF2B5EF4-FFF2-40B4-BE49-F238E27FC236}">
                  <a16:creationId xmlns:a16="http://schemas.microsoft.com/office/drawing/2014/main" id="{1ECF72C0-8FEB-73F5-A679-46C5B06E9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Donut chart showing the percentages of Climate contribution in the 2021-2025 period disaggregated by climate mitigation and climate adaptation. The biggest share is for Climate change mitigation with 72%, second biggest is climate change adaptation with 18%, third is Cross-cutting climate mitigation and adaptation with 9% and finally 1% of not attributable. ">
                      <a:extLst>
                        <a:ext uri="{FF2B5EF4-FFF2-40B4-BE49-F238E27FC236}">
                          <a16:creationId xmlns:a16="http://schemas.microsoft.com/office/drawing/2014/main" id="{1ECF72C0-8FEB-73F5-A679-46C5B06E9D48}"/>
                        </a:ext>
                      </a:extLst>
                    </pic:cNvPr>
                    <pic:cNvPicPr>
                      <a:picLocks noChangeAspect="1"/>
                    </pic:cNvPicPr>
                  </pic:nvPicPr>
                  <pic:blipFill rotWithShape="1">
                    <a:blip r:embed="rId74"/>
                    <a:srcRect l="10109" t="3474" r="11586" b="13725"/>
                    <a:stretch>
                      <a:fillRect/>
                    </a:stretch>
                  </pic:blipFill>
                  <pic:spPr bwMode="auto">
                    <a:xfrm>
                      <a:off x="0" y="0"/>
                      <a:ext cx="5370095" cy="3186868"/>
                    </a:xfrm>
                    <a:prstGeom prst="rect">
                      <a:avLst/>
                    </a:prstGeom>
                    <a:ln>
                      <a:noFill/>
                    </a:ln>
                    <a:extLst>
                      <a:ext uri="{53640926-AAD7-44D8-BBD7-CCE9431645EC}">
                        <a14:shadowObscured xmlns:a14="http://schemas.microsoft.com/office/drawing/2010/main"/>
                      </a:ext>
                    </a:extLst>
                  </pic:spPr>
                </pic:pic>
              </a:graphicData>
            </a:graphic>
          </wp:inline>
        </w:drawing>
      </w:r>
    </w:p>
    <w:p w14:paraId="272F4BAC" w14:textId="43CD2493" w:rsidR="000B5FB5" w:rsidRPr="00B27FED" w:rsidRDefault="000B5FB5" w:rsidP="009109A0">
      <w:pPr>
        <w:pStyle w:val="ImageSource"/>
        <w:spacing w:before="120"/>
      </w:pPr>
      <w:r w:rsidRPr="00984F1E">
        <w:t>NB:</w:t>
      </w:r>
      <w:r w:rsidR="00C72765">
        <w:t xml:space="preserve"> Figures for the </w:t>
      </w:r>
      <w:r w:rsidR="009036F9">
        <w:t>CAP</w:t>
      </w:r>
      <w:r w:rsidR="00C72765">
        <w:t xml:space="preserve"> refer only to the 2023-2025 period.</w:t>
      </w:r>
    </w:p>
    <w:p w14:paraId="3796FF14" w14:textId="7086F4BE" w:rsidR="000D7D9F" w:rsidRPr="003E29CF" w:rsidRDefault="000D7D9F" w:rsidP="000D7D9F">
      <w:pPr>
        <w:pStyle w:val="ImageSource"/>
        <w:rPr>
          <w:highlight w:val="lightGray"/>
        </w:rPr>
      </w:pPr>
      <w:r w:rsidRPr="001B7D68">
        <w:rPr>
          <w:rStyle w:val="Italic"/>
        </w:rPr>
        <w:t>Source:</w:t>
      </w:r>
      <w:r>
        <w:t xml:space="preserve"> European Commission.</w:t>
      </w:r>
      <w:r w:rsidRPr="678ACC0E">
        <w:rPr>
          <w:highlight w:val="lightGray"/>
        </w:rPr>
        <w:br w:type="page"/>
      </w:r>
    </w:p>
    <w:p w14:paraId="36C4791C" w14:textId="77777777" w:rsidR="000D7D9F" w:rsidRPr="00B13363" w:rsidRDefault="000D7D9F" w:rsidP="000D7D9F">
      <w:pPr>
        <w:pStyle w:val="Heading3"/>
        <w:rPr>
          <w:rFonts w:ascii="EC Square Sans Pro" w:hAnsi="EC Square Sans Pro"/>
        </w:rPr>
      </w:pPr>
      <w:r w:rsidRPr="00B13363">
        <w:rPr>
          <w:rFonts w:ascii="EC Square Sans Pro" w:hAnsi="EC Square Sans Pro"/>
        </w:rPr>
        <w:t>Biodiversity mainstreaming</w:t>
      </w:r>
    </w:p>
    <w:p w14:paraId="2A66EEA8" w14:textId="4FB7F88E" w:rsidR="000D7D9F" w:rsidRPr="00B13363" w:rsidRDefault="00111084" w:rsidP="000D7D9F">
      <w:pPr>
        <w:pStyle w:val="Heading4"/>
        <w:spacing w:before="240"/>
        <w:rPr>
          <w:rFonts w:ascii="EC Square Sans Pro" w:hAnsi="EC Square Sans Pro"/>
        </w:rPr>
      </w:pPr>
      <w:r>
        <w:rPr>
          <w:rFonts w:ascii="EC Square Sans Pro" w:hAnsi="EC Square Sans Pro"/>
        </w:rPr>
        <w:t>Examples of a</w:t>
      </w:r>
      <w:r w:rsidR="000D7D9F" w:rsidRPr="00B13363">
        <w:rPr>
          <w:rFonts w:ascii="EC Square Sans Pro" w:hAnsi="EC Square Sans Pro"/>
        </w:rPr>
        <w:t xml:space="preserve">chievements </w:t>
      </w:r>
    </w:p>
    <w:tbl>
      <w:tblPr>
        <w:tblStyle w:val="Infographicboxes"/>
        <w:tblW w:w="0" w:type="auto"/>
        <w:jc w:val="center"/>
        <w:tblLook w:val="04A0" w:firstRow="1" w:lastRow="0" w:firstColumn="1" w:lastColumn="0" w:noHBand="0" w:noVBand="1"/>
      </w:tblPr>
      <w:tblGrid>
        <w:gridCol w:w="4496"/>
        <w:gridCol w:w="4497"/>
      </w:tblGrid>
      <w:tr w:rsidR="000D7D9F" w:rsidRPr="003E29CF" w14:paraId="746AD6FA" w14:textId="77777777" w:rsidTr="00042015">
        <w:trPr>
          <w:trHeight w:val="1472"/>
          <w:jc w:val="center"/>
        </w:trPr>
        <w:tc>
          <w:tcPr>
            <w:tcW w:w="4496" w:type="dxa"/>
          </w:tcPr>
          <w:p w14:paraId="49DE6172" w14:textId="5A388F50" w:rsidR="000D7D9F" w:rsidRPr="00B13363" w:rsidRDefault="00D3763A">
            <w:pPr>
              <w:rPr>
                <w:color w:val="003399" w:themeColor="text2"/>
              </w:rPr>
            </w:pPr>
            <w:r w:rsidRPr="00B13363">
              <w:rPr>
                <w:color w:val="003399" w:themeColor="text2"/>
              </w:rPr>
              <w:t>65</w:t>
            </w:r>
            <w:r w:rsidR="000D7D9F" w:rsidRPr="00B13363">
              <w:rPr>
                <w:rFonts w:ascii="Calibri" w:hAnsi="Calibri" w:cs="Calibri"/>
                <w:color w:val="003399" w:themeColor="text2"/>
              </w:rPr>
              <w:t> </w:t>
            </w:r>
            <w:r w:rsidR="000D7D9F" w:rsidRPr="00B13363">
              <w:rPr>
                <w:color w:val="003399" w:themeColor="text2"/>
              </w:rPr>
              <w:t xml:space="preserve">million hectares </w:t>
            </w:r>
            <w:r w:rsidRPr="00B13363">
              <w:rPr>
                <w:color w:val="003399" w:themeColor="text2"/>
              </w:rPr>
              <w:t xml:space="preserve">of land </w:t>
            </w:r>
            <w:r w:rsidR="000D7D9F" w:rsidRPr="00B13363">
              <w:rPr>
                <w:color w:val="003399" w:themeColor="text2"/>
              </w:rPr>
              <w:t xml:space="preserve">are covered by selected projects to protect against wildfires under </w:t>
            </w:r>
            <w:r w:rsidR="000D7D9F" w:rsidRPr="00B13363">
              <w:rPr>
                <w:b/>
                <w:color w:val="003399" w:themeColor="text2"/>
              </w:rPr>
              <w:t>cohesion policy funds</w:t>
            </w:r>
            <w:r w:rsidR="000D7D9F" w:rsidRPr="00B13363">
              <w:rPr>
                <w:color w:val="003399" w:themeColor="text2"/>
              </w:rPr>
              <w:t xml:space="preserve">. </w:t>
            </w:r>
            <w:r w:rsidR="00C27702" w:rsidRPr="00C27702">
              <w:rPr>
                <w:noProof/>
                <w:color w:val="003399" w:themeColor="text2"/>
              </w:rPr>
              <w:t xml:space="preserve">The </w:t>
            </w:r>
            <w:r w:rsidR="00C27702" w:rsidRPr="00DC7500">
              <w:rPr>
                <w:b/>
                <w:color w:val="003399" w:themeColor="text2"/>
              </w:rPr>
              <w:t>Copernicus</w:t>
            </w:r>
            <w:r w:rsidR="00C27702" w:rsidRPr="00C27702">
              <w:rPr>
                <w:noProof/>
                <w:color w:val="003399" w:themeColor="text2"/>
              </w:rPr>
              <w:t xml:space="preserve"> monitoring services contribute to monitoring changes in ecosystems and biodiversity loss</w:t>
            </w:r>
            <w:r w:rsidR="00711BB2">
              <w:rPr>
                <w:noProof/>
                <w:color w:val="003399" w:themeColor="text2"/>
              </w:rPr>
              <w:t>,</w:t>
            </w:r>
            <w:r w:rsidR="00C27702" w:rsidRPr="00C27702">
              <w:rPr>
                <w:noProof/>
                <w:color w:val="003399" w:themeColor="text2"/>
              </w:rPr>
              <w:t xml:space="preserve"> </w:t>
            </w:r>
            <w:r w:rsidR="00F47363">
              <w:rPr>
                <w:noProof/>
                <w:color w:val="003399" w:themeColor="text2"/>
              </w:rPr>
              <w:br/>
            </w:r>
            <w:r w:rsidR="00C27702" w:rsidRPr="00C27702">
              <w:rPr>
                <w:noProof/>
                <w:color w:val="003399" w:themeColor="text2"/>
              </w:rPr>
              <w:t xml:space="preserve">in </w:t>
            </w:r>
            <w:r w:rsidR="00711BB2">
              <w:rPr>
                <w:noProof/>
                <w:color w:val="003399" w:themeColor="text2"/>
              </w:rPr>
              <w:t>support</w:t>
            </w:r>
            <w:r w:rsidR="00C27702" w:rsidRPr="00C27702">
              <w:rPr>
                <w:noProof/>
                <w:color w:val="003399" w:themeColor="text2"/>
              </w:rPr>
              <w:t xml:space="preserve"> of the EU </w:t>
            </w:r>
            <w:r w:rsidR="00671318">
              <w:rPr>
                <w:noProof/>
                <w:color w:val="003399" w:themeColor="text2"/>
              </w:rPr>
              <w:t>b</w:t>
            </w:r>
            <w:r w:rsidR="00C27702" w:rsidRPr="00C27702">
              <w:rPr>
                <w:noProof/>
                <w:color w:val="003399" w:themeColor="text2"/>
              </w:rPr>
              <w:t xml:space="preserve">iodiversity </w:t>
            </w:r>
            <w:r w:rsidR="00671318">
              <w:rPr>
                <w:noProof/>
                <w:color w:val="003399" w:themeColor="text2"/>
              </w:rPr>
              <w:t>s</w:t>
            </w:r>
            <w:r w:rsidR="00C27702" w:rsidRPr="00C27702">
              <w:rPr>
                <w:noProof/>
                <w:color w:val="003399" w:themeColor="text2"/>
              </w:rPr>
              <w:t xml:space="preserve">trategy, </w:t>
            </w:r>
            <w:r w:rsidR="00F47363">
              <w:rPr>
                <w:noProof/>
                <w:color w:val="003399" w:themeColor="text2"/>
              </w:rPr>
              <w:br/>
            </w:r>
            <w:r w:rsidR="00C27702" w:rsidRPr="00C27702">
              <w:rPr>
                <w:noProof/>
                <w:color w:val="003399" w:themeColor="text2"/>
              </w:rPr>
              <w:t xml:space="preserve">the EU Nature Restoration Regulation, the Convention on Biological Diversity and reporting on the </w:t>
            </w:r>
            <w:r w:rsidR="00A402D6">
              <w:rPr>
                <w:noProof/>
                <w:color w:val="003399" w:themeColor="text2"/>
              </w:rPr>
              <w:t>SDG</w:t>
            </w:r>
            <w:r w:rsidR="00C27702" w:rsidRPr="00C27702">
              <w:rPr>
                <w:noProof/>
                <w:color w:val="003399" w:themeColor="text2"/>
              </w:rPr>
              <w:t>s</w:t>
            </w:r>
            <w:r w:rsidR="000D7D9F" w:rsidRPr="00B13363">
              <w:rPr>
                <w:color w:val="003399" w:themeColor="text2"/>
              </w:rPr>
              <w:t>.</w:t>
            </w:r>
          </w:p>
        </w:tc>
        <w:tc>
          <w:tcPr>
            <w:tcW w:w="4497" w:type="dxa"/>
          </w:tcPr>
          <w:p w14:paraId="734D3804" w14:textId="23F631C1" w:rsidR="000D7D9F" w:rsidRPr="00B13363" w:rsidRDefault="00835547">
            <w:pPr>
              <w:rPr>
                <w:color w:val="003399" w:themeColor="text2"/>
                <w:spacing w:val="-4"/>
              </w:rPr>
            </w:pPr>
            <w:r w:rsidRPr="00835547">
              <w:rPr>
                <w:noProof/>
                <w:color w:val="003399" w:themeColor="text2"/>
                <w:spacing w:val="-4"/>
              </w:rPr>
              <w:t xml:space="preserve">Under </w:t>
            </w:r>
            <w:r w:rsidRPr="00AD40C5">
              <w:rPr>
                <w:b/>
                <w:bCs/>
                <w:noProof/>
                <w:color w:val="003399" w:themeColor="text2"/>
                <w:spacing w:val="-4"/>
              </w:rPr>
              <w:t>LIFE</w:t>
            </w:r>
            <w:r w:rsidRPr="00835547">
              <w:rPr>
                <w:noProof/>
                <w:color w:val="003399" w:themeColor="text2"/>
                <w:spacing w:val="-4"/>
              </w:rPr>
              <w:t xml:space="preserve">, biodiversity loss has been halted </w:t>
            </w:r>
            <w:r w:rsidR="00A43D0C">
              <w:rPr>
                <w:noProof/>
                <w:color w:val="003399" w:themeColor="text2"/>
                <w:spacing w:val="-4"/>
              </w:rPr>
              <w:br/>
            </w:r>
            <w:r w:rsidRPr="00835547">
              <w:rPr>
                <w:noProof/>
                <w:color w:val="003399" w:themeColor="text2"/>
                <w:spacing w:val="-4"/>
              </w:rPr>
              <w:t>or reversed across 2</w:t>
            </w:r>
            <w:r w:rsidR="009C63FC">
              <w:rPr>
                <w:noProof/>
                <w:color w:val="003399" w:themeColor="text2"/>
                <w:spacing w:val="-4"/>
              </w:rPr>
              <w:t>.0</w:t>
            </w:r>
            <w:r w:rsidR="00EB0E5C">
              <w:rPr>
                <w:rFonts w:ascii="Calibri" w:hAnsi="Calibri" w:cs="Calibri"/>
                <w:noProof/>
                <w:color w:val="003399" w:themeColor="text2"/>
                <w:spacing w:val="-4"/>
              </w:rPr>
              <w:t> </w:t>
            </w:r>
            <w:r w:rsidR="00EB0E5C">
              <w:rPr>
                <w:noProof/>
                <w:color w:val="003399" w:themeColor="text2"/>
                <w:spacing w:val="-4"/>
              </w:rPr>
              <w:t>million</w:t>
            </w:r>
            <w:r w:rsidRPr="00835547">
              <w:rPr>
                <w:noProof/>
                <w:color w:val="003399" w:themeColor="text2"/>
                <w:spacing w:val="-4"/>
              </w:rPr>
              <w:t xml:space="preserve"> hectares of habitats, and 557 species have benefited from conservation effort</w:t>
            </w:r>
            <w:r w:rsidR="000D7D9F" w:rsidRPr="00B13363">
              <w:rPr>
                <w:color w:val="003399" w:themeColor="text2"/>
                <w:spacing w:val="-4"/>
              </w:rPr>
              <w:t>.</w:t>
            </w:r>
          </w:p>
        </w:tc>
      </w:tr>
      <w:tr w:rsidR="000D7D9F" w:rsidRPr="003E29CF" w14:paraId="0EB0F576" w14:textId="77777777" w:rsidTr="00042015">
        <w:trPr>
          <w:trHeight w:val="1551"/>
          <w:jc w:val="center"/>
        </w:trPr>
        <w:tc>
          <w:tcPr>
            <w:tcW w:w="4496" w:type="dxa"/>
          </w:tcPr>
          <w:p w14:paraId="41C639D1" w14:textId="389DE11F" w:rsidR="000D7D9F" w:rsidRPr="00B13363" w:rsidRDefault="002333FE">
            <w:pPr>
              <w:suppressAutoHyphens w:val="0"/>
              <w:ind w:left="59"/>
              <w:rPr>
                <w:color w:val="003399" w:themeColor="text2"/>
              </w:rPr>
            </w:pPr>
            <w:r w:rsidRPr="00B13363">
              <w:rPr>
                <w:color w:val="003399" w:themeColor="text2"/>
              </w:rPr>
              <w:t>2</w:t>
            </w:r>
            <w:r w:rsidR="00A33024">
              <w:rPr>
                <w:rFonts w:ascii="Calibri" w:hAnsi="Calibri" w:cs="Calibri"/>
                <w:color w:val="003399" w:themeColor="text2"/>
              </w:rPr>
              <w:t> </w:t>
            </w:r>
            <w:r w:rsidRPr="00B13363">
              <w:rPr>
                <w:color w:val="003399" w:themeColor="text2"/>
              </w:rPr>
              <w:t>691</w:t>
            </w:r>
            <w:r w:rsidR="000D7D9F" w:rsidRPr="00B13363">
              <w:rPr>
                <w:color w:val="003399" w:themeColor="text2"/>
              </w:rPr>
              <w:t xml:space="preserve"> measures contributing to ‘good environmental status’ were selected between 2022 and 202</w:t>
            </w:r>
            <w:r w:rsidR="003B779D" w:rsidRPr="00B13363">
              <w:rPr>
                <w:color w:val="003399" w:themeColor="text2"/>
              </w:rPr>
              <w:t>4</w:t>
            </w:r>
            <w:r w:rsidR="000D7D9F" w:rsidRPr="00B13363">
              <w:rPr>
                <w:color w:val="003399" w:themeColor="text2"/>
              </w:rPr>
              <w:t xml:space="preserve"> under the</w:t>
            </w:r>
            <w:r w:rsidR="000D7D9F" w:rsidRPr="00B13363">
              <w:rPr>
                <w:b/>
                <w:color w:val="003399" w:themeColor="text2"/>
              </w:rPr>
              <w:t xml:space="preserve"> European Maritime, Fisheries and Aquaculture Fund</w:t>
            </w:r>
            <w:r w:rsidR="000D7D9F" w:rsidRPr="00B13363">
              <w:rPr>
                <w:color w:val="003399" w:themeColor="text2"/>
              </w:rPr>
              <w:t>.</w:t>
            </w:r>
          </w:p>
        </w:tc>
        <w:tc>
          <w:tcPr>
            <w:tcW w:w="4497" w:type="dxa"/>
          </w:tcPr>
          <w:p w14:paraId="6CA4F0A6" w14:textId="77AAE400" w:rsidR="000D7D9F" w:rsidRPr="00B13363" w:rsidRDefault="00B228EE">
            <w:pPr>
              <w:rPr>
                <w:color w:val="003399" w:themeColor="text2"/>
              </w:rPr>
            </w:pPr>
            <w:r w:rsidRPr="00B13363">
              <w:rPr>
                <w:color w:val="003399" w:themeColor="text2"/>
              </w:rPr>
              <w:t>41</w:t>
            </w:r>
            <w:r w:rsidR="00EB0E5C">
              <w:rPr>
                <w:rFonts w:ascii="Calibri" w:hAnsi="Calibri" w:cs="Calibri"/>
                <w:color w:val="003399" w:themeColor="text2"/>
              </w:rPr>
              <w:t> </w:t>
            </w:r>
            <w:r w:rsidR="00EB0E5C">
              <w:rPr>
                <w:color w:val="003399" w:themeColor="text2"/>
              </w:rPr>
              <w:t>million</w:t>
            </w:r>
            <w:r w:rsidRPr="00B13363">
              <w:rPr>
                <w:color w:val="003399" w:themeColor="text2"/>
              </w:rPr>
              <w:t xml:space="preserve"> Hectares (25.3% of EU farmland) </w:t>
            </w:r>
            <w:r w:rsidR="00F47363">
              <w:rPr>
                <w:color w:val="003399" w:themeColor="text2"/>
              </w:rPr>
              <w:br/>
            </w:r>
            <w:r w:rsidRPr="00B13363">
              <w:rPr>
                <w:color w:val="003399" w:themeColor="text2"/>
              </w:rPr>
              <w:t xml:space="preserve">are covered by </w:t>
            </w:r>
            <w:r w:rsidR="00BC10D3" w:rsidRPr="00B13363">
              <w:rPr>
                <w:color w:val="003399" w:themeColor="text2"/>
              </w:rPr>
              <w:t>biodiversity</w:t>
            </w:r>
            <w:r w:rsidRPr="00B13363">
              <w:rPr>
                <w:color w:val="003399" w:themeColor="text2"/>
              </w:rPr>
              <w:t xml:space="preserve"> conservation </w:t>
            </w:r>
            <w:r w:rsidR="00F47363">
              <w:rPr>
                <w:color w:val="003399" w:themeColor="text2"/>
              </w:rPr>
              <w:br/>
            </w:r>
            <w:r w:rsidRPr="00B13363">
              <w:rPr>
                <w:color w:val="003399" w:themeColor="text2"/>
              </w:rPr>
              <w:t xml:space="preserve">and restoration commitments in 2024 </w:t>
            </w:r>
            <w:r w:rsidR="00F47363">
              <w:rPr>
                <w:color w:val="003399" w:themeColor="text2"/>
              </w:rPr>
              <w:br/>
            </w:r>
            <w:r w:rsidR="00BC10D3" w:rsidRPr="00B13363">
              <w:rPr>
                <w:color w:val="003399" w:themeColor="text2"/>
              </w:rPr>
              <w:t xml:space="preserve">under the </w:t>
            </w:r>
            <w:r w:rsidR="009036F9">
              <w:rPr>
                <w:b/>
                <w:color w:val="003399" w:themeColor="text2"/>
              </w:rPr>
              <w:t>CAP</w:t>
            </w:r>
            <w:r w:rsidR="000D7D9F" w:rsidRPr="00B13363">
              <w:rPr>
                <w:color w:val="003399" w:themeColor="text2"/>
              </w:rPr>
              <w:t>.</w:t>
            </w:r>
          </w:p>
        </w:tc>
      </w:tr>
    </w:tbl>
    <w:p w14:paraId="35C56BBC" w14:textId="77777777" w:rsidR="000D7D9F" w:rsidRPr="008072FE" w:rsidRDefault="000D7D9F" w:rsidP="000D7D9F">
      <w:pPr>
        <w:pStyle w:val="Heading4"/>
        <w:spacing w:after="120"/>
        <w:rPr>
          <w:rFonts w:ascii="EC Square Sans Pro" w:hAnsi="EC Square Sans Pro"/>
        </w:rPr>
      </w:pPr>
      <w:r w:rsidRPr="008072FE">
        <w:rPr>
          <w:rFonts w:ascii="EC Square Sans Pro" w:hAnsi="EC Square Sans Pro"/>
        </w:rPr>
        <w:t>How much do we spend?</w:t>
      </w:r>
    </w:p>
    <w:p w14:paraId="71C2EA27" w14:textId="2BFCA124" w:rsidR="000D7D9F" w:rsidRPr="008072FE" w:rsidRDefault="000D7D9F" w:rsidP="000D7D9F">
      <w:pPr>
        <w:pStyle w:val="ImageTitle"/>
      </w:pPr>
      <w:r w:rsidRPr="008072FE">
        <w:t>Biodiversity contribution in the 2021-2027 period (million EUR)</w:t>
      </w:r>
    </w:p>
    <w:p w14:paraId="5D9DD8B8" w14:textId="2CDDB19F" w:rsidR="000D7D9F" w:rsidRPr="008072FE" w:rsidRDefault="00CB13F0" w:rsidP="00541054">
      <w:pPr>
        <w:pStyle w:val="ImagePlaceholder"/>
      </w:pPr>
      <w:r w:rsidRPr="00CB13F0">
        <w:drawing>
          <wp:inline distT="0" distB="0" distL="0" distR="0" wp14:anchorId="3AB40313" wp14:editId="03FD9CA0">
            <wp:extent cx="5760085" cy="3750310"/>
            <wp:effectExtent l="0" t="0" r="0" b="2540"/>
            <wp:docPr id="67" name="Picture 66" descr="Donut chart showing the total biodiversity contribution of 113 024 million euros in the 2021-2027 period. Total amount is distributed as follows: contributions from Common agricultural policy are the biggest share with 64 714 million euros, the European Maritime Fisheries and Aquaculture Fund  1816 million euros, Programme for the environment and climate action (LIFE) 2732 million euros, Just transition mechanism 752 million euros, Neighborhood, Development and International Cooperation Instrument - Global Europe 6500 million euros; Instrument for Pre-accession assistance  472 million euros, Horizon Europe – the framework programme for research and innovation 8021 million euros; European space programme 930 million euros, European Regional Development Fund and Cohesion Fund 16 159 million euros; Recovery and Resilience Facility 10 198  million euros; Other programmes 730 million euros.">
              <a:extLst xmlns:a="http://schemas.openxmlformats.org/drawingml/2006/main">
                <a:ext uri="{FF2B5EF4-FFF2-40B4-BE49-F238E27FC236}">
                  <a16:creationId xmlns:a16="http://schemas.microsoft.com/office/drawing/2014/main" id="{10EBA88F-0B9B-0F6A-2EF5-08FEFA6DCB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6" descr="Donut chart showing the total biodiversity contribution of 113 024 million euros in the 2021-2027 period. Total amount is distributed as follows: contributions from Common agricultural policy are the biggest share with 64 714 million euros, the European Maritime Fisheries and Aquaculture Fund  1816 million euros, Programme for the environment and climate action (LIFE) 2732 million euros, Just transition mechanism 752 million euros, Neighborhood, Development and International Cooperation Instrument - Global Europe 6500 million euros; Instrument for Pre-accession assistance  472 million euros, Horizon Europe – the framework programme for research and innovation 8021 million euros; European space programme 930 million euros, European Regional Development Fund and Cohesion Fund 16 159 million euros; Recovery and Resilience Facility 10 198  million euros; Other programmes 730 million euros.">
                      <a:extLst>
                        <a:ext uri="{FF2B5EF4-FFF2-40B4-BE49-F238E27FC236}">
                          <a16:creationId xmlns:a16="http://schemas.microsoft.com/office/drawing/2014/main" id="{10EBA88F-0B9B-0F6A-2EF5-08FEFA6DCB98}"/>
                        </a:ext>
                      </a:extLst>
                    </pic:cNvPr>
                    <pic:cNvPicPr>
                      <a:picLocks noChangeAspect="1"/>
                    </pic:cNvPicPr>
                  </pic:nvPicPr>
                  <pic:blipFill>
                    <a:blip r:embed="rId75"/>
                    <a:srcRect l="2504" t="4385" r="1083" b="11392"/>
                    <a:stretch>
                      <a:fillRect/>
                    </a:stretch>
                  </pic:blipFill>
                  <pic:spPr>
                    <a:xfrm>
                      <a:off x="0" y="0"/>
                      <a:ext cx="5760085" cy="3750310"/>
                    </a:xfrm>
                    <a:prstGeom prst="rect">
                      <a:avLst/>
                    </a:prstGeom>
                  </pic:spPr>
                </pic:pic>
              </a:graphicData>
            </a:graphic>
          </wp:inline>
        </w:drawing>
      </w:r>
      <w:r w:rsidRPr="00CB13F0">
        <w:t xml:space="preserve"> </w:t>
      </w:r>
    </w:p>
    <w:p w14:paraId="0B90031B" w14:textId="77777777" w:rsidR="000D7D9F" w:rsidRPr="008072FE" w:rsidRDefault="000D7D9F" w:rsidP="000D7D9F">
      <w:pPr>
        <w:pStyle w:val="ImageSource"/>
        <w:rPr>
          <w:szCs w:val="16"/>
        </w:rPr>
      </w:pPr>
      <w:r w:rsidRPr="008072FE">
        <w:rPr>
          <w:rStyle w:val="Italic"/>
        </w:rPr>
        <w:t>Source:</w:t>
      </w:r>
      <w:r w:rsidRPr="008072FE">
        <w:rPr>
          <w:szCs w:val="16"/>
        </w:rPr>
        <w:t xml:space="preserve"> European Commission. </w:t>
      </w:r>
    </w:p>
    <w:p w14:paraId="2ED3EABE" w14:textId="27BF2CC0" w:rsidR="000D7D9F" w:rsidRPr="008072FE" w:rsidRDefault="000D7D9F" w:rsidP="000D7D9F">
      <w:pPr>
        <w:keepLines/>
        <w:spacing w:before="160" w:after="160" w:line="252" w:lineRule="auto"/>
      </w:pPr>
      <w:r w:rsidRPr="008072FE">
        <w:rPr>
          <w:rStyle w:val="Bold"/>
        </w:rPr>
        <w:t>For the 2021-2027 period, the EU budget</w:t>
      </w:r>
      <w:r w:rsidRPr="008072FE">
        <w:rPr>
          <w:rStyle w:val="Bold"/>
          <w:rFonts w:ascii="Calibri" w:hAnsi="Calibri" w:cs="Calibri"/>
        </w:rPr>
        <w:t> </w:t>
      </w:r>
      <w:r w:rsidRPr="008072FE">
        <w:rPr>
          <w:rStyle w:val="Bold"/>
        </w:rPr>
        <w:t>– including NextGenerationEU</w:t>
      </w:r>
      <w:r w:rsidRPr="008072FE">
        <w:rPr>
          <w:rStyle w:val="Bold"/>
          <w:rFonts w:ascii="Calibri" w:hAnsi="Calibri" w:cs="Calibri"/>
        </w:rPr>
        <w:t> </w:t>
      </w:r>
      <w:r w:rsidRPr="008072FE">
        <w:rPr>
          <w:rStyle w:val="Bold"/>
        </w:rPr>
        <w:t>– is contributing EUR</w:t>
      </w:r>
      <w:r w:rsidRPr="008072FE">
        <w:rPr>
          <w:rStyle w:val="Bold"/>
          <w:rFonts w:ascii="Calibri" w:hAnsi="Calibri" w:cs="Calibri"/>
        </w:rPr>
        <w:t> </w:t>
      </w:r>
      <w:r w:rsidRPr="008072FE">
        <w:rPr>
          <w:rStyle w:val="Bold"/>
        </w:rPr>
        <w:t>113</w:t>
      </w:r>
      <w:r w:rsidRPr="008072FE">
        <w:rPr>
          <w:rStyle w:val="Bold"/>
          <w:rFonts w:ascii="Calibri" w:hAnsi="Calibri" w:cs="Calibri"/>
        </w:rPr>
        <w:t> </w:t>
      </w:r>
      <w:r w:rsidRPr="008072FE">
        <w:rPr>
          <w:rStyle w:val="Bold"/>
        </w:rPr>
        <w:t>billion, or 5.8% of the total budget, to biodiversity mainstreaming objectives. While the ambition of allocating 7.5% of the EU budget to biodiversity in 2024 was achieved, the 10% targets for 2026 and 2027 are projected to fall below the initial ambitions.</w:t>
      </w:r>
    </w:p>
    <w:p w14:paraId="12E13CE3" w14:textId="6AF9BE24" w:rsidR="000D7D9F" w:rsidRPr="00B13363" w:rsidRDefault="002572B9" w:rsidP="000D7D9F">
      <w:pPr>
        <w:keepLines/>
        <w:spacing w:before="160" w:after="160" w:line="252" w:lineRule="auto"/>
      </w:pPr>
      <w:r w:rsidRPr="00B13363">
        <w:t>T</w:t>
      </w:r>
      <w:r w:rsidR="000D7D9F" w:rsidRPr="00B13363">
        <w:t xml:space="preserve">he </w:t>
      </w:r>
      <w:r w:rsidR="009036F9">
        <w:t xml:space="preserve">CAP </w:t>
      </w:r>
      <w:r w:rsidR="000D7D9F" w:rsidRPr="00B13363">
        <w:t xml:space="preserve">methodology for the 2023-2027 period </w:t>
      </w:r>
      <w:r w:rsidR="00D32DC9">
        <w:t>gives more granular</w:t>
      </w:r>
      <w:r w:rsidR="000D7D9F" w:rsidRPr="00B13363">
        <w:t xml:space="preserve"> and </w:t>
      </w:r>
      <w:r w:rsidR="00D32DC9">
        <w:t>accurate results</w:t>
      </w:r>
      <w:r w:rsidR="000D7D9F" w:rsidRPr="00B13363">
        <w:t xml:space="preserve"> compared </w:t>
      </w:r>
      <w:r w:rsidR="00BB20DE">
        <w:t>with</w:t>
      </w:r>
      <w:r w:rsidR="000D7D9F" w:rsidRPr="00B13363">
        <w:t xml:space="preserve"> the </w:t>
      </w:r>
      <w:r w:rsidR="00D32DC9">
        <w:t>previous period</w:t>
      </w:r>
      <w:r w:rsidR="000D7D9F" w:rsidRPr="00B13363">
        <w:t xml:space="preserve">. As from the 2024 draft budget, the contribution of the </w:t>
      </w:r>
      <w:r w:rsidR="009036F9">
        <w:t>CAP</w:t>
      </w:r>
      <w:r w:rsidR="000D7D9F" w:rsidRPr="00B13363">
        <w:t xml:space="preserve"> to biodiversity is estimated by the Commission through the application of EU coefficients (100%, 40% and 0%) and weighting factors (100%, 70% and 50%) that aim to reflect the differentiated contribution of each type of intervention towards the biodiversity objectives. Furthermore, given the design of the </w:t>
      </w:r>
      <w:r w:rsidR="009036F9">
        <w:t>CAP</w:t>
      </w:r>
      <w:r w:rsidR="000D7D9F" w:rsidRPr="00B13363">
        <w:t xml:space="preserve"> and the cohesion policy</w:t>
      </w:r>
      <w:r w:rsidR="000D7D9F" w:rsidRPr="00B13363">
        <w:rPr>
          <w:rFonts w:ascii="Calibri" w:hAnsi="Calibri" w:cs="Calibri"/>
        </w:rPr>
        <w:t> </w:t>
      </w:r>
      <w:r w:rsidR="000D7D9F" w:rsidRPr="00B13363">
        <w:t>– and the financial programming of the two programmes</w:t>
      </w:r>
      <w:r w:rsidR="000D7D9F" w:rsidRPr="00B13363">
        <w:rPr>
          <w:rFonts w:ascii="Calibri" w:hAnsi="Calibri" w:cs="Calibri"/>
        </w:rPr>
        <w:t> </w:t>
      </w:r>
      <w:r w:rsidR="000D7D9F" w:rsidRPr="00B13363">
        <w:t xml:space="preserve">– it is not possible to assign resources to specific years, as projects have a multiannual nature that cannot be attributed to a single year. </w:t>
      </w:r>
    </w:p>
    <w:p w14:paraId="65E99D57" w14:textId="77777777" w:rsidR="000D7D9F" w:rsidRPr="003E29CF" w:rsidRDefault="000D7D9F" w:rsidP="000D7D9F">
      <w:pPr>
        <w:suppressAutoHyphens w:val="0"/>
        <w:rPr>
          <w:rFonts w:eastAsia="Times New Roman"/>
          <w:noProof/>
          <w:sz w:val="24"/>
          <w:szCs w:val="24"/>
          <w:highlight w:val="lightGray"/>
        </w:rPr>
      </w:pPr>
      <w:r w:rsidRPr="003E29CF">
        <w:rPr>
          <w:noProof/>
          <w:highlight w:val="lightGray"/>
        </w:rPr>
        <w:br w:type="page"/>
      </w:r>
    </w:p>
    <w:p w14:paraId="4E45FA61" w14:textId="77777777" w:rsidR="000D7D9F" w:rsidRPr="00B13363" w:rsidRDefault="000D7D9F" w:rsidP="000D7D9F">
      <w:pPr>
        <w:pStyle w:val="Heading3"/>
        <w:rPr>
          <w:rFonts w:ascii="EC Square Sans Pro" w:hAnsi="EC Square Sans Pro"/>
        </w:rPr>
      </w:pPr>
      <w:r w:rsidRPr="00B13363">
        <w:rPr>
          <w:rFonts w:ascii="EC Square Sans Pro" w:hAnsi="EC Square Sans Pro"/>
        </w:rPr>
        <w:t>Gender equality mainstreaming</w:t>
      </w:r>
    </w:p>
    <w:p w14:paraId="6DA34B07" w14:textId="706618D0" w:rsidR="000D7D9F" w:rsidRPr="00B13363" w:rsidRDefault="000D7D9F" w:rsidP="008072FE">
      <w:r w:rsidRPr="00B13363">
        <w:t xml:space="preserve">In response to persistent gender gaps and intersecting inequalities, the EU has intensified efforts to make </w:t>
      </w:r>
      <w:r w:rsidR="00D62F0A">
        <w:br/>
      </w:r>
      <w:r w:rsidRPr="00B13363">
        <w:t xml:space="preserve">its budget and policymaking more inclusive. Challenges such as the cost-of-living crisis, care burden disparities and unequal access to digital and green jobs have highlighted the need for sustained investment </w:t>
      </w:r>
      <w:r w:rsidR="00D62F0A">
        <w:br/>
      </w:r>
      <w:r w:rsidRPr="00B13363">
        <w:t>in gender equality.</w:t>
      </w:r>
    </w:p>
    <w:p w14:paraId="2C824C0C" w14:textId="51DDA7E4" w:rsidR="000D7D9F" w:rsidRPr="00B13363" w:rsidRDefault="000D7D9F" w:rsidP="008072FE">
      <w:r w:rsidRPr="00B13363">
        <w:t>As a result, gender mainstreaming is now embedded across major EU policies and funding programmes, including the European Social Fund Plus, the European Regional Development Fund, the Just Transition Fund, Horizon Europe</w:t>
      </w:r>
      <w:r w:rsidRPr="00B13363" w:rsidDel="00D62C89">
        <w:t>,</w:t>
      </w:r>
      <w:r w:rsidRPr="00B13363" w:rsidDel="004D5E0F">
        <w:t xml:space="preserve"> </w:t>
      </w:r>
      <w:r w:rsidRPr="00B13363">
        <w:t xml:space="preserve">the </w:t>
      </w:r>
      <w:r w:rsidR="009036F9">
        <w:t>CAP</w:t>
      </w:r>
      <w:r w:rsidRPr="00B13363">
        <w:t xml:space="preserve"> and </w:t>
      </w:r>
      <w:r w:rsidR="008D10D9">
        <w:t xml:space="preserve">the </w:t>
      </w:r>
      <w:r w:rsidR="008D10D9" w:rsidRPr="00D96D38">
        <w:t>Neighbourhood, Development and International Cooperation Instrument</w:t>
      </w:r>
      <w:r w:rsidR="008D10D9" w:rsidRPr="00D96D38">
        <w:rPr>
          <w:rFonts w:ascii="Calibri" w:hAnsi="Calibri" w:cs="Calibri"/>
        </w:rPr>
        <w:t> </w:t>
      </w:r>
      <w:r w:rsidR="008D10D9" w:rsidRPr="00D96D38">
        <w:t>– Global Europe</w:t>
      </w:r>
      <w:r w:rsidRPr="00B13363">
        <w:t>. These tools promote equal access to resources, economic participation and social protection</w:t>
      </w:r>
      <w:r w:rsidR="00B7731E">
        <w:t xml:space="preserve">, </w:t>
      </w:r>
      <w:r w:rsidR="00B7731E" w:rsidRPr="00B7731E">
        <w:t>a</w:t>
      </w:r>
      <w:r w:rsidR="009D0299">
        <w:t>long with</w:t>
      </w:r>
      <w:r w:rsidR="00B7731E" w:rsidRPr="00B7731E">
        <w:t xml:space="preserve"> the prevention of conflict-related violence and participation in peace processes</w:t>
      </w:r>
      <w:r w:rsidRPr="00B13363">
        <w:rPr>
          <w:rFonts w:ascii="Calibri" w:hAnsi="Calibri" w:cs="Calibri"/>
        </w:rPr>
        <w:t> </w:t>
      </w:r>
      <w:r w:rsidRPr="00B13363">
        <w:t>– particularly for women and under</w:t>
      </w:r>
      <w:r w:rsidR="009E5DA7">
        <w:t>-</w:t>
      </w:r>
      <w:r w:rsidRPr="00B13363">
        <w:t>represented groups.</w:t>
      </w:r>
    </w:p>
    <w:p w14:paraId="402E3F13" w14:textId="1BD239B5" w:rsidR="00956C53" w:rsidRPr="00B13363" w:rsidRDefault="00F54A78" w:rsidP="11A67D5B">
      <w:pPr>
        <w:jc w:val="both"/>
        <w:rPr>
          <w:highlight w:val="lightGray"/>
        </w:rPr>
      </w:pPr>
      <w:r w:rsidRPr="002E307A">
        <w:t>Lo</w:t>
      </w:r>
      <w:r w:rsidRPr="00262E80">
        <w:t xml:space="preserve">oking ahead, a new </w:t>
      </w:r>
      <w:r w:rsidR="00F51F26">
        <w:t>g</w:t>
      </w:r>
      <w:r w:rsidRPr="00262E80">
        <w:t xml:space="preserve">ender </w:t>
      </w:r>
      <w:r w:rsidR="00F51F26">
        <w:t>e</w:t>
      </w:r>
      <w:r w:rsidRPr="00262E80">
        <w:t xml:space="preserve">quality </w:t>
      </w:r>
      <w:r w:rsidR="00F51F26">
        <w:t>s</w:t>
      </w:r>
      <w:r w:rsidRPr="00262E80">
        <w:t>trategy for 2026–2030</w:t>
      </w:r>
      <w:r w:rsidR="00956C53" w:rsidRPr="00262E80">
        <w:t xml:space="preserve"> was</w:t>
      </w:r>
      <w:r w:rsidR="00956C53" w:rsidRPr="00B13363">
        <w:t xml:space="preserve"> published in March 2026</w:t>
      </w:r>
      <w:r w:rsidR="002554BB">
        <w:t>,</w:t>
      </w:r>
      <w:r w:rsidRPr="00262E80">
        <w:t xml:space="preserve"> </w:t>
      </w:r>
      <w:r w:rsidR="00EB0598" w:rsidRPr="00262E80">
        <w:t>following up on</w:t>
      </w:r>
      <w:r w:rsidRPr="00262E80">
        <w:t xml:space="preserve"> </w:t>
      </w:r>
      <w:r w:rsidR="004A4358">
        <w:t>the</w:t>
      </w:r>
      <w:r w:rsidRPr="00262E80">
        <w:t xml:space="preserve"> 2024 political guidelines for the 2024</w:t>
      </w:r>
      <w:r w:rsidR="00F51F26">
        <w:t>-</w:t>
      </w:r>
      <w:r w:rsidRPr="00262E80">
        <w:t>2029 Commission.</w:t>
      </w:r>
      <w:r w:rsidR="442ADBF7">
        <w:t xml:space="preserve"> </w:t>
      </w:r>
      <w:r w:rsidR="00956C53" w:rsidRPr="00B13363">
        <w:t>The</w:t>
      </w:r>
      <w:r w:rsidRPr="00262E80">
        <w:t xml:space="preserve"> strategy</w:t>
      </w:r>
      <w:r w:rsidR="442ADBF7">
        <w:t xml:space="preserve"> not only</w:t>
      </w:r>
      <w:r w:rsidRPr="00262E80">
        <w:t xml:space="preserve"> builds on past achievements </w:t>
      </w:r>
      <w:r w:rsidR="442ADBF7">
        <w:t>but also sets a new benchmark in advancing gender equality, marking a decisive step forward in both ambition and accountability. It responds to</w:t>
      </w:r>
      <w:r w:rsidRPr="00262E80">
        <w:t xml:space="preserve"> emerging challenges</w:t>
      </w:r>
      <w:r w:rsidR="442ADBF7">
        <w:t xml:space="preserve"> with a more robust and forward-looking approach, while significantly enhancing the way financial contributions to gender equality are tracked and measured.</w:t>
      </w:r>
    </w:p>
    <w:p w14:paraId="71AB9045" w14:textId="2EBF8201" w:rsidR="000D7D9F" w:rsidRDefault="00111084" w:rsidP="000D7D9F">
      <w:pPr>
        <w:pStyle w:val="Heading4"/>
        <w:rPr>
          <w:rFonts w:ascii="EC Square Sans Pro" w:hAnsi="EC Square Sans Pro"/>
        </w:rPr>
      </w:pPr>
      <w:r>
        <w:rPr>
          <w:rFonts w:ascii="EC Square Sans Pro" w:hAnsi="EC Square Sans Pro"/>
        </w:rPr>
        <w:t>Examples of a</w:t>
      </w:r>
      <w:r w:rsidR="000D7D9F" w:rsidRPr="00B13363">
        <w:rPr>
          <w:rFonts w:ascii="EC Square Sans Pro" w:hAnsi="EC Square Sans Pro"/>
        </w:rPr>
        <w:t>chievements</w:t>
      </w:r>
    </w:p>
    <w:tbl>
      <w:tblPr>
        <w:tblStyle w:val="Infographicboxes"/>
        <w:tblW w:w="0" w:type="auto"/>
        <w:tblLook w:val="04A0" w:firstRow="1" w:lastRow="0" w:firstColumn="1" w:lastColumn="0" w:noHBand="0" w:noVBand="1"/>
      </w:tblPr>
      <w:tblGrid>
        <w:gridCol w:w="9041"/>
      </w:tblGrid>
      <w:tr w:rsidR="005A5BAF" w:rsidRPr="003E29CF" w14:paraId="3964FD78" w14:textId="77777777">
        <w:trPr>
          <w:cantSplit/>
        </w:trPr>
        <w:tc>
          <w:tcPr>
            <w:tcW w:w="9041" w:type="dxa"/>
          </w:tcPr>
          <w:p w14:paraId="2A091485" w14:textId="6B557FEA" w:rsidR="005A5BAF" w:rsidRPr="00B13363" w:rsidRDefault="005A5BAF">
            <w:r w:rsidRPr="00B13363">
              <w:rPr>
                <w:rStyle w:val="BoldAccent1"/>
              </w:rPr>
              <w:t>The citizens, equality, rights and</w:t>
            </w:r>
            <w:r w:rsidRPr="00B13363" w:rsidDel="003B2A5B">
              <w:rPr>
                <w:rStyle w:val="BoldAccent1"/>
              </w:rPr>
              <w:t xml:space="preserve"> </w:t>
            </w:r>
            <w:r w:rsidRPr="00B13363">
              <w:rPr>
                <w:rStyle w:val="BoldAccent1"/>
              </w:rPr>
              <w:t>values programme</w:t>
            </w:r>
            <w:r w:rsidRPr="00B13363">
              <w:t xml:space="preserve"> </w:t>
            </w:r>
            <w:r w:rsidRPr="009570CE">
              <w:t xml:space="preserve">contributed strongly to the three pillars </w:t>
            </w:r>
            <w:r w:rsidR="001C6FC5">
              <w:br/>
            </w:r>
            <w:r w:rsidRPr="009570CE">
              <w:t xml:space="preserve">of the EU </w:t>
            </w:r>
            <w:r w:rsidR="00284746">
              <w:t>g</w:t>
            </w:r>
            <w:r w:rsidRPr="009570CE">
              <w:t xml:space="preserve">ender </w:t>
            </w:r>
            <w:r w:rsidR="00284746">
              <w:t>e</w:t>
            </w:r>
            <w:r w:rsidRPr="009570CE">
              <w:t xml:space="preserve">quality </w:t>
            </w:r>
            <w:r w:rsidR="00284746">
              <w:t>s</w:t>
            </w:r>
            <w:r w:rsidRPr="009570CE">
              <w:t>trategy, with 25% of the</w:t>
            </w:r>
            <w:r w:rsidR="00B60C91">
              <w:rPr>
                <w:rFonts w:ascii="Arial" w:hAnsi="Arial" w:cs="Arial"/>
              </w:rPr>
              <w:t xml:space="preserve"> </w:t>
            </w:r>
            <w:r w:rsidRPr="009570CE">
              <w:t>programme</w:t>
            </w:r>
            <w:r w:rsidRPr="009570CE">
              <w:rPr>
                <w:rFonts w:cs="EC Square Sans Pro"/>
              </w:rPr>
              <w:t>’</w:t>
            </w:r>
            <w:r w:rsidRPr="009570CE">
              <w:t>s</w:t>
            </w:r>
            <w:r w:rsidR="00B60C91">
              <w:rPr>
                <w:rFonts w:ascii="Arial" w:hAnsi="Arial" w:cs="Arial"/>
              </w:rPr>
              <w:t xml:space="preserve"> </w:t>
            </w:r>
            <w:r w:rsidRPr="009570CE">
              <w:t xml:space="preserve">budget having gender equality </w:t>
            </w:r>
            <w:r w:rsidR="001C6FC5">
              <w:br/>
            </w:r>
            <w:r w:rsidRPr="009570CE">
              <w:t>as a primary</w:t>
            </w:r>
            <w:r w:rsidR="00B60C91">
              <w:rPr>
                <w:rFonts w:ascii="Arial" w:hAnsi="Arial" w:cs="Arial"/>
              </w:rPr>
              <w:t xml:space="preserve"> </w:t>
            </w:r>
            <w:r w:rsidRPr="009570CE">
              <w:t>objective. In 2025, this was</w:t>
            </w:r>
            <w:r w:rsidR="00B60C91">
              <w:rPr>
                <w:rFonts w:ascii="Arial" w:hAnsi="Arial" w:cs="Arial"/>
              </w:rPr>
              <w:t xml:space="preserve"> </w:t>
            </w:r>
            <w:r w:rsidRPr="009570CE">
              <w:t>mainly driven</w:t>
            </w:r>
            <w:r w:rsidR="00B60C91">
              <w:rPr>
                <w:rFonts w:ascii="Arial" w:hAnsi="Arial" w:cs="Arial"/>
              </w:rPr>
              <w:t xml:space="preserve"> </w:t>
            </w:r>
            <w:r w:rsidRPr="009570CE">
              <w:t xml:space="preserve">by the Daphne call, which aims to prevent </w:t>
            </w:r>
            <w:r w:rsidR="001C6FC5">
              <w:br/>
            </w:r>
            <w:r w:rsidRPr="009570CE">
              <w:t>and combat gender-based violence and violence against children</w:t>
            </w:r>
            <w:r w:rsidR="00284746">
              <w:t>,</w:t>
            </w:r>
            <w:r w:rsidR="00B60C91">
              <w:rPr>
                <w:rFonts w:ascii="Arial" w:hAnsi="Arial" w:cs="Arial"/>
              </w:rPr>
              <w:t xml:space="preserve"> </w:t>
            </w:r>
            <w:r w:rsidRPr="009570CE">
              <w:t>where</w:t>
            </w:r>
            <w:r w:rsidR="00B60C91">
              <w:rPr>
                <w:rFonts w:ascii="Arial" w:hAnsi="Arial" w:cs="Arial"/>
              </w:rPr>
              <w:t xml:space="preserve"> </w:t>
            </w:r>
            <w:r w:rsidR="00E03143">
              <w:t>EUR</w:t>
            </w:r>
            <w:r w:rsidR="00E03143">
              <w:rPr>
                <w:rFonts w:ascii="Calibri" w:hAnsi="Calibri" w:cs="Calibri"/>
              </w:rPr>
              <w:t> </w:t>
            </w:r>
            <w:r w:rsidRPr="009570CE">
              <w:t>15.4</w:t>
            </w:r>
            <w:r w:rsidR="00EB0E5C">
              <w:rPr>
                <w:rFonts w:ascii="Calibri" w:hAnsi="Calibri" w:cs="Calibri"/>
              </w:rPr>
              <w:t> </w:t>
            </w:r>
            <w:r w:rsidR="00EB0E5C">
              <w:t>million</w:t>
            </w:r>
            <w:r w:rsidRPr="009570CE">
              <w:t xml:space="preserve"> out of </w:t>
            </w:r>
            <w:r w:rsidR="00E03143">
              <w:t>EUR</w:t>
            </w:r>
            <w:r w:rsidR="00E03143">
              <w:rPr>
                <w:rFonts w:ascii="Calibri" w:hAnsi="Calibri" w:cs="Calibri"/>
              </w:rPr>
              <w:t> </w:t>
            </w:r>
            <w:r w:rsidRPr="009570CE">
              <w:t>23</w:t>
            </w:r>
            <w:r w:rsidR="00EB0E5C">
              <w:rPr>
                <w:rFonts w:ascii="Calibri" w:hAnsi="Calibri" w:cs="Calibri"/>
              </w:rPr>
              <w:t> </w:t>
            </w:r>
            <w:r w:rsidR="00EB0E5C">
              <w:t>million</w:t>
            </w:r>
            <w:r w:rsidRPr="009570CE">
              <w:t xml:space="preserve"> contributed to score 2. Overall, approximately 54% of the</w:t>
            </w:r>
            <w:r w:rsidR="001A5753">
              <w:rPr>
                <w:rFonts w:ascii="Arial" w:hAnsi="Arial" w:cs="Arial"/>
              </w:rPr>
              <w:t xml:space="preserve"> </w:t>
            </w:r>
            <w:r w:rsidRPr="009570CE">
              <w:t>programme</w:t>
            </w:r>
            <w:r w:rsidR="001A5753">
              <w:rPr>
                <w:rFonts w:ascii="Arial" w:hAnsi="Arial" w:cs="Arial"/>
              </w:rPr>
              <w:t xml:space="preserve"> </w:t>
            </w:r>
            <w:r w:rsidRPr="009570CE">
              <w:t>budget was</w:t>
            </w:r>
            <w:r w:rsidR="001A5753">
              <w:rPr>
                <w:rFonts w:ascii="Arial" w:hAnsi="Arial" w:cs="Arial"/>
              </w:rPr>
              <w:t xml:space="preserve"> </w:t>
            </w:r>
            <w:r w:rsidRPr="009570CE">
              <w:t>allocated</w:t>
            </w:r>
            <w:r w:rsidR="001A5753">
              <w:rPr>
                <w:rFonts w:ascii="Arial" w:hAnsi="Arial" w:cs="Arial"/>
              </w:rPr>
              <w:t xml:space="preserve"> </w:t>
            </w:r>
            <w:r w:rsidRPr="009570CE">
              <w:t>to gender score 1,</w:t>
            </w:r>
            <w:r w:rsidR="001A5753">
              <w:rPr>
                <w:rFonts w:ascii="Arial" w:hAnsi="Arial" w:cs="Arial"/>
              </w:rPr>
              <w:t xml:space="preserve"> </w:t>
            </w:r>
            <w:r w:rsidRPr="009570CE">
              <w:t>demonstrating</w:t>
            </w:r>
            <w:r w:rsidR="001A5753">
              <w:rPr>
                <w:rFonts w:ascii="Arial" w:hAnsi="Arial" w:cs="Arial"/>
              </w:rPr>
              <w:t xml:space="preserve"> </w:t>
            </w:r>
            <w:r w:rsidRPr="009570CE">
              <w:t>strong gender mainstreaming across</w:t>
            </w:r>
            <w:r w:rsidR="001A5753">
              <w:rPr>
                <w:rFonts w:ascii="Arial" w:hAnsi="Arial" w:cs="Arial"/>
              </w:rPr>
              <w:t xml:space="preserve"> </w:t>
            </w:r>
            <w:r w:rsidRPr="009570CE">
              <w:t>programme</w:t>
            </w:r>
            <w:r w:rsidR="001A5753">
              <w:rPr>
                <w:rFonts w:ascii="Arial" w:hAnsi="Arial" w:cs="Arial"/>
              </w:rPr>
              <w:t xml:space="preserve"> </w:t>
            </w:r>
            <w:r w:rsidRPr="009570CE">
              <w:t>actions.</w:t>
            </w:r>
          </w:p>
        </w:tc>
      </w:tr>
      <w:tr w:rsidR="008036D0" w:rsidRPr="003E29CF" w14:paraId="7FD7EF9E" w14:textId="77777777">
        <w:tc>
          <w:tcPr>
            <w:tcW w:w="9041" w:type="dxa"/>
          </w:tcPr>
          <w:p w14:paraId="5E4107DF" w14:textId="0307D060" w:rsidR="008036D0" w:rsidRPr="00B13363" w:rsidRDefault="008036D0">
            <w:r w:rsidRPr="00DC771A">
              <w:t xml:space="preserve">Under </w:t>
            </w:r>
            <w:r w:rsidRPr="00B13363">
              <w:rPr>
                <w:rStyle w:val="BoldAccent1"/>
              </w:rPr>
              <w:t>Horizon Europe</w:t>
            </w:r>
            <w:r w:rsidRPr="00D7362E">
              <w:rPr>
                <w:rStyle w:val="BoldAccent1"/>
                <w:b w:val="0"/>
                <w:bCs/>
                <w:color w:val="auto"/>
              </w:rPr>
              <w:t>,</w:t>
            </w:r>
            <w:r w:rsidRPr="009570CE">
              <w:rPr>
                <w:rStyle w:val="BoldAccent1"/>
              </w:rPr>
              <w:t xml:space="preserve"> </w:t>
            </w:r>
            <w:r w:rsidRPr="009570CE">
              <w:t xml:space="preserve">gender equality is a cross-cutting priority. Under the </w:t>
            </w:r>
            <w:r w:rsidR="005A441E">
              <w:t>p</w:t>
            </w:r>
            <w:r w:rsidRPr="009570CE">
              <w:t xml:space="preserve">rogramme, research </w:t>
            </w:r>
            <w:r w:rsidR="001C6FC5">
              <w:br/>
            </w:r>
            <w:r w:rsidRPr="009570CE">
              <w:t xml:space="preserve">and innovation contribute to gender equality primarily through the effective integration of the gender dimension in </w:t>
            </w:r>
            <w:r w:rsidR="00F60E7D">
              <w:rPr>
                <w:noProof/>
              </w:rPr>
              <w:t>research and innovation</w:t>
            </w:r>
            <w:r w:rsidRPr="009570CE">
              <w:t xml:space="preserve"> content, i.e. the consideration of sex and gender differences in research objectives, methodologies, data collection, analysis and results. The I</w:t>
            </w:r>
            <w:r w:rsidR="005A441E">
              <w:t>mprove</w:t>
            </w:r>
            <w:r w:rsidRPr="009570CE">
              <w:t xml:space="preserve"> project supports victims of domestic violence</w:t>
            </w:r>
            <w:r w:rsidR="001A5753">
              <w:rPr>
                <w:rFonts w:ascii="Calibri" w:hAnsi="Calibri" w:cs="Calibri"/>
              </w:rPr>
              <w:t> –</w:t>
            </w:r>
            <w:r w:rsidR="001A5753">
              <w:t xml:space="preserve"> </w:t>
            </w:r>
            <w:r w:rsidRPr="009570CE">
              <w:t>particularly those from marginalised groups</w:t>
            </w:r>
            <w:r w:rsidR="001A5753">
              <w:rPr>
                <w:rFonts w:ascii="Calibri" w:hAnsi="Calibri" w:cs="Calibri"/>
              </w:rPr>
              <w:t> –</w:t>
            </w:r>
            <w:r w:rsidR="001A5753">
              <w:t xml:space="preserve"> </w:t>
            </w:r>
            <w:r w:rsidRPr="009570CE">
              <w:t xml:space="preserve">by developing AI tools for reporting, detection and assistance. Moreover, the </w:t>
            </w:r>
            <w:r w:rsidR="005A606F">
              <w:t>g</w:t>
            </w:r>
            <w:r w:rsidR="005A441E">
              <w:t>rass</w:t>
            </w:r>
            <w:r w:rsidRPr="009570CE">
              <w:t xml:space="preserve"> </w:t>
            </w:r>
            <w:r w:rsidR="00D97BA8">
              <w:t>c</w:t>
            </w:r>
            <w:r w:rsidRPr="009570CE">
              <w:t>eiling project (Cluster 6) addresses gender inequalities by co-designing solutions with rural women innovators. Through community hubs, it brings together women farmers, enterprise officers, financial institutions and researchers to identify barriers, co-create support systems and generate new businesses, partnerships and policy recommendations.</w:t>
            </w:r>
          </w:p>
        </w:tc>
      </w:tr>
      <w:tr w:rsidR="005A5BAF" w:rsidRPr="003E29CF" w14:paraId="24A299C3" w14:textId="77777777">
        <w:tc>
          <w:tcPr>
            <w:tcW w:w="9041" w:type="dxa"/>
          </w:tcPr>
          <w:p w14:paraId="03CB2DA4" w14:textId="74DDB2C9" w:rsidR="005A5BAF" w:rsidRPr="00DC771A" w:rsidRDefault="005A5BAF" w:rsidP="00173EAD">
            <w:pPr>
              <w:pageBreakBefore/>
            </w:pPr>
            <w:r w:rsidRPr="000250A5">
              <w:t xml:space="preserve">With </w:t>
            </w:r>
            <w:r w:rsidRPr="000250A5" w:rsidDel="00377189">
              <w:t>EUR</w:t>
            </w:r>
            <w:r w:rsidRPr="000250A5">
              <w:rPr>
                <w:rFonts w:ascii="Calibri" w:hAnsi="Calibri" w:cs="Calibri"/>
              </w:rPr>
              <w:t> </w:t>
            </w:r>
            <w:r w:rsidRPr="000250A5">
              <w:t>2.4</w:t>
            </w:r>
            <w:r w:rsidRPr="000250A5">
              <w:rPr>
                <w:rFonts w:ascii="Calibri" w:hAnsi="Calibri" w:cs="Calibri"/>
              </w:rPr>
              <w:t> </w:t>
            </w:r>
            <w:r w:rsidRPr="000250A5">
              <w:t>million in funding, the</w:t>
            </w:r>
            <w:r w:rsidRPr="000250A5">
              <w:rPr>
                <w:color w:val="003399" w:themeColor="text2"/>
              </w:rPr>
              <w:t xml:space="preserve"> </w:t>
            </w:r>
            <w:r w:rsidRPr="000250A5">
              <w:rPr>
                <w:rStyle w:val="BoldAccent1"/>
              </w:rPr>
              <w:t>European Social Fund Plus</w:t>
            </w:r>
            <w:r w:rsidRPr="000250A5">
              <w:rPr>
                <w:color w:val="003399" w:themeColor="text2"/>
              </w:rPr>
              <w:t xml:space="preserve"> </w:t>
            </w:r>
            <w:r w:rsidRPr="00B13363">
              <w:t>supports the project ‘FairPlusService’ in Austria to enhance the professional development and further training of formally low-skilled and unqualified women, fostering equal opportunities and empowerment. The initiative targets women with limited formal qualifications, offering a range of measures to support employment, such as providing compact training and short learning units to stimulate continuous skill development, a</w:t>
            </w:r>
            <w:r w:rsidR="009D507A">
              <w:t xml:space="preserve">long with </w:t>
            </w:r>
            <w:r w:rsidRPr="00B13363">
              <w:t>tailored consulting and coaching services for both Austrian companies and the women themselves. The project focuses on key sectors such as trade, tourism, health and social care and education, where advisory services are delivered to bridge skill gaps and promote career advancement. These services are complemented by comprehensive outreach efforts and broad knowledge-sharing initiatives to ensure long-term impact. Overall, the project seeks to promote long-term employment stability, gender equality and labour market participation for some of Austria’s most vulnerable women.</w:t>
            </w:r>
          </w:p>
        </w:tc>
      </w:tr>
      <w:tr w:rsidR="00503C6D" w:rsidRPr="003E29CF" w14:paraId="59DE8FEE" w14:textId="77777777">
        <w:tc>
          <w:tcPr>
            <w:tcW w:w="9041" w:type="dxa"/>
          </w:tcPr>
          <w:p w14:paraId="1C71EEB0" w14:textId="5CD4127A" w:rsidR="00503C6D" w:rsidRPr="00B13363" w:rsidRDefault="00A94B9D">
            <w:pPr>
              <w:rPr>
                <w:rStyle w:val="BoldAccent1"/>
              </w:rPr>
            </w:pPr>
            <w:r w:rsidRPr="00A94B9D">
              <w:rPr>
                <w:rStyle w:val="BoldAccent1"/>
              </w:rPr>
              <w:t xml:space="preserve">The European Regional Development Fund </w:t>
            </w:r>
            <w:r w:rsidRPr="0087125F">
              <w:t xml:space="preserve">continues to play a pivotal role in advancing gender equality through a dual approach of gender mainstreaming and targeted interventions. For the </w:t>
            </w:r>
            <w:r w:rsidR="001C6FC5">
              <w:br/>
            </w:r>
            <w:r w:rsidRPr="0087125F">
              <w:t>2021</w:t>
            </w:r>
            <w:r w:rsidR="000F1E6B">
              <w:rPr>
                <w:bCs/>
              </w:rPr>
              <w:t>-</w:t>
            </w:r>
            <w:r w:rsidRPr="0087125F">
              <w:t xml:space="preserve">2027 programming period, a total of </w:t>
            </w:r>
            <w:r w:rsidR="00D069B7">
              <w:rPr>
                <w:bCs/>
              </w:rPr>
              <w:t>EUR</w:t>
            </w:r>
            <w:r w:rsidR="000F1E6B">
              <w:rPr>
                <w:rFonts w:ascii="Calibri" w:hAnsi="Calibri" w:cs="Calibri"/>
                <w:bCs/>
              </w:rPr>
              <w:t> </w:t>
            </w:r>
            <w:r w:rsidRPr="0087125F">
              <w:t>19.9</w:t>
            </w:r>
            <w:r w:rsidR="000F1E6B">
              <w:rPr>
                <w:rFonts w:ascii="Calibri" w:hAnsi="Calibri" w:cs="Calibri"/>
                <w:bCs/>
              </w:rPr>
              <w:t> </w:t>
            </w:r>
            <w:r w:rsidRPr="0087125F">
              <w:t>billion has been earmarked for gender-targeted and mainstreaming measures. For example, this support will facilitate the participation of women in research and innovation, embed a gender lens in sustainable urban development and renewable energy transitions and alleviate the disproportionate care burdens shouldered by women by improving access to quality care services.</w:t>
            </w:r>
            <w:r w:rsidRPr="0087125F">
              <w:rPr>
                <w:rStyle w:val="BoldAccent1"/>
                <w:b w:val="0"/>
              </w:rPr>
              <w:t xml:space="preserve">  </w:t>
            </w:r>
          </w:p>
        </w:tc>
      </w:tr>
      <w:tr w:rsidR="005A5BAF" w:rsidRPr="003E29CF" w14:paraId="69257F60" w14:textId="77777777">
        <w:tc>
          <w:tcPr>
            <w:tcW w:w="9041" w:type="dxa"/>
          </w:tcPr>
          <w:p w14:paraId="0E122516" w14:textId="1F832465" w:rsidR="005A5BAF" w:rsidRPr="000250A5" w:rsidRDefault="005A5BAF">
            <w:r w:rsidRPr="00B13363">
              <w:rPr>
                <w:rStyle w:val="BoldAccent1"/>
              </w:rPr>
              <w:t>The Recovery and Resilience Facility</w:t>
            </w:r>
            <w:r w:rsidRPr="00B13363">
              <w:t xml:space="preserve"> supported</w:t>
            </w:r>
            <w:r w:rsidRPr="009570CE" w:rsidDel="001544CC">
              <w:t xml:space="preserve"> </w:t>
            </w:r>
            <w:r w:rsidRPr="009570CE">
              <w:t xml:space="preserve">a </w:t>
            </w:r>
            <w:r w:rsidRPr="009570CE">
              <w:rPr>
                <w:noProof/>
              </w:rPr>
              <w:t xml:space="preserve">wide range of measures contributing to gender equality. These include investments and reforms specifically designed to tackle inequalities based on gender (score 2, contributing to this objective with around </w:t>
            </w:r>
            <w:r w:rsidR="00E03143">
              <w:rPr>
                <w:noProof/>
              </w:rPr>
              <w:t>EUR</w:t>
            </w:r>
            <w:r w:rsidR="00E03143">
              <w:rPr>
                <w:rFonts w:ascii="Calibri" w:hAnsi="Calibri" w:cs="Calibri"/>
                <w:noProof/>
              </w:rPr>
              <w:t> </w:t>
            </w:r>
            <w:r w:rsidRPr="009570CE">
              <w:rPr>
                <w:noProof/>
              </w:rPr>
              <w:t>12.4</w:t>
            </w:r>
            <w:r w:rsidR="00EB0E5C">
              <w:rPr>
                <w:rFonts w:ascii="Calibri" w:hAnsi="Calibri" w:cs="Calibri"/>
                <w:noProof/>
              </w:rPr>
              <w:t> </w:t>
            </w:r>
            <w:r w:rsidR="00EB0E5C">
              <w:rPr>
                <w:noProof/>
              </w:rPr>
              <w:t>billion</w:t>
            </w:r>
            <w:r w:rsidRPr="009570CE">
              <w:rPr>
                <w:noProof/>
              </w:rPr>
              <w:t xml:space="preserve"> over the lifetime of the R</w:t>
            </w:r>
            <w:r w:rsidR="009D507A">
              <w:rPr>
                <w:noProof/>
              </w:rPr>
              <w:t>ecovery and Resilience Facility</w:t>
            </w:r>
            <w:r w:rsidRPr="009570CE">
              <w:rPr>
                <w:noProof/>
              </w:rPr>
              <w:t xml:space="preserve">) and other type of investments and reforms which are directly or indirectly contributing to gender equality (score 1, corresponding to around </w:t>
            </w:r>
            <w:r w:rsidR="00E03143">
              <w:rPr>
                <w:noProof/>
              </w:rPr>
              <w:t>EUR</w:t>
            </w:r>
            <w:r w:rsidR="00E03143">
              <w:rPr>
                <w:rFonts w:ascii="Calibri" w:hAnsi="Calibri" w:cs="Calibri"/>
                <w:noProof/>
              </w:rPr>
              <w:t> </w:t>
            </w:r>
            <w:r w:rsidRPr="009570CE">
              <w:rPr>
                <w:noProof/>
              </w:rPr>
              <w:t>5.7</w:t>
            </w:r>
            <w:r w:rsidR="00EB0E5C">
              <w:rPr>
                <w:rFonts w:ascii="Calibri" w:hAnsi="Calibri" w:cs="Calibri"/>
                <w:noProof/>
              </w:rPr>
              <w:t> </w:t>
            </w:r>
            <w:r w:rsidR="00EB0E5C">
              <w:rPr>
                <w:noProof/>
              </w:rPr>
              <w:t>billion</w:t>
            </w:r>
            <w:r w:rsidRPr="009570CE">
              <w:rPr>
                <w:noProof/>
              </w:rPr>
              <w:t>). For example, a</w:t>
            </w:r>
            <w:r w:rsidR="00D103BB">
              <w:rPr>
                <w:noProof/>
              </w:rPr>
              <w:t xml:space="preserve"> </w:t>
            </w:r>
            <w:r w:rsidRPr="009570CE">
              <w:rPr>
                <w:noProof/>
              </w:rPr>
              <w:t>measure specifically designed to tackle gender</w:t>
            </w:r>
            <w:r w:rsidR="00D103BB">
              <w:rPr>
                <w:noProof/>
              </w:rPr>
              <w:t xml:space="preserve"> </w:t>
            </w:r>
            <w:r w:rsidRPr="009570CE">
              <w:rPr>
                <w:noProof/>
              </w:rPr>
              <w:t xml:space="preserve">inequalities is the Portuguese </w:t>
            </w:r>
            <w:r w:rsidRPr="009570CE">
              <w:t xml:space="preserve">reform to </w:t>
            </w:r>
            <w:r w:rsidRPr="009570CE">
              <w:rPr>
                <w:noProof/>
              </w:rPr>
              <w:t xml:space="preserve">combat inequalities between women and men, which awards a seal to companies with a narrow </w:t>
            </w:r>
            <w:r w:rsidRPr="009570CE">
              <w:t>gender pay gap</w:t>
            </w:r>
            <w:r w:rsidRPr="009570CE">
              <w:rPr>
                <w:noProof/>
              </w:rPr>
              <w:t>. An example of measures directly or indirectly contributing to gender equality include</w:t>
            </w:r>
            <w:r w:rsidR="00350269">
              <w:rPr>
                <w:noProof/>
              </w:rPr>
              <w:t>s</w:t>
            </w:r>
            <w:r w:rsidRPr="009570CE">
              <w:rPr>
                <w:noProof/>
              </w:rPr>
              <w:t xml:space="preserve"> investments and reforms improving the access to and the quality of long-term care, for which women traditionally take a disproportionate burden</w:t>
            </w:r>
            <w:r w:rsidRPr="009570CE">
              <w:t xml:space="preserve"> in</w:t>
            </w:r>
            <w:r w:rsidRPr="009570CE">
              <w:rPr>
                <w:noProof/>
              </w:rPr>
              <w:t xml:space="preserve"> households in </w:t>
            </w:r>
            <w:r w:rsidR="002F6B49" w:rsidRPr="002F6B49">
              <w:rPr>
                <w:noProof/>
              </w:rPr>
              <w:t xml:space="preserve">Czechia, Estonia, </w:t>
            </w:r>
            <w:r w:rsidR="00644265">
              <w:rPr>
                <w:noProof/>
              </w:rPr>
              <w:t xml:space="preserve">Spain, </w:t>
            </w:r>
            <w:r w:rsidR="002F6B49" w:rsidRPr="002F6B49">
              <w:rPr>
                <w:noProof/>
              </w:rPr>
              <w:t xml:space="preserve">Cyprus, Lithuania, </w:t>
            </w:r>
            <w:r w:rsidRPr="009570CE">
              <w:rPr>
                <w:noProof/>
              </w:rPr>
              <w:t>Austria</w:t>
            </w:r>
            <w:r w:rsidR="00500E80">
              <w:rPr>
                <w:noProof/>
              </w:rPr>
              <w:t>,</w:t>
            </w:r>
            <w:r w:rsidR="00F77571" w:rsidRPr="009570CE">
              <w:rPr>
                <w:noProof/>
              </w:rPr>
              <w:t xml:space="preserve"> </w:t>
            </w:r>
            <w:r w:rsidRPr="009570CE">
              <w:rPr>
                <w:noProof/>
              </w:rPr>
              <w:t>Poland</w:t>
            </w:r>
            <w:r w:rsidR="00500E80">
              <w:rPr>
                <w:noProof/>
              </w:rPr>
              <w:t>,</w:t>
            </w:r>
            <w:r w:rsidR="00F77571" w:rsidRPr="002F6B49">
              <w:rPr>
                <w:noProof/>
              </w:rPr>
              <w:t xml:space="preserve"> Slovenia</w:t>
            </w:r>
            <w:r w:rsidR="00500E80">
              <w:rPr>
                <w:noProof/>
              </w:rPr>
              <w:t xml:space="preserve"> and</w:t>
            </w:r>
            <w:r w:rsidR="00F77571" w:rsidRPr="002F6B49">
              <w:rPr>
                <w:noProof/>
              </w:rPr>
              <w:t xml:space="preserve"> </w:t>
            </w:r>
            <w:r w:rsidR="002F6B49" w:rsidRPr="002F6B49">
              <w:rPr>
                <w:noProof/>
              </w:rPr>
              <w:t>Slovakia</w:t>
            </w:r>
            <w:r w:rsidRPr="009570CE">
              <w:rPr>
                <w:noProof/>
              </w:rPr>
              <w:t>.</w:t>
            </w:r>
          </w:p>
        </w:tc>
      </w:tr>
      <w:tr w:rsidR="000D7D9F" w:rsidRPr="003E29CF" w14:paraId="64AB1BB1" w14:textId="77777777" w:rsidTr="00042015">
        <w:trPr>
          <w:cantSplit/>
        </w:trPr>
        <w:tc>
          <w:tcPr>
            <w:tcW w:w="9041" w:type="dxa"/>
          </w:tcPr>
          <w:p w14:paraId="405DAC63" w14:textId="3E95430A" w:rsidR="000D7D9F" w:rsidRPr="00B13363" w:rsidRDefault="005A5BAF" w:rsidP="00004897">
            <w:r w:rsidRPr="00004897">
              <w:t xml:space="preserve">Under the </w:t>
            </w:r>
            <w:r w:rsidRPr="00B13363">
              <w:rPr>
                <w:rStyle w:val="BoldAccent1"/>
              </w:rPr>
              <w:t>Instrument for Pre-accession Assistance</w:t>
            </w:r>
            <w:r w:rsidR="006C63AA">
              <w:rPr>
                <w:rStyle w:val="BoldAccent1"/>
              </w:rPr>
              <w:t xml:space="preserve"> III</w:t>
            </w:r>
            <w:r w:rsidRPr="00B13363">
              <w:rPr>
                <w:color w:val="003399" w:themeColor="text2"/>
              </w:rPr>
              <w:t xml:space="preserve">, </w:t>
            </w:r>
            <w:r w:rsidRPr="00B13363">
              <w:t xml:space="preserve">35% of all actions adopted between </w:t>
            </w:r>
            <w:r w:rsidR="001C6FC5">
              <w:br/>
            </w:r>
            <w:r w:rsidRPr="00B13363">
              <w:t>2021</w:t>
            </w:r>
            <w:r w:rsidR="00066EFD">
              <w:t xml:space="preserve"> and </w:t>
            </w:r>
            <w:r w:rsidRPr="00B13363">
              <w:t xml:space="preserve">2025 have gender as a significant or principal objective and an increasing number of country and regional actions have gender equality as a principal objective. These targeted actions include, amongst others, the fight against gender-based violence in North Macedonia through the </w:t>
            </w:r>
            <w:r w:rsidR="00505233">
              <w:t>‘</w:t>
            </w:r>
            <w:r w:rsidRPr="00B13363">
              <w:t>W</w:t>
            </w:r>
            <w:r w:rsidR="00B23152">
              <w:t>e care</w:t>
            </w:r>
            <w:r w:rsidRPr="00B13363">
              <w:t xml:space="preserve">: United </w:t>
            </w:r>
            <w:r w:rsidR="008E32BE">
              <w:t>w</w:t>
            </w:r>
            <w:r w:rsidRPr="00B13363">
              <w:t xml:space="preserve">e </w:t>
            </w:r>
            <w:r w:rsidR="008E32BE">
              <w:t>s</w:t>
            </w:r>
            <w:r w:rsidRPr="00B13363">
              <w:t xml:space="preserve">tand to </w:t>
            </w:r>
            <w:r w:rsidR="008E32BE">
              <w:t>f</w:t>
            </w:r>
            <w:r w:rsidRPr="00B13363">
              <w:t xml:space="preserve">ight </w:t>
            </w:r>
            <w:r w:rsidR="008E32BE">
              <w:t>a</w:t>
            </w:r>
            <w:r w:rsidRPr="00B13363">
              <w:t xml:space="preserve">gainst </w:t>
            </w:r>
            <w:r w:rsidR="008E32BE">
              <w:t>s</w:t>
            </w:r>
            <w:r w:rsidRPr="00B13363">
              <w:t xml:space="preserve">exual and </w:t>
            </w:r>
            <w:r w:rsidR="008E32BE">
              <w:t>g</w:t>
            </w:r>
            <w:r w:rsidRPr="00B13363">
              <w:t>ender</w:t>
            </w:r>
            <w:r w:rsidR="008E32BE">
              <w:t>-b</w:t>
            </w:r>
            <w:r w:rsidRPr="00B13363">
              <w:t xml:space="preserve">ased </w:t>
            </w:r>
            <w:r w:rsidR="008E32BE">
              <w:t>v</w:t>
            </w:r>
            <w:r w:rsidRPr="00B13363">
              <w:t>iolence</w:t>
            </w:r>
            <w:r w:rsidR="00505233">
              <w:t>’</w:t>
            </w:r>
            <w:r w:rsidRPr="00B13363">
              <w:t xml:space="preserve"> action, which empowers civil society organisations to encourage positive behavioural change across society for the effective protection of women. In Albania, the EU supports equal participation and leadership through the </w:t>
            </w:r>
            <w:r w:rsidR="00505233">
              <w:t>‘</w:t>
            </w:r>
            <w:r w:rsidRPr="00B13363">
              <w:t>EU for Gender Equality II</w:t>
            </w:r>
            <w:r w:rsidR="00CB57D4">
              <w:rPr>
                <w:rFonts w:ascii="Calibri" w:hAnsi="Calibri" w:cs="Calibri"/>
              </w:rPr>
              <w:t> –</w:t>
            </w:r>
            <w:r w:rsidRPr="00B13363">
              <w:t xml:space="preserve"> Gender Equality Facility in Albania</w:t>
            </w:r>
            <w:r w:rsidR="00505233">
              <w:t>’</w:t>
            </w:r>
            <w:r w:rsidRPr="00B13363">
              <w:t xml:space="preserve">, which seeks to promote the consistent application of gender-responsive governance by national authorities, to strengthen equality, combat discrimination, and enhance women's empowerment and human rights, in line with the EU </w:t>
            </w:r>
            <w:r w:rsidR="00F43C9F" w:rsidRPr="00B27FED">
              <w:rPr>
                <w:i/>
                <w:iCs/>
              </w:rPr>
              <w:t>a</w:t>
            </w:r>
            <w:r w:rsidRPr="00B27FED">
              <w:rPr>
                <w:i/>
                <w:iCs/>
              </w:rPr>
              <w:t>cquis</w:t>
            </w:r>
            <w:r w:rsidRPr="00B13363">
              <w:t xml:space="preserve"> on </w:t>
            </w:r>
            <w:r w:rsidR="00F43C9F">
              <w:t>g</w:t>
            </w:r>
            <w:r w:rsidRPr="00B13363">
              <w:t xml:space="preserve">ender </w:t>
            </w:r>
            <w:r w:rsidR="00F43C9F">
              <w:t>e</w:t>
            </w:r>
            <w:r w:rsidRPr="00B13363">
              <w:t>quality.</w:t>
            </w:r>
          </w:p>
        </w:tc>
      </w:tr>
      <w:tr w:rsidR="000D7D9F" w:rsidRPr="003E29CF" w14:paraId="0570AB08" w14:textId="77777777" w:rsidTr="00042015">
        <w:trPr>
          <w:cantSplit/>
        </w:trPr>
        <w:tc>
          <w:tcPr>
            <w:tcW w:w="9041" w:type="dxa"/>
          </w:tcPr>
          <w:p w14:paraId="5720191F" w14:textId="4270103C" w:rsidR="000D7D9F" w:rsidRPr="00B13363" w:rsidRDefault="005A5BAF" w:rsidP="00EE3971">
            <w:pPr>
              <w:spacing w:after="120"/>
              <w:rPr>
                <w:b/>
                <w:color w:val="003399" w:themeColor="text2"/>
                <w:spacing w:val="1"/>
              </w:rPr>
            </w:pPr>
            <w:r w:rsidRPr="00004897">
              <w:t xml:space="preserve">Under the </w:t>
            </w:r>
            <w:r w:rsidRPr="00B13363">
              <w:rPr>
                <w:rStyle w:val="BoldAccent1"/>
              </w:rPr>
              <w:t>Neighbourhood, Development and International Cooperation Instrument</w:t>
            </w:r>
            <w:r w:rsidRPr="00B13363">
              <w:rPr>
                <w:rStyle w:val="BoldAccent1"/>
                <w:rFonts w:ascii="Calibri" w:hAnsi="Calibri" w:cs="Calibri"/>
              </w:rPr>
              <w:t> </w:t>
            </w:r>
            <w:r w:rsidRPr="00B13363">
              <w:rPr>
                <w:rStyle w:val="BoldAccent1"/>
              </w:rPr>
              <w:t>– Global Europe</w:t>
            </w:r>
            <w:r w:rsidRPr="00B27FED">
              <w:rPr>
                <w:rStyle w:val="Bold"/>
                <w:b w:val="0"/>
                <w:bCs/>
                <w:color w:val="003399" w:themeColor="text2"/>
              </w:rPr>
              <w:t>,</w:t>
            </w:r>
            <w:r w:rsidRPr="00B13363" w:rsidDel="00A930E2">
              <w:rPr>
                <w:color w:val="003399" w:themeColor="text2"/>
              </w:rPr>
              <w:t xml:space="preserve"> </w:t>
            </w:r>
            <w:r w:rsidRPr="00B13363">
              <w:t>between 2021 and 2025, the share of external actions contributing to gender equality and women’s empowerment reached 83% and</w:t>
            </w:r>
            <w:r w:rsidR="0084660F">
              <w:t>,</w:t>
            </w:r>
            <w:r w:rsidRPr="00B13363">
              <w:t xml:space="preserve"> of th</w:t>
            </w:r>
            <w:r w:rsidR="0084660F">
              <w:t>e</w:t>
            </w:r>
            <w:r w:rsidRPr="00B13363">
              <w:t xml:space="preserve">se, 4.7% (about 90 programmes at </w:t>
            </w:r>
            <w:r w:rsidR="00655510">
              <w:t xml:space="preserve">the </w:t>
            </w:r>
            <w:r w:rsidRPr="00B13363">
              <w:t xml:space="preserve">country, regional and global levels) had gender equality as </w:t>
            </w:r>
            <w:r w:rsidR="00655510">
              <w:t xml:space="preserve">a </w:t>
            </w:r>
            <w:r w:rsidRPr="00B13363">
              <w:t>principal objective.</w:t>
            </w:r>
            <w:r w:rsidRPr="009570CE">
              <w:t xml:space="preserve"> </w:t>
            </w:r>
            <w:r w:rsidRPr="00B13363">
              <w:t>For instance,</w:t>
            </w:r>
            <w:r w:rsidRPr="009570CE">
              <w:t xml:space="preserve"> </w:t>
            </w:r>
            <w:r w:rsidRPr="00B13363">
              <w:t xml:space="preserve">the Advocacy, Coalition Building and Transformative Feminist Action Programme is a </w:t>
            </w:r>
            <w:r w:rsidR="00E03143">
              <w:t>EUR</w:t>
            </w:r>
            <w:r w:rsidR="00E03143">
              <w:rPr>
                <w:rFonts w:ascii="Calibri" w:hAnsi="Calibri" w:cs="Calibri"/>
              </w:rPr>
              <w:t> </w:t>
            </w:r>
            <w:r w:rsidRPr="00B13363">
              <w:t>22</w:t>
            </w:r>
            <w:r w:rsidR="00EB0E5C">
              <w:rPr>
                <w:rFonts w:ascii="Calibri" w:hAnsi="Calibri" w:cs="Calibri"/>
              </w:rPr>
              <w:t> </w:t>
            </w:r>
            <w:r w:rsidR="00EB0E5C">
              <w:t>million</w:t>
            </w:r>
            <w:r w:rsidRPr="00B13363">
              <w:t xml:space="preserve"> initiative funded by the E</w:t>
            </w:r>
            <w:r w:rsidR="00FF4F8E">
              <w:t>U</w:t>
            </w:r>
            <w:r w:rsidRPr="00B13363">
              <w:t xml:space="preserve"> and implemented by UN Women. The </w:t>
            </w:r>
            <w:r w:rsidR="00FF4F8E">
              <w:t>p</w:t>
            </w:r>
            <w:r w:rsidRPr="00B13363">
              <w:t xml:space="preserve">rogramme strengthens women’s rights movements to advocate and work with public authorities on policy and legal reforms and accountability mechanisms to end all forms of violence against women and girls, particularly in contexts of shrinking civic space. </w:t>
            </w:r>
            <w:r w:rsidR="001C6FC5">
              <w:br/>
            </w:r>
            <w:r w:rsidRPr="00B13363">
              <w:t xml:space="preserve">In 2025, through </w:t>
            </w:r>
            <w:r w:rsidR="00E728AB">
              <w:t>the programme</w:t>
            </w:r>
            <w:r w:rsidRPr="00B13363">
              <w:t>, women’</w:t>
            </w:r>
            <w:r w:rsidR="00C24017">
              <w:t>s</w:t>
            </w:r>
            <w:r w:rsidRPr="00B13363">
              <w:t xml:space="preserve"> rights organisations and activists shaped more than 20 global and regional normative and policy processes, such as the adoption of the M</w:t>
            </w:r>
            <w:r w:rsidR="00BD6261">
              <w:t>ercosur</w:t>
            </w:r>
            <w:r w:rsidRPr="00B13363">
              <w:t xml:space="preserve"> Agreement </w:t>
            </w:r>
            <w:r w:rsidR="001C6FC5">
              <w:br/>
            </w:r>
            <w:r w:rsidRPr="00B13363">
              <w:t xml:space="preserve">on the Mutual Recognition of Protection Measures for Women in Situations of Gender-Based Violence, the ratification of </w:t>
            </w:r>
            <w:r w:rsidR="00BF7038">
              <w:t xml:space="preserve">the </w:t>
            </w:r>
            <w:r w:rsidRPr="00B13363">
              <w:t>I</w:t>
            </w:r>
            <w:r w:rsidR="00BF7038">
              <w:t xml:space="preserve">nternational Labour </w:t>
            </w:r>
            <w:r w:rsidRPr="00B13363">
              <w:t>O</w:t>
            </w:r>
            <w:r w:rsidR="00BF7038">
              <w:t>rganiza</w:t>
            </w:r>
            <w:r w:rsidR="00CA6776">
              <w:t>tion</w:t>
            </w:r>
            <w:r w:rsidR="009437A0">
              <w:t>’s</w:t>
            </w:r>
            <w:r w:rsidRPr="00B13363">
              <w:t xml:space="preserve"> Convention 190, and continental justice </w:t>
            </w:r>
            <w:r w:rsidR="001C6FC5">
              <w:br/>
            </w:r>
            <w:r w:rsidRPr="00B13363">
              <w:t>and accountability frameworks, notably the African Union Convention on Ending Violence against Women and Girls.</w:t>
            </w:r>
          </w:p>
        </w:tc>
      </w:tr>
    </w:tbl>
    <w:p w14:paraId="49551CD6" w14:textId="77777777" w:rsidR="000D7D9F" w:rsidRPr="00B13363" w:rsidRDefault="000D7D9F" w:rsidP="000D7D9F">
      <w:pPr>
        <w:pStyle w:val="Heading4"/>
        <w:rPr>
          <w:rFonts w:ascii="EC Square Sans Pro" w:hAnsi="EC Square Sans Pro"/>
          <w:szCs w:val="28"/>
        </w:rPr>
      </w:pPr>
      <w:r w:rsidRPr="00B13363">
        <w:rPr>
          <w:rFonts w:ascii="EC Square Sans Pro" w:hAnsi="EC Square Sans Pro"/>
        </w:rPr>
        <w:t>How mu</w:t>
      </w:r>
      <w:r w:rsidRPr="00B13363">
        <w:rPr>
          <w:rFonts w:ascii="EC Square Sans Pro" w:hAnsi="EC Square Sans Pro"/>
          <w:szCs w:val="28"/>
        </w:rPr>
        <w:t>ch do we spend?</w:t>
      </w:r>
    </w:p>
    <w:p w14:paraId="61402272" w14:textId="77777777" w:rsidR="000D7D9F" w:rsidRPr="00B13363" w:rsidRDefault="000D7D9F" w:rsidP="008072FE">
      <w:r w:rsidRPr="00B13363">
        <w:t>In line with the 2020-2025 gender equality strategy, the 2021-2027 multiannual financial</w:t>
      </w:r>
      <w:r w:rsidRPr="00B13363" w:rsidDel="00F41AC0">
        <w:t xml:space="preserve"> </w:t>
      </w:r>
      <w:r w:rsidRPr="00B13363">
        <w:t>framework and NextGenerationEU support a range of initiatives promoting women’s labour market participation, work–life balance, care infrastructure, female entrepreneurship and gender balance in education and professions. Dedicated funding also supports civil-society and public institutions tackling gender-based violence.</w:t>
      </w:r>
    </w:p>
    <w:p w14:paraId="74764E0C" w14:textId="68E08598" w:rsidR="000D7D9F" w:rsidRPr="00B13363" w:rsidRDefault="000D7D9F" w:rsidP="008072FE">
      <w:r w:rsidRPr="00B13363">
        <w:t>The Commission developed a methodology to track gender-related spending at the programme level, in collaboration with the European Institute for Gender Equality</w:t>
      </w:r>
      <w:r w:rsidRPr="00B13363" w:rsidDel="00B223D8">
        <w:t xml:space="preserve"> </w:t>
      </w:r>
      <w:r w:rsidRPr="00B13363">
        <w:t>and informed by the European Court of Auditors’ 2021 report on gender mainstreaming in the EU budget</w:t>
      </w:r>
      <w:r w:rsidR="00F033E7" w:rsidRPr="0087125F">
        <w:rPr>
          <w:rFonts w:cs="Calibri"/>
        </w:rPr>
        <w:t> </w:t>
      </w:r>
      <w:r w:rsidR="00F033E7" w:rsidRPr="00F033E7">
        <w:t>(</w:t>
      </w:r>
      <w:r w:rsidR="00F033E7">
        <w:rPr>
          <w:rStyle w:val="FootnoteReference"/>
        </w:rPr>
        <w:footnoteReference w:id="69"/>
      </w:r>
      <w:r w:rsidR="00F033E7">
        <w:t>)</w:t>
      </w:r>
      <w:r w:rsidRPr="00B13363">
        <w:t>.</w:t>
      </w:r>
    </w:p>
    <w:p w14:paraId="371CCE73" w14:textId="126EC4CD" w:rsidR="000D7D9F" w:rsidRPr="00B13363" w:rsidRDefault="000D7D9F" w:rsidP="00EE3971">
      <w:pPr>
        <w:spacing w:after="120"/>
      </w:pPr>
      <w:r w:rsidRPr="00B13363">
        <w:t xml:space="preserve">Since the 2023 financial year, the monitoring of gender expenditure has been enhanced with the inclusion </w:t>
      </w:r>
      <w:r w:rsidR="00F61F61">
        <w:br/>
      </w:r>
      <w:r w:rsidRPr="00B13363">
        <w:t>of the gender-disaggregated data available per programme in the programme performance statements (Annex</w:t>
      </w:r>
      <w:r w:rsidRPr="00B13363">
        <w:rPr>
          <w:rFonts w:ascii="Calibri" w:hAnsi="Calibri" w:cs="Calibri"/>
        </w:rPr>
        <w:t> </w:t>
      </w:r>
      <w:r w:rsidRPr="00B13363">
        <w:t>4 to the present report).</w:t>
      </w:r>
    </w:p>
    <w:p w14:paraId="72D63C75" w14:textId="20E2D175" w:rsidR="008E24E5" w:rsidRDefault="008E24E5" w:rsidP="00EE3971">
      <w:pPr>
        <w:pStyle w:val="amprboxBLUEBoxTitle"/>
        <w:spacing w:before="0"/>
      </w:pPr>
      <w:r w:rsidRPr="00B13363">
        <w:t>The EU budget allocation to gender equality scores</w:t>
      </w:r>
    </w:p>
    <w:p w14:paraId="21DFD10A" w14:textId="2339189D" w:rsidR="000D7D9F" w:rsidRPr="00B13363" w:rsidRDefault="000D7D9F" w:rsidP="008E24E5">
      <w:pPr>
        <w:pStyle w:val="amprboxBLUEtext"/>
      </w:pPr>
      <w:r w:rsidRPr="00B13363">
        <w:t xml:space="preserve">The EU budget allocation to gender equality scores, based on the aggregation of the </w:t>
      </w:r>
      <w:r w:rsidRPr="00B13363">
        <w:rPr>
          <w:noProof/>
        </w:rPr>
        <w:t>202</w:t>
      </w:r>
      <w:r w:rsidR="009570CE" w:rsidRPr="00B13363">
        <w:rPr>
          <w:noProof/>
        </w:rPr>
        <w:t>5</w:t>
      </w:r>
      <w:r w:rsidRPr="00B13363">
        <w:t xml:space="preserve"> interventions qualifying for each score, is outlined below.</w:t>
      </w:r>
      <w:r w:rsidRPr="00B13363" w:rsidDel="00C06EB8">
        <w:t xml:space="preserve"> </w:t>
      </w:r>
      <w:r w:rsidRPr="00B13363">
        <w:t>In line with the methodology, a programme may qualify for one or more gender scores based on the objectives pursued by its respective interventions.</w:t>
      </w:r>
    </w:p>
    <w:p w14:paraId="63616599" w14:textId="56037F76" w:rsidR="000D7D9F" w:rsidRDefault="000D7D9F" w:rsidP="008E24E5">
      <w:pPr>
        <w:pStyle w:val="amprboxBLUEbulletlist"/>
      </w:pPr>
      <w:r>
        <w:t xml:space="preserve">Score 2: interventions whose principal objective is to improve gender equality corresponded to </w:t>
      </w:r>
      <w:r w:rsidR="00F61F61">
        <w:br/>
      </w:r>
      <w:r w:rsidR="00F91B55">
        <w:t>1%</w:t>
      </w:r>
      <w:r>
        <w:t xml:space="preserve"> of the EU budget implemented in 202</w:t>
      </w:r>
      <w:r w:rsidR="00091A8E">
        <w:t>5</w:t>
      </w:r>
      <w:r>
        <w:t xml:space="preserve"> and were included in </w:t>
      </w:r>
      <w:r w:rsidR="008A6A04">
        <w:t>13</w:t>
      </w:r>
      <w:r w:rsidR="00091A8E">
        <w:t xml:space="preserve"> </w:t>
      </w:r>
      <w:r>
        <w:t>programmes.</w:t>
      </w:r>
    </w:p>
    <w:p w14:paraId="2A838503" w14:textId="298EA07B" w:rsidR="000D7D9F" w:rsidRDefault="000D7D9F" w:rsidP="008E24E5">
      <w:pPr>
        <w:pStyle w:val="amprboxBLUEbulletlist"/>
      </w:pPr>
      <w:r>
        <w:t xml:space="preserve">Score 1: interventions that have gender equality as an important and deliberate objective (but not as the main reason for the intervention) corresponded to </w:t>
      </w:r>
      <w:r w:rsidR="008E24E5">
        <w:t>19</w:t>
      </w:r>
      <w:r w:rsidR="002058CD">
        <w:t>%</w:t>
      </w:r>
      <w:r>
        <w:t xml:space="preserve"> of the EU budget implemented in 202</w:t>
      </w:r>
      <w:r w:rsidR="00D02FA2">
        <w:t>5</w:t>
      </w:r>
      <w:r>
        <w:t xml:space="preserve"> and were included in 22 programmes. </w:t>
      </w:r>
    </w:p>
    <w:p w14:paraId="1292832F" w14:textId="5FAF4A8D" w:rsidR="000D7D9F" w:rsidRDefault="000D7D9F" w:rsidP="008E24E5">
      <w:pPr>
        <w:pStyle w:val="amprboxBLUEbulletlist"/>
      </w:pPr>
      <w:r>
        <w:t xml:space="preserve">Score 0*: interventions that have the potential to contribute to gender equality corresponded to </w:t>
      </w:r>
      <w:r w:rsidR="002058CD">
        <w:t>5%</w:t>
      </w:r>
      <w:r>
        <w:t xml:space="preserve"> of the EU budget implemented in 202</w:t>
      </w:r>
      <w:r w:rsidR="007D2516">
        <w:t>5</w:t>
      </w:r>
      <w:r>
        <w:t xml:space="preserve"> and were included in </w:t>
      </w:r>
      <w:r w:rsidR="00866ECF">
        <w:t>3</w:t>
      </w:r>
      <w:r>
        <w:t xml:space="preserve"> programmes. </w:t>
      </w:r>
    </w:p>
    <w:p w14:paraId="1328A6F3" w14:textId="2BE2F0DD" w:rsidR="000D7D9F" w:rsidRPr="008E24E5" w:rsidRDefault="000D7D9F" w:rsidP="008E24E5">
      <w:pPr>
        <w:pStyle w:val="amprboxBLUEbulletlist"/>
      </w:pPr>
      <w:r>
        <w:t xml:space="preserve">Score 0: interventions that do not have a significant bearing on gender equality corresponded to </w:t>
      </w:r>
      <w:r w:rsidR="00866ECF">
        <w:t>7</w:t>
      </w:r>
      <w:r w:rsidR="000E0E03">
        <w:t>6</w:t>
      </w:r>
      <w:r w:rsidR="00866ECF">
        <w:t>%</w:t>
      </w:r>
      <w:r w:rsidR="000938FB">
        <w:t xml:space="preserve"> </w:t>
      </w:r>
      <w:r w:rsidR="008E24E5">
        <w:t>of the EU budget implemented in 2025 and were included in 53 programmes.</w:t>
      </w:r>
    </w:p>
    <w:p w14:paraId="4D50A1EB" w14:textId="62654331" w:rsidR="0074616F" w:rsidRDefault="0074616F" w:rsidP="001E087D">
      <w:pPr>
        <w:spacing w:before="360"/>
        <w:rPr>
          <w:lang w:val="en-IE"/>
        </w:rPr>
      </w:pPr>
      <w:r w:rsidRPr="0074616F">
        <w:rPr>
          <w:lang w:val="en-IE"/>
        </w:rPr>
        <w:t xml:space="preserve">In 2025, </w:t>
      </w:r>
      <w:r w:rsidR="006D12D8">
        <w:rPr>
          <w:lang w:val="en-IE"/>
        </w:rPr>
        <w:t>almost</w:t>
      </w:r>
      <w:r w:rsidRPr="0074616F">
        <w:rPr>
          <w:lang w:val="en-IE"/>
        </w:rPr>
        <w:t xml:space="preserve"> </w:t>
      </w:r>
      <w:r w:rsidR="2C72E90A" w:rsidRPr="6D840715">
        <w:rPr>
          <w:lang w:val="en-IE"/>
        </w:rPr>
        <w:t>20</w:t>
      </w:r>
      <w:r w:rsidRPr="0074616F">
        <w:rPr>
          <w:lang w:val="en-IE"/>
        </w:rPr>
        <w:t>% of the EU budget was allocated to measures supporting gender equality (scores 2 and 1), marking a solid continuation from the previous year and confirming that gender equality remains a strong and consistent priority within the EU’s financial framework. This sustained level of ambition demonstrates that promoting gender equality is not a one-off effort, but an objective that is systematically taken into account year after year in budgetary decisions. It reflects a credible and enduring commitment, alongside a deepening integration of gender mainstreaming across budgetary instruments. More broadly, it shows that the EU is increasingly embedding gender considerations into the core of its spending, ensuring that financial resources are consistently directed toward policies and programmes that advance gender equality across Member States.</w:t>
      </w:r>
    </w:p>
    <w:p w14:paraId="228C661D" w14:textId="5A10FEB3" w:rsidR="0044721E" w:rsidRDefault="0044721E" w:rsidP="00B30A51">
      <w:pPr>
        <w:rPr>
          <w:bCs/>
          <w:noProof/>
        </w:rPr>
      </w:pPr>
      <w:r w:rsidRPr="0044721E">
        <w:rPr>
          <w:bCs/>
          <w:noProof/>
        </w:rPr>
        <w:t xml:space="preserve">In concrete terms, this sustained prioritisation translates into significant financial support: in 2025, the EU allocated a total of </w:t>
      </w:r>
      <w:r w:rsidR="00E03143">
        <w:rPr>
          <w:bCs/>
          <w:noProof/>
        </w:rPr>
        <w:t>EUR</w:t>
      </w:r>
      <w:r w:rsidR="00E03143">
        <w:rPr>
          <w:rFonts w:ascii="Calibri" w:hAnsi="Calibri" w:cs="Calibri"/>
          <w:bCs/>
          <w:noProof/>
        </w:rPr>
        <w:t> </w:t>
      </w:r>
      <w:r w:rsidRPr="0044721E">
        <w:rPr>
          <w:bCs/>
          <w:noProof/>
        </w:rPr>
        <w:t>3</w:t>
      </w:r>
      <w:r w:rsidR="00776D65">
        <w:rPr>
          <w:bCs/>
          <w:noProof/>
        </w:rPr>
        <w:t>7.</w:t>
      </w:r>
      <w:r w:rsidR="0085539E">
        <w:rPr>
          <w:bCs/>
          <w:noProof/>
        </w:rPr>
        <w:t>5</w:t>
      </w:r>
      <w:r w:rsidR="00EB0E5C">
        <w:rPr>
          <w:rFonts w:ascii="Calibri" w:hAnsi="Calibri" w:cs="Calibri"/>
          <w:bCs/>
          <w:noProof/>
        </w:rPr>
        <w:t> </w:t>
      </w:r>
      <w:r w:rsidR="00EB0E5C">
        <w:rPr>
          <w:bCs/>
          <w:noProof/>
        </w:rPr>
        <w:t>billion</w:t>
      </w:r>
      <w:r w:rsidRPr="0044721E">
        <w:rPr>
          <w:bCs/>
          <w:noProof/>
        </w:rPr>
        <w:t xml:space="preserve"> to projects promoting gender equality (gender scores 2 and 1), reinforcing both the scale and the credibility of its commitment in this area.</w:t>
      </w:r>
    </w:p>
    <w:p w14:paraId="23765EFA" w14:textId="056DABF8" w:rsidR="00597A45" w:rsidRPr="00597A45" w:rsidRDefault="00774CBC" w:rsidP="00B30A51">
      <w:pPr>
        <w:rPr>
          <w:bCs/>
          <w:noProof/>
        </w:rPr>
      </w:pPr>
      <w:r w:rsidRPr="00B13363">
        <w:t>Overall,</w:t>
      </w:r>
      <w:r w:rsidR="008072FE" w:rsidDel="00B51A39">
        <w:rPr>
          <w:rStyle w:val="CommentReference"/>
          <w:bCs/>
          <w:noProof/>
          <w:sz w:val="20"/>
          <w:szCs w:val="20"/>
        </w:rPr>
        <w:t xml:space="preserve"> </w:t>
      </w:r>
      <w:r>
        <w:rPr>
          <w:bCs/>
          <w:noProof/>
        </w:rPr>
        <w:t>t</w:t>
      </w:r>
      <w:r w:rsidR="00597A45" w:rsidRPr="00597A45">
        <w:rPr>
          <w:bCs/>
          <w:noProof/>
        </w:rPr>
        <w:t>he 2025 results reflect continued progress across EU programmes, both in implementation and in strengthened reporting capacity, enabling a more precise and granular understanding of how the EU budget contributes to gender equality. The further reduction in expenditure classified as 0* illustrates sustained efforts to refine methodologies, improve clarity and better identify gender-relevant spending</w:t>
      </w:r>
      <w:r w:rsidR="00CB57D4">
        <w:rPr>
          <w:rFonts w:ascii="Calibri" w:hAnsi="Calibri" w:cs="Calibri"/>
          <w:bCs/>
          <w:noProof/>
        </w:rPr>
        <w:t> –</w:t>
      </w:r>
      <w:r w:rsidR="00C012DC">
        <w:rPr>
          <w:bCs/>
          <w:noProof/>
        </w:rPr>
        <w:t xml:space="preserve"> </w:t>
      </w:r>
      <w:r w:rsidR="00597A45" w:rsidRPr="00597A45">
        <w:rPr>
          <w:bCs/>
          <w:noProof/>
        </w:rPr>
        <w:t>supporting a more accurate recognition of the EU budget’s gender dimension.</w:t>
      </w:r>
    </w:p>
    <w:p w14:paraId="41BDCAF8" w14:textId="1672EA6D" w:rsidR="00CB1C69" w:rsidRDefault="00597A45" w:rsidP="00173EAD">
      <w:pPr>
        <w:rPr>
          <w:lang w:val="en-IE"/>
        </w:rPr>
      </w:pPr>
      <w:r w:rsidRPr="00597A45">
        <w:rPr>
          <w:bCs/>
          <w:noProof/>
        </w:rPr>
        <w:t>At the same time, 0* has now reached a normal and expected level</w:t>
      </w:r>
      <w:r w:rsidR="00975663">
        <w:rPr>
          <w:bCs/>
          <w:noProof/>
        </w:rPr>
        <w:t xml:space="preserve"> of</w:t>
      </w:r>
      <w:r w:rsidR="006E0A31">
        <w:rPr>
          <w:bCs/>
          <w:noProof/>
        </w:rPr>
        <w:t xml:space="preserve"> 5%, which </w:t>
      </w:r>
      <w:r w:rsidR="004E54C0">
        <w:rPr>
          <w:bCs/>
          <w:noProof/>
        </w:rPr>
        <w:t>is a striking contrast</w:t>
      </w:r>
      <w:r w:rsidR="00433BF8">
        <w:rPr>
          <w:bCs/>
          <w:noProof/>
        </w:rPr>
        <w:t xml:space="preserve"> </w:t>
      </w:r>
      <w:r w:rsidR="006E0A31">
        <w:rPr>
          <w:bCs/>
          <w:noProof/>
        </w:rPr>
        <w:t xml:space="preserve">to the </w:t>
      </w:r>
      <w:r w:rsidR="00930354">
        <w:rPr>
          <w:bCs/>
          <w:noProof/>
        </w:rPr>
        <w:t>initial amou</w:t>
      </w:r>
      <w:r w:rsidR="00DB747E">
        <w:rPr>
          <w:bCs/>
          <w:noProof/>
        </w:rPr>
        <w:t>nt</w:t>
      </w:r>
      <w:r w:rsidR="00930354">
        <w:rPr>
          <w:bCs/>
          <w:noProof/>
        </w:rPr>
        <w:t xml:space="preserve"> </w:t>
      </w:r>
      <w:r w:rsidR="0135B10D" w:rsidRPr="697EBA90">
        <w:rPr>
          <w:noProof/>
        </w:rPr>
        <w:t>report</w:t>
      </w:r>
      <w:r w:rsidR="5A6FBE3D" w:rsidRPr="697EBA90">
        <w:rPr>
          <w:noProof/>
        </w:rPr>
        <w:t>ed</w:t>
      </w:r>
      <w:r w:rsidR="00930354">
        <w:rPr>
          <w:bCs/>
          <w:noProof/>
        </w:rPr>
        <w:t xml:space="preserve"> in 2021, namely 9</w:t>
      </w:r>
      <w:r w:rsidR="00605399">
        <w:rPr>
          <w:bCs/>
          <w:noProof/>
        </w:rPr>
        <w:t>5%</w:t>
      </w:r>
      <w:r w:rsidRPr="00597A45">
        <w:rPr>
          <w:bCs/>
          <w:noProof/>
        </w:rPr>
        <w:t xml:space="preserve">. </w:t>
      </w:r>
      <w:r w:rsidR="00605399">
        <w:rPr>
          <w:bCs/>
          <w:noProof/>
        </w:rPr>
        <w:t xml:space="preserve">Today, </w:t>
      </w:r>
      <w:r w:rsidR="00225A0C">
        <w:rPr>
          <w:bCs/>
          <w:noProof/>
        </w:rPr>
        <w:t>0*</w:t>
      </w:r>
      <w:r w:rsidR="006C4625">
        <w:rPr>
          <w:bCs/>
          <w:noProof/>
        </w:rPr>
        <w:t xml:space="preserve"> </w:t>
      </w:r>
      <w:r w:rsidRPr="00597A45">
        <w:rPr>
          <w:bCs/>
          <w:noProof/>
        </w:rPr>
        <w:t xml:space="preserve">primarily reflects the inherent time lag of certain types of </w:t>
      </w:r>
      <w:r w:rsidR="00CC64F6" w:rsidRPr="00597A45">
        <w:t>projects</w:t>
      </w:r>
      <w:r w:rsidR="00CC64F6">
        <w:t xml:space="preserve"> </w:t>
      </w:r>
      <w:r w:rsidRPr="00597A45">
        <w:rPr>
          <w:bCs/>
          <w:noProof/>
        </w:rPr>
        <w:t>where gender impacts can only be demonstrated over time. This confirms that 0* is no longer driven by methodological or capacity gaps, but corresponds to the natural life</w:t>
      </w:r>
      <w:r w:rsidR="000E37FC">
        <w:rPr>
          <w:bCs/>
          <w:noProof/>
        </w:rPr>
        <w:t xml:space="preserve"> </w:t>
      </w:r>
      <w:r w:rsidRPr="00597A45">
        <w:rPr>
          <w:bCs/>
          <w:noProof/>
        </w:rPr>
        <w:t>cycle of interventions, indicating that the system is now functioning as intended.</w:t>
      </w:r>
      <w:r w:rsidR="001500ED">
        <w:rPr>
          <w:bCs/>
          <w:noProof/>
        </w:rPr>
        <w:t xml:space="preserve"> </w:t>
      </w:r>
      <w:r w:rsidR="0061577C">
        <w:rPr>
          <w:bCs/>
          <w:noProof/>
        </w:rPr>
        <w:t>I</w:t>
      </w:r>
      <w:r w:rsidR="00EC172C">
        <w:rPr>
          <w:bCs/>
          <w:noProof/>
        </w:rPr>
        <w:t>n</w:t>
      </w:r>
      <w:r w:rsidR="0061577C">
        <w:rPr>
          <w:bCs/>
          <w:noProof/>
        </w:rPr>
        <w:t xml:space="preserve"> other words, it is no lo</w:t>
      </w:r>
      <w:r w:rsidR="00C90AA9">
        <w:rPr>
          <w:bCs/>
          <w:noProof/>
        </w:rPr>
        <w:t>n</w:t>
      </w:r>
      <w:r w:rsidR="0061577C">
        <w:rPr>
          <w:bCs/>
          <w:noProof/>
        </w:rPr>
        <w:t>ger s</w:t>
      </w:r>
      <w:r w:rsidR="00647721">
        <w:rPr>
          <w:bCs/>
          <w:noProof/>
        </w:rPr>
        <w:t xml:space="preserve">ystemic, but rather </w:t>
      </w:r>
      <w:r w:rsidR="00B20ABD">
        <w:rPr>
          <w:bCs/>
          <w:noProof/>
        </w:rPr>
        <w:t xml:space="preserve">correspeonds to a natural rate. </w:t>
      </w:r>
      <w:r w:rsidR="001D6891" w:rsidRPr="001D6891">
        <w:rPr>
          <w:bCs/>
          <w:noProof/>
          <w:lang w:val="en-IE"/>
        </w:rPr>
        <w:t xml:space="preserve">For example, </w:t>
      </w:r>
      <w:r w:rsidR="001500ED">
        <w:rPr>
          <w:bCs/>
          <w:noProof/>
          <w:lang w:val="en-IE"/>
        </w:rPr>
        <w:t>certain</w:t>
      </w:r>
      <w:r w:rsidR="001D6891" w:rsidRPr="001D6891">
        <w:rPr>
          <w:bCs/>
          <w:noProof/>
          <w:lang w:val="en-IE"/>
        </w:rPr>
        <w:t xml:space="preserve"> actions where integrating the </w:t>
      </w:r>
      <w:r w:rsidR="00CC64F6" w:rsidRPr="001D6891">
        <w:rPr>
          <w:lang w:val="en-IE"/>
        </w:rPr>
        <w:t xml:space="preserve">gender </w:t>
      </w:r>
      <w:r w:rsidR="001D6891" w:rsidRPr="001D6891">
        <w:rPr>
          <w:bCs/>
          <w:noProof/>
          <w:lang w:val="en-IE"/>
        </w:rPr>
        <w:t xml:space="preserve">dimension in </w:t>
      </w:r>
      <w:r w:rsidR="00E06622">
        <w:rPr>
          <w:noProof/>
        </w:rPr>
        <w:t>research and innovation</w:t>
      </w:r>
      <w:r w:rsidR="001D6891" w:rsidRPr="001D6891">
        <w:rPr>
          <w:bCs/>
          <w:noProof/>
          <w:lang w:val="en-IE"/>
        </w:rPr>
        <w:t xml:space="preserve"> is mandatory,</w:t>
      </w:r>
      <w:r w:rsidR="001500ED" w:rsidRPr="001500ED">
        <w:rPr>
          <w:bCs/>
          <w:noProof/>
        </w:rPr>
        <w:t xml:space="preserve"> </w:t>
      </w:r>
      <w:r w:rsidR="001500ED" w:rsidRPr="00597A45">
        <w:rPr>
          <w:bCs/>
          <w:noProof/>
        </w:rPr>
        <w:t>such as research under Horizon</w:t>
      </w:r>
      <w:r w:rsidR="0004004F">
        <w:rPr>
          <w:bCs/>
          <w:noProof/>
        </w:rPr>
        <w:t xml:space="preserve"> Europe</w:t>
      </w:r>
      <w:r w:rsidR="00E05C8B">
        <w:rPr>
          <w:bCs/>
          <w:noProof/>
        </w:rPr>
        <w:t>, require</w:t>
      </w:r>
      <w:r w:rsidR="001500ED">
        <w:rPr>
          <w:bCs/>
          <w:noProof/>
          <w:lang w:val="en-IE"/>
        </w:rPr>
        <w:t xml:space="preserve"> </w:t>
      </w:r>
      <w:r w:rsidR="001D6891" w:rsidRPr="001D6891">
        <w:rPr>
          <w:bCs/>
          <w:noProof/>
          <w:lang w:val="en-IE"/>
        </w:rPr>
        <w:t xml:space="preserve">an </w:t>
      </w:r>
      <w:r w:rsidR="001D6891" w:rsidRPr="00B27FED">
        <w:rPr>
          <w:bCs/>
          <w:i/>
          <w:iCs/>
          <w:noProof/>
          <w:lang w:val="en-IE"/>
        </w:rPr>
        <w:t>ex post</w:t>
      </w:r>
      <w:r w:rsidR="001D6891" w:rsidRPr="001D6891">
        <w:rPr>
          <w:bCs/>
          <w:noProof/>
          <w:lang w:val="en-IE"/>
        </w:rPr>
        <w:t xml:space="preserve"> assessment to verify how </w:t>
      </w:r>
      <w:r w:rsidR="00CC64F6" w:rsidRPr="001D6891">
        <w:rPr>
          <w:lang w:val="en-IE"/>
        </w:rPr>
        <w:t xml:space="preserve">this </w:t>
      </w:r>
      <w:r w:rsidR="001D6891" w:rsidRPr="001D6891">
        <w:rPr>
          <w:bCs/>
          <w:noProof/>
          <w:lang w:val="en-IE"/>
        </w:rPr>
        <w:t>has been implemented. Until such evidence is available, these actions are assigned a 0*, indicating a likely</w:t>
      </w:r>
      <w:r w:rsidR="00E06622">
        <w:rPr>
          <w:rFonts w:ascii="Calibri" w:hAnsi="Calibri" w:cs="Calibri"/>
          <w:bCs/>
          <w:noProof/>
          <w:lang w:val="en-IE"/>
        </w:rPr>
        <w:t> –</w:t>
      </w:r>
      <w:r w:rsidR="00E05C8B">
        <w:rPr>
          <w:bCs/>
          <w:noProof/>
          <w:lang w:val="en-IE"/>
        </w:rPr>
        <w:t xml:space="preserve"> </w:t>
      </w:r>
      <w:r w:rsidR="001D6891" w:rsidRPr="001D6891">
        <w:rPr>
          <w:bCs/>
          <w:noProof/>
          <w:lang w:val="en-IE"/>
        </w:rPr>
        <w:t>but not yet demonstrated</w:t>
      </w:r>
      <w:r w:rsidR="00E06622">
        <w:rPr>
          <w:rFonts w:ascii="Calibri" w:hAnsi="Calibri" w:cs="Calibri"/>
          <w:bCs/>
          <w:noProof/>
          <w:lang w:val="en-IE"/>
        </w:rPr>
        <w:t> –</w:t>
      </w:r>
      <w:r w:rsidR="00E05C8B">
        <w:rPr>
          <w:bCs/>
          <w:noProof/>
          <w:lang w:val="en-IE"/>
        </w:rPr>
        <w:t xml:space="preserve"> </w:t>
      </w:r>
      <w:r w:rsidR="001D6891" w:rsidRPr="001D6891">
        <w:rPr>
          <w:bCs/>
          <w:noProof/>
          <w:lang w:val="en-IE"/>
        </w:rPr>
        <w:t>positive impact on gender equality.</w:t>
      </w:r>
      <w:r w:rsidR="00774CBC">
        <w:rPr>
          <w:bCs/>
          <w:noProof/>
          <w:lang w:val="en-IE"/>
        </w:rPr>
        <w:t xml:space="preserve"> </w:t>
      </w:r>
      <w:r w:rsidR="008A47FD">
        <w:rPr>
          <w:bCs/>
          <w:noProof/>
          <w:lang w:val="en-IE"/>
        </w:rPr>
        <w:t xml:space="preserve">Today, </w:t>
      </w:r>
      <w:r w:rsidR="00774CBC">
        <w:rPr>
          <w:bCs/>
          <w:noProof/>
          <w:lang w:val="en-IE"/>
        </w:rPr>
        <w:t>0* only concerns these types of projects</w:t>
      </w:r>
      <w:r w:rsidR="00CC64F6">
        <w:rPr>
          <w:lang w:val="en-IE"/>
        </w:rPr>
        <w:t>.</w:t>
      </w:r>
    </w:p>
    <w:p w14:paraId="32188848" w14:textId="1FF72ADA" w:rsidR="00494403" w:rsidRDefault="51BB7F50" w:rsidP="00EE3971">
      <w:pPr>
        <w:pStyle w:val="ImageTitle"/>
        <w:spacing w:before="240" w:after="0"/>
        <w:rPr>
          <w:noProof/>
        </w:rPr>
      </w:pPr>
      <w:r w:rsidRPr="00322E41">
        <w:t>Gender scores as a percentage of the total EU budget in 2025</w:t>
      </w:r>
      <w:r w:rsidR="000250A5" w:rsidRPr="00322E41">
        <w:t xml:space="preserve"> </w:t>
      </w:r>
    </w:p>
    <w:p w14:paraId="7D13D366" w14:textId="07B05966" w:rsidR="00A45C9C" w:rsidRDefault="00D5480D" w:rsidP="001B7D68">
      <w:pPr>
        <w:spacing w:before="0" w:after="0"/>
        <w:jc w:val="center"/>
        <w:rPr>
          <w:lang w:val="en-IE"/>
        </w:rPr>
      </w:pPr>
      <w:r w:rsidRPr="00D5480D">
        <w:rPr>
          <w:noProof/>
        </w:rPr>
        <w:drawing>
          <wp:inline distT="0" distB="0" distL="0" distR="0" wp14:anchorId="4EE85498" wp14:editId="5F8CD9CB">
            <wp:extent cx="4336382" cy="3221355"/>
            <wp:effectExtent l="0" t="0" r="7620" b="0"/>
            <wp:docPr id="465942357" name="Picture 18" descr="Donut chart showing  the contribution to gender equality in 2025 by gender score from O* to score 2.&#10;Score O* has a contribution of 5%.&#10;Score 0 has a contribution of 76%.&#10;Score 1 has a contribution of 19%.&#10;Finally score 2 has a contribution of 1%.">
              <a:extLst xmlns:a="http://schemas.openxmlformats.org/drawingml/2006/main">
                <a:ext uri="{FF2B5EF4-FFF2-40B4-BE49-F238E27FC236}">
                  <a16:creationId xmlns:a16="http://schemas.microsoft.com/office/drawing/2014/main" id="{D34E4A10-6F73-FB74-7D77-847BF30115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942357" name="Picture 18" descr="Donut chart showing  the contribution to gender equality in 2025 by gender score from O* to score 2.&#10;Score O* has a contribution of 5%.&#10;Score 0 has a contribution of 76%.&#10;Score 1 has a contribution of 19%.&#10;Finally score 2 has a contribution of 1%.">
                      <a:extLst>
                        <a:ext uri="{FF2B5EF4-FFF2-40B4-BE49-F238E27FC236}">
                          <a16:creationId xmlns:a16="http://schemas.microsoft.com/office/drawing/2014/main" id="{D34E4A10-6F73-FB74-7D77-847BF30115F4}"/>
                        </a:ext>
                      </a:extLst>
                    </pic:cNvPr>
                    <pic:cNvPicPr>
                      <a:picLocks noChangeAspect="1"/>
                    </pic:cNvPicPr>
                  </pic:nvPicPr>
                  <pic:blipFill rotWithShape="1">
                    <a:blip r:embed="rId76"/>
                    <a:srcRect l="4754" t="6121" r="3916" b="23530"/>
                    <a:stretch>
                      <a:fillRect/>
                    </a:stretch>
                  </pic:blipFill>
                  <pic:spPr bwMode="auto">
                    <a:xfrm>
                      <a:off x="0" y="0"/>
                      <a:ext cx="4337497" cy="3222183"/>
                    </a:xfrm>
                    <a:prstGeom prst="rect">
                      <a:avLst/>
                    </a:prstGeom>
                    <a:ln>
                      <a:noFill/>
                    </a:ln>
                    <a:extLst>
                      <a:ext uri="{53640926-AAD7-44D8-BBD7-CCE9431645EC}">
                        <a14:shadowObscured xmlns:a14="http://schemas.microsoft.com/office/drawing/2010/main"/>
                      </a:ext>
                    </a:extLst>
                  </pic:spPr>
                </pic:pic>
              </a:graphicData>
            </a:graphic>
          </wp:inline>
        </w:drawing>
      </w:r>
    </w:p>
    <w:p w14:paraId="61F338E5" w14:textId="2FA45ED5" w:rsidR="00BB733F" w:rsidRDefault="43A73024" w:rsidP="00EE3971">
      <w:pPr>
        <w:spacing w:before="120" w:after="120"/>
        <w:jc w:val="both"/>
        <w:rPr>
          <w:lang w:val="en-IE"/>
        </w:rPr>
      </w:pPr>
      <w:r w:rsidRPr="5C9BCD05">
        <w:rPr>
          <w:rStyle w:val="Italic"/>
        </w:rPr>
        <w:t>Source:</w:t>
      </w:r>
      <w:r>
        <w:t xml:space="preserve"> European Commission.</w:t>
      </w:r>
    </w:p>
    <w:p w14:paraId="76CCF3DE" w14:textId="5A987C45" w:rsidR="000D7D9F" w:rsidRPr="000250A5" w:rsidRDefault="000D7D9F" w:rsidP="000D7D9F">
      <w:pPr>
        <w:pStyle w:val="Heading4"/>
        <w:rPr>
          <w:rFonts w:ascii="EC Square Sans Pro" w:hAnsi="EC Square Sans Pro"/>
        </w:rPr>
      </w:pPr>
      <w:r w:rsidRPr="000250A5">
        <w:rPr>
          <w:rFonts w:ascii="EC Square Sans Pro" w:hAnsi="EC Square Sans Pro"/>
        </w:rPr>
        <w:t>2021-202</w:t>
      </w:r>
      <w:r w:rsidR="007D2516" w:rsidRPr="000250A5">
        <w:rPr>
          <w:rFonts w:ascii="EC Square Sans Pro" w:hAnsi="EC Square Sans Pro"/>
        </w:rPr>
        <w:t>5</w:t>
      </w:r>
      <w:r w:rsidRPr="000250A5">
        <w:rPr>
          <w:rFonts w:ascii="EC Square Sans Pro" w:hAnsi="EC Square Sans Pro"/>
        </w:rPr>
        <w:t xml:space="preserve"> aggregate results</w:t>
      </w:r>
    </w:p>
    <w:p w14:paraId="2FB47A3E" w14:textId="6422F2A9" w:rsidR="000D7D9F" w:rsidRPr="000250A5" w:rsidRDefault="000D7D9F" w:rsidP="00B13363">
      <w:pPr>
        <w:jc w:val="both"/>
      </w:pPr>
      <w:r w:rsidRPr="000250A5">
        <w:t xml:space="preserve">Past expenditure is revised annually through a quality review conducted by the Commission departments, incorporating additional information available on the selected projects. This is particularly the case for </w:t>
      </w:r>
      <w:r w:rsidRPr="000250A5">
        <w:rPr>
          <w:spacing w:val="-4"/>
        </w:rPr>
        <w:t>measures that were assigned a gender score of 0* in previous years. In this context, the reassessment concluded that, over the 2021-202</w:t>
      </w:r>
      <w:r w:rsidR="00B12719" w:rsidRPr="000250A5">
        <w:t>5</w:t>
      </w:r>
      <w:r w:rsidRPr="000250A5">
        <w:rPr>
          <w:spacing w:val="-4"/>
        </w:rPr>
        <w:t xml:space="preserve"> period, 1</w:t>
      </w:r>
      <w:r w:rsidR="001F7D5E" w:rsidRPr="000250A5">
        <w:rPr>
          <w:spacing w:val="-4"/>
        </w:rPr>
        <w:t>3</w:t>
      </w:r>
      <w:r w:rsidRPr="000250A5">
        <w:rPr>
          <w:spacing w:val="-4"/>
        </w:rPr>
        <w:t xml:space="preserve">% of the EU budget expenditure contributed to the promotion of gender (gender scores 1 and 2), amounting to a significant </w:t>
      </w:r>
      <w:r w:rsidRPr="000250A5" w:rsidDel="00CB5149">
        <w:rPr>
          <w:spacing w:val="-4"/>
        </w:rPr>
        <w:t>EUR</w:t>
      </w:r>
      <w:r w:rsidRPr="000250A5">
        <w:rPr>
          <w:rFonts w:ascii="Calibri" w:hAnsi="Calibri" w:cs="Calibri"/>
          <w:spacing w:val="-4"/>
        </w:rPr>
        <w:t> </w:t>
      </w:r>
      <w:r w:rsidRPr="000250A5">
        <w:rPr>
          <w:spacing w:val="-4"/>
        </w:rPr>
        <w:t>1</w:t>
      </w:r>
      <w:r w:rsidR="009E2672" w:rsidRPr="000250A5">
        <w:t>9</w:t>
      </w:r>
      <w:r w:rsidR="6EEC5BDD" w:rsidRPr="000250A5">
        <w:t>0</w:t>
      </w:r>
      <w:r w:rsidRPr="000250A5">
        <w:rPr>
          <w:rFonts w:ascii="Calibri" w:hAnsi="Calibri" w:cs="Calibri"/>
          <w:spacing w:val="-4"/>
        </w:rPr>
        <w:t> </w:t>
      </w:r>
      <w:r w:rsidRPr="000250A5">
        <w:rPr>
          <w:spacing w:val="-4"/>
        </w:rPr>
        <w:t xml:space="preserve">billion over these </w:t>
      </w:r>
      <w:r w:rsidR="006F40C9" w:rsidRPr="000250A5">
        <w:t xml:space="preserve">five </w:t>
      </w:r>
      <w:r w:rsidRPr="000250A5">
        <w:rPr>
          <w:spacing w:val="-4"/>
        </w:rPr>
        <w:t>years</w:t>
      </w:r>
      <w:r w:rsidRPr="000250A5">
        <w:t>.</w:t>
      </w:r>
    </w:p>
    <w:p w14:paraId="39C27A42" w14:textId="547EC2E0" w:rsidR="000D7D9F" w:rsidRPr="000250A5" w:rsidRDefault="000D7D9F" w:rsidP="00B13363">
      <w:pPr>
        <w:jc w:val="both"/>
      </w:pPr>
      <w:r w:rsidRPr="00D7362E">
        <w:rPr>
          <w:rStyle w:val="Bold"/>
        </w:rPr>
        <w:t xml:space="preserve">At the same time, the share of </w:t>
      </w:r>
      <w:r w:rsidR="005F2E6E">
        <w:rPr>
          <w:rStyle w:val="Bold"/>
        </w:rPr>
        <w:t>the</w:t>
      </w:r>
      <w:r w:rsidRPr="00D7362E">
        <w:rPr>
          <w:rStyle w:val="Bold"/>
        </w:rPr>
        <w:t xml:space="preserve"> EU budget under gender score 0* has steadily declined and now stands at just </w:t>
      </w:r>
      <w:r w:rsidR="00DF6DB5" w:rsidRPr="00D7362E">
        <w:rPr>
          <w:rStyle w:val="Bold"/>
        </w:rPr>
        <w:t>3</w:t>
      </w:r>
      <w:r w:rsidRPr="00D7362E">
        <w:rPr>
          <w:rStyle w:val="Bold"/>
        </w:rPr>
        <w:t>% for the four-year period</w:t>
      </w:r>
      <w:r w:rsidR="00641459" w:rsidRPr="00D7362E">
        <w:rPr>
          <w:rStyle w:val="Bold"/>
        </w:rPr>
        <w:t>.</w:t>
      </w:r>
      <w:r w:rsidRPr="000250A5">
        <w:t xml:space="preserve"> This reflects the effectiveness of the Commission’s ongoing reassessment efforts, which have contributed to a more precise and clearer understanding of the EU budget </w:t>
      </w:r>
      <w:r w:rsidRPr="000250A5" w:rsidDel="00DA009D">
        <w:t xml:space="preserve">support </w:t>
      </w:r>
      <w:r w:rsidRPr="000250A5">
        <w:t>for gender equality. For the 2021-202</w:t>
      </w:r>
      <w:r w:rsidR="00B12719" w:rsidRPr="000250A5">
        <w:t>5</w:t>
      </w:r>
      <w:r w:rsidRPr="000250A5">
        <w:t xml:space="preserve"> period, 8</w:t>
      </w:r>
      <w:r w:rsidR="00B12719" w:rsidRPr="000250A5">
        <w:t>4</w:t>
      </w:r>
      <w:r w:rsidRPr="000250A5">
        <w:t>% of allocations were assigned a score of 0, due to the systematic reassessment of 0* expenditure from 2021 to 202</w:t>
      </w:r>
      <w:r w:rsidR="00B12719" w:rsidRPr="000250A5">
        <w:t>5</w:t>
      </w:r>
      <w:r w:rsidRPr="000250A5">
        <w:t>.</w:t>
      </w:r>
    </w:p>
    <w:p w14:paraId="74D918BB" w14:textId="3BFEAD35" w:rsidR="000D7D9F" w:rsidRPr="000250A5" w:rsidRDefault="000D7D9F" w:rsidP="00B13363">
      <w:pPr>
        <w:jc w:val="both"/>
      </w:pPr>
      <w:r w:rsidRPr="000250A5">
        <w:t xml:space="preserve">The financial commitments made over this </w:t>
      </w:r>
      <w:r w:rsidR="00B12719" w:rsidRPr="000250A5">
        <w:t>five</w:t>
      </w:r>
      <w:r w:rsidRPr="000250A5">
        <w:t>-year period had a tangible impact across various domains, including employment, social protection and economic empowerment, reinforcing the EU’s role as a global leader in gender equality financing.</w:t>
      </w:r>
    </w:p>
    <w:p w14:paraId="4796A735" w14:textId="361728E7" w:rsidR="000D7D9F" w:rsidRPr="002B6F8C" w:rsidRDefault="000D7D9F" w:rsidP="00EE3971">
      <w:pPr>
        <w:pStyle w:val="ImageTitle"/>
        <w:spacing w:before="360" w:after="240"/>
      </w:pPr>
      <w:r w:rsidRPr="002B6F8C">
        <w:t>Gender scores as a percentage of the total EU budget (2021-202</w:t>
      </w:r>
      <w:r w:rsidR="00002B21" w:rsidRPr="002B6F8C">
        <w:t>5</w:t>
      </w:r>
      <w:r w:rsidR="00A91E20">
        <w:t>)</w:t>
      </w:r>
    </w:p>
    <w:p w14:paraId="532AF983" w14:textId="0C88F81F" w:rsidR="00231ACC" w:rsidRDefault="00C72876" w:rsidP="00494403">
      <w:pPr>
        <w:pStyle w:val="ImageCopyrights"/>
        <w:jc w:val="center"/>
      </w:pPr>
      <w:r w:rsidRPr="00C72876">
        <w:rPr>
          <w:noProof/>
          <w:sz w:val="20"/>
        </w:rPr>
        <w:t xml:space="preserve"> </w:t>
      </w:r>
      <w:r w:rsidRPr="00C72876">
        <w:rPr>
          <w:noProof/>
        </w:rPr>
        <w:drawing>
          <wp:inline distT="0" distB="0" distL="0" distR="0" wp14:anchorId="38F9FC8C" wp14:editId="231EEB37">
            <wp:extent cx="4490880" cy="2838450"/>
            <wp:effectExtent l="0" t="0" r="3810" b="0"/>
            <wp:docPr id="1394615453" name="Picture 3" descr="Donut chart showing the gender scores as a percentage of the total EU budget (2021-2025). The biggest share is for Score 0 that represents 84% of the total, then score 1 represents 12% of the total, score 0* represents 3% and finally score 2 represents 1%. ">
              <a:extLst xmlns:a="http://schemas.openxmlformats.org/drawingml/2006/main">
                <a:ext uri="{FF2B5EF4-FFF2-40B4-BE49-F238E27FC236}">
                  <a16:creationId xmlns:a16="http://schemas.microsoft.com/office/drawing/2014/main" id="{F594E8CA-F294-B4B3-92E7-5DB9473C4C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615453" name="Picture 3" descr="Donut chart showing the gender scores as a percentage of the total EU budget (2021-2025). The biggest share is for Score 0 that represents 84% of the total, then score 1 represents 12% of the total, score 0* represents 3% and finally score 2 represents 1%. ">
                      <a:extLst>
                        <a:ext uri="{FF2B5EF4-FFF2-40B4-BE49-F238E27FC236}">
                          <a16:creationId xmlns:a16="http://schemas.microsoft.com/office/drawing/2014/main" id="{F594E8CA-F294-B4B3-92E7-5DB9473C4C70}"/>
                        </a:ext>
                      </a:extLst>
                    </pic:cNvPr>
                    <pic:cNvPicPr>
                      <a:picLocks noChangeAspect="1"/>
                    </pic:cNvPicPr>
                  </pic:nvPicPr>
                  <pic:blipFill>
                    <a:blip r:embed="rId77"/>
                    <a:srcRect l="18148" t="11658" r="19444" b="12015"/>
                    <a:stretch>
                      <a:fillRect/>
                    </a:stretch>
                  </pic:blipFill>
                  <pic:spPr>
                    <a:xfrm>
                      <a:off x="0" y="0"/>
                      <a:ext cx="4490880" cy="2838450"/>
                    </a:xfrm>
                    <a:prstGeom prst="rect">
                      <a:avLst/>
                    </a:prstGeom>
                  </pic:spPr>
                </pic:pic>
              </a:graphicData>
            </a:graphic>
          </wp:inline>
        </w:drawing>
      </w:r>
    </w:p>
    <w:p w14:paraId="5891D620" w14:textId="77777777" w:rsidR="000D7D9F" w:rsidRPr="002B6F8C" w:rsidRDefault="000D7D9F" w:rsidP="000D7D9F">
      <w:pPr>
        <w:pStyle w:val="ImageSource"/>
      </w:pPr>
      <w:r w:rsidRPr="002B6F8C">
        <w:rPr>
          <w:rStyle w:val="Italic"/>
        </w:rPr>
        <w:t>Source:</w:t>
      </w:r>
      <w:r w:rsidRPr="002B6F8C">
        <w:t xml:space="preserve"> European Commission.</w:t>
      </w:r>
    </w:p>
    <w:p w14:paraId="6DD07F8F" w14:textId="1872D2BD" w:rsidR="000D7D9F" w:rsidRPr="00B13363" w:rsidRDefault="000D7D9F" w:rsidP="000D7D9F">
      <w:pPr>
        <w:pStyle w:val="Heading4"/>
        <w:rPr>
          <w:rFonts w:ascii="EC Square Sans Pro" w:hAnsi="EC Square Sans Pro"/>
          <w:szCs w:val="28"/>
        </w:rPr>
      </w:pPr>
      <w:r w:rsidRPr="00B13363">
        <w:rPr>
          <w:rFonts w:ascii="EC Square Sans Pro" w:hAnsi="EC Square Sans Pro"/>
        </w:rPr>
        <w:t>Gender</w:t>
      </w:r>
      <w:r w:rsidRPr="00B13363">
        <w:rPr>
          <w:rFonts w:ascii="EC Square Sans Pro" w:hAnsi="EC Square Sans Pro"/>
          <w:szCs w:val="28"/>
        </w:rPr>
        <w:t>-disaggregated data</w:t>
      </w:r>
    </w:p>
    <w:p w14:paraId="06A3D8C0" w14:textId="07559B03" w:rsidR="000D7D9F" w:rsidRDefault="000D7D9F" w:rsidP="008072FE">
      <w:pPr>
        <w:rPr>
          <w:lang w:val="en-IE"/>
        </w:rPr>
      </w:pPr>
      <w:r w:rsidRPr="00B13363">
        <w:t xml:space="preserve">This year, for the </w:t>
      </w:r>
      <w:r w:rsidR="00796953" w:rsidRPr="00B13363">
        <w:t>third</w:t>
      </w:r>
      <w:r w:rsidRPr="00B13363">
        <w:t xml:space="preserve"> time, the programme performance statements (</w:t>
      </w:r>
      <w:r w:rsidRPr="00B13363" w:rsidDel="00791665">
        <w:t>Annex</w:t>
      </w:r>
      <w:r w:rsidRPr="00B13363" w:rsidDel="00791665">
        <w:rPr>
          <w:rFonts w:ascii="Calibri" w:hAnsi="Calibri" w:cs="Calibri"/>
        </w:rPr>
        <w:t> </w:t>
      </w:r>
      <w:r w:rsidRPr="00B13363">
        <w:t xml:space="preserve">4 to this report), which provide detailed performance information at the programme level, were enhanced to include the relevant gender-disaggregated information available for each programme. This includes a wide array of gender-disaggregated data aimed at improving the monitoring of the performance of the programme in relation to gender equality. For some programmes, particularly those under shared and indirect management, the availability of gender-disaggregated data is constrained by the programme </w:t>
      </w:r>
      <w:r w:rsidRPr="00B13363">
        <w:rPr>
          <w:rFonts w:hint="eastAsia"/>
        </w:rPr>
        <w:t>regula</w:t>
      </w:r>
      <w:r w:rsidRPr="00733141">
        <w:t>t</w:t>
      </w:r>
      <w:r w:rsidRPr="00B13363">
        <w:rPr>
          <w:rFonts w:hint="eastAsia"/>
        </w:rPr>
        <w:t>ions and the implementation agreements.</w:t>
      </w:r>
      <w:r w:rsidR="00B229B3">
        <w:t xml:space="preserve"> </w:t>
      </w:r>
      <w:r w:rsidR="009D6929" w:rsidRPr="00B13363">
        <w:rPr>
          <w:lang w:val="en-IE"/>
        </w:rPr>
        <w:t xml:space="preserve">Looking ahead to the post-2027 multiannual financial framework, </w:t>
      </w:r>
      <w:r w:rsidR="007374BA">
        <w:rPr>
          <w:lang w:val="en-IE"/>
        </w:rPr>
        <w:t>Article</w:t>
      </w:r>
      <w:r w:rsidR="004A4BF2">
        <w:rPr>
          <w:rFonts w:ascii="Calibri" w:hAnsi="Calibri" w:cs="Calibri"/>
          <w:lang w:val="en-IE"/>
        </w:rPr>
        <w:t> </w:t>
      </w:r>
      <w:r w:rsidR="007374BA">
        <w:rPr>
          <w:lang w:val="en-IE"/>
        </w:rPr>
        <w:t>44 of the</w:t>
      </w:r>
      <w:r w:rsidR="007374BA" w:rsidRPr="00B13363">
        <w:rPr>
          <w:lang w:val="en-IE"/>
        </w:rPr>
        <w:t xml:space="preserve"> </w:t>
      </w:r>
      <w:r w:rsidR="009D6929" w:rsidRPr="00B13363">
        <w:rPr>
          <w:lang w:val="en-IE"/>
        </w:rPr>
        <w:t>Financial Regulation requires that data relat</w:t>
      </w:r>
      <w:r w:rsidR="005A6A71">
        <w:rPr>
          <w:lang w:val="en-IE"/>
        </w:rPr>
        <w:t>ing</w:t>
      </w:r>
      <w:r w:rsidR="009D6929" w:rsidRPr="00B13363">
        <w:rPr>
          <w:lang w:val="en-IE"/>
        </w:rPr>
        <w:t xml:space="preserve"> to performance indicators of financial programmes be gender-disaggregated where </w:t>
      </w:r>
      <w:r w:rsidR="003D6086" w:rsidRPr="003D6086">
        <w:rPr>
          <w:lang w:val="en-IE"/>
        </w:rPr>
        <w:t>feasible</w:t>
      </w:r>
      <w:r w:rsidR="00B945FD">
        <w:rPr>
          <w:lang w:val="en-IE"/>
        </w:rPr>
        <w:t>,</w:t>
      </w:r>
      <w:r w:rsidR="003D6086" w:rsidRPr="003D6086">
        <w:rPr>
          <w:lang w:val="en-IE"/>
        </w:rPr>
        <w:t xml:space="preserve"> and </w:t>
      </w:r>
      <w:r w:rsidR="009D6929" w:rsidRPr="00B13363">
        <w:rPr>
          <w:lang w:val="en-IE"/>
        </w:rPr>
        <w:t>appropriate</w:t>
      </w:r>
      <w:r w:rsidR="003D6086" w:rsidRPr="003D6086">
        <w:rPr>
          <w:lang w:val="en-IE"/>
        </w:rPr>
        <w:t xml:space="preserve"> in accordance with the relevant sector-specific r</w:t>
      </w:r>
      <w:r w:rsidR="00AD0AB6">
        <w:rPr>
          <w:lang w:val="en-IE"/>
        </w:rPr>
        <w:t>ules</w:t>
      </w:r>
      <w:r w:rsidR="009D6929" w:rsidRPr="00B13363">
        <w:rPr>
          <w:lang w:val="en-IE"/>
        </w:rPr>
        <w:t>. Building on this, the Commission proposed a Performance Regulation in July 2025. It</w:t>
      </w:r>
      <w:r w:rsidR="009D6929" w:rsidRPr="00B13363" w:rsidDel="0007589F">
        <w:rPr>
          <w:lang w:val="en-IE"/>
        </w:rPr>
        <w:t xml:space="preserve"> </w:t>
      </w:r>
      <w:r w:rsidR="0007589F">
        <w:rPr>
          <w:lang w:val="en-IE"/>
        </w:rPr>
        <w:t>provides</w:t>
      </w:r>
      <w:r w:rsidR="009D6929" w:rsidRPr="00B13363">
        <w:rPr>
          <w:lang w:val="en-IE"/>
        </w:rPr>
        <w:t xml:space="preserve"> that such data be disaggregated by gender for a set of indicators, where relevant and feasible. This is an important step to improve gender equality monitoring in EU programmes. It also complements the updated </w:t>
      </w:r>
      <w:r w:rsidR="00930EDB">
        <w:rPr>
          <w:lang w:val="en-IE"/>
        </w:rPr>
        <w:t>b</w:t>
      </w:r>
      <w:r w:rsidR="009D6929" w:rsidRPr="00B13363">
        <w:rPr>
          <w:lang w:val="en-IE"/>
        </w:rPr>
        <w:t xml:space="preserve">etter </w:t>
      </w:r>
      <w:r w:rsidR="00930EDB">
        <w:rPr>
          <w:lang w:val="en-IE"/>
        </w:rPr>
        <w:t>r</w:t>
      </w:r>
      <w:r w:rsidR="009D6929" w:rsidRPr="00B13363">
        <w:rPr>
          <w:lang w:val="en-IE"/>
        </w:rPr>
        <w:t xml:space="preserve">egulation </w:t>
      </w:r>
      <w:r w:rsidR="008B7AFA">
        <w:rPr>
          <w:lang w:val="en-IE"/>
        </w:rPr>
        <w:t>g</w:t>
      </w:r>
      <w:r w:rsidR="009D6929" w:rsidRPr="00B13363">
        <w:rPr>
          <w:lang w:val="en-IE"/>
        </w:rPr>
        <w:t xml:space="preserve">uidelines, which ensure that future </w:t>
      </w:r>
      <w:r w:rsidR="009D6929" w:rsidRPr="00B27FED">
        <w:rPr>
          <w:i/>
          <w:iCs/>
          <w:lang w:val="en-IE"/>
        </w:rPr>
        <w:t>ex ante</w:t>
      </w:r>
      <w:r w:rsidR="009D6929" w:rsidRPr="00B13363">
        <w:rPr>
          <w:lang w:val="en-IE"/>
        </w:rPr>
        <w:t xml:space="preserve"> impact assessments of relevant spending programmes consider gender equality from the outset.</w:t>
      </w:r>
    </w:p>
    <w:p w14:paraId="14A046B5" w14:textId="5B6B0110" w:rsidR="008E24E5" w:rsidRDefault="008E24E5" w:rsidP="001B7D68">
      <w:pPr>
        <w:pStyle w:val="amprboxBLUEBoxTitle"/>
      </w:pPr>
      <w:r w:rsidRPr="008E24E5">
        <w:t>Examples of gender-disaggregated data reported in the programme performance statements (Annex</w:t>
      </w:r>
      <w:r w:rsidR="006D6EB3">
        <w:rPr>
          <w:rFonts w:ascii="Calibri" w:hAnsi="Calibri" w:cs="Calibri"/>
        </w:rPr>
        <w:t> </w:t>
      </w:r>
      <w:r w:rsidRPr="008E24E5">
        <w:t>4 to this report)</w:t>
      </w:r>
    </w:p>
    <w:p w14:paraId="27A477E8" w14:textId="2575B6C1" w:rsidR="00B229B3" w:rsidRDefault="00B229B3" w:rsidP="00B229B3">
      <w:pPr>
        <w:pStyle w:val="amprboxBLUEbulletlist"/>
      </w:pPr>
      <w:r w:rsidRPr="00B229B3">
        <w:t xml:space="preserve">Under the </w:t>
      </w:r>
      <w:r w:rsidRPr="00B229B3">
        <w:rPr>
          <w:b/>
        </w:rPr>
        <w:t>Recovery and Resilience Facility</w:t>
      </w:r>
      <w:r w:rsidRPr="00B229B3">
        <w:t xml:space="preserve">, Member States report gender disaggregated data for results and outputs achieved with </w:t>
      </w:r>
      <w:r w:rsidR="00EE4D49" w:rsidRPr="00386014">
        <w:rPr>
          <w:bCs/>
        </w:rPr>
        <w:t>Recovery and Resilience Facility</w:t>
      </w:r>
      <w:r w:rsidR="00EE4D49" w:rsidRPr="00B229B3" w:rsidDel="00EE4D49">
        <w:t xml:space="preserve"> </w:t>
      </w:r>
      <w:r w:rsidRPr="00B229B3">
        <w:t>support within common indicators 8, 10, 11 and 14. For example, research facilities supported by the</w:t>
      </w:r>
      <w:r w:rsidR="00941665" w:rsidRPr="00941665">
        <w:rPr>
          <w:bCs/>
        </w:rPr>
        <w:t xml:space="preserve"> </w:t>
      </w:r>
      <w:r w:rsidR="00941665" w:rsidRPr="00F77EF6">
        <w:rPr>
          <w:bCs/>
        </w:rPr>
        <w:t>Recovery and Resilience Facility</w:t>
      </w:r>
      <w:r w:rsidRPr="00B229B3">
        <w:t xml:space="preserve"> employed 34</w:t>
      </w:r>
      <w:r w:rsidR="00C577FE">
        <w:rPr>
          <w:rFonts w:ascii="Calibri" w:hAnsi="Calibri" w:cs="Calibri"/>
        </w:rPr>
        <w:t> </w:t>
      </w:r>
      <w:r w:rsidRPr="00B229B3">
        <w:t>900 male</w:t>
      </w:r>
      <w:r w:rsidR="00941665">
        <w:t xml:space="preserve"> and</w:t>
      </w:r>
      <w:r w:rsidRPr="00B229B3">
        <w:t xml:space="preserve"> 23</w:t>
      </w:r>
      <w:r w:rsidR="00C577FE">
        <w:rPr>
          <w:rFonts w:ascii="Calibri" w:hAnsi="Calibri" w:cs="Calibri"/>
        </w:rPr>
        <w:t> </w:t>
      </w:r>
      <w:r w:rsidRPr="00B229B3">
        <w:t xml:space="preserve">400 female full-time equivalent </w:t>
      </w:r>
      <w:r w:rsidR="00941665" w:rsidRPr="00B229B3">
        <w:t xml:space="preserve">researchers </w:t>
      </w:r>
      <w:r w:rsidRPr="00B229B3">
        <w:t xml:space="preserve">in 2025 (common indicator 8). So far, participants in education and training supported by the </w:t>
      </w:r>
      <w:r w:rsidR="00941665" w:rsidRPr="00F77EF6">
        <w:rPr>
          <w:bCs/>
        </w:rPr>
        <w:t>Recovery and Resilience Facility</w:t>
      </w:r>
      <w:r w:rsidR="00941665" w:rsidRPr="00B229B3" w:rsidDel="00941665">
        <w:t xml:space="preserve"> </w:t>
      </w:r>
      <w:r w:rsidRPr="00B229B3">
        <w:t>amounted to a total of 12.9</w:t>
      </w:r>
      <w:r w:rsidR="00EB0E5C">
        <w:rPr>
          <w:rFonts w:ascii="Calibri" w:hAnsi="Calibri" w:cs="Calibri"/>
        </w:rPr>
        <w:t> </w:t>
      </w:r>
      <w:r w:rsidR="00EB0E5C">
        <w:t>million</w:t>
      </w:r>
      <w:r w:rsidRPr="00B229B3">
        <w:t xml:space="preserve"> participants across all age groups. Out of the total, 7.7</w:t>
      </w:r>
      <w:r w:rsidR="00EB0E5C">
        <w:rPr>
          <w:rFonts w:ascii="Calibri" w:hAnsi="Calibri" w:cs="Calibri"/>
        </w:rPr>
        <w:t> </w:t>
      </w:r>
      <w:r w:rsidR="00EB0E5C">
        <w:t>million</w:t>
      </w:r>
      <w:r w:rsidRPr="00B229B3">
        <w:t xml:space="preserve"> female</w:t>
      </w:r>
      <w:r w:rsidR="00241A1C">
        <w:t>s and</w:t>
      </w:r>
      <w:r w:rsidRPr="00B229B3">
        <w:t xml:space="preserve"> 5.2</w:t>
      </w:r>
      <w:r w:rsidR="00EB0E5C">
        <w:rPr>
          <w:rFonts w:ascii="Calibri" w:hAnsi="Calibri" w:cs="Calibri"/>
        </w:rPr>
        <w:t> </w:t>
      </w:r>
      <w:r w:rsidR="00EB0E5C">
        <w:t>million</w:t>
      </w:r>
      <w:r w:rsidRPr="00B229B3">
        <w:t xml:space="preserve"> male</w:t>
      </w:r>
      <w:r w:rsidR="00241A1C">
        <w:t>s</w:t>
      </w:r>
      <w:r w:rsidRPr="00B229B3">
        <w:t xml:space="preserve"> were reported (common indicator 10). The total number of 7</w:t>
      </w:r>
      <w:r w:rsidR="00EB0E5C">
        <w:rPr>
          <w:rFonts w:ascii="Calibri" w:hAnsi="Calibri" w:cs="Calibri"/>
        </w:rPr>
        <w:t> </w:t>
      </w:r>
      <w:r w:rsidR="00EB0E5C">
        <w:t>million</w:t>
      </w:r>
      <w:r w:rsidRPr="00B229B3">
        <w:t xml:space="preserve"> people in employment or job</w:t>
      </w:r>
      <w:r w:rsidR="00E2569F">
        <w:t>-</w:t>
      </w:r>
      <w:r w:rsidRPr="00B229B3">
        <w:t>searching activities</w:t>
      </w:r>
      <w:r w:rsidR="00E451D4" w:rsidRPr="00E451D4">
        <w:t xml:space="preserve"> </w:t>
      </w:r>
      <w:r w:rsidR="00E451D4" w:rsidRPr="00B229B3">
        <w:t>supported</w:t>
      </w:r>
      <w:r w:rsidR="00E451D4">
        <w:t xml:space="preserve"> by the </w:t>
      </w:r>
      <w:r w:rsidR="00E451D4" w:rsidRPr="00F77EF6">
        <w:rPr>
          <w:bCs/>
        </w:rPr>
        <w:t>Recovery and Resilience Facility</w:t>
      </w:r>
      <w:r w:rsidRPr="00B229B3">
        <w:t xml:space="preserve"> is subdivided into 3.7</w:t>
      </w:r>
      <w:r w:rsidR="00EB0E5C">
        <w:rPr>
          <w:rFonts w:ascii="Calibri" w:hAnsi="Calibri" w:cs="Calibri"/>
        </w:rPr>
        <w:t> </w:t>
      </w:r>
      <w:r w:rsidR="00EB0E5C">
        <w:t>million</w:t>
      </w:r>
      <w:r w:rsidRPr="00B229B3">
        <w:t xml:space="preserve"> female</w:t>
      </w:r>
      <w:r w:rsidR="00E2569F">
        <w:t>s and</w:t>
      </w:r>
      <w:r w:rsidRPr="00B229B3">
        <w:t xml:space="preserve"> 3.3</w:t>
      </w:r>
      <w:r w:rsidR="00EB0E5C">
        <w:rPr>
          <w:rFonts w:ascii="Calibri" w:hAnsi="Calibri" w:cs="Calibri"/>
        </w:rPr>
        <w:t> </w:t>
      </w:r>
      <w:r w:rsidR="00EB0E5C">
        <w:t>million</w:t>
      </w:r>
      <w:r w:rsidRPr="00B229B3">
        <w:t xml:space="preserve"> male</w:t>
      </w:r>
      <w:r w:rsidR="00E2569F">
        <w:t>s</w:t>
      </w:r>
      <w:r w:rsidRPr="00B229B3">
        <w:t xml:space="preserve"> across all age groups (common indicator 11). The number of young people aged 15-29 receiving support </w:t>
      </w:r>
      <w:r w:rsidR="00E2569F">
        <w:t>from</w:t>
      </w:r>
      <w:r w:rsidRPr="00B229B3">
        <w:t xml:space="preserve"> the </w:t>
      </w:r>
      <w:r w:rsidR="00E2569F" w:rsidRPr="00F77EF6">
        <w:rPr>
          <w:bCs/>
        </w:rPr>
        <w:t>Recovery and Resilience Facility</w:t>
      </w:r>
      <w:r w:rsidR="00E2569F" w:rsidRPr="00B229B3" w:rsidDel="00EE4D49">
        <w:t xml:space="preserve"> </w:t>
      </w:r>
      <w:r w:rsidRPr="00B229B3">
        <w:t>amounted to 863</w:t>
      </w:r>
      <w:r w:rsidR="00E42167">
        <w:rPr>
          <w:rFonts w:ascii="Calibri" w:hAnsi="Calibri" w:cs="Calibri"/>
        </w:rPr>
        <w:t> </w:t>
      </w:r>
      <w:r w:rsidRPr="00B229B3">
        <w:t>200 male</w:t>
      </w:r>
      <w:r w:rsidR="00D87794">
        <w:t>s</w:t>
      </w:r>
      <w:r w:rsidRPr="00B229B3">
        <w:t xml:space="preserve"> and 893</w:t>
      </w:r>
      <w:r w:rsidR="00E42167">
        <w:rPr>
          <w:rFonts w:ascii="Calibri" w:hAnsi="Calibri" w:cs="Calibri"/>
        </w:rPr>
        <w:t> </w:t>
      </w:r>
      <w:r w:rsidRPr="00B229B3">
        <w:t>400 female</w:t>
      </w:r>
      <w:r w:rsidR="00D87794">
        <w:t>s</w:t>
      </w:r>
      <w:r w:rsidRPr="00B229B3">
        <w:t xml:space="preserve"> (common indicator 14).</w:t>
      </w:r>
    </w:p>
    <w:p w14:paraId="62B8857C" w14:textId="6B0DF750" w:rsidR="00B229B3" w:rsidRDefault="00B229B3" w:rsidP="00B229B3">
      <w:pPr>
        <w:pStyle w:val="amprboxBLUEbulletlist"/>
      </w:pPr>
      <w:r w:rsidRPr="00427964">
        <w:t xml:space="preserve">Under </w:t>
      </w:r>
      <w:r w:rsidRPr="00B13363">
        <w:rPr>
          <w:rStyle w:val="Bold"/>
        </w:rPr>
        <w:t>Horizon Europe</w:t>
      </w:r>
      <w:r w:rsidRPr="00427964">
        <w:t>, a</w:t>
      </w:r>
      <w:r w:rsidRPr="00B13363">
        <w:t>s of January 2026</w:t>
      </w:r>
      <w:r w:rsidR="00745F49">
        <w:t>,</w:t>
      </w:r>
      <w:r w:rsidRPr="00B13363">
        <w:t xml:space="preserve"> women coordinated 32% of Horizon Europe projects (6</w:t>
      </w:r>
      <w:r w:rsidR="00C577FE">
        <w:rPr>
          <w:rFonts w:ascii="Calibri" w:hAnsi="Calibri" w:cs="Calibri"/>
        </w:rPr>
        <w:t> </w:t>
      </w:r>
      <w:r w:rsidRPr="00B13363">
        <w:t>281 women). There are large variations across the programme: the share of women is higher in social</w:t>
      </w:r>
      <w:r w:rsidR="0074405E">
        <w:t>-</w:t>
      </w:r>
      <w:r w:rsidRPr="00B13363">
        <w:t>science-oriented actions (Cluster 2: 45%) and lower in industry-focused ones (Cluster 4: 23%). Women represent 53.1% of members of Horizon Europe boards and expert groups, with 55.6% in official expert groups (70 women) and 49.3% in special groups (40 women). Among Horizon Europe researchers, women accounted for 38.3% (101</w:t>
      </w:r>
      <w:r w:rsidR="00C577FE">
        <w:rPr>
          <w:rFonts w:ascii="Calibri" w:hAnsi="Calibri" w:cs="Calibri"/>
        </w:rPr>
        <w:t> </w:t>
      </w:r>
      <w:r w:rsidRPr="00B13363">
        <w:t xml:space="preserve">142), compared </w:t>
      </w:r>
      <w:r w:rsidR="00C939CB">
        <w:t xml:space="preserve">with </w:t>
      </w:r>
      <w:r w:rsidRPr="00B13363">
        <w:t xml:space="preserve">61.6% </w:t>
      </w:r>
      <w:r w:rsidR="00C939CB">
        <w:t xml:space="preserve">for </w:t>
      </w:r>
      <w:r w:rsidRPr="00B13363">
        <w:t>men (162</w:t>
      </w:r>
      <w:r w:rsidR="00E42167">
        <w:rPr>
          <w:rFonts w:ascii="Calibri" w:hAnsi="Calibri" w:cs="Calibri"/>
        </w:rPr>
        <w:t> </w:t>
      </w:r>
      <w:r w:rsidRPr="00B13363">
        <w:t>705), while 0.05% identified as non</w:t>
      </w:r>
      <w:r w:rsidRPr="00B13363" w:rsidDel="004D36D0">
        <w:t>-</w:t>
      </w:r>
      <w:r w:rsidRPr="00B13363">
        <w:t>binary (128).</w:t>
      </w:r>
    </w:p>
    <w:p w14:paraId="7A06F241" w14:textId="75CA939B" w:rsidR="00B229B3" w:rsidRDefault="00B229B3" w:rsidP="00B229B3">
      <w:pPr>
        <w:pStyle w:val="amprboxBLUEbulletlist"/>
      </w:pPr>
      <w:r w:rsidRPr="00427964">
        <w:t xml:space="preserve">Under </w:t>
      </w:r>
      <w:r w:rsidRPr="00B13363">
        <w:rPr>
          <w:rStyle w:val="Bold"/>
        </w:rPr>
        <w:t>Erasmus</w:t>
      </w:r>
      <w:r w:rsidR="009D5809">
        <w:rPr>
          <w:rStyle w:val="Bold"/>
        </w:rPr>
        <w:t>+</w:t>
      </w:r>
      <w:r w:rsidRPr="00427964">
        <w:t>,</w:t>
      </w:r>
      <w:r>
        <w:t xml:space="preserve"> in 2024</w:t>
      </w:r>
      <w:r w:rsidR="006C2660">
        <w:t>,</w:t>
      </w:r>
      <w:r>
        <w:t xml:space="preserve"> 60% of the provided mobility opportunities were taken up by women. The gender distribution varies depending on the field of education; adult education has the highest percentage of women (69.3%), followed by school education (65.3%), higher education (60.4%), youth (57.6%), vocational education and training (54.3%) and sport (41.7%)</w:t>
      </w:r>
    </w:p>
    <w:p w14:paraId="6C9DC3F0" w14:textId="7E52500A" w:rsidR="00B229B3" w:rsidRPr="00B229B3" w:rsidRDefault="00B229B3" w:rsidP="00B229B3">
      <w:pPr>
        <w:pStyle w:val="amprboxBLUEbulletlist"/>
      </w:pPr>
      <w:r w:rsidRPr="00427964">
        <w:t xml:space="preserve">Under the </w:t>
      </w:r>
      <w:r w:rsidR="00045639">
        <w:rPr>
          <w:rStyle w:val="Bold"/>
        </w:rPr>
        <w:t>CAP</w:t>
      </w:r>
      <w:r w:rsidRPr="00427964">
        <w:t>, the t</w:t>
      </w:r>
      <w:r w:rsidRPr="00B13363">
        <w:t xml:space="preserve">otal number of farmers receiving direct support (provisional data for 2024) </w:t>
      </w:r>
      <w:r w:rsidR="008A5659">
        <w:t>was</w:t>
      </w:r>
      <w:r w:rsidR="0039118E">
        <w:t xml:space="preserve"> </w:t>
      </w:r>
      <w:r>
        <w:t>5</w:t>
      </w:r>
      <w:r w:rsidR="00E42167">
        <w:rPr>
          <w:rFonts w:ascii="Calibri" w:hAnsi="Calibri" w:cs="Calibri"/>
        </w:rPr>
        <w:t> </w:t>
      </w:r>
      <w:r>
        <w:t>604</w:t>
      </w:r>
      <w:r w:rsidR="00E42167">
        <w:rPr>
          <w:rFonts w:ascii="Calibri" w:hAnsi="Calibri" w:cs="Calibri"/>
        </w:rPr>
        <w:t> </w:t>
      </w:r>
      <w:r>
        <w:t>178</w:t>
      </w:r>
      <w:r w:rsidR="006B20FB">
        <w:t>, of which:</w:t>
      </w:r>
      <w:r>
        <w:t xml:space="preserve"> </w:t>
      </w:r>
      <w:r w:rsidR="006B20FB">
        <w:t>w</w:t>
      </w:r>
      <w:r w:rsidRPr="00B13363">
        <w:t>omen:</w:t>
      </w:r>
      <w:r w:rsidR="00E42167">
        <w:rPr>
          <w:rFonts w:ascii="Calibri" w:hAnsi="Calibri" w:cs="Calibri"/>
        </w:rPr>
        <w:t xml:space="preserve"> </w:t>
      </w:r>
      <w:r w:rsidRPr="00B13363">
        <w:t>1</w:t>
      </w:r>
      <w:r w:rsidRPr="00B13363">
        <w:rPr>
          <w:rFonts w:ascii="Calibri" w:hAnsi="Calibri" w:cs="Calibri"/>
        </w:rPr>
        <w:t> </w:t>
      </w:r>
      <w:r w:rsidRPr="00B13363">
        <w:t>768</w:t>
      </w:r>
      <w:r w:rsidR="00E42167">
        <w:rPr>
          <w:rFonts w:ascii="Calibri" w:hAnsi="Calibri" w:cs="Calibri"/>
        </w:rPr>
        <w:t> </w:t>
      </w:r>
      <w:r w:rsidRPr="00B13363">
        <w:t>426</w:t>
      </w:r>
      <w:r w:rsidR="00482021">
        <w:rPr>
          <w:rFonts w:ascii="Calibri" w:hAnsi="Calibri" w:cs="Calibri"/>
        </w:rPr>
        <w:t xml:space="preserve"> </w:t>
      </w:r>
      <w:r w:rsidRPr="00B13363">
        <w:t>(31.6%);</w:t>
      </w:r>
      <w:r w:rsidR="00E42167">
        <w:rPr>
          <w:rFonts w:ascii="Calibri" w:hAnsi="Calibri" w:cs="Calibri"/>
        </w:rPr>
        <w:t xml:space="preserve"> </w:t>
      </w:r>
      <w:r w:rsidRPr="00B13363">
        <w:t>men:</w:t>
      </w:r>
      <w:r w:rsidR="00E42167">
        <w:rPr>
          <w:rFonts w:ascii="Calibri" w:hAnsi="Calibri" w:cs="Calibri"/>
        </w:rPr>
        <w:t xml:space="preserve"> </w:t>
      </w:r>
      <w:r w:rsidRPr="00B13363">
        <w:t>3</w:t>
      </w:r>
      <w:r w:rsidR="00E42167">
        <w:rPr>
          <w:rFonts w:ascii="Calibri" w:hAnsi="Calibri" w:cs="Calibri"/>
        </w:rPr>
        <w:t> </w:t>
      </w:r>
      <w:r w:rsidRPr="00B13363">
        <w:t>553</w:t>
      </w:r>
      <w:r w:rsidR="00E42167">
        <w:rPr>
          <w:rFonts w:ascii="Calibri" w:hAnsi="Calibri" w:cs="Calibri"/>
        </w:rPr>
        <w:t> </w:t>
      </w:r>
      <w:r w:rsidRPr="00B13363">
        <w:t>350</w:t>
      </w:r>
      <w:r w:rsidR="00482021">
        <w:rPr>
          <w:rFonts w:ascii="Calibri" w:hAnsi="Calibri" w:cs="Calibri"/>
        </w:rPr>
        <w:t xml:space="preserve"> </w:t>
      </w:r>
      <w:r w:rsidRPr="00B13363">
        <w:t>(63.4%); non-binary:</w:t>
      </w:r>
      <w:r w:rsidR="00E42167">
        <w:rPr>
          <w:rFonts w:ascii="Calibri" w:hAnsi="Calibri" w:cs="Calibri"/>
        </w:rPr>
        <w:t xml:space="preserve"> </w:t>
      </w:r>
      <w:r w:rsidRPr="00B13363">
        <w:t>250</w:t>
      </w:r>
      <w:r w:rsidR="001D613E">
        <w:rPr>
          <w:rFonts w:ascii="Calibri" w:hAnsi="Calibri" w:cs="Calibri"/>
        </w:rPr>
        <w:t xml:space="preserve"> </w:t>
      </w:r>
      <w:r w:rsidRPr="00B13363">
        <w:t>(0.0%);</w:t>
      </w:r>
      <w:r>
        <w:t xml:space="preserve"> </w:t>
      </w:r>
      <w:r w:rsidRPr="00B13363">
        <w:t>no prevalence:</w:t>
      </w:r>
      <w:r w:rsidR="001D613E">
        <w:rPr>
          <w:rFonts w:ascii="Calibri" w:hAnsi="Calibri" w:cs="Calibri"/>
        </w:rPr>
        <w:t xml:space="preserve"> </w:t>
      </w:r>
      <w:r w:rsidRPr="00B13363">
        <w:t>209</w:t>
      </w:r>
      <w:r w:rsidR="001D613E">
        <w:rPr>
          <w:rFonts w:ascii="Calibri" w:hAnsi="Calibri" w:cs="Calibri"/>
        </w:rPr>
        <w:t> </w:t>
      </w:r>
      <w:r w:rsidRPr="00B13363">
        <w:t>340</w:t>
      </w:r>
      <w:r w:rsidR="001D613E">
        <w:rPr>
          <w:rFonts w:ascii="Calibri" w:hAnsi="Calibri" w:cs="Calibri"/>
        </w:rPr>
        <w:t xml:space="preserve"> </w:t>
      </w:r>
      <w:r w:rsidRPr="00B13363">
        <w:t xml:space="preserve">(3.7%) and </w:t>
      </w:r>
      <w:r>
        <w:t>prefer not to say:</w:t>
      </w:r>
      <w:r w:rsidR="001D613E">
        <w:rPr>
          <w:rFonts w:ascii="Calibri" w:hAnsi="Calibri" w:cs="Calibri"/>
        </w:rPr>
        <w:t xml:space="preserve"> </w:t>
      </w:r>
      <w:r>
        <w:t>72</w:t>
      </w:r>
      <w:r w:rsidRPr="3C7FEF66">
        <w:rPr>
          <w:rFonts w:ascii="Calibri" w:hAnsi="Calibri" w:cs="Calibri"/>
        </w:rPr>
        <w:t> </w:t>
      </w:r>
      <w:r>
        <w:t>812</w:t>
      </w:r>
      <w:r w:rsidR="001D613E">
        <w:rPr>
          <w:rFonts w:ascii="Calibri" w:hAnsi="Calibri" w:cs="Calibri"/>
        </w:rPr>
        <w:t xml:space="preserve"> </w:t>
      </w:r>
      <w:r>
        <w:t>(1.3%).</w:t>
      </w:r>
    </w:p>
    <w:p w14:paraId="7EC02884" w14:textId="2838AF98" w:rsidR="0014049F" w:rsidRPr="00B229B3" w:rsidRDefault="0014049F" w:rsidP="00B229B3">
      <w:pPr>
        <w:pStyle w:val="amprboxBLUEbulletlist"/>
      </w:pPr>
      <w:r w:rsidRPr="0014049F">
        <w:t xml:space="preserve">Under the </w:t>
      </w:r>
      <w:r w:rsidR="00EA6279" w:rsidRPr="0055163D">
        <w:rPr>
          <w:b/>
          <w:bCs/>
          <w:noProof/>
        </w:rPr>
        <w:t>European Social Fund Plus</w:t>
      </w:r>
      <w:r w:rsidRPr="0055163D">
        <w:rPr>
          <w:bCs/>
        </w:rPr>
        <w:t>,</w:t>
      </w:r>
      <w:r w:rsidRPr="0014049F">
        <w:t xml:space="preserve"> all common indicators on participants are broken down by gender. By the end of 2025, 16.0</w:t>
      </w:r>
      <w:r w:rsidR="00726CEA">
        <w:rPr>
          <w:rFonts w:ascii="Calibri" w:hAnsi="Calibri" w:cs="Calibri"/>
        </w:rPr>
        <w:t> </w:t>
      </w:r>
      <w:r w:rsidRPr="0014049F">
        <w:t>million participants had been supported, of whom 8.4</w:t>
      </w:r>
      <w:r w:rsidR="00726CEA">
        <w:rPr>
          <w:rFonts w:ascii="Calibri" w:hAnsi="Calibri" w:cs="Calibri"/>
        </w:rPr>
        <w:t> </w:t>
      </w:r>
      <w:r w:rsidRPr="0014049F">
        <w:t>million were women, 7.5</w:t>
      </w:r>
      <w:r w:rsidR="00EC09B0">
        <w:rPr>
          <w:rFonts w:ascii="Calibri" w:hAnsi="Calibri" w:cs="Calibri"/>
        </w:rPr>
        <w:t> milli</w:t>
      </w:r>
      <w:r w:rsidR="00EA6279">
        <w:rPr>
          <w:rFonts w:ascii="Calibri" w:hAnsi="Calibri" w:cs="Calibri"/>
        </w:rPr>
        <w:t>on</w:t>
      </w:r>
      <w:r w:rsidRPr="0014049F">
        <w:t xml:space="preserve"> were men and </w:t>
      </w:r>
      <w:r w:rsidR="0018198B">
        <w:t>0.1</w:t>
      </w:r>
      <w:r w:rsidR="00EA6279">
        <w:rPr>
          <w:rFonts w:ascii="Calibri" w:hAnsi="Calibri" w:cs="Calibri"/>
        </w:rPr>
        <w:t> </w:t>
      </w:r>
      <w:r w:rsidR="0018198B">
        <w:t>million</w:t>
      </w:r>
      <w:r w:rsidRPr="0014049F">
        <w:t xml:space="preserve"> were non-binary.   </w:t>
      </w:r>
    </w:p>
    <w:p w14:paraId="1A0A6606" w14:textId="243F9C45" w:rsidR="00B229B3" w:rsidRDefault="00B229B3" w:rsidP="00B229B3">
      <w:pPr>
        <w:pStyle w:val="amprboxBLUEbulletlist"/>
      </w:pPr>
      <w:r w:rsidRPr="00427964">
        <w:t xml:space="preserve">Under the </w:t>
      </w:r>
      <w:r w:rsidRPr="00B13363">
        <w:rPr>
          <w:rStyle w:val="Bold"/>
        </w:rPr>
        <w:t>Instrument for Pre-accession Assistance</w:t>
      </w:r>
      <w:r w:rsidR="009D5809">
        <w:rPr>
          <w:rStyle w:val="Bold"/>
        </w:rPr>
        <w:t xml:space="preserve"> III</w:t>
      </w:r>
      <w:r w:rsidRPr="00427964">
        <w:t>, 393</w:t>
      </w:r>
      <w:r w:rsidRPr="00427964">
        <w:rPr>
          <w:rFonts w:ascii="Calibri" w:hAnsi="Calibri" w:cs="Calibri"/>
        </w:rPr>
        <w:t> </w:t>
      </w:r>
      <w:r w:rsidRPr="00427964">
        <w:t>418 people directly benefited from EU-supported interventions that aim to reduce social and economic inequality. Available sex-disaggregated data indicates that at least</w:t>
      </w:r>
      <w:r w:rsidRPr="00427964" w:rsidDel="0030490C">
        <w:t xml:space="preserve"> </w:t>
      </w:r>
      <w:r w:rsidRPr="00427964">
        <w:t>202</w:t>
      </w:r>
      <w:r w:rsidRPr="00427964">
        <w:rPr>
          <w:rFonts w:ascii="Calibri" w:hAnsi="Calibri" w:cs="Calibri"/>
        </w:rPr>
        <w:t> </w:t>
      </w:r>
      <w:r w:rsidRPr="00427964">
        <w:t xml:space="preserve">532 were female and </w:t>
      </w:r>
      <w:r w:rsidRPr="00427964" w:rsidDel="0030490C">
        <w:t>191</w:t>
      </w:r>
      <w:r w:rsidRPr="00427964">
        <w:rPr>
          <w:rFonts w:ascii="Calibri" w:hAnsi="Calibri" w:cs="Calibri"/>
        </w:rPr>
        <w:t> </w:t>
      </w:r>
      <w:r w:rsidRPr="00427964">
        <w:t>068 were male.</w:t>
      </w:r>
    </w:p>
    <w:p w14:paraId="06C1F9CE" w14:textId="629AF5B2" w:rsidR="008E24E5" w:rsidRPr="008E24E5" w:rsidRDefault="00B229B3" w:rsidP="00B229B3">
      <w:pPr>
        <w:pStyle w:val="amprboxBLUEbulletlist"/>
      </w:pPr>
      <w:r w:rsidRPr="00B13363">
        <w:t xml:space="preserve">Under the </w:t>
      </w:r>
      <w:r w:rsidRPr="00B13363">
        <w:rPr>
          <w:rStyle w:val="Bold"/>
        </w:rPr>
        <w:t>humanitarian aid programme</w:t>
      </w:r>
      <w:r w:rsidRPr="00B13363">
        <w:t xml:space="preserve">, the percentage of beneficiaries disaggregated by gender </w:t>
      </w:r>
      <w:r w:rsidRPr="00B13363" w:rsidDel="001529A8">
        <w:t xml:space="preserve">in </w:t>
      </w:r>
      <w:r w:rsidRPr="00B13363" w:rsidDel="001529A8">
        <w:rPr>
          <w:noProof/>
        </w:rPr>
        <w:t>202</w:t>
      </w:r>
      <w:r w:rsidRPr="00B13363">
        <w:rPr>
          <w:noProof/>
        </w:rPr>
        <w:t>5</w:t>
      </w:r>
      <w:r w:rsidRPr="00B13363" w:rsidDel="001529A8">
        <w:t xml:space="preserve"> </w:t>
      </w:r>
      <w:r w:rsidRPr="00B13363">
        <w:t xml:space="preserve">is as follows: </w:t>
      </w:r>
      <w:r w:rsidRPr="00B13363">
        <w:rPr>
          <w:noProof/>
        </w:rPr>
        <w:t>5</w:t>
      </w:r>
      <w:r w:rsidRPr="00B13363">
        <w:t>0</w:t>
      </w:r>
      <w:r w:rsidRPr="00B13363" w:rsidDel="001529A8">
        <w:t xml:space="preserve">% </w:t>
      </w:r>
      <w:r w:rsidRPr="00B13363">
        <w:t>f</w:t>
      </w:r>
      <w:r w:rsidRPr="00B13363" w:rsidDel="001529A8">
        <w:t xml:space="preserve">emale, </w:t>
      </w:r>
      <w:r w:rsidRPr="00B13363">
        <w:rPr>
          <w:noProof/>
        </w:rPr>
        <w:t>4</w:t>
      </w:r>
      <w:r w:rsidRPr="00B13363">
        <w:t>2</w:t>
      </w:r>
      <w:r w:rsidRPr="00B13363" w:rsidDel="001529A8">
        <w:t xml:space="preserve">% </w:t>
      </w:r>
      <w:r w:rsidRPr="00B13363">
        <w:t>m</w:t>
      </w:r>
      <w:r w:rsidRPr="00B13363" w:rsidDel="001529A8">
        <w:t xml:space="preserve">ale </w:t>
      </w:r>
      <w:r w:rsidRPr="00B13363">
        <w:t xml:space="preserve">and </w:t>
      </w:r>
      <w:r w:rsidRPr="00B13363">
        <w:rPr>
          <w:noProof/>
        </w:rPr>
        <w:t>8</w:t>
      </w:r>
      <w:r w:rsidRPr="00B13363">
        <w:t>% unknown</w:t>
      </w:r>
      <w:r w:rsidRPr="00B229B3">
        <w:rPr>
          <w:rFonts w:ascii="Calibri" w:hAnsi="Calibri" w:cs="Calibri"/>
        </w:rPr>
        <w:t> </w:t>
      </w:r>
      <w:r w:rsidRPr="00B13363">
        <w:t>(</w:t>
      </w:r>
      <w:r w:rsidRPr="00B13363">
        <w:rPr>
          <w:rStyle w:val="FootnoteReference"/>
        </w:rPr>
        <w:footnoteReference w:id="70"/>
      </w:r>
      <w:r w:rsidRPr="00B13363">
        <w:t>).</w:t>
      </w:r>
    </w:p>
    <w:p w14:paraId="366450D5" w14:textId="77777777" w:rsidR="00DA5DD6" w:rsidRDefault="00DA5DD6">
      <w:pPr>
        <w:suppressAutoHyphens w:val="0"/>
        <w:rPr>
          <w:rFonts w:asciiTheme="majorHAnsi" w:hAnsiTheme="majorHAnsi"/>
          <w:color w:val="003399" w:themeColor="text2"/>
          <w:sz w:val="28"/>
        </w:rPr>
      </w:pPr>
      <w:r>
        <w:br w:type="page"/>
      </w:r>
    </w:p>
    <w:p w14:paraId="64740C2E" w14:textId="542BFBB6" w:rsidR="00F063E4" w:rsidRPr="00ED3E1D" w:rsidDel="00453D82" w:rsidRDefault="00F063E4" w:rsidP="00F063E4">
      <w:pPr>
        <w:pStyle w:val="Heading4"/>
        <w:spacing w:before="280" w:after="120"/>
      </w:pPr>
      <w:r>
        <w:t xml:space="preserve">Support gender equality in </w:t>
      </w:r>
      <w:r w:rsidRPr="00CA1D39">
        <w:t>the 2028-2034 long-term budget</w:t>
      </w:r>
    </w:p>
    <w:p w14:paraId="69123A4C" w14:textId="3F3740A1" w:rsidR="00415F02" w:rsidRDefault="00F063E4" w:rsidP="00F063E4">
      <w:r>
        <w:t xml:space="preserve">During the 2021–2027 </w:t>
      </w:r>
      <w:r w:rsidR="001D613E">
        <w:t>multiannual financial framework</w:t>
      </w:r>
      <w:r>
        <w:t xml:space="preserve">, gender budgeting was strengthened through the introduction of a dedicated expenditure-tracking methodology in 2021 and via mainstreaming across some of the </w:t>
      </w:r>
      <w:r w:rsidR="00DD28D8">
        <w:t xml:space="preserve">EU budget </w:t>
      </w:r>
      <w:r>
        <w:t xml:space="preserve">programmes. </w:t>
      </w:r>
      <w:r w:rsidR="00367718">
        <w:t xml:space="preserve">This progress resulted in </w:t>
      </w:r>
      <w:r>
        <w:t>around 1</w:t>
      </w:r>
      <w:r w:rsidR="40753A8F">
        <w:t>3</w:t>
      </w:r>
      <w:r>
        <w:t xml:space="preserve">% </w:t>
      </w:r>
      <w:r w:rsidR="00E30D83">
        <w:t>o</w:t>
      </w:r>
      <w:r w:rsidR="00E30D83" w:rsidRPr="00E30D83">
        <w:t>f the EU budget over the 2021–2025 period supporting gender equality</w:t>
      </w:r>
      <w:r w:rsidR="00E30D83">
        <w:t xml:space="preserve">. </w:t>
      </w:r>
      <w:r>
        <w:t xml:space="preserve">At the same time, there is clear scope for further progress, as a large majority of expenditure (around 84%) remains classified under score 0, indicating no identified contribution. This reflects, in part, inconsistent provisions across programmes, including on monitoring, </w:t>
      </w:r>
      <w:r w:rsidR="002B1BCD">
        <w:t>limited data availability</w:t>
      </w:r>
      <w:r w:rsidR="002D7FC7">
        <w:t xml:space="preserve"> on gender equality</w:t>
      </w:r>
      <w:r w:rsidR="002B1BCD">
        <w:t xml:space="preserve">, </w:t>
      </w:r>
      <w:r>
        <w:t>a</w:t>
      </w:r>
      <w:r w:rsidR="00315C86">
        <w:t xml:space="preserve">long with </w:t>
      </w:r>
      <w:r>
        <w:t>the limited integration of gender equality considerations in impact assessments underpinning the</w:t>
      </w:r>
      <w:r w:rsidR="00A405F1">
        <w:t xml:space="preserve"> 2021-2027 programme</w:t>
      </w:r>
      <w:r w:rsidR="009D5809">
        <w:t>s’ basic acts</w:t>
      </w:r>
      <w:r>
        <w:t>.</w:t>
      </w:r>
      <w:r w:rsidR="00415F02">
        <w:t xml:space="preserve"> </w:t>
      </w:r>
      <w:r>
        <w:t xml:space="preserve">These limitations have constrained the overall effectiveness of gender budgeting and highlight the need for a more robust and harmonised </w:t>
      </w:r>
      <w:r w:rsidR="00915706">
        <w:t xml:space="preserve">EU budget </w:t>
      </w:r>
      <w:r>
        <w:t>framework</w:t>
      </w:r>
      <w:r w:rsidR="003B5E73">
        <w:t xml:space="preserve"> </w:t>
      </w:r>
      <w:r w:rsidR="00142480">
        <w:t xml:space="preserve">to </w:t>
      </w:r>
      <w:r w:rsidR="00915706">
        <w:t>support</w:t>
      </w:r>
      <w:r w:rsidR="003B5E73">
        <w:t xml:space="preserve"> </w:t>
      </w:r>
      <w:r w:rsidR="00217D0E">
        <w:t xml:space="preserve">and monitor </w:t>
      </w:r>
      <w:r w:rsidR="003B5E73">
        <w:t>gender equality</w:t>
      </w:r>
      <w:r w:rsidR="00915706">
        <w:t xml:space="preserve"> objectives. </w:t>
      </w:r>
    </w:p>
    <w:p w14:paraId="624CE46F" w14:textId="490616F1" w:rsidR="00F063E4" w:rsidRDefault="00D965E4" w:rsidP="00F063E4">
      <w:r>
        <w:t>In response to these challenges,</w:t>
      </w:r>
      <w:r w:rsidR="00F063E4">
        <w:t xml:space="preserve"> the Commission </w:t>
      </w:r>
      <w:r w:rsidR="006371AB">
        <w:t xml:space="preserve">has </w:t>
      </w:r>
      <w:r w:rsidR="00F063E4">
        <w:t xml:space="preserve">proposed </w:t>
      </w:r>
      <w:r w:rsidR="006A6CD7">
        <w:t>the</w:t>
      </w:r>
      <w:r w:rsidR="00F063E4">
        <w:t xml:space="preserve"> Performance Regulation for the</w:t>
      </w:r>
      <w:r w:rsidR="00A459F9">
        <w:t xml:space="preserve"> </w:t>
      </w:r>
      <w:r w:rsidR="00A459F9" w:rsidRPr="00A459F9">
        <w:t>2028</w:t>
      </w:r>
      <w:r w:rsidR="00A7744C">
        <w:t>-</w:t>
      </w:r>
      <w:r w:rsidR="00A459F9" w:rsidRPr="00A459F9">
        <w:t xml:space="preserve">2034 </w:t>
      </w:r>
      <w:r w:rsidR="007E1D14" w:rsidRPr="00386014">
        <w:t>multiannual financial framework</w:t>
      </w:r>
      <w:r w:rsidR="00F063E4">
        <w:t xml:space="preserve">. </w:t>
      </w:r>
      <w:r w:rsidR="00674150" w:rsidRPr="00674150">
        <w:t>Under the Commission’s proposal, gender equality w</w:t>
      </w:r>
      <w:r w:rsidR="00F65241">
        <w:t>ill</w:t>
      </w:r>
      <w:r w:rsidR="00674150" w:rsidRPr="00674150">
        <w:t xml:space="preserve"> remain fully integrated as a horizontal </w:t>
      </w:r>
      <w:r w:rsidR="00D57474">
        <w:t>principle</w:t>
      </w:r>
      <w:r w:rsidR="00674150" w:rsidRPr="00674150">
        <w:t xml:space="preserve"> across EU budget programmes, </w:t>
      </w:r>
      <w:r w:rsidR="005E5185">
        <w:t xml:space="preserve">in line with the requirements from the </w:t>
      </w:r>
      <w:hyperlink r:id="rId78" w:history="1">
        <w:r w:rsidR="005E5185" w:rsidRPr="0034764F">
          <w:rPr>
            <w:rStyle w:val="Hyperlink"/>
          </w:rPr>
          <w:t>Financial Regulation</w:t>
        </w:r>
      </w:hyperlink>
      <w:r w:rsidR="005E5185">
        <w:t xml:space="preserve">. </w:t>
      </w:r>
      <w:r w:rsidR="00E03F50" w:rsidRPr="00E03F50">
        <w:t xml:space="preserve">It </w:t>
      </w:r>
      <w:r w:rsidR="00E03F50">
        <w:t>will allow to</w:t>
      </w:r>
      <w:r w:rsidR="00E03F50" w:rsidRPr="00E03F50">
        <w:t xml:space="preserve"> reinforce support for objectives such as equal access to the labour market, fair working conditions, women’s entrepreneurship, participation in research and innovation and the fight against gender-based violence.</w:t>
      </w:r>
    </w:p>
    <w:p w14:paraId="3AE45123" w14:textId="48D8487F" w:rsidR="00F063E4" w:rsidRDefault="00F063E4" w:rsidP="00F063E4">
      <w:r>
        <w:t xml:space="preserve">For the first time, the Performance Regulation </w:t>
      </w:r>
      <w:r w:rsidR="00544D68">
        <w:t>introduces</w:t>
      </w:r>
      <w:r>
        <w:t xml:space="preserve"> binding, horizontal rules to operationalise gender equality across all management modes, ensuring that gender </w:t>
      </w:r>
      <w:r w:rsidR="00940312">
        <w:t xml:space="preserve">equality </w:t>
      </w:r>
      <w:r>
        <w:t>considerations are integrated throughout the policy cycle</w:t>
      </w:r>
      <w:r w:rsidR="00CB57D4">
        <w:rPr>
          <w:rFonts w:ascii="Calibri" w:hAnsi="Calibri" w:cs="Calibri"/>
        </w:rPr>
        <w:t> –</w:t>
      </w:r>
      <w:r>
        <w:t xml:space="preserve"> from planning to implementation and evaluation. It also </w:t>
      </w:r>
      <w:r w:rsidR="000C7B1A">
        <w:t>strengthens</w:t>
      </w:r>
      <w:r>
        <w:t xml:space="preserve"> monitoring and accountability by requiring gender-disaggregated data </w:t>
      </w:r>
      <w:r w:rsidR="007D4407">
        <w:t xml:space="preserve">in </w:t>
      </w:r>
      <w:r>
        <w:t>performance indicators where relevant and feasible.</w:t>
      </w:r>
      <w:r w:rsidRPr="00AF2FFE">
        <w:t xml:space="preserve"> </w:t>
      </w:r>
      <w:r w:rsidR="008A5396">
        <w:t>In addition</w:t>
      </w:r>
      <w:r>
        <w:t xml:space="preserve">, </w:t>
      </w:r>
      <w:r w:rsidR="00BA2384" w:rsidRPr="00BA2384">
        <w:t xml:space="preserve">it introduces an enhanced </w:t>
      </w:r>
      <w:r w:rsidR="004D6DA6">
        <w:t xml:space="preserve">expenditure </w:t>
      </w:r>
      <w:r w:rsidR="00BA2384" w:rsidRPr="00BA2384">
        <w:t>tracking methodology, building on lessons from the 2021</w:t>
      </w:r>
      <w:r w:rsidR="008B7C8C">
        <w:t>-</w:t>
      </w:r>
      <w:r w:rsidR="00BA2384" w:rsidRPr="00BA2384">
        <w:t xml:space="preserve">2027 </w:t>
      </w:r>
      <w:r w:rsidR="004D6DA6">
        <w:t>period</w:t>
      </w:r>
      <w:r w:rsidR="00BA2384" w:rsidRPr="00BA2384">
        <w:t>, which classifies expenditure according to its contribution to gender equality (scores 2, 1 and 0).</w:t>
      </w:r>
      <w:r w:rsidR="0094084A">
        <w:t xml:space="preserve"> </w:t>
      </w:r>
      <w:r w:rsidR="009857C6">
        <w:t>D</w:t>
      </w:r>
      <w:r w:rsidR="00931637">
        <w:t>edicated</w:t>
      </w:r>
      <w:r w:rsidR="0094084A">
        <w:t xml:space="preserve"> gender equality guidance will support the implementation of the tracking methodology.</w:t>
      </w:r>
    </w:p>
    <w:p w14:paraId="5CC9ECE9" w14:textId="2E27DA84" w:rsidR="00F063E4" w:rsidRPr="00D7362E" w:rsidRDefault="00094D9C" w:rsidP="00386014">
      <w:r w:rsidRPr="00094D9C">
        <w:t>Overall, the proposed framework for the 2028</w:t>
      </w:r>
      <w:r w:rsidR="00744D3B">
        <w:t>-</w:t>
      </w:r>
      <w:r w:rsidRPr="00094D9C">
        <w:t xml:space="preserve">2034 </w:t>
      </w:r>
      <w:r w:rsidR="007E1D14" w:rsidRPr="005C0AB1">
        <w:t>multiannual financial framework</w:t>
      </w:r>
      <w:r w:rsidRPr="00094D9C">
        <w:t xml:space="preserve"> elevates gender equality as a cross-cutting principle across all EU funding programmes, strengthening its integration into the design, implementation and monitoring of EU expenditure. It aims to ensure that gender equality remains a central driver in the implementation of the EU budget.</w:t>
      </w:r>
      <w:r w:rsidR="00F063E4">
        <w:br w:type="page"/>
      </w:r>
    </w:p>
    <w:p w14:paraId="78F27633" w14:textId="5CAFBBF1" w:rsidR="000D7D9F" w:rsidRPr="008072FE" w:rsidRDefault="000D7D9F" w:rsidP="000D7D9F">
      <w:pPr>
        <w:pStyle w:val="Heading3"/>
        <w:rPr>
          <w:rFonts w:ascii="EC Square Sans Pro" w:hAnsi="EC Square Sans Pro"/>
        </w:rPr>
      </w:pPr>
      <w:r w:rsidRPr="008072FE">
        <w:rPr>
          <w:rFonts w:ascii="EC Square Sans Pro" w:hAnsi="EC Square Sans Pro"/>
        </w:rPr>
        <w:t>Digital tracking</w:t>
      </w:r>
    </w:p>
    <w:p w14:paraId="08AD7B17" w14:textId="65C15AC1" w:rsidR="000D7D9F" w:rsidRPr="008072FE" w:rsidRDefault="000D7D9F" w:rsidP="000D7D9F">
      <w:pPr>
        <w:rPr>
          <w:spacing w:val="-3"/>
        </w:rPr>
      </w:pPr>
      <w:r w:rsidRPr="00D7362E">
        <w:rPr>
          <w:rStyle w:val="Bold"/>
        </w:rPr>
        <w:t xml:space="preserve">The digital transition is a core element of </w:t>
      </w:r>
      <w:r w:rsidRPr="00386014">
        <w:rPr>
          <w:rStyle w:val="Bold"/>
        </w:rPr>
        <w:t>the Commission’s competitiveness agenda.</w:t>
      </w:r>
      <w:r w:rsidRPr="008072FE">
        <w:rPr>
          <w:spacing w:val="-3"/>
        </w:rPr>
        <w:t xml:space="preserve"> Beyond enhancing EU competitiveness, including leadership in </w:t>
      </w:r>
      <w:r w:rsidR="00C32913">
        <w:rPr>
          <w:spacing w:val="-3"/>
        </w:rPr>
        <w:t>AI</w:t>
      </w:r>
      <w:r w:rsidRPr="008072FE">
        <w:rPr>
          <w:spacing w:val="-3"/>
        </w:rPr>
        <w:t xml:space="preserve"> innovation, it serves as a vital catalyst for prosperity, economic recovery and resilience while enabling innovative solutions to tackle global challenges.</w:t>
      </w:r>
    </w:p>
    <w:p w14:paraId="0257DEE0" w14:textId="77777777" w:rsidR="000D7D9F" w:rsidRPr="008072FE" w:rsidRDefault="000D7D9F" w:rsidP="000D7D9F">
      <w:r w:rsidRPr="008072FE">
        <w:t>In 2021, the Commission presented its vision for the EU’s digital transformation by 2030, with a digital compass for the EU’s Digital</w:t>
      </w:r>
      <w:r w:rsidRPr="008072FE" w:rsidDel="0004513D">
        <w:t xml:space="preserve"> </w:t>
      </w:r>
      <w:r w:rsidRPr="008072FE">
        <w:t>Decade that evolves around four digital dimensions:</w:t>
      </w:r>
    </w:p>
    <w:p w14:paraId="000DEFBA" w14:textId="45C3818B" w:rsidR="000D7D9F" w:rsidRPr="008072FE" w:rsidRDefault="00AB311A" w:rsidP="001B7D68">
      <w:pPr>
        <w:pStyle w:val="ListBullet"/>
      </w:pPr>
      <w:r>
        <w:t>s</w:t>
      </w:r>
      <w:r w:rsidR="000D7D9F" w:rsidRPr="008072FE">
        <w:t>kills</w:t>
      </w:r>
      <w:r>
        <w:t>,</w:t>
      </w:r>
    </w:p>
    <w:p w14:paraId="31B25677" w14:textId="530F6D04" w:rsidR="000D7D9F" w:rsidRPr="008072FE" w:rsidRDefault="000D7D9F" w:rsidP="001B7D68">
      <w:pPr>
        <w:pStyle w:val="ListBullet"/>
      </w:pPr>
      <w:r w:rsidRPr="008072FE">
        <w:t>secure and sustainable digital infrastructure</w:t>
      </w:r>
      <w:r w:rsidR="00AB311A">
        <w:t>,</w:t>
      </w:r>
    </w:p>
    <w:p w14:paraId="21ABDDEE" w14:textId="208CE4A9" w:rsidR="000D7D9F" w:rsidRPr="008072FE" w:rsidRDefault="000D7D9F" w:rsidP="001B7D68">
      <w:pPr>
        <w:pStyle w:val="ListBullet"/>
      </w:pPr>
      <w:r w:rsidRPr="008072FE">
        <w:t>digital transformation of businesses</w:t>
      </w:r>
      <w:r w:rsidR="00AB311A">
        <w:t>,</w:t>
      </w:r>
      <w:r w:rsidRPr="008072FE">
        <w:t xml:space="preserve"> and</w:t>
      </w:r>
    </w:p>
    <w:p w14:paraId="596DC000" w14:textId="77777777" w:rsidR="000D7D9F" w:rsidRPr="008072FE" w:rsidRDefault="000D7D9F" w:rsidP="001B7D68">
      <w:pPr>
        <w:pStyle w:val="ListBullet"/>
      </w:pPr>
      <w:r w:rsidRPr="008072FE">
        <w:t>digitalisation of public services.</w:t>
      </w:r>
    </w:p>
    <w:p w14:paraId="24ABBB26" w14:textId="3B6A713F" w:rsidR="000D7D9F" w:rsidRPr="003E29CF" w:rsidRDefault="000D7D9F" w:rsidP="000D7D9F">
      <w:pPr>
        <w:rPr>
          <w:noProof/>
          <w:highlight w:val="lightGray"/>
        </w:rPr>
      </w:pPr>
      <w:r w:rsidRPr="008072FE">
        <w:t>On 14</w:t>
      </w:r>
      <w:r w:rsidRPr="008072FE">
        <w:rPr>
          <w:rFonts w:ascii="Calibri" w:hAnsi="Calibri" w:cs="Calibri"/>
        </w:rPr>
        <w:t> </w:t>
      </w:r>
      <w:r w:rsidRPr="008072FE">
        <w:t>December 2022, the co-legislators adopted the Digital Decade policy programme, taking up the digital compass and its vision, setting quantitative EU targets for the four cardinal points to be reached by 2030, and establishing a cooperation mechanism with the Member States to progress towards these targets.</w:t>
      </w:r>
    </w:p>
    <w:p w14:paraId="6B376476" w14:textId="108F7F90" w:rsidR="000D7D9F" w:rsidRPr="008072FE" w:rsidRDefault="00111084" w:rsidP="000D7D9F">
      <w:pPr>
        <w:pStyle w:val="Heading4"/>
        <w:rPr>
          <w:rFonts w:ascii="EC Square Sans Pro" w:hAnsi="EC Square Sans Pro"/>
        </w:rPr>
      </w:pPr>
      <w:r>
        <w:rPr>
          <w:rFonts w:ascii="EC Square Sans Pro" w:hAnsi="EC Square Sans Pro"/>
        </w:rPr>
        <w:t>Examples of a</w:t>
      </w:r>
      <w:r w:rsidR="000D7D9F" w:rsidRPr="008072FE">
        <w:rPr>
          <w:rFonts w:ascii="EC Square Sans Pro" w:hAnsi="EC Square Sans Pro"/>
        </w:rPr>
        <w:t>chievements</w:t>
      </w:r>
    </w:p>
    <w:tbl>
      <w:tblPr>
        <w:tblStyle w:val="Infographicboxes"/>
        <w:tblW w:w="0" w:type="auto"/>
        <w:tblLook w:val="0600" w:firstRow="0" w:lastRow="0" w:firstColumn="0" w:lastColumn="0" w:noHBand="1" w:noVBand="1"/>
      </w:tblPr>
      <w:tblGrid>
        <w:gridCol w:w="4520"/>
        <w:gridCol w:w="4521"/>
      </w:tblGrid>
      <w:tr w:rsidR="000D7D9F" w:rsidRPr="003E29CF" w14:paraId="47DB8C8C" w14:textId="77777777" w:rsidTr="00042015">
        <w:tc>
          <w:tcPr>
            <w:tcW w:w="4520" w:type="dxa"/>
          </w:tcPr>
          <w:p w14:paraId="471603E5" w14:textId="50521E1F" w:rsidR="000D7D9F" w:rsidRPr="003E29CF" w:rsidRDefault="00246448">
            <w:pPr>
              <w:rPr>
                <w:noProof/>
                <w:color w:val="003399" w:themeColor="text2"/>
                <w:highlight w:val="lightGray"/>
              </w:rPr>
            </w:pPr>
            <w:r>
              <w:rPr>
                <w:rStyle w:val="Bold"/>
                <w:color w:val="003399" w:themeColor="text2"/>
              </w:rPr>
              <w:t>2</w:t>
            </w:r>
            <w:r w:rsidR="00BC4F6E">
              <w:rPr>
                <w:rStyle w:val="Bold"/>
                <w:color w:val="003399" w:themeColor="text2"/>
              </w:rPr>
              <w:t>0</w:t>
            </w:r>
            <w:r w:rsidR="000D7D9F" w:rsidRPr="00B13363">
              <w:rPr>
                <w:rStyle w:val="Bold"/>
                <w:rFonts w:ascii="Calibri" w:hAnsi="Calibri" w:cs="Calibri"/>
                <w:color w:val="003399" w:themeColor="text2"/>
              </w:rPr>
              <w:t> </w:t>
            </w:r>
            <w:r w:rsidR="000D7D9F" w:rsidRPr="00B13363">
              <w:rPr>
                <w:rStyle w:val="Bold"/>
                <w:color w:val="003399" w:themeColor="text2"/>
              </w:rPr>
              <w:t>million dwellings gained access to very-high-capacity internet networks</w:t>
            </w:r>
            <w:r w:rsidR="000D7D9F" w:rsidRPr="00B13363">
              <w:rPr>
                <w:color w:val="003399" w:themeColor="text2"/>
              </w:rPr>
              <w:t xml:space="preserve">, including 5G networks and gigabit speed, through measures under the </w:t>
            </w:r>
            <w:r w:rsidR="000D7D9F" w:rsidRPr="00B13363">
              <w:rPr>
                <w:rStyle w:val="Bold"/>
                <w:color w:val="003399" w:themeColor="text2"/>
              </w:rPr>
              <w:t>Recovery and Resilience Facility</w:t>
            </w:r>
            <w:r w:rsidR="00425985">
              <w:rPr>
                <w:rStyle w:val="Bold"/>
                <w:color w:val="003399" w:themeColor="text2"/>
              </w:rPr>
              <w:t xml:space="preserve">, </w:t>
            </w:r>
            <w:r w:rsidR="00EE0C5F">
              <w:rPr>
                <w:rStyle w:val="Bold"/>
                <w:color w:val="003399" w:themeColor="text2"/>
              </w:rPr>
              <w:t>InvestEU</w:t>
            </w:r>
            <w:r w:rsidR="000D7D9F" w:rsidRPr="001E1B30">
              <w:rPr>
                <w:rStyle w:val="Bold"/>
                <w:color w:val="003399" w:themeColor="text2"/>
              </w:rPr>
              <w:t xml:space="preserve"> </w:t>
            </w:r>
            <w:r w:rsidR="00425985" w:rsidRPr="001E1B30">
              <w:rPr>
                <w:rStyle w:val="Bold"/>
                <w:color w:val="003399" w:themeColor="text2"/>
              </w:rPr>
              <w:t>a</w:t>
            </w:r>
            <w:r w:rsidR="00425985" w:rsidRPr="0087125F">
              <w:rPr>
                <w:rStyle w:val="Bold"/>
                <w:color w:val="003399" w:themeColor="text2"/>
              </w:rPr>
              <w:t>nd cohesion funding</w:t>
            </w:r>
            <w:r w:rsidR="00425985">
              <w:t xml:space="preserve"> </w:t>
            </w:r>
            <w:r w:rsidR="00F61F61">
              <w:br/>
            </w:r>
            <w:r w:rsidR="000D7D9F" w:rsidRPr="00B13363">
              <w:rPr>
                <w:color w:val="003399" w:themeColor="text2"/>
              </w:rPr>
              <w:t>by the end of 202</w:t>
            </w:r>
            <w:r w:rsidR="00FD1172" w:rsidRPr="00B13363">
              <w:rPr>
                <w:color w:val="003399" w:themeColor="text2"/>
              </w:rPr>
              <w:t>5</w:t>
            </w:r>
            <w:r w:rsidR="000D7D9F" w:rsidRPr="00B13363">
              <w:rPr>
                <w:color w:val="003399" w:themeColor="text2"/>
              </w:rPr>
              <w:t>.</w:t>
            </w:r>
          </w:p>
        </w:tc>
        <w:tc>
          <w:tcPr>
            <w:tcW w:w="4521" w:type="dxa"/>
          </w:tcPr>
          <w:p w14:paraId="32A039F0" w14:textId="7DD0AFE8" w:rsidR="000D7D9F" w:rsidRPr="003E29CF" w:rsidRDefault="00D01EA3">
            <w:pPr>
              <w:rPr>
                <w:highlight w:val="lightGray"/>
              </w:rPr>
            </w:pPr>
            <w:r w:rsidRPr="00D01EA3">
              <w:rPr>
                <w:rStyle w:val="Bold"/>
                <w:noProof/>
                <w:color w:val="003399" w:themeColor="text2"/>
              </w:rPr>
              <w:t>13 video</w:t>
            </w:r>
            <w:r w:rsidR="00650115">
              <w:rPr>
                <w:rStyle w:val="Bold"/>
                <w:noProof/>
                <w:color w:val="003399" w:themeColor="text2"/>
              </w:rPr>
              <w:t xml:space="preserve"> </w:t>
            </w:r>
            <w:r w:rsidRPr="00D01EA3">
              <w:rPr>
                <w:rStyle w:val="Bold"/>
                <w:noProof/>
                <w:color w:val="003399" w:themeColor="text2"/>
              </w:rPr>
              <w:t>games</w:t>
            </w:r>
            <w:r w:rsidRPr="00D7362E">
              <w:rPr>
                <w:rStyle w:val="Bold"/>
                <w:b w:val="0"/>
                <w:bCs/>
                <w:noProof/>
                <w:color w:val="003399" w:themeColor="text2"/>
              </w:rPr>
              <w:t>,</w:t>
            </w:r>
            <w:r w:rsidRPr="00D01EA3">
              <w:rPr>
                <w:rStyle w:val="Bold"/>
                <w:noProof/>
                <w:color w:val="003399" w:themeColor="text2"/>
              </w:rPr>
              <w:t xml:space="preserve"> </w:t>
            </w:r>
            <w:r w:rsidRPr="008072FE">
              <w:rPr>
                <w:rStyle w:val="Bold"/>
                <w:b w:val="0"/>
                <w:bCs/>
                <w:color w:val="003399" w:themeColor="text2"/>
              </w:rPr>
              <w:t>whose development was supported by</w:t>
            </w:r>
            <w:r w:rsidR="001648BB">
              <w:rPr>
                <w:rStyle w:val="Bold"/>
                <w:b w:val="0"/>
                <w:bCs/>
                <w:noProof/>
                <w:color w:val="003399" w:themeColor="text2"/>
              </w:rPr>
              <w:t xml:space="preserve"> the</w:t>
            </w:r>
            <w:r w:rsidRPr="008072FE">
              <w:rPr>
                <w:rStyle w:val="Bold"/>
                <w:b w:val="0"/>
                <w:bCs/>
                <w:color w:val="003399" w:themeColor="text2"/>
              </w:rPr>
              <w:t xml:space="preserve"> </w:t>
            </w:r>
            <w:r w:rsidR="005E36E7">
              <w:rPr>
                <w:rStyle w:val="Bold"/>
                <w:noProof/>
                <w:color w:val="003399" w:themeColor="text2"/>
              </w:rPr>
              <w:t>m</w:t>
            </w:r>
            <w:r w:rsidRPr="008072FE">
              <w:rPr>
                <w:rStyle w:val="Bold"/>
                <w:color w:val="003399" w:themeColor="text2"/>
              </w:rPr>
              <w:t>e</w:t>
            </w:r>
            <w:r w:rsidRPr="00FB76D6">
              <w:rPr>
                <w:rStyle w:val="Bold"/>
                <w:noProof/>
                <w:color w:val="003399" w:themeColor="text2"/>
              </w:rPr>
              <w:t>d</w:t>
            </w:r>
            <w:r>
              <w:rPr>
                <w:rStyle w:val="Bold"/>
                <w:bCs/>
                <w:noProof/>
                <w:color w:val="003399" w:themeColor="text2"/>
              </w:rPr>
              <w:t xml:space="preserve">ia strand of </w:t>
            </w:r>
            <w:r w:rsidR="001648BB">
              <w:rPr>
                <w:rStyle w:val="Bold"/>
                <w:bCs/>
                <w:noProof/>
                <w:color w:val="003399" w:themeColor="text2"/>
              </w:rPr>
              <w:t xml:space="preserve">the </w:t>
            </w:r>
            <w:r w:rsidR="000D7D93">
              <w:rPr>
                <w:rStyle w:val="Bold"/>
                <w:bCs/>
                <w:noProof/>
                <w:color w:val="003399" w:themeColor="text2"/>
              </w:rPr>
              <w:t>c</w:t>
            </w:r>
            <w:r>
              <w:rPr>
                <w:rStyle w:val="Bold"/>
                <w:bCs/>
                <w:noProof/>
                <w:color w:val="003399" w:themeColor="text2"/>
              </w:rPr>
              <w:t>reative Europe programme</w:t>
            </w:r>
            <w:r w:rsidR="001648BB" w:rsidRPr="00D7362E">
              <w:rPr>
                <w:rStyle w:val="Bold"/>
                <w:b w:val="0"/>
                <w:noProof/>
                <w:color w:val="003399" w:themeColor="text2"/>
              </w:rPr>
              <w:t>,</w:t>
            </w:r>
            <w:r>
              <w:rPr>
                <w:rStyle w:val="Bold"/>
                <w:bCs/>
                <w:noProof/>
                <w:color w:val="003399" w:themeColor="text2"/>
              </w:rPr>
              <w:t xml:space="preserve"> </w:t>
            </w:r>
            <w:r w:rsidR="001648BB" w:rsidRPr="008072FE">
              <w:rPr>
                <w:rStyle w:val="Bold"/>
                <w:b w:val="0"/>
                <w:color w:val="003399" w:themeColor="text2"/>
              </w:rPr>
              <w:t>received</w:t>
            </w:r>
            <w:r w:rsidRPr="008072FE">
              <w:rPr>
                <w:rStyle w:val="Bold"/>
                <w:b w:val="0"/>
                <w:bCs/>
                <w:color w:val="003399" w:themeColor="text2"/>
              </w:rPr>
              <w:t xml:space="preserve"> 34 nominations in the most important industry competitions</w:t>
            </w:r>
            <w:r w:rsidR="00FB76D6" w:rsidRPr="008072FE">
              <w:rPr>
                <w:rStyle w:val="Bold"/>
                <w:rFonts w:ascii="Calibri" w:hAnsi="Calibri" w:cs="Calibri"/>
                <w:b w:val="0"/>
                <w:color w:val="003399" w:themeColor="text2"/>
              </w:rPr>
              <w:t> </w:t>
            </w:r>
            <w:r w:rsidR="00FB76D6" w:rsidRPr="00FB76D6">
              <w:rPr>
                <w:rStyle w:val="Bold"/>
                <w:b w:val="0"/>
                <w:bCs/>
                <w:noProof/>
                <w:color w:val="003399" w:themeColor="text2"/>
              </w:rPr>
              <w:t>(</w:t>
            </w:r>
            <w:r w:rsidR="00FB76D6">
              <w:rPr>
                <w:rStyle w:val="FootnoteReference"/>
                <w:bCs/>
                <w:noProof/>
                <w:color w:val="003399" w:themeColor="text2"/>
                <w:spacing w:val="1"/>
              </w:rPr>
              <w:footnoteReference w:id="71"/>
            </w:r>
            <w:r w:rsidR="00FB76D6">
              <w:rPr>
                <w:rStyle w:val="Bold"/>
                <w:b w:val="0"/>
                <w:bCs/>
                <w:noProof/>
                <w:color w:val="003399" w:themeColor="text2"/>
              </w:rPr>
              <w:t>)</w:t>
            </w:r>
            <w:r w:rsidRPr="008072FE">
              <w:rPr>
                <w:rStyle w:val="Bold"/>
                <w:b w:val="0"/>
                <w:bCs/>
                <w:color w:val="003399" w:themeColor="text2"/>
              </w:rPr>
              <w:t xml:space="preserve"> in </w:t>
            </w:r>
            <w:r w:rsidRPr="008072FE">
              <w:rPr>
                <w:rStyle w:val="Bold"/>
                <w:b w:val="0"/>
                <w:bCs/>
                <w:noProof/>
                <w:color w:val="003399" w:themeColor="text2"/>
              </w:rPr>
              <w:t>2025</w:t>
            </w:r>
            <w:r w:rsidR="000D7D9F" w:rsidRPr="003E29CF">
              <w:rPr>
                <w:highlight w:val="lightGray"/>
              </w:rPr>
              <w:t>.</w:t>
            </w:r>
          </w:p>
        </w:tc>
      </w:tr>
      <w:tr w:rsidR="000D7D9F" w:rsidRPr="003E29CF" w14:paraId="28E09361" w14:textId="77777777" w:rsidTr="00042015">
        <w:tc>
          <w:tcPr>
            <w:tcW w:w="4520" w:type="dxa"/>
          </w:tcPr>
          <w:p w14:paraId="4CABA0F7" w14:textId="49F946B3" w:rsidR="000D7D9F" w:rsidRPr="003E29CF" w:rsidRDefault="000D7D9F">
            <w:pPr>
              <w:rPr>
                <w:noProof/>
                <w:color w:val="003399" w:themeColor="text2"/>
                <w:highlight w:val="lightGray"/>
              </w:rPr>
            </w:pPr>
            <w:r w:rsidRPr="00B13363">
              <w:rPr>
                <w:rStyle w:val="Bold"/>
                <w:color w:val="003399" w:themeColor="text2"/>
              </w:rPr>
              <w:t xml:space="preserve">Under the Connecting Europe Facility, </w:t>
            </w:r>
            <w:r w:rsidR="00632BD7" w:rsidRPr="00B13363">
              <w:rPr>
                <w:rStyle w:val="Bold"/>
                <w:color w:val="003399" w:themeColor="text2"/>
              </w:rPr>
              <w:t>10</w:t>
            </w:r>
            <w:r w:rsidR="00035366">
              <w:rPr>
                <w:rStyle w:val="Bold"/>
                <w:rFonts w:ascii="Calibri" w:hAnsi="Calibri" w:cs="Calibri"/>
                <w:color w:val="003399" w:themeColor="text2"/>
              </w:rPr>
              <w:t> </w:t>
            </w:r>
            <w:r w:rsidR="00632BD7" w:rsidRPr="00B13363">
              <w:rPr>
                <w:rStyle w:val="Bold"/>
                <w:noProof/>
                <w:color w:val="003399" w:themeColor="text2"/>
              </w:rPr>
              <w:t>362</w:t>
            </w:r>
            <w:r w:rsidRPr="00B13363">
              <w:rPr>
                <w:rStyle w:val="Bold"/>
                <w:color w:val="003399" w:themeColor="text2"/>
              </w:rPr>
              <w:t xml:space="preserve"> terabits per second of additional capacity</w:t>
            </w:r>
            <w:r w:rsidRPr="00B13363">
              <w:rPr>
                <w:color w:val="003399" w:themeColor="text2"/>
              </w:rPr>
              <w:t xml:space="preserve"> were created in </w:t>
            </w:r>
            <w:r w:rsidRPr="00B13363">
              <w:rPr>
                <w:noProof/>
                <w:color w:val="003399" w:themeColor="text2"/>
              </w:rPr>
              <w:t>202</w:t>
            </w:r>
            <w:r w:rsidR="00F01A8C" w:rsidRPr="00B13363">
              <w:rPr>
                <w:noProof/>
                <w:color w:val="003399" w:themeColor="text2"/>
              </w:rPr>
              <w:t>5</w:t>
            </w:r>
            <w:r w:rsidRPr="00B13363">
              <w:rPr>
                <w:color w:val="003399" w:themeColor="text2"/>
              </w:rPr>
              <w:t xml:space="preserve"> by deployed backbone networks, including submarine cables.</w:t>
            </w:r>
          </w:p>
        </w:tc>
        <w:tc>
          <w:tcPr>
            <w:tcW w:w="4521" w:type="dxa"/>
          </w:tcPr>
          <w:p w14:paraId="6F4AEFDB" w14:textId="712A8496" w:rsidR="000D7D9F" w:rsidRPr="003E29CF" w:rsidRDefault="00326012">
            <w:pPr>
              <w:rPr>
                <w:noProof/>
                <w:color w:val="003399" w:themeColor="text2"/>
                <w:highlight w:val="lightGray"/>
                <w:lang w:eastAsia="en-US"/>
              </w:rPr>
            </w:pPr>
            <w:r w:rsidRPr="008072FE">
              <w:rPr>
                <w:color w:val="003399" w:themeColor="text2"/>
              </w:rPr>
              <w:t>In 2025,</w:t>
            </w:r>
            <w:r>
              <w:t xml:space="preserve"> </w:t>
            </w:r>
            <w:r w:rsidR="00363004" w:rsidRPr="008072FE">
              <w:rPr>
                <w:b/>
                <w:bCs/>
                <w:color w:val="003399" w:themeColor="text2"/>
              </w:rPr>
              <w:t>19</w:t>
            </w:r>
            <w:r w:rsidR="006507DA" w:rsidRPr="008072FE">
              <w:rPr>
                <w:b/>
                <w:bCs/>
                <w:color w:val="003399" w:themeColor="text2"/>
              </w:rPr>
              <w:t xml:space="preserve"> AI factories</w:t>
            </w:r>
            <w:r w:rsidR="006507DA" w:rsidRPr="006507DA">
              <w:rPr>
                <w:noProof/>
                <w:color w:val="003399" w:themeColor="text2"/>
              </w:rPr>
              <w:t xml:space="preserve"> started to be deployed in 16 Member States, offering AI start-ups, small and medium-sized enterprises and researchers </w:t>
            </w:r>
            <w:r w:rsidR="006507DA" w:rsidRPr="008072FE">
              <w:rPr>
                <w:b/>
                <w:bCs/>
                <w:color w:val="003399" w:themeColor="text2"/>
              </w:rPr>
              <w:t>access to AI-optimised high-performance computers, AI training and technical expertise to promote cutting-edge research and AI applications</w:t>
            </w:r>
            <w:r w:rsidR="006507DA" w:rsidRPr="00D7362E">
              <w:rPr>
                <w:b/>
                <w:bCs/>
                <w:noProof/>
                <w:color w:val="003399" w:themeColor="text2"/>
              </w:rPr>
              <w:t>.</w:t>
            </w:r>
            <w:r w:rsidR="006507DA" w:rsidRPr="006507DA">
              <w:rPr>
                <w:noProof/>
                <w:color w:val="003399" w:themeColor="text2"/>
              </w:rPr>
              <w:t xml:space="preserve"> AI factories benefit from the world-leading public supercomputing network established by the European High-Performance Computing Joint Undertaking</w:t>
            </w:r>
            <w:r w:rsidR="00040EF0">
              <w:rPr>
                <w:noProof/>
                <w:color w:val="003399" w:themeColor="text2"/>
              </w:rPr>
              <w:t>.</w:t>
            </w:r>
          </w:p>
        </w:tc>
      </w:tr>
    </w:tbl>
    <w:p w14:paraId="1377797A" w14:textId="77777777" w:rsidR="006345A9" w:rsidRDefault="006345A9">
      <w:pPr>
        <w:suppressAutoHyphens w:val="0"/>
        <w:rPr>
          <w:color w:val="003399" w:themeColor="text2"/>
          <w:sz w:val="28"/>
        </w:rPr>
      </w:pPr>
      <w:r>
        <w:br w:type="page"/>
      </w:r>
    </w:p>
    <w:p w14:paraId="4A82BC97" w14:textId="77777777" w:rsidR="000D7D9F" w:rsidRPr="008072FE" w:rsidRDefault="000D7D9F" w:rsidP="000D7D9F">
      <w:pPr>
        <w:pStyle w:val="Heading4"/>
        <w:spacing w:before="600"/>
        <w:rPr>
          <w:rFonts w:ascii="EC Square Sans Pro" w:hAnsi="EC Square Sans Pro"/>
          <w:szCs w:val="28"/>
        </w:rPr>
      </w:pPr>
      <w:r w:rsidRPr="008072FE">
        <w:rPr>
          <w:rFonts w:ascii="EC Square Sans Pro" w:hAnsi="EC Square Sans Pro"/>
        </w:rPr>
        <w:t xml:space="preserve">How much do we spend? </w:t>
      </w:r>
    </w:p>
    <w:p w14:paraId="1489CA38" w14:textId="01ED5E13" w:rsidR="000D7D9F" w:rsidRPr="008072FE" w:rsidRDefault="000D7D9F" w:rsidP="000D7D9F">
      <w:r w:rsidRPr="008072FE">
        <w:t>The</w:t>
      </w:r>
      <w:r w:rsidRPr="008072FE" w:rsidDel="00CA1112">
        <w:t xml:space="preserve"> </w:t>
      </w:r>
      <w:r w:rsidRPr="008072FE">
        <w:t>202</w:t>
      </w:r>
      <w:r w:rsidR="00BE4511" w:rsidRPr="008072FE">
        <w:rPr>
          <w:noProof/>
        </w:rPr>
        <w:t>6</w:t>
      </w:r>
      <w:r w:rsidRPr="008072FE">
        <w:t xml:space="preserve"> stocktaking exercise to estimate EU spending on the digital transition was conducted for the implementation of the 2021-2027 EU budget over the 2021-</w:t>
      </w:r>
      <w:r w:rsidR="00BE4511" w:rsidRPr="008072FE">
        <w:t xml:space="preserve">2025 </w:t>
      </w:r>
      <w:r w:rsidRPr="008072FE">
        <w:t>period. The findings show that the EU budget, including NextGenerationEU, is channelling significant contributions to all of the digital transition’s key dimensions. The Commission’s ambition is to build on the findings to develop a comprehensive and</w:t>
      </w:r>
      <w:r w:rsidRPr="008072FE" w:rsidDel="00D96E24">
        <w:t xml:space="preserve"> robust</w:t>
      </w:r>
      <w:r w:rsidRPr="008072FE">
        <w:t xml:space="preserve"> methodology for measuring the EU budget’s overall contribution to the digital transition across all programmes.</w:t>
      </w:r>
    </w:p>
    <w:p w14:paraId="051F8643" w14:textId="2CBE2F2A" w:rsidR="000D7D9F" w:rsidRPr="008072FE" w:rsidRDefault="000D7D9F" w:rsidP="000D7D9F">
      <w:r w:rsidRPr="008072FE">
        <w:t xml:space="preserve">Based on the results of the stocktaking exercise, </w:t>
      </w:r>
      <w:r w:rsidR="002B2D97">
        <w:t xml:space="preserve">almost </w:t>
      </w:r>
      <w:r w:rsidRPr="00795512">
        <w:rPr>
          <w:rStyle w:val="Bold"/>
        </w:rPr>
        <w:t>EUR</w:t>
      </w:r>
      <w:r w:rsidRPr="00795512">
        <w:rPr>
          <w:rStyle w:val="Bold"/>
          <w:rFonts w:ascii="Calibri" w:hAnsi="Calibri" w:cs="Calibri"/>
        </w:rPr>
        <w:t> </w:t>
      </w:r>
      <w:r w:rsidRPr="00795512">
        <w:rPr>
          <w:rStyle w:val="Bold"/>
        </w:rPr>
        <w:t>2</w:t>
      </w:r>
      <w:r w:rsidR="002A3599" w:rsidRPr="00795512">
        <w:rPr>
          <w:rStyle w:val="Bold"/>
        </w:rPr>
        <w:t>2</w:t>
      </w:r>
      <w:r w:rsidR="001E77C5" w:rsidRPr="00795512">
        <w:rPr>
          <w:rStyle w:val="Bold"/>
        </w:rPr>
        <w:t>9</w:t>
      </w:r>
      <w:r w:rsidRPr="00795512">
        <w:rPr>
          <w:rStyle w:val="Bold"/>
          <w:rFonts w:ascii="Calibri" w:hAnsi="Calibri" w:cs="Calibri"/>
        </w:rPr>
        <w:t> </w:t>
      </w:r>
      <w:r w:rsidRPr="00795512">
        <w:rPr>
          <w:rStyle w:val="Bold"/>
        </w:rPr>
        <w:t xml:space="preserve">billion of the EU budget (including NextGenerationEU) was dedicated to the digital transition between 2021 and </w:t>
      </w:r>
      <w:r w:rsidR="001E72CF" w:rsidRPr="00795512">
        <w:rPr>
          <w:rStyle w:val="Bold"/>
        </w:rPr>
        <w:t>2025</w:t>
      </w:r>
      <w:r w:rsidRPr="00795512">
        <w:rPr>
          <w:rStyle w:val="Bold"/>
        </w:rPr>
        <w:t>, representing 1</w:t>
      </w:r>
      <w:r w:rsidR="00763F27" w:rsidRPr="00795512">
        <w:rPr>
          <w:rStyle w:val="Bold"/>
        </w:rPr>
        <w:t>4</w:t>
      </w:r>
      <w:r w:rsidRPr="00795512">
        <w:rPr>
          <w:rStyle w:val="Bold"/>
        </w:rPr>
        <w:t>.</w:t>
      </w:r>
      <w:r w:rsidR="00F2789B">
        <w:rPr>
          <w:rStyle w:val="Bold"/>
        </w:rPr>
        <w:t>5</w:t>
      </w:r>
      <w:r w:rsidRPr="00795512">
        <w:rPr>
          <w:rStyle w:val="Bold"/>
        </w:rPr>
        <w:t>% of the total EU budget</w:t>
      </w:r>
      <w:r w:rsidRPr="00D7362E">
        <w:rPr>
          <w:rStyle w:val="Bold"/>
        </w:rPr>
        <w:t xml:space="preserve"> for that period</w:t>
      </w:r>
      <w:r w:rsidRPr="008072FE">
        <w:rPr>
          <w:rFonts w:ascii="Calibri" w:hAnsi="Calibri" w:cs="Calibri"/>
        </w:rPr>
        <w:t> </w:t>
      </w:r>
      <w:r w:rsidRPr="008072FE">
        <w:t>(</w:t>
      </w:r>
      <w:r w:rsidRPr="008072FE">
        <w:rPr>
          <w:rStyle w:val="FootnoteReference"/>
        </w:rPr>
        <w:footnoteReference w:id="72"/>
      </w:r>
      <w:r w:rsidRPr="008072FE">
        <w:t>)</w:t>
      </w:r>
      <w:r w:rsidRPr="00D7362E">
        <w:rPr>
          <w:rStyle w:val="Bold"/>
        </w:rPr>
        <w:t>.</w:t>
      </w:r>
      <w:r w:rsidRPr="008072FE">
        <w:t xml:space="preserve"> A significant share of this amount came from the Recovery and Resilience Facility, which dedicated EUR</w:t>
      </w:r>
      <w:r w:rsidRPr="008072FE">
        <w:rPr>
          <w:rFonts w:ascii="Calibri" w:hAnsi="Calibri" w:cs="Calibri"/>
        </w:rPr>
        <w:t> </w:t>
      </w:r>
      <w:r w:rsidRPr="008072FE">
        <w:t>1</w:t>
      </w:r>
      <w:r w:rsidR="00617FF3" w:rsidRPr="008072FE">
        <w:t>50.</w:t>
      </w:r>
      <w:r w:rsidRPr="008072FE" w:rsidDel="00617FF3">
        <w:t>9</w:t>
      </w:r>
      <w:r w:rsidRPr="008072FE">
        <w:rPr>
          <w:rFonts w:ascii="Calibri" w:hAnsi="Calibri" w:cs="Calibri"/>
        </w:rPr>
        <w:t> </w:t>
      </w:r>
      <w:r w:rsidRPr="008072FE">
        <w:t>billion towards the digital transition during the same period.</w:t>
      </w:r>
    </w:p>
    <w:p w14:paraId="256E697F" w14:textId="77777777" w:rsidR="000D7D9F" w:rsidRPr="003E29CF" w:rsidRDefault="000D7D9F" w:rsidP="000D7D9F">
      <w:pPr>
        <w:rPr>
          <w:noProof/>
          <w:highlight w:val="lightGray"/>
        </w:rPr>
      </w:pPr>
      <w:r w:rsidRPr="003E29CF">
        <w:rPr>
          <w:noProof/>
          <w:highlight w:val="lightGray"/>
        </w:rPr>
        <w:br w:type="page"/>
      </w:r>
    </w:p>
    <w:p w14:paraId="17D1E69C" w14:textId="341B0199" w:rsidR="000D7D9F" w:rsidRPr="00604B59" w:rsidRDefault="000D7D9F" w:rsidP="00D7362E">
      <w:pPr>
        <w:pStyle w:val="ImageTitle"/>
        <w:rPr>
          <w:b/>
        </w:rPr>
      </w:pPr>
      <w:r w:rsidRPr="00604B59">
        <w:t xml:space="preserve">Estimated contributions to the digital transition of the EU budget programmes </w:t>
      </w:r>
      <w:r w:rsidRPr="00604B59" w:rsidDel="00DD39D7">
        <w:t xml:space="preserve">in </w:t>
      </w:r>
      <w:r w:rsidRPr="00604B59">
        <w:t>2021-</w:t>
      </w:r>
      <w:r w:rsidR="0029714D" w:rsidRPr="00604B59">
        <w:t xml:space="preserve">2025 </w:t>
      </w:r>
      <w:r w:rsidRPr="00604B59">
        <w:t>(cumulatively)</w:t>
      </w:r>
      <w:r w:rsidRPr="00604B59">
        <w:rPr>
          <w:rFonts w:ascii="Calibri" w:hAnsi="Calibri"/>
        </w:rPr>
        <w:t> </w:t>
      </w:r>
      <w:r w:rsidRPr="00944206">
        <w:t>(*)</w:t>
      </w:r>
    </w:p>
    <w:p w14:paraId="159A61DC" w14:textId="77777777" w:rsidR="00197285" w:rsidRDefault="00197285" w:rsidP="00541054">
      <w:pPr>
        <w:pStyle w:val="ImagePlaceholder"/>
      </w:pPr>
    </w:p>
    <w:p w14:paraId="6A88AE5C" w14:textId="1D0D98DE" w:rsidR="000D7D9F" w:rsidRPr="00795512" w:rsidRDefault="006A592E" w:rsidP="00541054">
      <w:pPr>
        <w:pStyle w:val="ImagePlaceholder"/>
        <w:rPr>
          <w:highlight w:val="lightGray"/>
        </w:rPr>
      </w:pPr>
      <w:r>
        <w:drawing>
          <wp:inline distT="0" distB="0" distL="0" distR="0" wp14:anchorId="31A3A2F3" wp14:editId="3A58B05E">
            <wp:extent cx="5760085" cy="5868670"/>
            <wp:effectExtent l="0" t="0" r="0" b="0"/>
            <wp:docPr id="1023429466" name="Picture 8" descr="Estimated contributions to the digital transition of the EU budget programmes, in 2021-2024 cumulatively, in million euros. It is presented from the highest value to the lowest.&#10;RRF – Recovery and Resilience Facility: 150 945 million; Regional Policy: 21 297 million; Horizon EU: 12 832 million; NDICI – Neighbourhood, Development and International Cooperation Instrument – Global Europe: 10 667 million; ESF PLUS – European Social Fund Plus: 8 117 million; DIGITAL EU – Digital Europe Programme: 6 037 million; Erasmus Plus: 2 864 million; SPACE – EU Space Programme: 2 605 million; JTM – Just Transition Mechanism: 2 295 million; CEF – Connecting Europe Facility: 2 249 million; IBMF – Integrated Border Management Fund:&#10;1 531 million; InvestEU: 1 055 million; EDF: 994 million; CREATIVE EU – Creative Europe Programme: 907 million; SECURE CONNECTIVITY – EU Secure Connectivity Programme: 804 million; CUSTOMS: 662 million; ISF – Internal Security Fund: 555 million; IPA III – Instrument for Pre-accession Assistance III: 518 million; EU4Health: 446 million; CAP – Common Agricultural Policy: 379 million; EMFAF – European Maritime, Fisheries and Aquaculture Fund: 358 million; ESC – European Solidarity Corps: 180 million; TSI – Technical Support Instrument: 150 million; FISCALIS: 145 million; ANTIFRAUD: 63 million; JUSTICE: 45 million; OCT – Decision on the Overseas Association, including Greenland: 36 million; SINGLE MARKET: 30 million; LIFE: 27 million; RIGHTS – Citizens, Equality, Rights and Values Programme: 27 million; TCC – Turkish Cypriot community: 5 million; and finally Western Balcans Facility  4 million euros.">
              <a:extLst xmlns:a="http://schemas.openxmlformats.org/drawingml/2006/main">
                <a:ext uri="{FF2B5EF4-FFF2-40B4-BE49-F238E27FC236}">
                  <a16:creationId xmlns:a16="http://schemas.microsoft.com/office/drawing/2014/main" id="{B7800B77-A642-3133-FE18-85B547BCB0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429466" name="Picture 8" descr="Estimated contributions to the digital transition of the EU budget programmes, in 2021-2024 cumulatively, in million euros. It is presented from the highest value to the lowest.&#10;RRF – Recovery and Resilience Facility: 150 945 million; Regional Policy: 21 297 million; Horizon EU: 12 832 million; NDICI – Neighbourhood, Development and International Cooperation Instrument – Global Europe: 10 667 million; ESF PLUS – European Social Fund Plus: 8 117 million; DIGITAL EU – Digital Europe Programme: 6 037 million; Erasmus Plus: 2 864 million; SPACE – EU Space Programme: 2 605 million; JTM – Just Transition Mechanism: 2 295 million; CEF – Connecting Europe Facility: 2 249 million; IBMF – Integrated Border Management Fund:&#10;1 531 million; InvestEU: 1 055 million; EDF: 994 million; CREATIVE EU – Creative Europe Programme: 907 million; SECURE CONNECTIVITY – EU Secure Connectivity Programme: 804 million; CUSTOMS: 662 million; ISF – Internal Security Fund: 555 million; IPA III – Instrument for Pre-accession Assistance III: 518 million; EU4Health: 446 million; CAP – Common Agricultural Policy: 379 million; EMFAF – European Maritime, Fisheries and Aquaculture Fund: 358 million; ESC – European Solidarity Corps: 180 million; TSI – Technical Support Instrument: 150 million; FISCALIS: 145 million; ANTIFRAUD: 63 million; JUSTICE: 45 million; OCT – Decision on the Overseas Association, including Greenland: 36 million; SINGLE MARKET: 30 million; LIFE: 27 million; RIGHTS – Citizens, Equality, Rights and Values Programme: 27 million; TCC – Turkish Cypriot community: 5 million; and finally Western Balcans Facility  4 million euros.">
                      <a:extLst>
                        <a:ext uri="{FF2B5EF4-FFF2-40B4-BE49-F238E27FC236}">
                          <a16:creationId xmlns:a16="http://schemas.microsoft.com/office/drawing/2014/main" id="{B7800B77-A642-3133-FE18-85B547BCB036}"/>
                        </a:ext>
                      </a:extLst>
                    </pic:cNvPr>
                    <pic:cNvPicPr>
                      <a:picLocks noChangeAspect="1"/>
                    </pic:cNvPicPr>
                  </pic:nvPicPr>
                  <pic:blipFill>
                    <a:blip r:embed="rId79"/>
                    <a:srcRect t="-1" b="1355"/>
                    <a:stretch>
                      <a:fillRect/>
                    </a:stretch>
                  </pic:blipFill>
                  <pic:spPr>
                    <a:xfrm>
                      <a:off x="0" y="0"/>
                      <a:ext cx="5760085" cy="5868670"/>
                    </a:xfrm>
                    <a:prstGeom prst="rect">
                      <a:avLst/>
                    </a:prstGeom>
                  </pic:spPr>
                </pic:pic>
              </a:graphicData>
            </a:graphic>
          </wp:inline>
        </w:drawing>
      </w:r>
    </w:p>
    <w:p w14:paraId="1895E866" w14:textId="4329DB5C" w:rsidR="000D7D9F" w:rsidRPr="00D96D38" w:rsidRDefault="000D7D9F" w:rsidP="000D7D9F">
      <w:pPr>
        <w:pStyle w:val="ImageNotes"/>
      </w:pPr>
      <w:bookmarkStart w:id="44" w:name="_Hlk167185939"/>
      <w:r w:rsidRPr="003E29CF">
        <w:rPr>
          <w:noProof/>
          <w:highlight w:val="lightGray"/>
        </w:rPr>
        <w:t>(</w:t>
      </w:r>
      <w:r w:rsidRPr="00D96D38">
        <w:t>*)</w:t>
      </w:r>
      <w:r w:rsidRPr="00D96D38" w:rsidDel="00DD39D7">
        <w:t xml:space="preserve"> </w:t>
      </w:r>
      <w:r w:rsidRPr="00D96D38">
        <w:t>I</w:t>
      </w:r>
      <w:bookmarkEnd w:id="44"/>
      <w:r w:rsidRPr="00D96D38">
        <w:t xml:space="preserve">ncluding NextGenerationEU, in </w:t>
      </w:r>
      <w:r w:rsidR="00D67AB9">
        <w:t xml:space="preserve">million </w:t>
      </w:r>
      <w:r w:rsidRPr="00D96D38" w:rsidDel="00DD39D7">
        <w:t>EUR</w:t>
      </w:r>
      <w:r w:rsidRPr="00D96D38">
        <w:t xml:space="preserve">. </w:t>
      </w:r>
      <w:r w:rsidRPr="00D96D38">
        <w:br/>
        <w:t xml:space="preserve">NB: For readability purposes, the scale is broken, as the </w:t>
      </w:r>
      <w:r w:rsidRPr="00D96D38">
        <w:rPr>
          <w:color w:val="000000" w:themeColor="text1"/>
        </w:rPr>
        <w:t xml:space="preserve">Recovery and Resilience Facility </w:t>
      </w:r>
      <w:r w:rsidRPr="00D96D38">
        <w:t>provides more than 10 times more support to the digital transition than the next most contributing programme.</w:t>
      </w:r>
      <w:r w:rsidRPr="00D96D38" w:rsidDel="00CC56CB">
        <w:t xml:space="preserve"> </w:t>
      </w:r>
      <w:r w:rsidRPr="00D96D38">
        <w:t xml:space="preserve">The abbreviations stand for: </w:t>
      </w:r>
      <w:r w:rsidRPr="00D96D38">
        <w:rPr>
          <w:rStyle w:val="Bold"/>
          <w:rFonts w:ascii="EC Square Sans Pro" w:eastAsia="SimSun" w:hAnsi="EC Square Sans Pro"/>
        </w:rPr>
        <w:t>RRF</w:t>
      </w:r>
      <w:r w:rsidRPr="00D96D38">
        <w:rPr>
          <w:rStyle w:val="Bold"/>
          <w:rFonts w:ascii="Calibri" w:eastAsia="SimSun" w:hAnsi="Calibri" w:cs="Calibri"/>
        </w:rPr>
        <w:t> </w:t>
      </w:r>
      <w:r w:rsidRPr="00D96D38">
        <w:rPr>
          <w:rStyle w:val="Bold"/>
          <w:rFonts w:ascii="EC Square Sans Pro" w:eastAsia="SimSun" w:hAnsi="EC Square Sans Pro" w:hint="eastAsia"/>
        </w:rPr>
        <w:t>–</w:t>
      </w:r>
      <w:r w:rsidRPr="00D96D38">
        <w:t xml:space="preserve"> Recovery and Resilience Facility; </w:t>
      </w:r>
      <w:r w:rsidRPr="00D96D38">
        <w:rPr>
          <w:rStyle w:val="Bold"/>
          <w:rFonts w:ascii="EC Square Sans Pro" w:eastAsia="SimSun" w:hAnsi="EC Square Sans Pro"/>
        </w:rPr>
        <w:t>HORIZONEU</w:t>
      </w:r>
      <w:r w:rsidRPr="00D96D38">
        <w:rPr>
          <w:rStyle w:val="Bold"/>
          <w:rFonts w:ascii="Calibri" w:eastAsia="SimSun" w:hAnsi="Calibri" w:cs="Calibri"/>
        </w:rPr>
        <w:t> </w:t>
      </w:r>
      <w:r w:rsidRPr="00D96D38">
        <w:t xml:space="preserve">– Horizon Europe; </w:t>
      </w:r>
      <w:r w:rsidRPr="00D96D38">
        <w:rPr>
          <w:rStyle w:val="Bold"/>
          <w:rFonts w:ascii="EC Square Sans Pro" w:eastAsia="SimSun" w:hAnsi="EC Square Sans Pro"/>
        </w:rPr>
        <w:t>NDICI</w:t>
      </w:r>
      <w:r w:rsidRPr="00D96D38">
        <w:rPr>
          <w:rStyle w:val="Bold"/>
          <w:rFonts w:ascii="Calibri" w:eastAsia="SimSun" w:hAnsi="Calibri" w:cs="Calibri"/>
        </w:rPr>
        <w:t> </w:t>
      </w:r>
      <w:r w:rsidRPr="00D96D38">
        <w:rPr>
          <w:rStyle w:val="Bold"/>
          <w:rFonts w:ascii="EC Square Sans Pro" w:eastAsia="SimSun" w:hAnsi="EC Square Sans Pro" w:hint="eastAsia"/>
        </w:rPr>
        <w:t>–</w:t>
      </w:r>
      <w:r w:rsidRPr="00D96D38">
        <w:t xml:space="preserve"> Neighbourhood, Development and International Cooperation Instrument</w:t>
      </w:r>
      <w:r w:rsidRPr="00D96D38">
        <w:rPr>
          <w:rFonts w:ascii="Calibri" w:hAnsi="Calibri" w:cs="Calibri"/>
        </w:rPr>
        <w:t> </w:t>
      </w:r>
      <w:r w:rsidRPr="00D96D38">
        <w:t xml:space="preserve">– Global Europe; </w:t>
      </w:r>
      <w:r w:rsidRPr="00D96D38">
        <w:rPr>
          <w:rStyle w:val="Bold"/>
          <w:rFonts w:ascii="EC Square Sans Pro" w:eastAsia="SimSun" w:hAnsi="EC Square Sans Pro"/>
        </w:rPr>
        <w:t>DIGITALEU</w:t>
      </w:r>
      <w:r w:rsidRPr="00D96D38">
        <w:rPr>
          <w:rStyle w:val="Bold"/>
          <w:rFonts w:ascii="Calibri" w:eastAsia="SimSun" w:hAnsi="Calibri" w:cs="Calibri"/>
        </w:rPr>
        <w:t> </w:t>
      </w:r>
      <w:r w:rsidRPr="00D96D38">
        <w:t xml:space="preserve">– digital Europe programme; </w:t>
      </w:r>
      <w:r w:rsidRPr="00D96D38">
        <w:rPr>
          <w:rStyle w:val="Bold"/>
          <w:rFonts w:ascii="EC Square Sans Pro" w:eastAsia="SimSun" w:hAnsi="EC Square Sans Pro"/>
        </w:rPr>
        <w:t>ESF PLUS</w:t>
      </w:r>
      <w:r w:rsidRPr="00D96D38">
        <w:rPr>
          <w:rFonts w:ascii="Calibri" w:hAnsi="Calibri" w:cs="Calibri"/>
        </w:rPr>
        <w:t> </w:t>
      </w:r>
      <w:r w:rsidRPr="00D96D38">
        <w:t xml:space="preserve">– European Social Fund Plus; </w:t>
      </w:r>
      <w:r w:rsidRPr="00D96D38">
        <w:rPr>
          <w:rStyle w:val="Bold"/>
          <w:rFonts w:ascii="EC Square Sans Pro" w:eastAsia="SimSun" w:hAnsi="EC Square Sans Pro"/>
        </w:rPr>
        <w:t>JTM</w:t>
      </w:r>
      <w:r w:rsidRPr="00D96D38">
        <w:rPr>
          <w:rStyle w:val="Bold"/>
          <w:rFonts w:ascii="Calibri" w:eastAsia="SimSun" w:hAnsi="Calibri" w:cs="Calibri"/>
        </w:rPr>
        <w:t> </w:t>
      </w:r>
      <w:r w:rsidRPr="00D96D38">
        <w:t xml:space="preserve">– Just Transition Mechanism; </w:t>
      </w:r>
      <w:r w:rsidRPr="00D96D38">
        <w:rPr>
          <w:rStyle w:val="Bold"/>
          <w:rFonts w:ascii="EC Square Sans Pro" w:eastAsia="SimSun" w:hAnsi="EC Square Sans Pro"/>
        </w:rPr>
        <w:t>SPACE</w:t>
      </w:r>
      <w:r w:rsidRPr="00D96D38">
        <w:rPr>
          <w:rFonts w:ascii="Calibri" w:hAnsi="Calibri" w:cs="Calibri"/>
        </w:rPr>
        <w:t> </w:t>
      </w:r>
      <w:r w:rsidRPr="00D96D38">
        <w:t xml:space="preserve">– EU space programme; </w:t>
      </w:r>
      <w:r w:rsidRPr="00D96D38">
        <w:rPr>
          <w:rStyle w:val="Bold"/>
          <w:rFonts w:ascii="EC Square Sans Pro" w:eastAsia="SimSun" w:hAnsi="EC Square Sans Pro"/>
        </w:rPr>
        <w:t>CEF</w:t>
      </w:r>
      <w:r w:rsidRPr="00D96D38">
        <w:rPr>
          <w:rFonts w:ascii="Calibri" w:hAnsi="Calibri" w:cs="Calibri"/>
        </w:rPr>
        <w:t> </w:t>
      </w:r>
      <w:r w:rsidRPr="00D96D38">
        <w:t xml:space="preserve">– Connecting Europe Facility; </w:t>
      </w:r>
      <w:r w:rsidRPr="00D96D38" w:rsidDel="00CC56CB">
        <w:rPr>
          <w:rStyle w:val="Bold"/>
          <w:rFonts w:ascii="EC Square Sans Pro" w:eastAsia="SimSun" w:hAnsi="EC Square Sans Pro"/>
        </w:rPr>
        <w:t>IPA</w:t>
      </w:r>
      <w:r w:rsidRPr="00D96D38">
        <w:rPr>
          <w:rStyle w:val="Bold"/>
          <w:rFonts w:ascii="Calibri" w:eastAsia="SimSun" w:hAnsi="Calibri" w:cs="Calibri"/>
        </w:rPr>
        <w:t> </w:t>
      </w:r>
      <w:r w:rsidRPr="00D96D38">
        <w:rPr>
          <w:rStyle w:val="Bold"/>
          <w:rFonts w:ascii="EC Square Sans Pro" w:eastAsia="SimSun" w:hAnsi="EC Square Sans Pro"/>
        </w:rPr>
        <w:t>III</w:t>
      </w:r>
      <w:r w:rsidRPr="00D96D38">
        <w:rPr>
          <w:rFonts w:ascii="Calibri" w:hAnsi="Calibri" w:cs="Calibri"/>
        </w:rPr>
        <w:t> </w:t>
      </w:r>
      <w:r w:rsidRPr="00D96D38">
        <w:t xml:space="preserve">– Instrument for Pre-accession </w:t>
      </w:r>
      <w:r w:rsidRPr="00D96D38" w:rsidDel="00CC56CB">
        <w:t>Assistance</w:t>
      </w:r>
      <w:r w:rsidRPr="00D96D38">
        <w:rPr>
          <w:rFonts w:ascii="Calibri" w:hAnsi="Calibri" w:cs="Calibri"/>
        </w:rPr>
        <w:t> </w:t>
      </w:r>
      <w:r w:rsidRPr="00D96D38">
        <w:t xml:space="preserve">III; </w:t>
      </w:r>
      <w:r w:rsidRPr="00D96D38">
        <w:rPr>
          <w:rStyle w:val="Bold"/>
          <w:rFonts w:ascii="EC Square Sans Pro" w:eastAsia="SimSun" w:hAnsi="EC Square Sans Pro"/>
        </w:rPr>
        <w:t>IBMF</w:t>
      </w:r>
      <w:r w:rsidRPr="00D96D38">
        <w:rPr>
          <w:rFonts w:ascii="Calibri" w:hAnsi="Calibri" w:cs="Calibri"/>
        </w:rPr>
        <w:t> </w:t>
      </w:r>
      <w:r w:rsidRPr="00D96D38">
        <w:t xml:space="preserve">– Integrated Border Management Fund; </w:t>
      </w:r>
      <w:r w:rsidRPr="00D96D38">
        <w:rPr>
          <w:rStyle w:val="Bold"/>
          <w:rFonts w:ascii="EC Square Sans Pro" w:eastAsia="SimSun" w:hAnsi="EC Square Sans Pro"/>
        </w:rPr>
        <w:t>ISF</w:t>
      </w:r>
      <w:r w:rsidRPr="00D96D38">
        <w:rPr>
          <w:rFonts w:ascii="Calibri" w:hAnsi="Calibri" w:cs="Calibri"/>
        </w:rPr>
        <w:t> </w:t>
      </w:r>
      <w:r w:rsidRPr="00D96D38">
        <w:t xml:space="preserve">– Internal Security Fund; </w:t>
      </w:r>
      <w:r w:rsidRPr="00D96D38">
        <w:rPr>
          <w:rStyle w:val="Bold"/>
          <w:rFonts w:ascii="EC Square Sans Pro" w:eastAsia="SimSun" w:hAnsi="EC Square Sans Pro"/>
        </w:rPr>
        <w:t>CREATIVEEU</w:t>
      </w:r>
      <w:r w:rsidRPr="00D96D38">
        <w:rPr>
          <w:rFonts w:ascii="Calibri" w:hAnsi="Calibri" w:cs="Calibri"/>
        </w:rPr>
        <w:t> </w:t>
      </w:r>
      <w:r w:rsidRPr="00D96D38">
        <w:t xml:space="preserve">– </w:t>
      </w:r>
      <w:r w:rsidR="001277B1">
        <w:t>c</w:t>
      </w:r>
      <w:r w:rsidRPr="00D96D38" w:rsidDel="00CC56CB">
        <w:t xml:space="preserve">reative </w:t>
      </w:r>
      <w:r w:rsidRPr="00D96D38">
        <w:t xml:space="preserve">Europe programme; </w:t>
      </w:r>
      <w:r w:rsidRPr="00D96D38">
        <w:rPr>
          <w:rStyle w:val="Bold"/>
          <w:rFonts w:ascii="EC Square Sans Pro" w:eastAsia="SimSun" w:hAnsi="EC Square Sans Pro"/>
        </w:rPr>
        <w:t>CAP</w:t>
      </w:r>
      <w:r w:rsidRPr="00D96D38">
        <w:rPr>
          <w:rFonts w:ascii="Calibri" w:hAnsi="Calibri" w:cs="Calibri"/>
        </w:rPr>
        <w:t> </w:t>
      </w:r>
      <w:r w:rsidRPr="00D96D38">
        <w:t xml:space="preserve">– common agricultural policy; </w:t>
      </w:r>
      <w:r w:rsidRPr="00D96D38">
        <w:rPr>
          <w:rStyle w:val="Bold"/>
          <w:rFonts w:ascii="EC Square Sans Pro" w:eastAsia="SimSun" w:hAnsi="EC Square Sans Pro"/>
        </w:rPr>
        <w:t>EMFAF</w:t>
      </w:r>
      <w:r w:rsidRPr="00D96D38">
        <w:rPr>
          <w:rFonts w:ascii="Calibri" w:hAnsi="Calibri" w:cs="Calibri"/>
        </w:rPr>
        <w:t> </w:t>
      </w:r>
      <w:r w:rsidRPr="00D96D38">
        <w:t xml:space="preserve">– European Maritime, Fisheries and Aquaculture Fund; </w:t>
      </w:r>
      <w:r w:rsidRPr="00D96D38">
        <w:rPr>
          <w:rStyle w:val="Bold"/>
          <w:rFonts w:ascii="EC Square Sans Pro" w:eastAsia="SimSun" w:hAnsi="EC Square Sans Pro"/>
        </w:rPr>
        <w:t>SECURE</w:t>
      </w:r>
      <w:r w:rsidRPr="00D96D38">
        <w:t xml:space="preserve"> </w:t>
      </w:r>
      <w:r w:rsidRPr="00D96D38">
        <w:rPr>
          <w:rStyle w:val="Bold"/>
          <w:rFonts w:ascii="EC Square Sans Pro" w:eastAsia="SimSun" w:hAnsi="EC Square Sans Pro"/>
        </w:rPr>
        <w:t>CONNECTIVITY</w:t>
      </w:r>
      <w:r w:rsidRPr="00D96D38">
        <w:rPr>
          <w:rFonts w:ascii="Calibri" w:hAnsi="Calibri" w:cs="Calibri"/>
        </w:rPr>
        <w:t> </w:t>
      </w:r>
      <w:r w:rsidR="00CB57D4">
        <w:rPr>
          <w:rFonts w:ascii="Calibri" w:hAnsi="Calibri" w:cs="Calibri"/>
        </w:rPr>
        <w:t>–</w:t>
      </w:r>
      <w:r w:rsidRPr="00D96D38">
        <w:t xml:space="preserve"> EU secure</w:t>
      </w:r>
      <w:r w:rsidRPr="00D96D38" w:rsidDel="00CC56CB">
        <w:t xml:space="preserve"> </w:t>
      </w:r>
      <w:r w:rsidRPr="00D96D38">
        <w:t xml:space="preserve">connectivity programme; </w:t>
      </w:r>
      <w:r w:rsidR="00E54EAA">
        <w:br/>
      </w:r>
      <w:r w:rsidRPr="00D96D38">
        <w:rPr>
          <w:rStyle w:val="Bold"/>
          <w:rFonts w:ascii="EC Square Sans Pro" w:eastAsia="SimSun" w:hAnsi="EC Square Sans Pro"/>
        </w:rPr>
        <w:t>TSI</w:t>
      </w:r>
      <w:r w:rsidRPr="00D96D38">
        <w:rPr>
          <w:rFonts w:ascii="Calibri" w:hAnsi="Calibri" w:cs="Calibri"/>
        </w:rPr>
        <w:t> </w:t>
      </w:r>
      <w:r w:rsidRPr="00D96D38">
        <w:t xml:space="preserve">– Technical Support Instrument; </w:t>
      </w:r>
      <w:r w:rsidRPr="00D96D38">
        <w:rPr>
          <w:rStyle w:val="Bold"/>
          <w:rFonts w:ascii="EC Square Sans Pro" w:eastAsia="SimSun" w:hAnsi="EC Square Sans Pro"/>
        </w:rPr>
        <w:t>ESC</w:t>
      </w:r>
      <w:r w:rsidRPr="00D96D38">
        <w:rPr>
          <w:rFonts w:ascii="Calibri" w:hAnsi="Calibri" w:cs="Calibri"/>
        </w:rPr>
        <w:t> </w:t>
      </w:r>
      <w:r w:rsidRPr="00D96D38">
        <w:t xml:space="preserve">– European Solidarity Corps; </w:t>
      </w:r>
      <w:r w:rsidRPr="00D96D38">
        <w:rPr>
          <w:rStyle w:val="Bold"/>
          <w:rFonts w:ascii="EC Square Sans Pro" w:eastAsia="SimSun" w:hAnsi="EC Square Sans Pro"/>
        </w:rPr>
        <w:t>OCT</w:t>
      </w:r>
      <w:r w:rsidRPr="00D96D38">
        <w:rPr>
          <w:rFonts w:ascii="Calibri" w:hAnsi="Calibri" w:cs="Calibri"/>
        </w:rPr>
        <w:t> </w:t>
      </w:r>
      <w:r w:rsidRPr="00D96D38">
        <w:t xml:space="preserve">– Decision on the Overseas Association, including Greenland; </w:t>
      </w:r>
      <w:r w:rsidRPr="00D96D38">
        <w:rPr>
          <w:rStyle w:val="Bold"/>
          <w:rFonts w:ascii="EC Square Sans Pro" w:eastAsia="SimSun" w:hAnsi="EC Square Sans Pro"/>
        </w:rPr>
        <w:t>RIGHTS</w:t>
      </w:r>
      <w:r w:rsidRPr="00D96D38">
        <w:rPr>
          <w:rFonts w:ascii="Calibri" w:hAnsi="Calibri" w:cs="Calibri"/>
        </w:rPr>
        <w:t> </w:t>
      </w:r>
      <w:r w:rsidRPr="00D96D38">
        <w:t>– citizens, equality,</w:t>
      </w:r>
      <w:r w:rsidRPr="00D96D38" w:rsidDel="00946BB7">
        <w:t xml:space="preserve"> </w:t>
      </w:r>
      <w:r w:rsidRPr="00D96D38">
        <w:t xml:space="preserve">rights and values programme; </w:t>
      </w:r>
      <w:r w:rsidRPr="00D96D38">
        <w:rPr>
          <w:rStyle w:val="Bold"/>
          <w:rFonts w:ascii="EC Square Sans Pro" w:eastAsia="SimSun" w:hAnsi="EC Square Sans Pro"/>
        </w:rPr>
        <w:t>TCC</w:t>
      </w:r>
      <w:r w:rsidRPr="00D96D38">
        <w:rPr>
          <w:rFonts w:ascii="Calibri" w:hAnsi="Calibri" w:cs="Calibri"/>
        </w:rPr>
        <w:t> </w:t>
      </w:r>
      <w:r w:rsidRPr="00D96D38">
        <w:t xml:space="preserve">– Turkish Cypriot community; </w:t>
      </w:r>
      <w:r w:rsidRPr="00D7362E">
        <w:rPr>
          <w:rStyle w:val="Bold"/>
        </w:rPr>
        <w:t>EDF</w:t>
      </w:r>
      <w:r w:rsidRPr="00D96D38">
        <w:rPr>
          <w:rFonts w:ascii="Calibri" w:hAnsi="Calibri" w:cs="Calibri"/>
        </w:rPr>
        <w:t> </w:t>
      </w:r>
      <w:r w:rsidRPr="00D96D38">
        <w:t>– European Defence Fund</w:t>
      </w:r>
      <w:r w:rsidR="001E1B30">
        <w:t>;</w:t>
      </w:r>
      <w:r w:rsidR="001E1B30" w:rsidRPr="001E1B30">
        <w:rPr>
          <w:b/>
          <w:bCs/>
        </w:rPr>
        <w:t xml:space="preserve"> </w:t>
      </w:r>
      <w:r w:rsidR="00E54EAA">
        <w:rPr>
          <w:b/>
          <w:bCs/>
        </w:rPr>
        <w:br/>
      </w:r>
      <w:r w:rsidR="001E1B30">
        <w:rPr>
          <w:b/>
          <w:bCs/>
        </w:rPr>
        <w:t>WBF</w:t>
      </w:r>
      <w:r w:rsidR="001E1B30">
        <w:t xml:space="preserve"> – Western Balkans Facility</w:t>
      </w:r>
      <w:r w:rsidRPr="00D96D38">
        <w:t>.</w:t>
      </w:r>
    </w:p>
    <w:p w14:paraId="4A0156E3" w14:textId="387415B3" w:rsidR="000D7D9F" w:rsidRPr="00D96D38" w:rsidRDefault="000D7D9F" w:rsidP="000D7D9F">
      <w:pPr>
        <w:pStyle w:val="ImageSource"/>
      </w:pPr>
      <w:r w:rsidRPr="00D96D38">
        <w:rPr>
          <w:i/>
        </w:rPr>
        <w:t>Source:</w:t>
      </w:r>
      <w:r w:rsidRPr="00D96D38">
        <w:t xml:space="preserve"> European Commission.</w:t>
      </w:r>
    </w:p>
    <w:p w14:paraId="45B609C1" w14:textId="77777777" w:rsidR="00197285" w:rsidRDefault="00197285">
      <w:pPr>
        <w:suppressAutoHyphens w:val="0"/>
        <w:rPr>
          <w:rStyle w:val="Bold"/>
        </w:rPr>
      </w:pPr>
      <w:r>
        <w:rPr>
          <w:rStyle w:val="Bold"/>
        </w:rPr>
        <w:br w:type="page"/>
      </w:r>
    </w:p>
    <w:p w14:paraId="306F2765" w14:textId="66429A48" w:rsidR="000D7D9F" w:rsidRPr="008072FE" w:rsidRDefault="000D7D9F" w:rsidP="000D7D9F">
      <w:pPr>
        <w:spacing w:before="360"/>
      </w:pPr>
      <w:r w:rsidRPr="00D7362E">
        <w:rPr>
          <w:rStyle w:val="Bold"/>
        </w:rPr>
        <w:t>Almost all EU budget programmes contribute to the digital transition.</w:t>
      </w:r>
      <w:r w:rsidRPr="008072FE">
        <w:t xml:space="preserve"> However, due to data limitations, digital-related expenditure for the 2021-</w:t>
      </w:r>
      <w:r w:rsidR="002B63B4" w:rsidRPr="008072FE">
        <w:t xml:space="preserve">2025 </w:t>
      </w:r>
      <w:r w:rsidRPr="008072FE">
        <w:t xml:space="preserve">period could only be tracked for </w:t>
      </w:r>
      <w:r w:rsidR="00BD1A74" w:rsidRPr="008072FE">
        <w:t xml:space="preserve">32 </w:t>
      </w:r>
      <w:r w:rsidRPr="008072FE">
        <w:t xml:space="preserve">out of the </w:t>
      </w:r>
      <w:r w:rsidRPr="0018546C">
        <w:t>53</w:t>
      </w:r>
      <w:r w:rsidRPr="008072FE">
        <w:t xml:space="preserve"> spending programmes implemented in 202</w:t>
      </w:r>
      <w:r w:rsidR="002B63B4" w:rsidRPr="008072FE">
        <w:t>5</w:t>
      </w:r>
      <w:r w:rsidRPr="008072FE">
        <w:t>.</w:t>
      </w:r>
      <w:r w:rsidR="00642CBB">
        <w:t xml:space="preserve"> </w:t>
      </w:r>
    </w:p>
    <w:p w14:paraId="33471ADE" w14:textId="7AA804CC" w:rsidR="000D7D9F" w:rsidRPr="00466081" w:rsidRDefault="000D7D9F" w:rsidP="000D7D9F">
      <w:r w:rsidRPr="00466081">
        <w:t xml:space="preserve">In terms of thematic concentration, </w:t>
      </w:r>
      <w:r w:rsidR="00C00C57" w:rsidRPr="00466081">
        <w:rPr>
          <w:noProof/>
        </w:rPr>
        <w:t>s</w:t>
      </w:r>
      <w:r w:rsidRPr="00466081">
        <w:rPr>
          <w:noProof/>
        </w:rPr>
        <w:t>ignificant</w:t>
      </w:r>
      <w:r w:rsidRPr="00466081">
        <w:t xml:space="preserve"> efforts are being made to support the digitalisation of public services (in particular government ICT solutions and the digitalisation of healthcare) and businesses, with strong support directed towards small and medium-sized enterprises. More information is provided in the following sections. </w:t>
      </w:r>
    </w:p>
    <w:p w14:paraId="53C3B483" w14:textId="5161B3E1" w:rsidR="002D2EEB" w:rsidRDefault="000D7D9F" w:rsidP="00965BFC">
      <w:pPr>
        <w:pStyle w:val="ImageTitle"/>
        <w:rPr>
          <w:highlight w:val="lightGray"/>
        </w:rPr>
      </w:pPr>
      <w:r w:rsidRPr="00D96D38">
        <w:t>Estimated contributions to the digital transition by key digital dimensions (2021-202</w:t>
      </w:r>
      <w:r w:rsidR="00FA5C06" w:rsidRPr="00D96D38">
        <w:t>5</w:t>
      </w:r>
      <w:r w:rsidRPr="00D96D38">
        <w:t>)</w:t>
      </w:r>
      <w:r w:rsidRPr="00D96D38">
        <w:rPr>
          <w:rFonts w:ascii="Calibri" w:hAnsi="Calibri" w:cs="Calibri"/>
        </w:rPr>
        <w:t> </w:t>
      </w:r>
      <w:r w:rsidRPr="00D96D38">
        <w:t>(*)</w:t>
      </w:r>
    </w:p>
    <w:p w14:paraId="7ADE1721" w14:textId="6AF3ECC4" w:rsidR="000D7D9F" w:rsidRPr="003E29CF" w:rsidRDefault="00031D48" w:rsidP="00541054">
      <w:pPr>
        <w:pStyle w:val="ImagePlaceholder"/>
        <w:rPr>
          <w:highlight w:val="lightGray"/>
        </w:rPr>
      </w:pPr>
      <w:r>
        <w:drawing>
          <wp:inline distT="0" distB="0" distL="0" distR="0" wp14:anchorId="6A354879" wp14:editId="262912BC">
            <wp:extent cx="5446266" cy="3246120"/>
            <wp:effectExtent l="0" t="0" r="2540" b="0"/>
            <wp:docPr id="219802518" name="Picture 7" descr="Donut chart showing the estimated contributions to the digital transition by key digital dimensions for the period 2021 to 2025, with a total amount of 228.8 billion euros. Digitalisation of public services presents a share of  63.2 billion euros. Digitalisation of businesses 46.2 billion euros. Other digital 33,6  billion euro, Digital skills 32.4 billion euros, Investment in digital capacities and deployment of advanced technologies 29.6 billion euros. Broadband and connectivity 19 billion euros and finally Research 4.7 billion euros.">
              <a:extLst xmlns:a="http://schemas.openxmlformats.org/drawingml/2006/main">
                <a:ext uri="{FF2B5EF4-FFF2-40B4-BE49-F238E27FC236}">
                  <a16:creationId xmlns:a16="http://schemas.microsoft.com/office/drawing/2014/main" id="{5DFC2434-FDA6-1951-237B-1E3CBBA58F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802518" name="Picture 7" descr="Donut chart showing the estimated contributions to the digital transition by key digital dimensions for the period 2021 to 2025, with a total amount of 228.8 billion euros. Digitalisation of public services presents a share of  63.2 billion euros. Digitalisation of businesses 46.2 billion euros. Other digital 33,6  billion euro, Digital skills 32.4 billion euros, Investment in digital capacities and deployment of advanced technologies 29.6 billion euros. Broadband and connectivity 19 billion euros and finally Research 4.7 billion euros.">
                      <a:extLst>
                        <a:ext uri="{FF2B5EF4-FFF2-40B4-BE49-F238E27FC236}">
                          <a16:creationId xmlns:a16="http://schemas.microsoft.com/office/drawing/2014/main" id="{5DFC2434-FDA6-1951-237B-1E3CBBA58F5A}"/>
                        </a:ext>
                      </a:extLst>
                    </pic:cNvPr>
                    <pic:cNvPicPr>
                      <a:picLocks noChangeAspect="1"/>
                    </pic:cNvPicPr>
                  </pic:nvPicPr>
                  <pic:blipFill>
                    <a:blip r:embed="rId80"/>
                    <a:srcRect l="7407" t="5640" r="8704" b="5640"/>
                    <a:stretch>
                      <a:fillRect/>
                    </a:stretch>
                  </pic:blipFill>
                  <pic:spPr>
                    <a:xfrm>
                      <a:off x="0" y="0"/>
                      <a:ext cx="5466012" cy="3257889"/>
                    </a:xfrm>
                    <a:prstGeom prst="rect">
                      <a:avLst/>
                    </a:prstGeom>
                  </pic:spPr>
                </pic:pic>
              </a:graphicData>
            </a:graphic>
          </wp:inline>
        </w:drawing>
      </w:r>
      <w:r w:rsidR="000D7D9F" w:rsidRPr="003E29CF" w:rsidDel="005740A4">
        <w:rPr>
          <w:highlight w:val="lightGray"/>
        </w:rPr>
        <w:t xml:space="preserve"> </w:t>
      </w:r>
    </w:p>
    <w:p w14:paraId="352A4EFD" w14:textId="109ED6D9" w:rsidR="000D7D9F" w:rsidRPr="00D96D38" w:rsidRDefault="000D7D9F" w:rsidP="000D7D9F">
      <w:pPr>
        <w:pStyle w:val="ImageNotes"/>
      </w:pPr>
      <w:r w:rsidRPr="00D96D38">
        <w:t>(*)</w:t>
      </w:r>
      <w:r w:rsidR="00AA05A8">
        <w:rPr>
          <w:rFonts w:ascii="Calibri" w:hAnsi="Calibri" w:cs="Calibri"/>
        </w:rPr>
        <w:t xml:space="preserve"> </w:t>
      </w:r>
      <w:r w:rsidRPr="00D96D38">
        <w:t>Including NextGenerationEU, in billion EUR.</w:t>
      </w:r>
    </w:p>
    <w:p w14:paraId="33251F72" w14:textId="38A4EF0A" w:rsidR="000D7D9F" w:rsidRPr="00D96D38" w:rsidRDefault="00845574" w:rsidP="000D7D9F">
      <w:pPr>
        <w:pStyle w:val="ImageNotes"/>
      </w:pPr>
      <w:r>
        <w:t>(**) Includes programmes that could not be disaggregated into specific categories</w:t>
      </w:r>
      <w:r w:rsidR="000D7D9F" w:rsidRPr="00D96D38">
        <w:t xml:space="preserve"> due to methodological limitations</w:t>
      </w:r>
      <w:r w:rsidR="003C3D03">
        <w:t xml:space="preserve"> (</w:t>
      </w:r>
      <w:r w:rsidR="003C3D03" w:rsidRPr="003C3D03">
        <w:t xml:space="preserve">Erasmus+, European Solidarity Corps programme, Creative Europe, the </w:t>
      </w:r>
      <w:r w:rsidR="00045639">
        <w:t>CAP</w:t>
      </w:r>
      <w:r w:rsidR="003C3D03" w:rsidRPr="003C3D03">
        <w:t xml:space="preserve"> and the common fisheries policy, Technical Support Instrument, LIFE programme, European Defence Fund and the EU Secure Connectivity Programme</w:t>
      </w:r>
      <w:r w:rsidR="003C3D03">
        <w:t>)</w:t>
      </w:r>
      <w:r w:rsidR="000D7D9F" w:rsidRPr="00D96D38">
        <w:t>.</w:t>
      </w:r>
      <w:r w:rsidR="000D7D9F" w:rsidRPr="00D96D38" w:rsidDel="00E62678">
        <w:t xml:space="preserve"> </w:t>
      </w:r>
    </w:p>
    <w:p w14:paraId="32342298" w14:textId="5B1B7CC4" w:rsidR="000D7D9F" w:rsidRPr="00D96D38" w:rsidRDefault="000D7D9F" w:rsidP="000D7D9F">
      <w:pPr>
        <w:pStyle w:val="ImageSource"/>
      </w:pPr>
      <w:r w:rsidRPr="00D96D38">
        <w:rPr>
          <w:i/>
        </w:rPr>
        <w:t>Source:</w:t>
      </w:r>
      <w:r w:rsidRPr="00D96D38">
        <w:t xml:space="preserve"> European Commission, based on the </w:t>
      </w:r>
      <w:r w:rsidR="00FA5C06" w:rsidRPr="00D96D38">
        <w:t>2026</w:t>
      </w:r>
      <w:r w:rsidRPr="00D96D38">
        <w:t xml:space="preserve"> stocktaking exercise.</w:t>
      </w:r>
    </w:p>
    <w:p w14:paraId="151FF451" w14:textId="77777777" w:rsidR="000D7D9F" w:rsidRPr="00D96D38" w:rsidRDefault="000D7D9F" w:rsidP="000D7D9F">
      <w:pPr>
        <w:pStyle w:val="Heading4"/>
        <w:rPr>
          <w:rFonts w:ascii="EC Square Sans Pro" w:hAnsi="EC Square Sans Pro"/>
          <w:szCs w:val="28"/>
        </w:rPr>
      </w:pPr>
      <w:r w:rsidRPr="00D96D38">
        <w:rPr>
          <w:rFonts w:ascii="EC Square Sans Pro" w:hAnsi="EC Square Sans Pro"/>
        </w:rPr>
        <w:t>Digitalisation of businesses and public services</w:t>
      </w:r>
    </w:p>
    <w:p w14:paraId="05EC8BC4" w14:textId="186330BD" w:rsidR="000D7D9F" w:rsidRPr="00466081" w:rsidRDefault="000D7D9F" w:rsidP="000D7D9F">
      <w:r w:rsidRPr="00466081">
        <w:t xml:space="preserve">The EU budget (including NextGenerationEU) is making a significant contribution to the digitalisation of the private and public sectors. </w:t>
      </w:r>
      <w:r w:rsidR="00C92C14">
        <w:t>For the 2021-2025 period, an es</w:t>
      </w:r>
      <w:r w:rsidRPr="00466081">
        <w:t>timate</w:t>
      </w:r>
      <w:r w:rsidR="00C92C14">
        <w:t>d</w:t>
      </w:r>
      <w:r w:rsidRPr="00466081">
        <w:t xml:space="preserve"> EUR</w:t>
      </w:r>
      <w:r w:rsidRPr="00466081">
        <w:rPr>
          <w:rFonts w:ascii="Calibri" w:hAnsi="Calibri" w:cs="Calibri"/>
        </w:rPr>
        <w:t> </w:t>
      </w:r>
      <w:r w:rsidR="00E43C66" w:rsidRPr="00466081">
        <w:rPr>
          <w:noProof/>
        </w:rPr>
        <w:t>63</w:t>
      </w:r>
      <w:r w:rsidRPr="00466081">
        <w:rPr>
          <w:noProof/>
        </w:rPr>
        <w:t>.</w:t>
      </w:r>
      <w:r w:rsidR="00565F26">
        <w:rPr>
          <w:noProof/>
        </w:rPr>
        <w:t>2</w:t>
      </w:r>
      <w:r w:rsidRPr="00466081">
        <w:rPr>
          <w:rFonts w:ascii="Calibri" w:hAnsi="Calibri" w:cs="Calibri"/>
        </w:rPr>
        <w:t> </w:t>
      </w:r>
      <w:r w:rsidRPr="00466081">
        <w:t xml:space="preserve">billion was dedicated to the support of the EU budget to </w:t>
      </w:r>
      <w:r w:rsidR="007532E9">
        <w:t>public services</w:t>
      </w:r>
      <w:r w:rsidRPr="00466081">
        <w:t xml:space="preserve"> (including the digitalisation of health and justice systems) and EUR</w:t>
      </w:r>
      <w:r w:rsidRPr="00466081">
        <w:rPr>
          <w:rFonts w:ascii="Calibri" w:hAnsi="Calibri" w:cs="Calibri"/>
        </w:rPr>
        <w:t> </w:t>
      </w:r>
      <w:r w:rsidR="00F9547F" w:rsidRPr="00466081">
        <w:rPr>
          <w:rFonts w:cs="Calibri"/>
          <w:noProof/>
        </w:rPr>
        <w:t>4</w:t>
      </w:r>
      <w:r w:rsidR="00F9547F">
        <w:rPr>
          <w:rFonts w:cs="Calibri"/>
          <w:noProof/>
        </w:rPr>
        <w:t>6</w:t>
      </w:r>
      <w:r w:rsidRPr="00466081">
        <w:rPr>
          <w:rFonts w:cs="Calibri"/>
          <w:noProof/>
        </w:rPr>
        <w:t>.</w:t>
      </w:r>
      <w:r w:rsidR="00485CB5">
        <w:rPr>
          <w:rFonts w:cs="Calibri"/>
          <w:noProof/>
        </w:rPr>
        <w:t>2</w:t>
      </w:r>
      <w:r w:rsidRPr="00466081">
        <w:rPr>
          <w:rFonts w:ascii="Calibri" w:hAnsi="Calibri" w:cs="Calibri"/>
        </w:rPr>
        <w:t> </w:t>
      </w:r>
      <w:r w:rsidRPr="00466081">
        <w:t>billion for the support of the digitalisation of businesses. The Recovery and Resilience Facility, the European Regional Development Fund and the Cohesion Fund</w:t>
      </w:r>
      <w:r w:rsidRPr="00466081" w:rsidDel="005F3CBF">
        <w:t xml:space="preserve"> </w:t>
      </w:r>
      <w:r w:rsidRPr="00466081">
        <w:t>are important contributors to this investment. From</w:t>
      </w:r>
      <w:r w:rsidRPr="00466081" w:rsidDel="00A949A9">
        <w:t xml:space="preserve"> </w:t>
      </w:r>
      <w:r w:rsidRPr="00466081">
        <w:t xml:space="preserve">2021 to </w:t>
      </w:r>
      <w:r w:rsidR="00575369" w:rsidRPr="00466081">
        <w:rPr>
          <w:noProof/>
        </w:rPr>
        <w:t>2025</w:t>
      </w:r>
      <w:r w:rsidRPr="00466081">
        <w:t>, 11.</w:t>
      </w:r>
      <w:r w:rsidR="00A61D73">
        <w:rPr>
          <w:noProof/>
        </w:rPr>
        <w:t>8</w:t>
      </w:r>
      <w:r w:rsidRPr="00466081">
        <w:t>% of the amounts from the European Regional Development Fund and the Cohesion Fund</w:t>
      </w:r>
      <w:r w:rsidRPr="00466081" w:rsidDel="005F3CBF">
        <w:t xml:space="preserve"> </w:t>
      </w:r>
      <w:r w:rsidRPr="00466081">
        <w:t>were used to finance interventions that advance the digital transition, in particular supporting small and medium-sized enterprises and public services.</w:t>
      </w:r>
    </w:p>
    <w:p w14:paraId="164A7BB2" w14:textId="33F4A0BE" w:rsidR="00C23219" w:rsidRDefault="000D7D9F" w:rsidP="00541054">
      <w:pPr>
        <w:pStyle w:val="ImageTitle"/>
        <w:rPr>
          <w:highlight w:val="lightGray"/>
        </w:rPr>
      </w:pPr>
      <w:r w:rsidRPr="00C7583F">
        <w:t xml:space="preserve">Estimated contributions of the EU budget to the digitalisation of public services </w:t>
      </w:r>
      <w:r w:rsidR="00197285">
        <w:br/>
      </w:r>
      <w:r w:rsidRPr="00C7583F">
        <w:t>(2021-</w:t>
      </w:r>
      <w:r w:rsidR="004E6165" w:rsidRPr="00C7583F">
        <w:t>2025</w:t>
      </w:r>
      <w:r w:rsidRPr="00C7583F">
        <w:t>)</w:t>
      </w:r>
      <w:r w:rsidRPr="00C7583F">
        <w:rPr>
          <w:rFonts w:ascii="Calibri" w:hAnsi="Calibri" w:cs="Calibri"/>
        </w:rPr>
        <w:t> </w:t>
      </w:r>
      <w:r w:rsidRPr="00C7583F">
        <w:t>(*)</w:t>
      </w:r>
      <w:r w:rsidR="00976B1D" w:rsidRPr="00C7583F">
        <w:t xml:space="preserve"> </w:t>
      </w:r>
    </w:p>
    <w:p w14:paraId="3479A8A5" w14:textId="4E3AB92E" w:rsidR="000D7D9F" w:rsidRPr="003E29CF" w:rsidRDefault="00DD7F98" w:rsidP="001B7D68">
      <w:pPr>
        <w:pStyle w:val="ImagePlaceholder"/>
        <w:rPr>
          <w:highlight w:val="lightGray"/>
        </w:rPr>
      </w:pPr>
      <w:r w:rsidRPr="00DD7F98">
        <w:rPr>
          <w:highlight w:val="lightGray"/>
        </w:rPr>
        <w:drawing>
          <wp:inline distT="0" distB="0" distL="0" distR="0" wp14:anchorId="14EF8B0C" wp14:editId="64FF8AA3">
            <wp:extent cx="5050729" cy="3450180"/>
            <wp:effectExtent l="0" t="0" r="0" b="0"/>
            <wp:docPr id="1061468774" name="Picture 4" descr="Donut chart showing the percentages of estimated contributions of the EU budget to the digitalisation of public services between 2021 and 2025. 48% was dedicated to e-government, 24% to the digitalisation of health systems, 16% to the digitalisation of transport, 9% to the digitalisation of energy networks and finally 3% to the digitalisation of justice.">
              <a:extLst xmlns:a="http://schemas.openxmlformats.org/drawingml/2006/main">
                <a:ext uri="{FF2B5EF4-FFF2-40B4-BE49-F238E27FC236}">
                  <a16:creationId xmlns:a16="http://schemas.microsoft.com/office/drawing/2014/main" id="{69AA8CB7-A9AD-C84E-0DFB-285B022D1A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68774" name="Picture 4" descr="Donut chart showing the percentages of estimated contributions of the EU budget to the digitalisation of public services between 2021 and 2025. 48% was dedicated to e-government, 24% to the digitalisation of health systems, 16% to the digitalisation of transport, 9% to the digitalisation of energy networks and finally 3% to the digitalisation of justice.">
                      <a:extLst>
                        <a:ext uri="{FF2B5EF4-FFF2-40B4-BE49-F238E27FC236}">
                          <a16:creationId xmlns:a16="http://schemas.microsoft.com/office/drawing/2014/main" id="{69AA8CB7-A9AD-C84E-0DFB-285B022D1A59}"/>
                        </a:ext>
                      </a:extLst>
                    </pic:cNvPr>
                    <pic:cNvPicPr>
                      <a:picLocks noChangeAspect="1"/>
                    </pic:cNvPicPr>
                  </pic:nvPicPr>
                  <pic:blipFill rotWithShape="1">
                    <a:blip r:embed="rId81"/>
                    <a:srcRect l="13821" t="3885" r="8974" b="14290"/>
                    <a:stretch>
                      <a:fillRect/>
                    </a:stretch>
                  </pic:blipFill>
                  <pic:spPr bwMode="auto">
                    <a:xfrm>
                      <a:off x="0" y="0"/>
                      <a:ext cx="5070602" cy="3463755"/>
                    </a:xfrm>
                    <a:prstGeom prst="rect">
                      <a:avLst/>
                    </a:prstGeom>
                    <a:noFill/>
                    <a:ln>
                      <a:noFill/>
                    </a:ln>
                    <a:extLst>
                      <a:ext uri="{53640926-AAD7-44D8-BBD7-CCE9431645EC}">
                        <a14:shadowObscured xmlns:a14="http://schemas.microsoft.com/office/drawing/2010/main"/>
                      </a:ext>
                    </a:extLst>
                  </pic:spPr>
                </pic:pic>
              </a:graphicData>
            </a:graphic>
          </wp:inline>
        </w:drawing>
      </w:r>
    </w:p>
    <w:p w14:paraId="3A4797BC" w14:textId="20752482" w:rsidR="000D7D9F" w:rsidRPr="008F4104" w:rsidRDefault="000D7D9F" w:rsidP="000D7D9F">
      <w:pPr>
        <w:pStyle w:val="ImageNotes"/>
      </w:pPr>
      <w:r w:rsidRPr="008F4104">
        <w:t>(*)</w:t>
      </w:r>
      <w:r w:rsidR="00E7333C">
        <w:rPr>
          <w:rFonts w:ascii="Calibri" w:hAnsi="Calibri" w:cs="Calibri"/>
        </w:rPr>
        <w:t xml:space="preserve"> </w:t>
      </w:r>
      <w:r w:rsidRPr="008F4104">
        <w:t xml:space="preserve">Including NextGenerationEU. </w:t>
      </w:r>
    </w:p>
    <w:p w14:paraId="6794E04F" w14:textId="0EC9C9B4" w:rsidR="000D7D9F" w:rsidRPr="00DB5918" w:rsidRDefault="002D168D" w:rsidP="000D7D9F">
      <w:pPr>
        <w:pStyle w:val="ImageNotes"/>
        <w:rPr>
          <w:lang w:val="en-US"/>
        </w:rPr>
      </w:pPr>
      <w:r>
        <w:t>(**)</w:t>
      </w:r>
      <w:r w:rsidR="000D7D9F" w:rsidRPr="008F4104">
        <w:t xml:space="preserve"> These amounts are the result of the stocktaking exercise conducted for 2021 to </w:t>
      </w:r>
      <w:r w:rsidR="00C1573D" w:rsidRPr="008F4104">
        <w:t>2025</w:t>
      </w:r>
      <w:r w:rsidR="000D7D9F" w:rsidRPr="008F4104">
        <w:t xml:space="preserve"> and exclude the external action programmes</w:t>
      </w:r>
      <w:r w:rsidR="00C902AB" w:rsidRPr="008F4104">
        <w:t>,</w:t>
      </w:r>
      <w:r w:rsidR="00CE7EF6">
        <w:t xml:space="preserve"> </w:t>
      </w:r>
      <w:r w:rsidR="001A70E7" w:rsidRPr="008F4104">
        <w:t xml:space="preserve">expenditure </w:t>
      </w:r>
      <w:r w:rsidR="008D1410" w:rsidRPr="008F4104">
        <w:t>under indirect</w:t>
      </w:r>
      <w:r w:rsidR="001A70E7" w:rsidRPr="008F4104">
        <w:t xml:space="preserve"> manageme</w:t>
      </w:r>
      <w:r w:rsidR="00A40A95" w:rsidRPr="008F4104">
        <w:t>nt,</w:t>
      </w:r>
      <w:r w:rsidR="000D7D9F" w:rsidRPr="008F4104">
        <w:t xml:space="preserve"> </w:t>
      </w:r>
      <w:r w:rsidR="00A40A95" w:rsidRPr="008F4104">
        <w:t>Erasmus+, European So</w:t>
      </w:r>
      <w:r w:rsidR="007848E9" w:rsidRPr="008F4104">
        <w:t xml:space="preserve">lidarity Corps </w:t>
      </w:r>
      <w:r w:rsidR="004F26A0" w:rsidRPr="008F4104">
        <w:t xml:space="preserve">programme, </w:t>
      </w:r>
      <w:r w:rsidR="00023CEF">
        <w:t>c</w:t>
      </w:r>
      <w:r w:rsidR="004F26A0" w:rsidRPr="008F4104">
        <w:t>reative Europe,</w:t>
      </w:r>
      <w:r w:rsidR="007848E9" w:rsidRPr="008F4104">
        <w:t xml:space="preserve"> </w:t>
      </w:r>
      <w:r w:rsidR="000D7D9F" w:rsidRPr="008F4104">
        <w:t xml:space="preserve">the </w:t>
      </w:r>
      <w:r w:rsidR="00045639">
        <w:t>CAP</w:t>
      </w:r>
      <w:r w:rsidR="000D7D9F" w:rsidRPr="008F4104">
        <w:t xml:space="preserve"> </w:t>
      </w:r>
      <w:r w:rsidR="00A40A95" w:rsidRPr="008F4104">
        <w:t>and</w:t>
      </w:r>
      <w:r w:rsidR="000D7D9F" w:rsidRPr="008F4104">
        <w:t xml:space="preserve"> </w:t>
      </w:r>
      <w:r w:rsidR="00721EF9" w:rsidRPr="008F4104">
        <w:t>the common fisheries policy</w:t>
      </w:r>
      <w:r w:rsidR="0014013F" w:rsidRPr="008F4104">
        <w:t>, Technical Support Instrument,</w:t>
      </w:r>
      <w:r w:rsidR="00721EF9" w:rsidRPr="008F4104">
        <w:t xml:space="preserve"> </w:t>
      </w:r>
      <w:r w:rsidR="0014013F" w:rsidRPr="008F4104">
        <w:t>LIFE programme,</w:t>
      </w:r>
      <w:r w:rsidR="00721EF9" w:rsidRPr="008F4104">
        <w:t xml:space="preserve"> </w:t>
      </w:r>
      <w:r w:rsidR="00862202" w:rsidRPr="008F4104">
        <w:rPr>
          <w:noProof/>
        </w:rPr>
        <w:t xml:space="preserve">European Defence Fund, and the EU Secure Connectivity Programme </w:t>
      </w:r>
      <w:r w:rsidR="000D7D9F" w:rsidRPr="008F4104">
        <w:t>due to methodological limitations.</w:t>
      </w:r>
    </w:p>
    <w:p w14:paraId="556E2ECF" w14:textId="5198806A" w:rsidR="000D7D9F" w:rsidRPr="008F4104" w:rsidRDefault="000D7D9F" w:rsidP="000D7D9F">
      <w:pPr>
        <w:pStyle w:val="ImageSource"/>
      </w:pPr>
      <w:r w:rsidRPr="001B7D68">
        <w:rPr>
          <w:rStyle w:val="Italic"/>
        </w:rPr>
        <w:t xml:space="preserve">Source: </w:t>
      </w:r>
      <w:r w:rsidRPr="008F4104">
        <w:t xml:space="preserve">European Commission, based on the </w:t>
      </w:r>
      <w:r w:rsidR="00862202" w:rsidRPr="008F4104">
        <w:rPr>
          <w:noProof/>
        </w:rPr>
        <w:t>2026</w:t>
      </w:r>
      <w:r w:rsidRPr="008F4104">
        <w:t xml:space="preserve"> stocktaking exercise.</w:t>
      </w:r>
    </w:p>
    <w:p w14:paraId="7F069B8E" w14:textId="77777777" w:rsidR="000D7D9F" w:rsidRPr="00C77741" w:rsidRDefault="000D7D9F" w:rsidP="000D7D9F">
      <w:pPr>
        <w:pStyle w:val="Heading4"/>
        <w:spacing w:before="320"/>
        <w:rPr>
          <w:rFonts w:ascii="EC Square Sans Pro" w:hAnsi="EC Square Sans Pro"/>
          <w:szCs w:val="28"/>
        </w:rPr>
      </w:pPr>
      <w:r w:rsidRPr="00C77741">
        <w:rPr>
          <w:rFonts w:ascii="EC Square Sans Pro" w:hAnsi="EC Square Sans Pro"/>
        </w:rPr>
        <w:t xml:space="preserve">Supporting the development and deployment of digital technologies </w:t>
      </w:r>
      <w:r w:rsidRPr="00C77741">
        <w:rPr>
          <w:rFonts w:ascii="EC Square Sans Pro" w:hAnsi="EC Square Sans Pro"/>
          <w:szCs w:val="28"/>
        </w:rPr>
        <w:t>and research</w:t>
      </w:r>
    </w:p>
    <w:p w14:paraId="3B8A870E" w14:textId="01020D83" w:rsidR="000D7D9F" w:rsidRPr="0046209E" w:rsidRDefault="000D7D9F" w:rsidP="000D7D9F">
      <w:r w:rsidRPr="0046209E">
        <w:t xml:space="preserve">From 2021 to </w:t>
      </w:r>
      <w:r w:rsidRPr="0046209E">
        <w:rPr>
          <w:noProof/>
        </w:rPr>
        <w:t>202</w:t>
      </w:r>
      <w:r w:rsidR="00F24278" w:rsidRPr="0046209E">
        <w:rPr>
          <w:noProof/>
        </w:rPr>
        <w:t>5</w:t>
      </w:r>
      <w:r w:rsidRPr="0046209E">
        <w:t>, estimates indicate that the EU contributed EUR</w:t>
      </w:r>
      <w:r w:rsidRPr="0046209E">
        <w:rPr>
          <w:rFonts w:ascii="Calibri" w:hAnsi="Calibri" w:cs="Calibri"/>
        </w:rPr>
        <w:t> </w:t>
      </w:r>
      <w:r w:rsidR="00E1669C" w:rsidRPr="0046209E">
        <w:rPr>
          <w:noProof/>
        </w:rPr>
        <w:t>2</w:t>
      </w:r>
      <w:r w:rsidR="008E2CAF">
        <w:rPr>
          <w:noProof/>
        </w:rPr>
        <w:t>9.6</w:t>
      </w:r>
      <w:r w:rsidRPr="0046209E">
        <w:rPr>
          <w:rFonts w:ascii="Calibri" w:hAnsi="Calibri" w:cs="Calibri"/>
        </w:rPr>
        <w:t> </w:t>
      </w:r>
      <w:r w:rsidRPr="0046209E">
        <w:t>billion to investment in digital capacities and the deployment of advanced technologies, and EUR</w:t>
      </w:r>
      <w:r w:rsidRPr="0046209E">
        <w:rPr>
          <w:rFonts w:ascii="Calibri" w:hAnsi="Calibri" w:cs="Calibri"/>
        </w:rPr>
        <w:t> </w:t>
      </w:r>
      <w:r w:rsidR="00120587" w:rsidRPr="0046209E">
        <w:rPr>
          <w:noProof/>
        </w:rPr>
        <w:t>1</w:t>
      </w:r>
      <w:r w:rsidR="00573686">
        <w:rPr>
          <w:noProof/>
        </w:rPr>
        <w:t>7</w:t>
      </w:r>
      <w:r w:rsidRPr="0046209E">
        <w:rPr>
          <w:noProof/>
        </w:rPr>
        <w:t>.</w:t>
      </w:r>
      <w:r w:rsidR="00573686">
        <w:rPr>
          <w:noProof/>
        </w:rPr>
        <w:t>5</w:t>
      </w:r>
      <w:r w:rsidRPr="0046209E">
        <w:rPr>
          <w:rFonts w:ascii="Calibri" w:hAnsi="Calibri" w:cs="Calibri"/>
        </w:rPr>
        <w:t> </w:t>
      </w:r>
      <w:r w:rsidRPr="0046209E">
        <w:t xml:space="preserve">billion to research. These numbers </w:t>
      </w:r>
      <w:r w:rsidR="002470C2">
        <w:rPr>
          <w:noProof/>
        </w:rPr>
        <w:t xml:space="preserve">include contribution to </w:t>
      </w:r>
      <w:r w:rsidR="00C253AB">
        <w:rPr>
          <w:noProof/>
        </w:rPr>
        <w:t xml:space="preserve">the </w:t>
      </w:r>
      <w:r w:rsidR="002470C2">
        <w:rPr>
          <w:noProof/>
        </w:rPr>
        <w:t xml:space="preserve">digital objective from </w:t>
      </w:r>
      <w:r>
        <w:t>Horizon Europe</w:t>
      </w:r>
      <w:r w:rsidR="00670B83">
        <w:t>, wh</w:t>
      </w:r>
      <w:r w:rsidR="00C253AB">
        <w:t>ose</w:t>
      </w:r>
      <w:r w:rsidR="00670B83">
        <w:t xml:space="preserve"> </w:t>
      </w:r>
      <w:r w:rsidR="00E25EE5">
        <w:rPr>
          <w:noProof/>
        </w:rPr>
        <w:t>primary objective is</w:t>
      </w:r>
      <w:r w:rsidR="00E41ECE">
        <w:t xml:space="preserve"> supporting </w:t>
      </w:r>
      <w:r w:rsidR="00E25EE5">
        <w:rPr>
          <w:noProof/>
        </w:rPr>
        <w:t>research</w:t>
      </w:r>
      <w:r w:rsidR="003B245E" w:rsidRPr="0046209E">
        <w:rPr>
          <w:noProof/>
        </w:rPr>
        <w:t>.</w:t>
      </w:r>
      <w:r w:rsidRPr="0046209E">
        <w:t xml:space="preserve"> These figures are not yet final and will be updated as more information from funded projects becomes available.</w:t>
      </w:r>
    </w:p>
    <w:p w14:paraId="4C6BF04A" w14:textId="201302BE" w:rsidR="000D7D9F" w:rsidRPr="0046209E" w:rsidRDefault="000D7D9F" w:rsidP="000D7D9F">
      <w:r w:rsidRPr="0046209E">
        <w:t xml:space="preserve">The main contributing programmes towards investment in digital capacities and the deployment of advanced technologies and research are the Recovery and Resilience Facility, Horizon Europe, the EU space programme, the European Regional Development Fund, the Cohesion Fund and the </w:t>
      </w:r>
      <w:r w:rsidR="00DB428C">
        <w:t>d</w:t>
      </w:r>
      <w:r w:rsidRPr="0046209E">
        <w:t>igital Europe programme.</w:t>
      </w:r>
    </w:p>
    <w:p w14:paraId="63EE164E" w14:textId="77777777" w:rsidR="000D7D9F" w:rsidRPr="0046209E" w:rsidRDefault="000D7D9F" w:rsidP="000D7D9F">
      <w:pPr>
        <w:pStyle w:val="Heading4"/>
        <w:spacing w:before="320"/>
        <w:rPr>
          <w:rFonts w:ascii="EC Square Sans Pro" w:hAnsi="EC Square Sans Pro"/>
          <w:szCs w:val="28"/>
        </w:rPr>
      </w:pPr>
      <w:r w:rsidRPr="0046209E">
        <w:rPr>
          <w:rFonts w:ascii="EC Square Sans Pro" w:hAnsi="EC Square Sans Pro"/>
        </w:rPr>
        <w:t>Investing in digital skills</w:t>
      </w:r>
    </w:p>
    <w:p w14:paraId="40C05453" w14:textId="5A89DA25" w:rsidR="000D7D9F" w:rsidRPr="003E29CF" w:rsidRDefault="000D7D9F" w:rsidP="000D7D9F">
      <w:pPr>
        <w:rPr>
          <w:noProof/>
          <w:highlight w:val="lightGray"/>
        </w:rPr>
      </w:pPr>
      <w:r w:rsidRPr="0046209E">
        <w:t xml:space="preserve">From 2021 to </w:t>
      </w:r>
      <w:r w:rsidR="008E2B85" w:rsidRPr="0046209E">
        <w:rPr>
          <w:noProof/>
        </w:rPr>
        <w:t>2025</w:t>
      </w:r>
      <w:r w:rsidRPr="0046209E">
        <w:t>, the EU budget, including NextGenerationEU, made a significant contribution to both basic and advanced digital skills</w:t>
      </w:r>
      <w:r w:rsidRPr="0046209E" w:rsidDel="00380774">
        <w:t xml:space="preserve">, </w:t>
      </w:r>
      <w:r w:rsidRPr="0046209E">
        <w:t>with an estimated investment totalling EUR</w:t>
      </w:r>
      <w:r w:rsidRPr="0046209E">
        <w:rPr>
          <w:rFonts w:ascii="Calibri" w:hAnsi="Calibri" w:cs="Calibri"/>
        </w:rPr>
        <w:t> </w:t>
      </w:r>
      <w:r w:rsidR="00765164" w:rsidRPr="0046209E">
        <w:rPr>
          <w:noProof/>
        </w:rPr>
        <w:t>32</w:t>
      </w:r>
      <w:r w:rsidRPr="0046209E">
        <w:rPr>
          <w:noProof/>
        </w:rPr>
        <w:t>.</w:t>
      </w:r>
      <w:r w:rsidR="00F32AC5">
        <w:rPr>
          <w:noProof/>
        </w:rPr>
        <w:t>4</w:t>
      </w:r>
      <w:r w:rsidRPr="0046209E">
        <w:rPr>
          <w:rFonts w:ascii="Calibri" w:hAnsi="Calibri" w:cs="Calibri"/>
        </w:rPr>
        <w:t> </w:t>
      </w:r>
      <w:r w:rsidRPr="0046209E">
        <w:t xml:space="preserve">billion. In addition to supporting the development of digital skills at all levels, along with information technology services and applications for digital skills and digital inclusion, particular emphasis was placed on supporting young people. The main programmes contributing to </w:t>
      </w:r>
      <w:r w:rsidR="00CE1F0D" w:rsidRPr="0046209E">
        <w:rPr>
          <w:noProof/>
        </w:rPr>
        <w:t>improving digital skills</w:t>
      </w:r>
      <w:r w:rsidRPr="0046209E">
        <w:t xml:space="preserve"> are the Recovery and Resilience Facility (EUR</w:t>
      </w:r>
      <w:r w:rsidRPr="0046209E">
        <w:rPr>
          <w:rFonts w:ascii="Calibri" w:hAnsi="Calibri" w:cs="Calibri"/>
        </w:rPr>
        <w:t> </w:t>
      </w:r>
      <w:r w:rsidRPr="0046209E">
        <w:t>2</w:t>
      </w:r>
      <w:r w:rsidR="00CE1F0D" w:rsidRPr="0046209E">
        <w:rPr>
          <w:noProof/>
        </w:rPr>
        <w:t>2</w:t>
      </w:r>
      <w:r w:rsidRPr="0046209E">
        <w:rPr>
          <w:noProof/>
        </w:rPr>
        <w:t>.</w:t>
      </w:r>
      <w:r w:rsidR="00CE1F0D" w:rsidRPr="0046209E">
        <w:rPr>
          <w:noProof/>
        </w:rPr>
        <w:t>0</w:t>
      </w:r>
      <w:r w:rsidRPr="0046209E">
        <w:rPr>
          <w:rFonts w:ascii="Calibri" w:hAnsi="Calibri" w:cs="Calibri"/>
        </w:rPr>
        <w:t> </w:t>
      </w:r>
      <w:r w:rsidRPr="0046209E">
        <w:t>billion) and the European Social Fund Plus (EUR</w:t>
      </w:r>
      <w:r w:rsidRPr="0046209E">
        <w:rPr>
          <w:rFonts w:ascii="Calibri" w:hAnsi="Calibri" w:cs="Calibri"/>
        </w:rPr>
        <w:t> </w:t>
      </w:r>
      <w:r w:rsidRPr="0046209E">
        <w:t>8</w:t>
      </w:r>
      <w:r w:rsidRPr="0046209E">
        <w:rPr>
          <w:noProof/>
        </w:rPr>
        <w:t>.</w:t>
      </w:r>
      <w:r w:rsidR="006A6766" w:rsidRPr="0046209E">
        <w:rPr>
          <w:noProof/>
        </w:rPr>
        <w:t>1</w:t>
      </w:r>
      <w:r w:rsidRPr="0046209E">
        <w:rPr>
          <w:rFonts w:ascii="Calibri" w:hAnsi="Calibri" w:cs="Calibri"/>
        </w:rPr>
        <w:t> </w:t>
      </w:r>
      <w:r w:rsidRPr="0046209E">
        <w:t>billion), providing support to youth employment and the socioeconomic integration of young people.</w:t>
      </w:r>
    </w:p>
    <w:p w14:paraId="2D6FDB08" w14:textId="77777777" w:rsidR="000D7D9F" w:rsidRPr="00C77741" w:rsidRDefault="000D7D9F" w:rsidP="000D7D9F">
      <w:pPr>
        <w:pStyle w:val="Heading4"/>
        <w:spacing w:before="320"/>
        <w:rPr>
          <w:rFonts w:ascii="EC Square Sans Pro" w:hAnsi="EC Square Sans Pro"/>
        </w:rPr>
      </w:pPr>
      <w:r w:rsidRPr="00C77741">
        <w:rPr>
          <w:rFonts w:ascii="EC Square Sans Pro" w:hAnsi="EC Square Sans Pro"/>
        </w:rPr>
        <w:t>Enhancing digital connectivity</w:t>
      </w:r>
    </w:p>
    <w:p w14:paraId="37328472" w14:textId="27EDEBB5" w:rsidR="000D7D9F" w:rsidRPr="00C77741" w:rsidRDefault="000D7D9F" w:rsidP="000D7D9F">
      <w:r w:rsidRPr="00D7362E">
        <w:rPr>
          <w:rStyle w:val="Bold"/>
        </w:rPr>
        <w:t>The EU budget, including NextGenerationEU, is contributing to enhancing digital connectivity</w:t>
      </w:r>
      <w:r w:rsidRPr="00C77741">
        <w:t xml:space="preserve">, which will give citizens and businesses new opportunities to benefit fully from the digital single market and accelerate economic growth. Between 2021 and </w:t>
      </w:r>
      <w:r w:rsidR="0020487E" w:rsidRPr="00C77741">
        <w:t>2025</w:t>
      </w:r>
      <w:r w:rsidRPr="00C77741">
        <w:t>, investment in digital connectivity, including investment in very-high-capacity broadband networks and 5G network coverage, is estimated to have reached EUR</w:t>
      </w:r>
      <w:r w:rsidRPr="00C77741">
        <w:rPr>
          <w:rFonts w:ascii="Calibri" w:hAnsi="Calibri" w:cs="Calibri"/>
        </w:rPr>
        <w:t> </w:t>
      </w:r>
      <w:r w:rsidR="00046923" w:rsidRPr="00C77741">
        <w:t>19</w:t>
      </w:r>
      <w:r w:rsidRPr="00C77741">
        <w:t>.</w:t>
      </w:r>
      <w:r w:rsidR="009E1242">
        <w:t>0</w:t>
      </w:r>
      <w:r w:rsidRPr="00C77741">
        <w:rPr>
          <w:rFonts w:ascii="Calibri" w:hAnsi="Calibri" w:cs="Calibri"/>
        </w:rPr>
        <w:t> </w:t>
      </w:r>
      <w:r w:rsidRPr="00C77741">
        <w:t>billion. The main programmes contributing are the Recovery and Resilience Facility (EUR</w:t>
      </w:r>
      <w:r w:rsidRPr="00C77741">
        <w:rPr>
          <w:rFonts w:ascii="Calibri" w:hAnsi="Calibri" w:cs="Calibri"/>
        </w:rPr>
        <w:t> </w:t>
      </w:r>
      <w:r w:rsidRPr="00C77741">
        <w:t>1</w:t>
      </w:r>
      <w:r w:rsidR="00F53564" w:rsidRPr="00C77741">
        <w:t>2</w:t>
      </w:r>
      <w:r w:rsidRPr="00C77741">
        <w:t>.</w:t>
      </w:r>
      <w:r w:rsidR="00F53564" w:rsidRPr="00C77741">
        <w:t>7</w:t>
      </w:r>
      <w:r w:rsidRPr="00C77741">
        <w:rPr>
          <w:rFonts w:ascii="Calibri" w:hAnsi="Calibri" w:cs="Calibri"/>
        </w:rPr>
        <w:t> </w:t>
      </w:r>
      <w:r w:rsidRPr="00C77741">
        <w:t>billion), the cohesion policy funds (</w:t>
      </w:r>
      <w:r w:rsidRPr="00C77741" w:rsidDel="003E6AAE">
        <w:t>EUR</w:t>
      </w:r>
      <w:r w:rsidRPr="00C77741">
        <w:rPr>
          <w:rFonts w:ascii="Calibri" w:hAnsi="Calibri" w:cs="Calibri"/>
        </w:rPr>
        <w:t> </w:t>
      </w:r>
      <w:r w:rsidRPr="00C77741">
        <w:t>1.</w:t>
      </w:r>
      <w:r w:rsidR="008B1454">
        <w:t>0</w:t>
      </w:r>
      <w:r w:rsidRPr="00C77741">
        <w:rPr>
          <w:rFonts w:ascii="Calibri" w:hAnsi="Calibri" w:cs="Calibri"/>
        </w:rPr>
        <w:t> </w:t>
      </w:r>
      <w:r w:rsidRPr="00C77741">
        <w:t>billion) and the Connecting Europe Facility.</w:t>
      </w:r>
      <w:r w:rsidR="00676288">
        <w:rPr>
          <w:noProof/>
        </w:rPr>
        <w:t xml:space="preserve"> </w:t>
      </w:r>
      <w:r w:rsidR="009C2CEC">
        <w:rPr>
          <w:noProof/>
        </w:rPr>
        <w:t>Already reported figures on</w:t>
      </w:r>
      <w:r w:rsidR="00676288">
        <w:rPr>
          <w:noProof/>
        </w:rPr>
        <w:t xml:space="preserve"> </w:t>
      </w:r>
      <w:r w:rsidR="00060B28">
        <w:rPr>
          <w:noProof/>
        </w:rPr>
        <w:t xml:space="preserve">the contribution </w:t>
      </w:r>
      <w:r w:rsidR="00E205B8">
        <w:rPr>
          <w:noProof/>
        </w:rPr>
        <w:t xml:space="preserve">from the </w:t>
      </w:r>
      <w:r w:rsidR="00E205B8" w:rsidRPr="003E4763">
        <w:rPr>
          <w:noProof/>
        </w:rPr>
        <w:t xml:space="preserve">Recovery and Resilience Facility </w:t>
      </w:r>
      <w:r w:rsidR="009C2CEC">
        <w:rPr>
          <w:noProof/>
        </w:rPr>
        <w:t>needed to be</w:t>
      </w:r>
      <w:r w:rsidR="00E205B8">
        <w:rPr>
          <w:noProof/>
        </w:rPr>
        <w:t xml:space="preserve"> adjusted </w:t>
      </w:r>
      <w:r w:rsidR="00060B28">
        <w:rPr>
          <w:noProof/>
        </w:rPr>
        <w:t>because of amendments to the national recovery and resilience plans that took place in 2025.</w:t>
      </w:r>
    </w:p>
    <w:p w14:paraId="280FC848" w14:textId="12C8D79D" w:rsidR="000D7D9F" w:rsidRPr="003E29CF" w:rsidRDefault="000D7D9F" w:rsidP="000D7D9F">
      <w:pPr>
        <w:rPr>
          <w:noProof/>
          <w:highlight w:val="lightGray"/>
        </w:rPr>
      </w:pPr>
      <w:r w:rsidRPr="00C77741">
        <w:t xml:space="preserve">The </w:t>
      </w:r>
      <w:r w:rsidR="00045639">
        <w:t>CAP</w:t>
      </w:r>
      <w:r w:rsidRPr="00C77741">
        <w:t xml:space="preserve"> plays a key role in improving broadband access in rural areas by supporting broadband infrastructure and improved access to e-government services. </w:t>
      </w:r>
      <w:r w:rsidR="00164F8D">
        <w:rPr>
          <w:noProof/>
        </w:rPr>
        <w:t>N</w:t>
      </w:r>
      <w:r w:rsidR="00164F8D" w:rsidRPr="00164F8D">
        <w:rPr>
          <w:noProof/>
        </w:rPr>
        <w:t>early 13</w:t>
      </w:r>
      <w:r w:rsidR="00EB0E5C">
        <w:rPr>
          <w:rFonts w:ascii="Calibri" w:hAnsi="Calibri" w:cs="Calibri"/>
          <w:noProof/>
        </w:rPr>
        <w:t> </w:t>
      </w:r>
      <w:r w:rsidR="00EB0E5C">
        <w:rPr>
          <w:noProof/>
        </w:rPr>
        <w:t>million</w:t>
      </w:r>
      <w:r w:rsidR="00164F8D" w:rsidRPr="00164F8D">
        <w:rPr>
          <w:noProof/>
        </w:rPr>
        <w:t xml:space="preserve"> people living in rural areas </w:t>
      </w:r>
      <w:r w:rsidR="00164F8D">
        <w:rPr>
          <w:noProof/>
        </w:rPr>
        <w:t xml:space="preserve">are </w:t>
      </w:r>
      <w:r w:rsidR="00164F8D" w:rsidRPr="00164F8D">
        <w:rPr>
          <w:noProof/>
        </w:rPr>
        <w:t>benefiting from improved access to ICT services and infrastructure</w:t>
      </w:r>
      <w:r w:rsidR="00164F8D">
        <w:rPr>
          <w:noProof/>
        </w:rPr>
        <w:t xml:space="preserve"> as a result of support from the EU budget</w:t>
      </w:r>
      <w:r w:rsidR="00164F8D" w:rsidRPr="00164F8D">
        <w:rPr>
          <w:noProof/>
        </w:rPr>
        <w:t xml:space="preserve">. </w:t>
      </w:r>
    </w:p>
    <w:p w14:paraId="448F0F45" w14:textId="686449E1" w:rsidR="000D7D9F" w:rsidRPr="003E29CF" w:rsidRDefault="000D7D9F" w:rsidP="000D7D9F">
      <w:pPr>
        <w:rPr>
          <w:noProof/>
          <w:highlight w:val="lightGray"/>
        </w:rPr>
      </w:pPr>
      <w:r w:rsidRPr="00C77741">
        <w:t xml:space="preserve">Under the Connecting Europe Facility, </w:t>
      </w:r>
      <w:r w:rsidR="00555E7A" w:rsidRPr="00C77741">
        <w:t>10</w:t>
      </w:r>
      <w:r w:rsidR="00555E7A" w:rsidRPr="00C77741">
        <w:rPr>
          <w:rFonts w:ascii="Calibri" w:hAnsi="Calibri" w:cs="Calibri"/>
        </w:rPr>
        <w:t> </w:t>
      </w:r>
      <w:r w:rsidR="00555E7A" w:rsidRPr="00C77741">
        <w:t>3</w:t>
      </w:r>
      <w:r w:rsidRPr="005C2E52">
        <w:t xml:space="preserve">00 terabits per second of additional capacity were created by deployed backbone networks, including submarine cables. </w:t>
      </w:r>
      <w:r w:rsidR="0000525E" w:rsidRPr="005C2E52">
        <w:t>More than</w:t>
      </w:r>
      <w:r w:rsidRPr="005C2E52">
        <w:t xml:space="preserve"> EUR</w:t>
      </w:r>
      <w:r w:rsidRPr="005C2E52">
        <w:rPr>
          <w:rFonts w:ascii="Calibri" w:hAnsi="Calibri" w:cs="Calibri"/>
        </w:rPr>
        <w:t> </w:t>
      </w:r>
      <w:r w:rsidR="0000525E" w:rsidRPr="005C2E52">
        <w:t>8</w:t>
      </w:r>
      <w:r w:rsidRPr="005C2E52">
        <w:t>00</w:t>
      </w:r>
      <w:r w:rsidRPr="005C2E52">
        <w:rPr>
          <w:rFonts w:ascii="Calibri" w:hAnsi="Calibri" w:cs="Calibri"/>
        </w:rPr>
        <w:t> </w:t>
      </w:r>
      <w:r w:rsidRPr="005C2E52">
        <w:t>million was awarded to</w:t>
      </w:r>
      <w:r w:rsidR="00887526">
        <w:br/>
      </w:r>
      <w:r w:rsidRPr="005C2E52">
        <w:t xml:space="preserve"> 4</w:t>
      </w:r>
      <w:r w:rsidR="0000525E" w:rsidRPr="005C2E52">
        <w:t>5</w:t>
      </w:r>
      <w:r w:rsidRPr="005C2E52">
        <w:t xml:space="preserve"> projects to support the digitalisation of the trans-European transport network, notably through</w:t>
      </w:r>
      <w:r w:rsidRPr="005C2E52" w:rsidDel="008D69A2">
        <w:t xml:space="preserve"> </w:t>
      </w:r>
      <w:r w:rsidRPr="005C2E52">
        <w:t xml:space="preserve">support </w:t>
      </w:r>
      <w:r w:rsidR="00887526">
        <w:br/>
      </w:r>
      <w:r w:rsidRPr="005C2E52">
        <w:t>for the European Railway Traffic Management System technology. The programme also aims to modernise energy grids and deploy digital connectivity infrastructure to support the EU’s digital transition. Specifically, the programme will support the deployment of 5G systems and high-capacity digital networks to transform various sectors, including healthcare, education and manufacturing. This will enhance digital readiness, competitiveness and inclusiveness, particularly in the outermost regions, and contribute to the EU’s economic recovery and growth.</w:t>
      </w:r>
      <w:r w:rsidR="00927AAA">
        <w:t xml:space="preserve"> </w:t>
      </w:r>
      <w:r w:rsidR="00175496" w:rsidRPr="005C2E52">
        <w:t xml:space="preserve">Through </w:t>
      </w:r>
      <w:r w:rsidR="007D5A97" w:rsidRPr="005C2E52">
        <w:t xml:space="preserve">InvestEU, more than two million </w:t>
      </w:r>
      <w:r w:rsidR="00C8754F">
        <w:rPr>
          <w:noProof/>
        </w:rPr>
        <w:t>households, enterprises or public facilities have obtained access to high-speed internet</w:t>
      </w:r>
      <w:r w:rsidR="00374E01">
        <w:rPr>
          <w:noProof/>
        </w:rPr>
        <w:t>.</w:t>
      </w:r>
      <w:r w:rsidR="00C8754F">
        <w:rPr>
          <w:noProof/>
        </w:rPr>
        <w:t xml:space="preserve"> </w:t>
      </w:r>
      <w:r w:rsidRPr="00C77741">
        <w:t xml:space="preserve">The European Investment Fund allocated </w:t>
      </w:r>
      <w:r w:rsidRPr="00C77741" w:rsidDel="001726DC">
        <w:t>EUR</w:t>
      </w:r>
      <w:r w:rsidRPr="00C77741">
        <w:rPr>
          <w:rFonts w:ascii="Calibri" w:hAnsi="Calibri" w:cs="Calibri"/>
        </w:rPr>
        <w:t> </w:t>
      </w:r>
      <w:r w:rsidRPr="00C77741">
        <w:t>3.6</w:t>
      </w:r>
      <w:r w:rsidRPr="00C77741">
        <w:rPr>
          <w:rFonts w:ascii="Calibri" w:hAnsi="Calibri" w:cs="Calibri"/>
        </w:rPr>
        <w:t> </w:t>
      </w:r>
      <w:r w:rsidRPr="00C77741">
        <w:t>billion to support small and medium-sized enterprises in innovation and digitalisation through a dedicated guarantee supported by InvestEU. This guarantee supports various digitalisation efforts, including innovative business models</w:t>
      </w:r>
      <w:r w:rsidR="00461990" w:rsidRPr="00C77741">
        <w:t>, supply chain management</w:t>
      </w:r>
      <w:r w:rsidRPr="00C77741">
        <w:t xml:space="preserve"> and digital skills acquisition. </w:t>
      </w:r>
      <w:r w:rsidR="009649C8" w:rsidRPr="00C77741">
        <w:rPr>
          <w:noProof/>
        </w:rPr>
        <w:t xml:space="preserve">With a focus on </w:t>
      </w:r>
      <w:r w:rsidR="0087337A" w:rsidRPr="00F603B8">
        <w:rPr>
          <w:noProof/>
        </w:rPr>
        <w:t>joint</w:t>
      </w:r>
      <w:r w:rsidRPr="00F603B8">
        <w:t xml:space="preserve"> small and medium</w:t>
      </w:r>
      <w:r w:rsidRPr="0087337A">
        <w:t>-sized enterprises</w:t>
      </w:r>
      <w:r w:rsidR="00C82A27">
        <w:rPr>
          <w:noProof/>
        </w:rPr>
        <w:t>, the fund also</w:t>
      </w:r>
      <w:r>
        <w:t xml:space="preserve"> supports </w:t>
      </w:r>
      <w:r w:rsidR="00F603B8" w:rsidRPr="00F603B8">
        <w:rPr>
          <w:noProof/>
        </w:rPr>
        <w:t>investments fostering the development of</w:t>
      </w:r>
      <w:r w:rsidRPr="00F603B8">
        <w:t xml:space="preserve"> digital, cultural and creative industry solutions.</w:t>
      </w:r>
    </w:p>
    <w:p w14:paraId="3F49AAE0" w14:textId="77777777" w:rsidR="000D7D9F" w:rsidRPr="00004897" w:rsidRDefault="000D7D9F" w:rsidP="000D7D9F">
      <w:pPr>
        <w:pStyle w:val="Heading4"/>
        <w:spacing w:before="240" w:after="120"/>
        <w:rPr>
          <w:rFonts w:ascii="EC Square Sans Pro" w:hAnsi="EC Square Sans Pro"/>
          <w:szCs w:val="28"/>
        </w:rPr>
      </w:pPr>
      <w:r w:rsidRPr="00004897">
        <w:rPr>
          <w:rFonts w:ascii="EC Square Sans Pro" w:hAnsi="EC Square Sans Pro"/>
        </w:rPr>
        <w:t>The twin transition: exploiting synergies</w:t>
      </w:r>
    </w:p>
    <w:p w14:paraId="1FCAF61B" w14:textId="77777777" w:rsidR="000D7D9F" w:rsidRPr="00004897" w:rsidRDefault="000D7D9F" w:rsidP="000D7D9F">
      <w:r w:rsidRPr="007F20D2">
        <w:rPr>
          <w:rStyle w:val="Bold"/>
        </w:rPr>
        <w:t>The twin green and digital transitions are deeply interconnected</w:t>
      </w:r>
      <w:r w:rsidRPr="00004897">
        <w:t>, offering the potential to create significant synergies. The EU budget is instrumental in this process, acting as a key enabler in unlocking these synergies. It provides the necessary financial support for initiatives that align with the objectives of both transitions, thereby ensuring that the potential benefits can be fully realised. The table below provides illustrative examples of some of the synergies that are being achieved with the support of the EU budget.</w:t>
      </w:r>
    </w:p>
    <w:tbl>
      <w:tblPr>
        <w:tblStyle w:val="TableBoxBlueBackground"/>
        <w:tblW w:w="9060" w:type="dxa"/>
        <w:tblLook w:val="0480" w:firstRow="0" w:lastRow="0" w:firstColumn="1" w:lastColumn="0" w:noHBand="0" w:noVBand="1"/>
      </w:tblPr>
      <w:tblGrid>
        <w:gridCol w:w="9060"/>
      </w:tblGrid>
      <w:tr w:rsidR="000D7D9F" w:rsidRPr="003E29CF" w14:paraId="34A7E0EB" w14:textId="77777777">
        <w:trPr>
          <w:cantSplit/>
        </w:trPr>
        <w:tc>
          <w:tcPr>
            <w:tcW w:w="9060" w:type="dxa"/>
          </w:tcPr>
          <w:p w14:paraId="10609D5A" w14:textId="518503DD" w:rsidR="002E4571" w:rsidRPr="002B6F8C" w:rsidRDefault="009C3A5C" w:rsidP="00444599">
            <w:pPr>
              <w:pStyle w:val="amprboxBLUEbulletlist"/>
              <w:rPr>
                <w:color w:val="auto"/>
                <w:spacing w:val="1"/>
              </w:rPr>
            </w:pPr>
            <w:r w:rsidRPr="00772607">
              <w:rPr>
                <w:noProof/>
              </w:rPr>
              <w:t xml:space="preserve">The </w:t>
            </w:r>
            <w:r w:rsidRPr="00E0372D">
              <w:rPr>
                <w:rStyle w:val="Bold"/>
              </w:rPr>
              <w:t>IM4CA project</w:t>
            </w:r>
            <w:r w:rsidRPr="00772607">
              <w:rPr>
                <w:noProof/>
              </w:rPr>
              <w:t xml:space="preserve">, funded under Horizon Europe, strengthens climate action by improving Europe’s capacity to </w:t>
            </w:r>
            <w:r w:rsidRPr="00E0372D">
              <w:rPr>
                <w:rStyle w:val="Bold"/>
              </w:rPr>
              <w:t>monitor and understand methane emissions.</w:t>
            </w:r>
            <w:r w:rsidRPr="00772607">
              <w:rPr>
                <w:noProof/>
              </w:rPr>
              <w:t xml:space="preserve"> By </w:t>
            </w:r>
            <w:r w:rsidRPr="00E0372D">
              <w:rPr>
                <w:rStyle w:val="Bold"/>
              </w:rPr>
              <w:t>combining satellite and ground-based observations</w:t>
            </w:r>
            <w:r w:rsidRPr="00772607">
              <w:rPr>
                <w:noProof/>
              </w:rPr>
              <w:t>, the project provides data and methods to better quantify methane sources, sinks and trends, supporting evidence-based mitigation and progress towards EU and global climate targets.</w:t>
            </w:r>
          </w:p>
          <w:p w14:paraId="1762E201" w14:textId="631497D1" w:rsidR="002B57F1" w:rsidRPr="002B57F1" w:rsidRDefault="000D7D9F" w:rsidP="002B57F1">
            <w:pPr>
              <w:pStyle w:val="amprboxBLUEbulletlist"/>
            </w:pPr>
            <w:r w:rsidRPr="004453F0">
              <w:t xml:space="preserve">Supporting </w:t>
            </w:r>
            <w:r w:rsidRPr="00456275">
              <w:rPr>
                <w:rStyle w:val="Bold"/>
              </w:rPr>
              <w:t>smart grids</w:t>
            </w:r>
            <w:r w:rsidRPr="004453F0">
              <w:t xml:space="preserve">, such as those under the Connecting Europe Facility energy strand, contributes to sustainable development by the </w:t>
            </w:r>
            <w:r w:rsidRPr="00456275">
              <w:rPr>
                <w:rStyle w:val="Bold"/>
              </w:rPr>
              <w:t xml:space="preserve">integration of energy from renewable sources </w:t>
            </w:r>
            <w:r w:rsidRPr="004453F0">
              <w:t xml:space="preserve">and the development of smart energy grids. An example is the </w:t>
            </w:r>
            <w:r w:rsidR="002B57F1" w:rsidRPr="002B57F1">
              <w:t xml:space="preserve">Danube </w:t>
            </w:r>
            <w:r w:rsidR="00D57412">
              <w:t>i</w:t>
            </w:r>
            <w:r w:rsidR="002B57F1" w:rsidRPr="002B57F1">
              <w:t>n</w:t>
            </w:r>
            <w:r w:rsidR="007F20D2">
              <w:t>G</w:t>
            </w:r>
            <w:r w:rsidR="002B57F1" w:rsidRPr="002B57F1">
              <w:t xml:space="preserve">rid </w:t>
            </w:r>
            <w:r w:rsidR="002B57F1">
              <w:t>project</w:t>
            </w:r>
            <w:r w:rsidR="002B57F1" w:rsidRPr="002B57F1">
              <w:t xml:space="preserve">, </w:t>
            </w:r>
            <w:r w:rsidR="00794057">
              <w:t>wh</w:t>
            </w:r>
            <w:r w:rsidR="00062F19">
              <w:t>ose</w:t>
            </w:r>
            <w:r w:rsidR="002B57F1" w:rsidRPr="002B57F1">
              <w:t xml:space="preserve"> first phase </w:t>
            </w:r>
            <w:r w:rsidR="00062F19">
              <w:t xml:space="preserve">is </w:t>
            </w:r>
            <w:r w:rsidR="002B57F1" w:rsidRPr="002B57F1">
              <w:t xml:space="preserve">expected to be completed by </w:t>
            </w:r>
            <w:r w:rsidR="00794057">
              <w:t xml:space="preserve">the end </w:t>
            </w:r>
            <w:r w:rsidR="002B57F1" w:rsidRPr="002B57F1">
              <w:t xml:space="preserve">of 2027. The </w:t>
            </w:r>
            <w:r w:rsidR="00794057">
              <w:t>p</w:t>
            </w:r>
            <w:r w:rsidR="002B57F1" w:rsidRPr="002B57F1">
              <w:t xml:space="preserve">roject adopts smart grid technologies and fosters the roll-out of modern energy infrastructure at </w:t>
            </w:r>
            <w:r w:rsidR="00062F19">
              <w:t xml:space="preserve">the </w:t>
            </w:r>
            <w:r w:rsidR="002B57F1" w:rsidRPr="002B57F1">
              <w:t xml:space="preserve">cross-border areas of </w:t>
            </w:r>
            <w:r w:rsidR="00794057">
              <w:t>Hungary and Slovakia</w:t>
            </w:r>
            <w:r w:rsidR="002B57F1" w:rsidRPr="002B57F1">
              <w:t>, to efficiently support the increase</w:t>
            </w:r>
            <w:r w:rsidR="00794057">
              <w:t>d</w:t>
            </w:r>
            <w:r w:rsidR="002B57F1" w:rsidRPr="002B57F1">
              <w:t xml:space="preserve"> demand of consumers, prosumers and distributed renewable energy sources.</w:t>
            </w:r>
          </w:p>
          <w:p w14:paraId="7E6FA371" w14:textId="5D6B89F2" w:rsidR="000D7D9F" w:rsidRPr="004453F0" w:rsidRDefault="000D7D9F" w:rsidP="00444599">
            <w:pPr>
              <w:pStyle w:val="amprboxBLUEbulletlist"/>
            </w:pPr>
            <w:r w:rsidRPr="004453F0">
              <w:t xml:space="preserve">In addition, </w:t>
            </w:r>
            <w:r w:rsidR="00323B04">
              <w:t xml:space="preserve">as a result of </w:t>
            </w:r>
            <w:r w:rsidR="00323B04" w:rsidRPr="004453F0">
              <w:t xml:space="preserve">the investments in </w:t>
            </w:r>
            <w:r w:rsidR="00323B04" w:rsidRPr="00456275">
              <w:rPr>
                <w:rStyle w:val="Bold"/>
              </w:rPr>
              <w:t xml:space="preserve">smart energy systems </w:t>
            </w:r>
            <w:r w:rsidR="00323B04" w:rsidRPr="00277FAB">
              <w:rPr>
                <w:rStyle w:val="Bold"/>
                <w:b w:val="0"/>
              </w:rPr>
              <w:t>financed through</w:t>
            </w:r>
            <w:r w:rsidR="00323B04">
              <w:rPr>
                <w:rStyle w:val="Bold"/>
                <w:bCs/>
              </w:rPr>
              <w:t xml:space="preserve"> </w:t>
            </w:r>
            <w:r w:rsidRPr="004453F0">
              <w:t xml:space="preserve">the </w:t>
            </w:r>
            <w:r w:rsidRPr="00456275">
              <w:rPr>
                <w:rStyle w:val="Bold"/>
              </w:rPr>
              <w:t xml:space="preserve">cohesion policy funds </w:t>
            </w:r>
            <w:r w:rsidR="00323B04" w:rsidRPr="004453F0">
              <w:t>through the entire 2021-2027 programming period</w:t>
            </w:r>
            <w:r w:rsidRPr="004453F0">
              <w:t>,</w:t>
            </w:r>
            <w:r w:rsidRPr="004453F0">
              <w:rPr>
                <w:rStyle w:val="Bold"/>
                <w:bCs/>
              </w:rPr>
              <w:t xml:space="preserve"> </w:t>
            </w:r>
            <w:r w:rsidR="00602ABF" w:rsidRPr="00277FAB">
              <w:rPr>
                <w:rStyle w:val="Bold"/>
                <w:b w:val="0"/>
              </w:rPr>
              <w:t>around</w:t>
            </w:r>
            <w:r w:rsidR="00602ABF" w:rsidRPr="00456275">
              <w:rPr>
                <w:rStyle w:val="Bold"/>
              </w:rPr>
              <w:t xml:space="preserve"> 2</w:t>
            </w:r>
            <w:r w:rsidRPr="00456275">
              <w:rPr>
                <w:rStyle w:val="Bold"/>
                <w:rFonts w:ascii="Calibri" w:hAnsi="Calibri" w:cs="Calibri"/>
              </w:rPr>
              <w:t> </w:t>
            </w:r>
            <w:r w:rsidRPr="00456275">
              <w:rPr>
                <w:rStyle w:val="Bold"/>
              </w:rPr>
              <w:t>million</w:t>
            </w:r>
            <w:r w:rsidR="00BB0980" w:rsidRPr="00456275">
              <w:rPr>
                <w:rStyle w:val="Bold"/>
              </w:rPr>
              <w:t xml:space="preserve"> additional </w:t>
            </w:r>
            <w:r w:rsidRPr="00456275">
              <w:rPr>
                <w:rStyle w:val="Bold"/>
              </w:rPr>
              <w:t xml:space="preserve">end users </w:t>
            </w:r>
            <w:r w:rsidR="00BB0980" w:rsidRPr="00277FAB">
              <w:rPr>
                <w:rStyle w:val="Bold"/>
                <w:b w:val="0"/>
                <w:bCs/>
              </w:rPr>
              <w:t xml:space="preserve">will be </w:t>
            </w:r>
            <w:r w:rsidRPr="00277FAB">
              <w:rPr>
                <w:rStyle w:val="Bold"/>
                <w:b w:val="0"/>
                <w:bCs/>
              </w:rPr>
              <w:t>connected</w:t>
            </w:r>
            <w:r w:rsidRPr="004453F0">
              <w:rPr>
                <w:rStyle w:val="Bold"/>
                <w:bCs/>
              </w:rPr>
              <w:t xml:space="preserve"> </w:t>
            </w:r>
            <w:r w:rsidRPr="004453F0">
              <w:t>to the smart energy systems.</w:t>
            </w:r>
          </w:p>
          <w:p w14:paraId="4531D441" w14:textId="2412BF2F" w:rsidR="00A5722D" w:rsidRPr="004453F0" w:rsidRDefault="00A5722D" w:rsidP="00444599">
            <w:pPr>
              <w:pStyle w:val="amprboxBLUEbulletlist"/>
              <w:rPr>
                <w:noProof/>
              </w:rPr>
            </w:pPr>
            <w:r w:rsidRPr="004453F0">
              <w:rPr>
                <w:noProof/>
              </w:rPr>
              <w:t xml:space="preserve">Supported by the </w:t>
            </w:r>
            <w:r w:rsidRPr="001907EE">
              <w:rPr>
                <w:rStyle w:val="Bold"/>
              </w:rPr>
              <w:t>cohesion pol</w:t>
            </w:r>
            <w:r w:rsidR="00A722B5" w:rsidRPr="001907EE">
              <w:rPr>
                <w:rStyle w:val="Bold"/>
              </w:rPr>
              <w:t>i</w:t>
            </w:r>
            <w:r w:rsidRPr="001907EE">
              <w:rPr>
                <w:rStyle w:val="Bold"/>
              </w:rPr>
              <w:t>cy funds</w:t>
            </w:r>
            <w:r w:rsidR="0036213E" w:rsidRPr="004453F0">
              <w:rPr>
                <w:noProof/>
              </w:rPr>
              <w:t>, a</w:t>
            </w:r>
            <w:r w:rsidRPr="004453F0">
              <w:rPr>
                <w:noProof/>
              </w:rPr>
              <w:t xml:space="preserve"> public water company </w:t>
            </w:r>
            <w:r w:rsidR="0036213E" w:rsidRPr="004453F0">
              <w:rPr>
                <w:noProof/>
              </w:rPr>
              <w:t xml:space="preserve">in Sardinia </w:t>
            </w:r>
            <w:r w:rsidRPr="004453F0">
              <w:rPr>
                <w:noProof/>
              </w:rPr>
              <w:t xml:space="preserve">has </w:t>
            </w:r>
            <w:r w:rsidRPr="001907EE">
              <w:rPr>
                <w:rStyle w:val="Bold"/>
              </w:rPr>
              <w:t>digitalised and centralised its water service</w:t>
            </w:r>
            <w:r w:rsidRPr="004453F0">
              <w:rPr>
                <w:noProof/>
              </w:rPr>
              <w:t>, providing drinking water to over 1.6</w:t>
            </w:r>
            <w:r w:rsidR="00EB0E5C">
              <w:rPr>
                <w:rFonts w:ascii="Calibri" w:hAnsi="Calibri" w:cs="Calibri"/>
                <w:noProof/>
              </w:rPr>
              <w:t> </w:t>
            </w:r>
            <w:r w:rsidR="00EB0E5C">
              <w:rPr>
                <w:noProof/>
              </w:rPr>
              <w:t>million</w:t>
            </w:r>
            <w:r w:rsidRPr="004453F0">
              <w:rPr>
                <w:noProof/>
              </w:rPr>
              <w:t xml:space="preserve"> residents. It has improved its service quality by developing a centralised data control and acquisition system that enables real-time monitoring, remote management and tools for simulating and optimising water resource flows. This will enable better planning of targeted interventions to </w:t>
            </w:r>
            <w:r w:rsidRPr="001907EE">
              <w:rPr>
                <w:rStyle w:val="Bold"/>
              </w:rPr>
              <w:t>ensure water availability in the context of increasing water stress in the region.</w:t>
            </w:r>
          </w:p>
          <w:p w14:paraId="322B1BCF" w14:textId="27D6599E" w:rsidR="00A331B2" w:rsidRPr="0087125F" w:rsidRDefault="00E77D1E" w:rsidP="00A331B2">
            <w:pPr>
              <w:pStyle w:val="amprboxBLUEbulletlist"/>
              <w:rPr>
                <w:rStyle w:val="Bold"/>
                <w:b w:val="0"/>
                <w:spacing w:val="0"/>
              </w:rPr>
            </w:pPr>
            <w:r w:rsidRPr="00183137">
              <w:rPr>
                <w:noProof/>
              </w:rPr>
              <w:t xml:space="preserve">As part of the EU’s broader efforts to modernise agriculture and rural development under the </w:t>
            </w:r>
            <w:r w:rsidR="00045639" w:rsidRPr="00183137">
              <w:rPr>
                <w:noProof/>
              </w:rPr>
              <w:t>CAP</w:t>
            </w:r>
            <w:r w:rsidRPr="00183137">
              <w:rPr>
                <w:noProof/>
              </w:rPr>
              <w:t xml:space="preserve">, </w:t>
            </w:r>
            <w:r w:rsidR="00714AB9" w:rsidRPr="00183137">
              <w:rPr>
                <w:noProof/>
              </w:rPr>
              <w:t>s</w:t>
            </w:r>
            <w:r w:rsidRPr="00183137">
              <w:rPr>
                <w:noProof/>
              </w:rPr>
              <w:t xml:space="preserve">trategic </w:t>
            </w:r>
            <w:r w:rsidR="00714AB9" w:rsidRPr="00183137">
              <w:rPr>
                <w:noProof/>
              </w:rPr>
              <w:t>p</w:t>
            </w:r>
            <w:r w:rsidRPr="00183137">
              <w:rPr>
                <w:noProof/>
              </w:rPr>
              <w:t>lans</w:t>
            </w:r>
            <w:r w:rsidR="00714AB9" w:rsidRPr="00183137">
              <w:rPr>
                <w:noProof/>
              </w:rPr>
              <w:t xml:space="preserve"> under the policy</w:t>
            </w:r>
            <w:r w:rsidRPr="00183137">
              <w:rPr>
                <w:noProof/>
              </w:rPr>
              <w:t xml:space="preserve"> support the twin transition by helping </w:t>
            </w:r>
            <w:r w:rsidRPr="00183137">
              <w:rPr>
                <w:rStyle w:val="Bold"/>
              </w:rPr>
              <w:t>farmers adopt digital technologies that can also deliver environmental and climate benefits.</w:t>
            </w:r>
            <w:r w:rsidRPr="00183137">
              <w:rPr>
                <w:noProof/>
              </w:rPr>
              <w:t xml:space="preserve"> This support is channelled mainly through investment projects</w:t>
            </w:r>
            <w:r w:rsidR="00CE54F7">
              <w:rPr>
                <w:noProof/>
              </w:rPr>
              <w:t xml:space="preserve"> </w:t>
            </w:r>
            <w:r w:rsidR="00CE54F7" w:rsidRPr="00CE54F7">
              <w:rPr>
                <w:noProof/>
              </w:rPr>
              <w:t>EIP-AGRI operational group projects</w:t>
            </w:r>
            <w:r w:rsidRPr="00183137">
              <w:rPr>
                <w:noProof/>
              </w:rPr>
              <w:t xml:space="preserve">, but also through eco-schemes and agri-environment-climate commitments. </w:t>
            </w:r>
            <w:r w:rsidR="00EE589A" w:rsidRPr="00183137">
              <w:rPr>
                <w:noProof/>
              </w:rPr>
              <w:t>For example, in F</w:t>
            </w:r>
            <w:r w:rsidRPr="00183137">
              <w:rPr>
                <w:noProof/>
              </w:rPr>
              <w:t>landers</w:t>
            </w:r>
            <w:r w:rsidR="00B519EA" w:rsidRPr="00183137">
              <w:rPr>
                <w:noProof/>
              </w:rPr>
              <w:t>,</w:t>
            </w:r>
            <w:r w:rsidRPr="00183137">
              <w:rPr>
                <w:noProof/>
              </w:rPr>
              <w:t xml:space="preserve"> </w:t>
            </w:r>
            <w:r w:rsidR="007B7FF5" w:rsidRPr="00183137">
              <w:rPr>
                <w:noProof/>
              </w:rPr>
              <w:t xml:space="preserve">farmers can </w:t>
            </w:r>
            <w:r w:rsidRPr="00183137">
              <w:rPr>
                <w:noProof/>
              </w:rPr>
              <w:t xml:space="preserve">use </w:t>
            </w:r>
            <w:r w:rsidRPr="00183137">
              <w:rPr>
                <w:rStyle w:val="Bold"/>
              </w:rPr>
              <w:t>satellite-guided machinery</w:t>
            </w:r>
            <w:r w:rsidRPr="00183137">
              <w:rPr>
                <w:noProof/>
              </w:rPr>
              <w:t xml:space="preserve"> </w:t>
            </w:r>
            <w:r w:rsidR="00887526">
              <w:rPr>
                <w:noProof/>
              </w:rPr>
              <w:br/>
            </w:r>
            <w:r w:rsidRPr="00183137">
              <w:rPr>
                <w:noProof/>
              </w:rPr>
              <w:t xml:space="preserve">to reduce overlaps and input use. </w:t>
            </w:r>
            <w:r w:rsidR="007907D7" w:rsidRPr="00183137">
              <w:rPr>
                <w:noProof/>
              </w:rPr>
              <w:t xml:space="preserve">Another example is </w:t>
            </w:r>
            <w:r w:rsidR="00DB75A9" w:rsidRPr="00183137">
              <w:rPr>
                <w:noProof/>
              </w:rPr>
              <w:t>the</w:t>
            </w:r>
            <w:r w:rsidRPr="00183137">
              <w:rPr>
                <w:noProof/>
              </w:rPr>
              <w:t xml:space="preserve"> Soil Passport, </w:t>
            </w:r>
            <w:r w:rsidR="007907D7" w:rsidRPr="00183137">
              <w:rPr>
                <w:noProof/>
              </w:rPr>
              <w:t xml:space="preserve">which </w:t>
            </w:r>
            <w:r w:rsidRPr="00183137">
              <w:rPr>
                <w:noProof/>
              </w:rPr>
              <w:t xml:space="preserve">helps farmers use parcel-level soil data to improve sustainable soil management. Other Member States, including </w:t>
            </w:r>
            <w:r w:rsidR="00A16084" w:rsidRPr="00183137">
              <w:rPr>
                <w:noProof/>
              </w:rPr>
              <w:t>Estonia</w:t>
            </w:r>
            <w:r w:rsidRPr="00183137">
              <w:rPr>
                <w:noProof/>
              </w:rPr>
              <w:t xml:space="preserve">, Poland and Romania, have also planned investments in </w:t>
            </w:r>
            <w:r w:rsidRPr="00183137">
              <w:rPr>
                <w:rStyle w:val="Bold"/>
              </w:rPr>
              <w:t>precision agricult</w:t>
            </w:r>
            <w:r w:rsidR="00A331B2">
              <w:rPr>
                <w:rStyle w:val="Bold"/>
              </w:rPr>
              <w:t>ure.</w:t>
            </w:r>
          </w:p>
          <w:p w14:paraId="326054F4" w14:textId="40FD87D4" w:rsidR="000D7D9F" w:rsidRPr="0087125F" w:rsidRDefault="000D7D9F" w:rsidP="00A331B2">
            <w:pPr>
              <w:pStyle w:val="amprboxBLUEbulletlist"/>
            </w:pPr>
            <w:r w:rsidRPr="00F63274">
              <w:rPr>
                <w:b/>
                <w:noProof/>
              </w:rPr>
              <w:t>The EU’s Galileo satellite system</w:t>
            </w:r>
            <w:r w:rsidRPr="00183137">
              <w:rPr>
                <w:noProof/>
              </w:rPr>
              <w:t xml:space="preserve"> supports technologies that are key enablers for </w:t>
            </w:r>
            <w:r w:rsidR="00887526">
              <w:rPr>
                <w:noProof/>
              </w:rPr>
              <w:br/>
            </w:r>
            <w:r w:rsidRPr="00183137">
              <w:rPr>
                <w:noProof/>
              </w:rPr>
              <w:t>smart and sustainable transport</w:t>
            </w:r>
            <w:r w:rsidRPr="00F63274">
              <w:rPr>
                <w:noProof/>
              </w:rPr>
              <w:t>,</w:t>
            </w:r>
            <w:r w:rsidRPr="00183137">
              <w:rPr>
                <w:noProof/>
              </w:rPr>
              <w:t xml:space="preserve"> and in particular for connected and autonomous driving. In road transport, using navigation and positioning services from Galileo leads to a range</w:t>
            </w:r>
            <w:r w:rsidRPr="004453F0">
              <w:rPr>
                <w:noProof/>
              </w:rPr>
              <w:t xml:space="preserve"> of innovative applications that enable smart mobility and multi-mode transport digitalisation with optimised travel routes, in turn allowing for a reduction of carbon dioxide emissions. In air transport, using the European</w:t>
            </w:r>
            <w:r w:rsidRPr="004453F0">
              <w:t xml:space="preserve"> Geostationary Navigation Overlay Service for the efficient definition of flight routes helps reduce fuel consumption and carbon dioxide emissions.</w:t>
            </w:r>
          </w:p>
        </w:tc>
      </w:tr>
    </w:tbl>
    <w:p w14:paraId="276C6DC4" w14:textId="270C7FE3" w:rsidR="000D7D9F" w:rsidRPr="003E29CF" w:rsidRDefault="000D7D9F" w:rsidP="002F7D54">
      <w:pPr>
        <w:rPr>
          <w:noProof/>
          <w:highlight w:val="lightGray"/>
        </w:rPr>
      </w:pPr>
    </w:p>
    <w:p w14:paraId="05BBBC3E" w14:textId="77777777" w:rsidR="000D7D9F" w:rsidRPr="003E29CF" w:rsidRDefault="000D7D9F" w:rsidP="000D7D9F">
      <w:pPr>
        <w:suppressAutoHyphens w:val="0"/>
        <w:rPr>
          <w:rFonts w:eastAsia="Times New Roman"/>
          <w:noProof/>
          <w:sz w:val="24"/>
          <w:szCs w:val="24"/>
          <w:highlight w:val="lightGray"/>
        </w:rPr>
      </w:pPr>
      <w:r w:rsidRPr="003E29CF">
        <w:rPr>
          <w:noProof/>
          <w:highlight w:val="lightGray"/>
        </w:rPr>
        <w:br w:type="page"/>
      </w:r>
    </w:p>
    <w:p w14:paraId="0E31474E" w14:textId="5CC716CF" w:rsidR="000D7D9F" w:rsidRPr="0046209E" w:rsidRDefault="000D7D9F" w:rsidP="000D7D9F">
      <w:pPr>
        <w:pStyle w:val="Heading3"/>
        <w:rPr>
          <w:rFonts w:ascii="EC Square Sans Pro" w:hAnsi="EC Square Sans Pro"/>
        </w:rPr>
      </w:pPr>
      <w:r w:rsidRPr="0046209E">
        <w:rPr>
          <w:rFonts w:ascii="EC Square Sans Pro" w:hAnsi="EC Square Sans Pro"/>
        </w:rPr>
        <w:t xml:space="preserve">The EU budget and the sustainable development </w:t>
      </w:r>
      <w:r w:rsidRPr="0046209E" w:rsidDel="001857E6">
        <w:rPr>
          <w:rFonts w:ascii="EC Square Sans Pro" w:hAnsi="EC Square Sans Pro"/>
        </w:rPr>
        <w:t>g</w:t>
      </w:r>
      <w:r w:rsidRPr="0046209E">
        <w:rPr>
          <w:rFonts w:ascii="EC Square Sans Pro" w:hAnsi="EC Square Sans Pro"/>
        </w:rPr>
        <w:t>oals</w:t>
      </w:r>
    </w:p>
    <w:p w14:paraId="13893855" w14:textId="77777777" w:rsidR="000D7D9F" w:rsidRPr="00B13363" w:rsidRDefault="000D7D9F" w:rsidP="000D7D9F">
      <w:pPr>
        <w:pStyle w:val="Heading4"/>
        <w:rPr>
          <w:rFonts w:ascii="EC Square Sans Pro" w:hAnsi="EC Square Sans Pro"/>
          <w:szCs w:val="28"/>
        </w:rPr>
      </w:pPr>
      <w:r w:rsidRPr="00B13363">
        <w:rPr>
          <w:rFonts w:ascii="EC Square Sans Pro" w:hAnsi="EC Square Sans Pro"/>
        </w:rPr>
        <w:t>What do we do?</w:t>
      </w:r>
    </w:p>
    <w:p w14:paraId="1242C2D0" w14:textId="6E65C99A" w:rsidR="000D7D9F" w:rsidRPr="00B13363" w:rsidRDefault="000D7D9F" w:rsidP="000D7D9F">
      <w:r w:rsidRPr="001907EE">
        <w:rPr>
          <w:rStyle w:val="Bold"/>
        </w:rPr>
        <w:t xml:space="preserve">The United Nations’ 2030 Agenda for Sustainable Development, with its 17 </w:t>
      </w:r>
      <w:r w:rsidR="00DF607D" w:rsidRPr="001907EE">
        <w:rPr>
          <w:rStyle w:val="Bold"/>
        </w:rPr>
        <w:t>SDG</w:t>
      </w:r>
      <w:r w:rsidRPr="001907EE">
        <w:rPr>
          <w:rStyle w:val="Bold"/>
        </w:rPr>
        <w:t xml:space="preserve">s and </w:t>
      </w:r>
      <w:r w:rsidR="00887526">
        <w:rPr>
          <w:rStyle w:val="Bold"/>
        </w:rPr>
        <w:br/>
      </w:r>
      <w:r w:rsidRPr="001907EE">
        <w:rPr>
          <w:rStyle w:val="Bold"/>
        </w:rPr>
        <w:t>169 targets, has given new impetus to global efforts to achieve sustainable development.</w:t>
      </w:r>
      <w:r w:rsidRPr="00B13363">
        <w:t xml:space="preserve"> </w:t>
      </w:r>
      <w:r w:rsidR="00887526">
        <w:br/>
      </w:r>
      <w:r w:rsidRPr="00B13363">
        <w:t xml:space="preserve">The EU has played an important role in shaping the agenda, through public consultations, dialogue with partners and in-depth research. The EU is committed to playing an active role to maximise progress towards the </w:t>
      </w:r>
      <w:r w:rsidR="00DF607D">
        <w:t>SDG</w:t>
      </w:r>
      <w:r w:rsidRPr="00B13363">
        <w:t>s, as outlined, for example, in the Commission communication ‘Next steps for a sustainable European future’, in the Commission staff working document ‘Delivering on the UN’s Sustainable Development Goals</w:t>
      </w:r>
      <w:r w:rsidRPr="00B13363">
        <w:rPr>
          <w:rFonts w:ascii="Calibri" w:hAnsi="Calibri" w:cs="Calibri"/>
        </w:rPr>
        <w:t> </w:t>
      </w:r>
      <w:r w:rsidRPr="00B13363">
        <w:t>– A comprehensive approach’ and recently in the first-ever EU voluntary review on progress in the implementation of the 2030 Agenda for Sustainable Development, adopted on 15</w:t>
      </w:r>
      <w:r w:rsidRPr="00B13363">
        <w:rPr>
          <w:rFonts w:ascii="Calibri" w:hAnsi="Calibri" w:cs="Calibri"/>
        </w:rPr>
        <w:t> </w:t>
      </w:r>
      <w:r w:rsidRPr="00B13363">
        <w:t xml:space="preserve">May 2023. Moreover, Eurostat publishes a report annually on monitoring progress towards the UN </w:t>
      </w:r>
      <w:r w:rsidR="00DF607D">
        <w:t>SDG</w:t>
      </w:r>
      <w:r w:rsidRPr="00B13363">
        <w:t>s in an EU context.</w:t>
      </w:r>
    </w:p>
    <w:p w14:paraId="702A9A8B" w14:textId="0D774123" w:rsidR="00391599" w:rsidRDefault="000D7D9F" w:rsidP="000D7D9F">
      <w:r w:rsidRPr="00B13363">
        <w:t xml:space="preserve">In line with the 2021 Commission communication on the better regulation agenda and the objectives of the current multiannual financial framework, the Commission further strengthened the integration of the </w:t>
      </w:r>
      <w:r w:rsidR="00DF607D">
        <w:t>SDG</w:t>
      </w:r>
      <w:r w:rsidRPr="00B13363">
        <w:t xml:space="preserve">s into the EU’s policy and budgetary cycle. Overall, this </w:t>
      </w:r>
      <w:r w:rsidR="00C04F67">
        <w:t>approach</w:t>
      </w:r>
      <w:r w:rsidRPr="00B13363">
        <w:t xml:space="preserve"> ensures that all major legislative and financial proposals are assessed for their contribution to the 2030 Agenda for Sustainable Development, thereby reinforcing the EU’s commitment to sustainability, st</w:t>
      </w:r>
      <w:r w:rsidR="00D11EEB">
        <w:t>r</w:t>
      </w:r>
      <w:r w:rsidR="002C3A43">
        <w:t>ate</w:t>
      </w:r>
      <w:r w:rsidR="00223A6B">
        <w:t>g</w:t>
      </w:r>
      <w:r w:rsidRPr="00B13363">
        <w:rPr>
          <w:rFonts w:hint="eastAsia"/>
        </w:rPr>
        <w:t>ic foresight and evidence-based policymaking.</w:t>
      </w:r>
      <w:r w:rsidR="004B702D">
        <w:t xml:space="preserve"> </w:t>
      </w:r>
      <w:r w:rsidRPr="00B13363">
        <w:rPr>
          <w:rFonts w:hint="eastAsia"/>
        </w:rPr>
        <w:t xml:space="preserve">To this end, since 2021 the Commission has been systematically identifying the relevant </w:t>
      </w:r>
      <w:r w:rsidR="00DF607D">
        <w:t>SDG</w:t>
      </w:r>
      <w:r w:rsidRPr="00B13363">
        <w:rPr>
          <w:rFonts w:hint="eastAsia"/>
        </w:rPr>
        <w:t xml:space="preserve">s for each proposal and examining how the initiative supports their achievement. In addition, links to the </w:t>
      </w:r>
      <w:r w:rsidR="00DF607D">
        <w:t>SDG</w:t>
      </w:r>
      <w:r w:rsidRPr="00B13363">
        <w:rPr>
          <w:rFonts w:hint="eastAsia"/>
        </w:rPr>
        <w:t>s will be included throughout evaluations and impact assessments.</w:t>
      </w:r>
      <w:r w:rsidR="004B702D">
        <w:t xml:space="preserve"> </w:t>
      </w:r>
      <w:r w:rsidRPr="001907EE">
        <w:rPr>
          <w:rStyle w:val="Bold"/>
        </w:rPr>
        <w:t>At the EU level, sustainable development challenges are addressed through policies and regulatory instruments.</w:t>
      </w:r>
      <w:r w:rsidRPr="00B13363">
        <w:t xml:space="preserve"> As far as the former are concerned, the EU budget, through its spending programmes, provides a significant contribution to sustainable development by complementing national budgets, in line with the principle of subsidiarity. In doing so, the design and implementation of the EU spending programmes aim to deliver on the objectives in each policy field, while promoting sustainability through the initiatives and interventions of the relevant programmes in a connected and consistent way. In particular, </w:t>
      </w:r>
      <w:r w:rsidRPr="00B13363">
        <w:rPr>
          <w:noProof/>
        </w:rPr>
        <w:t>4</w:t>
      </w:r>
      <w:r w:rsidR="005B0B39" w:rsidRPr="00B13363">
        <w:rPr>
          <w:noProof/>
        </w:rPr>
        <w:t>9</w:t>
      </w:r>
      <w:r w:rsidRPr="00B13363">
        <w:t xml:space="preserve"> out of </w:t>
      </w:r>
      <w:r w:rsidRPr="00B13363">
        <w:rPr>
          <w:noProof/>
        </w:rPr>
        <w:t>5</w:t>
      </w:r>
      <w:r w:rsidR="00660913" w:rsidRPr="00B13363">
        <w:rPr>
          <w:noProof/>
        </w:rPr>
        <w:t>3</w:t>
      </w:r>
      <w:r w:rsidRPr="00B13363">
        <w:t xml:space="preserve"> of the 2021-2027 EU spending programmes contributed towards at least one </w:t>
      </w:r>
      <w:r w:rsidR="00AB7807">
        <w:t>SDG</w:t>
      </w:r>
      <w:r w:rsidRPr="00B13363">
        <w:t xml:space="preserve"> in </w:t>
      </w:r>
      <w:r w:rsidRPr="00B13363">
        <w:rPr>
          <w:noProof/>
        </w:rPr>
        <w:t>202</w:t>
      </w:r>
      <w:r w:rsidR="008E236A" w:rsidRPr="00B13363">
        <w:rPr>
          <w:noProof/>
        </w:rPr>
        <w:t>5</w:t>
      </w:r>
      <w:r w:rsidRPr="00B13363">
        <w:t>.</w:t>
      </w:r>
    </w:p>
    <w:p w14:paraId="5E33B967" w14:textId="77777777" w:rsidR="00A722B5" w:rsidRDefault="00A722B5">
      <w:pPr>
        <w:suppressAutoHyphens w:val="0"/>
        <w:rPr>
          <w:rFonts w:ascii="EC Square Sans Pro Medium" w:hAnsi="EC Square Sans Pro Medium"/>
          <w:color w:val="DC3903"/>
          <w:sz w:val="22"/>
        </w:rPr>
      </w:pPr>
      <w:r>
        <w:rPr>
          <w:rFonts w:ascii="EC Square Sans Pro Medium" w:hAnsi="EC Square Sans Pro Medium"/>
          <w:color w:val="DC3903"/>
          <w:sz w:val="22"/>
        </w:rPr>
        <w:br w:type="page"/>
      </w:r>
    </w:p>
    <w:p w14:paraId="031A3C53" w14:textId="5F729473" w:rsidR="00391599" w:rsidRPr="00420CDA" w:rsidRDefault="000D7D9F" w:rsidP="000D7D9F">
      <w:pPr>
        <w:rPr>
          <w:rFonts w:ascii="EC Square Sans Pro Medium" w:hAnsi="EC Square Sans Pro Medium"/>
          <w:color w:val="DC3903"/>
          <w:sz w:val="22"/>
        </w:rPr>
      </w:pPr>
      <w:r w:rsidRPr="00420CDA">
        <w:rPr>
          <w:rFonts w:ascii="EC Square Sans Pro Medium" w:hAnsi="EC Square Sans Pro Medium"/>
          <w:color w:val="DC3903"/>
          <w:sz w:val="22"/>
        </w:rPr>
        <w:t xml:space="preserve">Number of 2021-2027 programmes contributing to individual sustainable development </w:t>
      </w:r>
      <w:r w:rsidR="00024920">
        <w:rPr>
          <w:rFonts w:ascii="EC Square Sans Pro Medium" w:hAnsi="EC Square Sans Pro Medium"/>
          <w:color w:val="DC3903"/>
          <w:sz w:val="22"/>
        </w:rPr>
        <w:br/>
      </w:r>
      <w:r w:rsidRPr="00420CDA">
        <w:rPr>
          <w:rFonts w:ascii="EC Square Sans Pro Medium" w:hAnsi="EC Square Sans Pro Medium"/>
          <w:color w:val="DC3903"/>
          <w:sz w:val="22"/>
        </w:rPr>
        <w:t>goals in 202</w:t>
      </w:r>
      <w:r w:rsidR="000174A8" w:rsidRPr="00420CDA">
        <w:rPr>
          <w:rFonts w:ascii="EC Square Sans Pro Medium" w:hAnsi="EC Square Sans Pro Medium"/>
          <w:color w:val="DC3903"/>
          <w:sz w:val="22"/>
        </w:rPr>
        <w:t>5</w:t>
      </w:r>
    </w:p>
    <w:p w14:paraId="0DAC01A8" w14:textId="33BDB3F7" w:rsidR="00391599" w:rsidRDefault="00D41021" w:rsidP="00D41021">
      <w:pPr>
        <w:jc w:val="center"/>
        <w:rPr>
          <w:rFonts w:ascii="EC Square Sans Pro Medium" w:hAnsi="EC Square Sans Pro Medium"/>
          <w:color w:val="DC3903"/>
          <w:sz w:val="22"/>
          <w:highlight w:val="lightGray"/>
        </w:rPr>
      </w:pPr>
      <w:r w:rsidRPr="00D41021">
        <w:rPr>
          <w:rFonts w:ascii="EC Square Sans Pro Medium" w:hAnsi="EC Square Sans Pro Medium"/>
          <w:noProof/>
          <w:color w:val="DC3903"/>
          <w:sz w:val="22"/>
          <w:highlight w:val="lightGray"/>
        </w:rPr>
        <w:drawing>
          <wp:inline distT="0" distB="0" distL="0" distR="0" wp14:anchorId="7754380B" wp14:editId="16545116">
            <wp:extent cx="5461483" cy="2957195"/>
            <wp:effectExtent l="0" t="0" r="6350" b="0"/>
            <wp:docPr id="349371043" name="Picture 4" descr="Horizontal bar charts showing the number of 2021-2027 programmes contributing to individual sustainable development goals in 2025, side by side.  &#10;From highest to lowest 28 programmes contribute to decent work and economic growth goal, 27 programmes contribute to quality of education, 26 programmes contribute to the goals of climate action, and 26 programmes contribute to industry, innovation and infrastructure. 25 programmes contribute to Good health and well-being and another 25 to Gender equality. 23 programmes contribute to reduced inequalities.  22 programmes contribute to quality education and another 22 programmes contribute to Sustainable cities and communities. 21 programmes contribute to Peace, justice and strong institutions; 18 programmes contribute to Responsible consumption and production; 15 programmes contribute to Clean water and sanitation goal, Life on land and No poverty; and finally 13 programmes contribute to Zero hunger, Life below water and Partnerships for the goals. ">
              <a:extLst xmlns:a="http://schemas.openxmlformats.org/drawingml/2006/main">
                <a:ext uri="{FF2B5EF4-FFF2-40B4-BE49-F238E27FC236}">
                  <a16:creationId xmlns:a16="http://schemas.microsoft.com/office/drawing/2014/main" id="{005D78E3-7716-FA94-8EA5-6CE418FD7A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371043" name="Picture 4" descr="Horizontal bar charts showing the number of 2021-2027 programmes contributing to individual sustainable development goals in 2025, side by side.  &#10;From highest to lowest 28 programmes contribute to decent work and economic growth goal, 27 programmes contribute to quality of education, 26 programmes contribute to the goals of climate action, and 26 programmes contribute to industry, innovation and infrastructure. 25 programmes contribute to Good health and well-being and another 25 to Gender equality. 23 programmes contribute to reduced inequalities.  22 programmes contribute to quality education and another 22 programmes contribute to Sustainable cities and communities. 21 programmes contribute to Peace, justice and strong institutions; 18 programmes contribute to Responsible consumption and production; 15 programmes contribute to Clean water and sanitation goal, Life on land and No poverty; and finally 13 programmes contribute to Zero hunger, Life below water and Partnerships for the goals. ">
                      <a:extLst>
                        <a:ext uri="{FF2B5EF4-FFF2-40B4-BE49-F238E27FC236}">
                          <a16:creationId xmlns:a16="http://schemas.microsoft.com/office/drawing/2014/main" id="{005D78E3-7716-FA94-8EA5-6CE418FD7ABB}"/>
                        </a:ext>
                      </a:extLst>
                    </pic:cNvPr>
                    <pic:cNvPicPr>
                      <a:picLocks noChangeAspect="1"/>
                    </pic:cNvPicPr>
                  </pic:nvPicPr>
                  <pic:blipFill rotWithShape="1">
                    <a:blip r:embed="rId82"/>
                    <a:srcRect l="3177" t="6831" r="1969" b="5530"/>
                    <a:stretch>
                      <a:fillRect/>
                    </a:stretch>
                  </pic:blipFill>
                  <pic:spPr bwMode="auto">
                    <a:xfrm>
                      <a:off x="0" y="0"/>
                      <a:ext cx="5463716" cy="2958404"/>
                    </a:xfrm>
                    <a:prstGeom prst="rect">
                      <a:avLst/>
                    </a:prstGeom>
                    <a:ln>
                      <a:noFill/>
                    </a:ln>
                    <a:extLst>
                      <a:ext uri="{53640926-AAD7-44D8-BBD7-CCE9431645EC}">
                        <a14:shadowObscured xmlns:a14="http://schemas.microsoft.com/office/drawing/2010/main"/>
                      </a:ext>
                    </a:extLst>
                  </pic:spPr>
                </pic:pic>
              </a:graphicData>
            </a:graphic>
          </wp:inline>
        </w:drawing>
      </w:r>
    </w:p>
    <w:p w14:paraId="6260BCA9" w14:textId="718F3DEE" w:rsidR="000D7D9F" w:rsidRPr="00B13363" w:rsidRDefault="000D7D9F" w:rsidP="000D7D9F">
      <w:r w:rsidRPr="00420CDA">
        <w:rPr>
          <w:rStyle w:val="Italic"/>
        </w:rPr>
        <w:t>Source:</w:t>
      </w:r>
      <w:r w:rsidRPr="00420CDA">
        <w:t xml:space="preserve"> European Commission.</w:t>
      </w:r>
    </w:p>
    <w:p w14:paraId="64E0209D" w14:textId="4BC93351" w:rsidR="000D7D9F" w:rsidRPr="00B13363" w:rsidRDefault="000D7D9F" w:rsidP="000D7D9F">
      <w:pPr>
        <w:spacing w:before="360"/>
      </w:pPr>
      <w:r w:rsidRPr="00456275">
        <w:rPr>
          <w:rStyle w:val="Bold"/>
        </w:rPr>
        <w:t xml:space="preserve">In light of the cross-cutting nature of the </w:t>
      </w:r>
      <w:r w:rsidR="00AB7807" w:rsidRPr="001907EE">
        <w:rPr>
          <w:rStyle w:val="Bold"/>
        </w:rPr>
        <w:t>SDG</w:t>
      </w:r>
      <w:r w:rsidRPr="00456275">
        <w:rPr>
          <w:rStyle w:val="Bold"/>
        </w:rPr>
        <w:t xml:space="preserve">s, and to ensure a holistic approach in addressing sustainable development, 99% of the EU budget contributes to </w:t>
      </w:r>
      <w:r w:rsidR="00AB7807" w:rsidRPr="00456275">
        <w:rPr>
          <w:rStyle w:val="Bold"/>
        </w:rPr>
        <w:t>SDG</w:t>
      </w:r>
      <w:r w:rsidRPr="00456275">
        <w:rPr>
          <w:rStyle w:val="Bold"/>
        </w:rPr>
        <w:t>s.</w:t>
      </w:r>
      <w:r w:rsidRPr="00B13363">
        <w:t xml:space="preserve"> In addition, the vast majority of the 2021-2027 programmes (</w:t>
      </w:r>
      <w:r w:rsidRPr="00B13363">
        <w:rPr>
          <w:noProof/>
        </w:rPr>
        <w:t>4</w:t>
      </w:r>
      <w:r w:rsidR="00AD0262" w:rsidRPr="00B13363">
        <w:rPr>
          <w:noProof/>
        </w:rPr>
        <w:t>3</w:t>
      </w:r>
      <w:r w:rsidRPr="00B13363">
        <w:t xml:space="preserve"> out of </w:t>
      </w:r>
      <w:r w:rsidRPr="00B13363">
        <w:rPr>
          <w:noProof/>
        </w:rPr>
        <w:t>5</w:t>
      </w:r>
      <w:r w:rsidR="00AD0262" w:rsidRPr="00B13363">
        <w:rPr>
          <w:noProof/>
        </w:rPr>
        <w:t>3</w:t>
      </w:r>
      <w:r w:rsidRPr="00B13363">
        <w:t xml:space="preserve">) are designed to address multiple </w:t>
      </w:r>
      <w:r w:rsidR="00AB7807">
        <w:t>SDG</w:t>
      </w:r>
      <w:r w:rsidRPr="00B13363">
        <w:t>s through their policy measures. In the programme performance statements (</w:t>
      </w:r>
      <w:r w:rsidRPr="00B13363" w:rsidDel="003F37C5">
        <w:t>Annex</w:t>
      </w:r>
      <w:r w:rsidRPr="00B13363">
        <w:rPr>
          <w:rFonts w:ascii="Calibri" w:hAnsi="Calibri" w:cs="Calibri"/>
        </w:rPr>
        <w:t> </w:t>
      </w:r>
      <w:r w:rsidRPr="00B13363">
        <w:t xml:space="preserve">4 to this report), the Commission presents the </w:t>
      </w:r>
      <w:r w:rsidR="00AB7807">
        <w:t>SDG</w:t>
      </w:r>
      <w:r w:rsidRPr="00B13363">
        <w:t xml:space="preserve">s to which each EU funding programme contributes, along with examples of their contribution. The infographic below provides, in a non-exhaustive manner, examples illustrating how EU programmes contribute to the </w:t>
      </w:r>
      <w:r w:rsidR="00AB7807">
        <w:t>SDG</w:t>
      </w:r>
      <w:r w:rsidRPr="00B13363">
        <w:t>s.</w:t>
      </w:r>
    </w:p>
    <w:p w14:paraId="055015EF" w14:textId="208339AC" w:rsidR="000D7D9F" w:rsidRPr="00B13363" w:rsidRDefault="000D7D9F" w:rsidP="000D7D9F">
      <w:r w:rsidRPr="00B13363">
        <w:t xml:space="preserve">The </w:t>
      </w:r>
      <w:r w:rsidRPr="00B13363">
        <w:rPr>
          <w:noProof/>
        </w:rPr>
        <w:t>202</w:t>
      </w:r>
      <w:r w:rsidR="00652E6F">
        <w:rPr>
          <w:noProof/>
        </w:rPr>
        <w:t>3</w:t>
      </w:r>
      <w:r w:rsidRPr="00B13363" w:rsidDel="00E25C7D">
        <w:t xml:space="preserve"> </w:t>
      </w:r>
      <w:r w:rsidRPr="00B13363">
        <w:rPr>
          <w:i/>
        </w:rPr>
        <w:t>EU voluntary review on the implementation of the 2030 Agenda for Sustainable Development</w:t>
      </w:r>
      <w:r w:rsidRPr="00B13363">
        <w:t xml:space="preserve">, together with </w:t>
      </w:r>
      <w:bookmarkStart w:id="45" w:name="_Hlk198044402"/>
      <w:r w:rsidR="00D72015">
        <w:t>the 202</w:t>
      </w:r>
      <w:r w:rsidR="00B357CB">
        <w:t>6</w:t>
      </w:r>
      <w:r w:rsidR="00D72015">
        <w:t xml:space="preserve"> </w:t>
      </w:r>
      <w:r w:rsidRPr="00B13363">
        <w:rPr>
          <w:i/>
        </w:rPr>
        <w:t>Sustainable Development in the European Union</w:t>
      </w:r>
      <w:r w:rsidRPr="00B13363">
        <w:rPr>
          <w:rFonts w:ascii="Calibri" w:hAnsi="Calibri" w:cs="Calibri"/>
          <w:i/>
        </w:rPr>
        <w:t xml:space="preserve"> – </w:t>
      </w:r>
      <w:r w:rsidRPr="00B13363">
        <w:rPr>
          <w:i/>
        </w:rPr>
        <w:t>Monitoring report on progress towards the SDGs in an EU context</w:t>
      </w:r>
      <w:r w:rsidRPr="00B13363">
        <w:rPr>
          <w:rFonts w:ascii="Calibri" w:hAnsi="Calibri" w:cs="Calibri"/>
          <w:i/>
        </w:rPr>
        <w:t xml:space="preserve"> – </w:t>
      </w:r>
      <w:r w:rsidRPr="00B13363">
        <w:rPr>
          <w:i/>
          <w:noProof/>
        </w:rPr>
        <w:t>202</w:t>
      </w:r>
      <w:r w:rsidR="009F66A2">
        <w:rPr>
          <w:i/>
          <w:noProof/>
        </w:rPr>
        <w:t>6</w:t>
      </w:r>
      <w:r w:rsidRPr="00B13363">
        <w:rPr>
          <w:i/>
        </w:rPr>
        <w:t xml:space="preserve"> </w:t>
      </w:r>
      <w:bookmarkEnd w:id="45"/>
      <w:r w:rsidRPr="00B13363">
        <w:rPr>
          <w:i/>
        </w:rPr>
        <w:t>edition</w:t>
      </w:r>
      <w:r w:rsidRPr="00B13363">
        <w:t xml:space="preserve">, reaffirmed the </w:t>
      </w:r>
      <w:r w:rsidRPr="00456275">
        <w:rPr>
          <w:rStyle w:val="Bold"/>
        </w:rPr>
        <w:t>EU budget as a key driver for delivering substantial progress on the 2030 Agenda for Sustainable Development</w:t>
      </w:r>
      <w:r w:rsidRPr="00B13363">
        <w:rPr>
          <w:rFonts w:ascii="Calibri" w:hAnsi="Calibri" w:cs="Calibri"/>
        </w:rPr>
        <w:t> </w:t>
      </w:r>
      <w:r w:rsidRPr="00B13363">
        <w:t>(</w:t>
      </w:r>
      <w:r w:rsidRPr="00B13363">
        <w:rPr>
          <w:rStyle w:val="FootnoteReference"/>
        </w:rPr>
        <w:footnoteReference w:id="73"/>
      </w:r>
      <w:r w:rsidRPr="00B13363">
        <w:t>)</w:t>
      </w:r>
      <w:r w:rsidRPr="001907EE">
        <w:rPr>
          <w:rStyle w:val="Bold"/>
        </w:rPr>
        <w:t>.</w:t>
      </w:r>
      <w:r w:rsidRPr="00B13363">
        <w:t xml:space="preserve"> Looking ahead, the EU has reinforced its commitment to systematically integrate and report on the implementation of the </w:t>
      </w:r>
      <w:r w:rsidR="00AB7807">
        <w:t>SDG</w:t>
      </w:r>
      <w:r w:rsidRPr="00B13363">
        <w:t>s across all relevant EU programmes, ensuring policy coherence and sustained momentum towards achieving all goals.</w:t>
      </w:r>
    </w:p>
    <w:p w14:paraId="6C6635B5" w14:textId="77777777" w:rsidR="000D7D9F" w:rsidRPr="003E29CF" w:rsidRDefault="000D7D9F" w:rsidP="000D7D9F">
      <w:pPr>
        <w:pStyle w:val="ListMixed"/>
        <w:numPr>
          <w:ilvl w:val="0"/>
          <w:numId w:val="0"/>
        </w:numPr>
        <w:rPr>
          <w:noProof/>
          <w:highlight w:val="lightGray"/>
        </w:rPr>
      </w:pPr>
    </w:p>
    <w:tbl>
      <w:tblPr>
        <w:tblW w:w="9440" w:type="dxa"/>
        <w:jc w:val="center"/>
        <w:tblBorders>
          <w:insideH w:val="single" w:sz="4" w:space="0" w:color="D9D9D9" w:themeColor="background1" w:themeShade="D9"/>
        </w:tblBorders>
        <w:tblLayout w:type="fixed"/>
        <w:tblCellMar>
          <w:top w:w="28" w:type="dxa"/>
          <w:bottom w:w="28" w:type="dxa"/>
        </w:tblCellMar>
        <w:tblLook w:val="04A0" w:firstRow="1" w:lastRow="0" w:firstColumn="1" w:lastColumn="0" w:noHBand="0" w:noVBand="1"/>
      </w:tblPr>
      <w:tblGrid>
        <w:gridCol w:w="1276"/>
        <w:gridCol w:w="3515"/>
        <w:gridCol w:w="1134"/>
        <w:gridCol w:w="3515"/>
      </w:tblGrid>
      <w:tr w:rsidR="000D7D9F" w:rsidRPr="003E29CF" w14:paraId="156E9615" w14:textId="77777777" w:rsidTr="001B7D68">
        <w:trPr>
          <w:trHeight w:val="20"/>
          <w:jc w:val="center"/>
        </w:trPr>
        <w:tc>
          <w:tcPr>
            <w:tcW w:w="1276" w:type="dxa"/>
            <w:hideMark/>
          </w:tcPr>
          <w:p w14:paraId="28275053" w14:textId="77777777" w:rsidR="000D7D9F" w:rsidRPr="003E29CF" w:rsidRDefault="000D7D9F" w:rsidP="00AE458E">
            <w:pPr>
              <w:keepNext/>
              <w:keepLines/>
              <w:numPr>
                <w:ilvl w:val="1"/>
                <w:numId w:val="0"/>
              </w:numPr>
              <w:tabs>
                <w:tab w:val="left" w:pos="2705"/>
              </w:tabs>
              <w:spacing w:before="60" w:after="60" w:line="20" w:lineRule="atLeast"/>
              <w:rPr>
                <w:noProof/>
                <w:color w:val="003399" w:themeColor="text2"/>
                <w:sz w:val="16"/>
                <w:szCs w:val="16"/>
                <w:highlight w:val="lightGray"/>
              </w:rPr>
            </w:pPr>
            <w:r w:rsidRPr="003E29CF">
              <w:rPr>
                <w:noProof/>
                <w:color w:val="003399" w:themeColor="text2"/>
                <w:sz w:val="16"/>
                <w:szCs w:val="16"/>
                <w:highlight w:val="lightGray"/>
              </w:rPr>
              <w:drawing>
                <wp:inline distT="0" distB="0" distL="0" distR="0" wp14:anchorId="67488739" wp14:editId="67210AD8">
                  <wp:extent cx="643890" cy="643890"/>
                  <wp:effectExtent l="0" t="0" r="3810" b="3810"/>
                  <wp:docPr id="1879538781" name="Picture 18795387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81" name="Picture 1879538781">
                            <a:extLst>
                              <a:ext uri="{C183D7F6-B498-43B3-948B-1728B52AA6E4}">
                                <adec:decorative xmlns:adec="http://schemas.microsoft.com/office/drawing/2017/decorative" val="1"/>
                              </a:ext>
                            </a:extLst>
                          </pic:cNvPr>
                          <pic:cNvPicPr>
                            <a:picLocks noChangeAspect="1" noChangeArrowheads="1"/>
                          </pic:cNvPicPr>
                        </pic:nvPicPr>
                        <pic:blipFill>
                          <a:blip r:embed="rId83" cstate="print">
                            <a:extLst>
                              <a:ext uri="{28A0092B-C50C-407E-A947-70E740481C1C}">
                                <a14:useLocalDpi xmlns:a14="http://schemas.microsoft.com/office/drawing/2010/main" val="0"/>
                              </a:ext>
                            </a:extLst>
                          </a:blip>
                          <a:stretch>
                            <a:fillRect/>
                          </a:stretch>
                        </pic:blipFill>
                        <pic:spPr bwMode="auto">
                          <a:xfrm>
                            <a:off x="0" y="0"/>
                            <a:ext cx="653284" cy="653284"/>
                          </a:xfrm>
                          <a:prstGeom prst="rect">
                            <a:avLst/>
                          </a:prstGeom>
                          <a:noFill/>
                          <a:ln>
                            <a:noFill/>
                          </a:ln>
                        </pic:spPr>
                      </pic:pic>
                    </a:graphicData>
                  </a:graphic>
                </wp:inline>
              </w:drawing>
            </w:r>
          </w:p>
        </w:tc>
        <w:tc>
          <w:tcPr>
            <w:tcW w:w="3515" w:type="dxa"/>
            <w:tcBorders>
              <w:right w:val="single" w:sz="4" w:space="0" w:color="D9D9D9" w:themeColor="background1" w:themeShade="D9"/>
            </w:tcBorders>
            <w:hideMark/>
          </w:tcPr>
          <w:p w14:paraId="07414577" w14:textId="1E9275FE" w:rsidR="000D7D9F" w:rsidRPr="00F029CE" w:rsidRDefault="00F029CE" w:rsidP="00AE458E">
            <w:pPr>
              <w:keepNext/>
              <w:keepLines/>
              <w:numPr>
                <w:ilvl w:val="1"/>
                <w:numId w:val="0"/>
              </w:numPr>
              <w:tabs>
                <w:tab w:val="left" w:pos="2705"/>
              </w:tabs>
              <w:spacing w:before="60" w:after="60" w:line="20" w:lineRule="atLeast"/>
              <w:rPr>
                <w:noProof/>
                <w:color w:val="003399" w:themeColor="text2"/>
                <w:sz w:val="18"/>
                <w:szCs w:val="18"/>
                <w:highlight w:val="lightGray"/>
              </w:rPr>
            </w:pPr>
            <w:r w:rsidRPr="00B13363">
              <w:rPr>
                <w:color w:val="003399" w:themeColor="text2"/>
                <w:sz w:val="18"/>
                <w:szCs w:val="18"/>
              </w:rPr>
              <w:t xml:space="preserve">In Bulgaria, the </w:t>
            </w:r>
            <w:r w:rsidRPr="00B13363">
              <w:rPr>
                <w:b/>
                <w:color w:val="003399" w:themeColor="text2"/>
                <w:sz w:val="18"/>
                <w:szCs w:val="18"/>
              </w:rPr>
              <w:t>E</w:t>
            </w:r>
            <w:r w:rsidR="009F7055">
              <w:rPr>
                <w:b/>
                <w:bCs/>
                <w:noProof/>
                <w:color w:val="003399" w:themeColor="text2"/>
                <w:sz w:val="18"/>
                <w:szCs w:val="18"/>
              </w:rPr>
              <w:t>uropean Social Fund</w:t>
            </w:r>
            <w:r w:rsidR="00DD3D22">
              <w:rPr>
                <w:b/>
                <w:bCs/>
                <w:noProof/>
                <w:color w:val="003399" w:themeColor="text2"/>
                <w:sz w:val="18"/>
                <w:szCs w:val="18"/>
              </w:rPr>
              <w:t xml:space="preserve"> Plus</w:t>
            </w:r>
            <w:r w:rsidRPr="00B13363">
              <w:rPr>
                <w:color w:val="003399" w:themeColor="text2"/>
                <w:sz w:val="18"/>
                <w:szCs w:val="18"/>
              </w:rPr>
              <w:t xml:space="preserve"> supports a</w:t>
            </w:r>
            <w:r w:rsidR="008B1F0C">
              <w:rPr>
                <w:color w:val="003399" w:themeColor="text2"/>
                <w:sz w:val="18"/>
                <w:szCs w:val="18"/>
              </w:rPr>
              <w:t xml:space="preserve"> </w:t>
            </w:r>
            <w:hyperlink r:id="rId84" w:tgtFrame="_blank" w:history="1">
              <w:r w:rsidRPr="00B13363">
                <w:rPr>
                  <w:rStyle w:val="Hyperlink"/>
                  <w:sz w:val="18"/>
                  <w:szCs w:val="18"/>
                  <w:u w:val="none"/>
                </w:rPr>
                <w:t>project</w:t>
              </w:r>
              <w:r w:rsidR="008B1F0C">
                <w:rPr>
                  <w:rStyle w:val="Hyperlink"/>
                  <w:rFonts w:ascii="Calibri" w:hAnsi="Calibri" w:cs="Calibri"/>
                  <w:sz w:val="18"/>
                  <w:szCs w:val="18"/>
                  <w:u w:val="none"/>
                </w:rPr>
                <w:t xml:space="preserve"> </w:t>
              </w:r>
              <w:r w:rsidRPr="00B13363">
                <w:rPr>
                  <w:rStyle w:val="Hyperlink"/>
                  <w:sz w:val="18"/>
                  <w:szCs w:val="18"/>
                  <w:u w:val="none"/>
                </w:rPr>
                <w:t>modernising</w:t>
              </w:r>
              <w:r w:rsidR="008B1F0C">
                <w:rPr>
                  <w:rStyle w:val="Hyperlink"/>
                  <w:rFonts w:ascii="Calibri" w:hAnsi="Calibri" w:cs="Calibri"/>
                  <w:sz w:val="18"/>
                  <w:szCs w:val="18"/>
                  <w:u w:val="none"/>
                </w:rPr>
                <w:t xml:space="preserve"> </w:t>
              </w:r>
              <w:r w:rsidRPr="00B13363">
                <w:rPr>
                  <w:rStyle w:val="Hyperlink"/>
                  <w:sz w:val="18"/>
                  <w:szCs w:val="18"/>
                  <w:u w:val="none"/>
                </w:rPr>
                <w:t>social protection systems</w:t>
              </w:r>
            </w:hyperlink>
            <w:r w:rsidRPr="00B13363">
              <w:rPr>
                <w:color w:val="003399" w:themeColor="text2"/>
                <w:sz w:val="18"/>
                <w:szCs w:val="18"/>
              </w:rPr>
              <w:t>, with the goal of improving access for vulnerable groups, including children and people with disabilities.</w:t>
            </w:r>
            <w:r w:rsidR="008B1F0C">
              <w:rPr>
                <w:rFonts w:ascii="Calibri" w:hAnsi="Calibri" w:cs="Calibri"/>
                <w:color w:val="003399" w:themeColor="text2"/>
                <w:sz w:val="18"/>
                <w:szCs w:val="18"/>
              </w:rPr>
              <w:t xml:space="preserve"> </w:t>
            </w:r>
            <w:r w:rsidRPr="00B13363">
              <w:rPr>
                <w:color w:val="003399" w:themeColor="text2"/>
                <w:sz w:val="18"/>
                <w:szCs w:val="18"/>
              </w:rPr>
              <w:t>By enhancing the capacity of staff, the Agency of Social Assistance will ensure adequate care by offering those in need competent and multi-component</w:t>
            </w:r>
            <w:r w:rsidR="008B1F0C">
              <w:rPr>
                <w:rFonts w:ascii="Calibri" w:hAnsi="Calibri" w:cs="Calibri"/>
                <w:color w:val="003399" w:themeColor="text2"/>
                <w:sz w:val="18"/>
                <w:szCs w:val="18"/>
              </w:rPr>
              <w:t xml:space="preserve"> </w:t>
            </w:r>
            <w:r w:rsidRPr="00B13363">
              <w:rPr>
                <w:color w:val="003399" w:themeColor="text2"/>
                <w:sz w:val="18"/>
                <w:szCs w:val="18"/>
              </w:rPr>
              <w:t>support, in line with</w:t>
            </w:r>
            <w:r w:rsidR="008B1F0C">
              <w:rPr>
                <w:rFonts w:ascii="Calibri" w:hAnsi="Calibri" w:cs="Calibri"/>
                <w:color w:val="003399" w:themeColor="text2"/>
                <w:sz w:val="18"/>
                <w:szCs w:val="18"/>
              </w:rPr>
              <w:t xml:space="preserve"> </w:t>
            </w:r>
            <w:r w:rsidRPr="00B13363">
              <w:rPr>
                <w:color w:val="003399" w:themeColor="text2"/>
                <w:sz w:val="18"/>
                <w:szCs w:val="18"/>
              </w:rPr>
              <w:t>new technologies</w:t>
            </w:r>
            <w:r w:rsidR="008B1F0C">
              <w:rPr>
                <w:rFonts w:ascii="Calibri" w:hAnsi="Calibri" w:cs="Calibri"/>
                <w:color w:val="003399" w:themeColor="text2"/>
                <w:sz w:val="18"/>
                <w:szCs w:val="18"/>
              </w:rPr>
              <w:t xml:space="preserve"> </w:t>
            </w:r>
            <w:r w:rsidRPr="00B13363">
              <w:rPr>
                <w:color w:val="003399" w:themeColor="text2"/>
                <w:sz w:val="18"/>
                <w:szCs w:val="18"/>
              </w:rPr>
              <w:t>and ensuring an improvement in their quality of life</w:t>
            </w:r>
            <w:r w:rsidR="0024522D">
              <w:rPr>
                <w:noProof/>
                <w:color w:val="003399" w:themeColor="text2"/>
                <w:sz w:val="18"/>
                <w:szCs w:val="18"/>
              </w:rPr>
              <w:t xml:space="preserve">. </w:t>
            </w:r>
            <w:r w:rsidRPr="00B13363">
              <w:rPr>
                <w:color w:val="003399" w:themeColor="text2"/>
                <w:sz w:val="18"/>
                <w:szCs w:val="18"/>
              </w:rPr>
              <w:t>This initiative ensures faster, more efficient support, helping prevent social isolation and improve quality of life.</w:t>
            </w:r>
          </w:p>
        </w:tc>
        <w:tc>
          <w:tcPr>
            <w:tcW w:w="1134" w:type="dxa"/>
            <w:tcBorders>
              <w:top w:val="nil"/>
              <w:left w:val="single" w:sz="4" w:space="0" w:color="D9D9D9" w:themeColor="background1" w:themeShade="D9"/>
              <w:bottom w:val="single" w:sz="4" w:space="0" w:color="D9D9D9" w:themeColor="background1" w:themeShade="D9"/>
            </w:tcBorders>
            <w:hideMark/>
          </w:tcPr>
          <w:p w14:paraId="6E129A61" w14:textId="77777777" w:rsidR="000D7D9F" w:rsidRPr="003E29CF" w:rsidRDefault="000D7D9F" w:rsidP="00AE458E">
            <w:pPr>
              <w:keepNext/>
              <w:keepLines/>
              <w:numPr>
                <w:ilvl w:val="1"/>
                <w:numId w:val="0"/>
              </w:numPr>
              <w:tabs>
                <w:tab w:val="left" w:pos="2705"/>
              </w:tabs>
              <w:spacing w:before="60" w:after="60" w:line="20" w:lineRule="atLeast"/>
              <w:rPr>
                <w:noProof/>
                <w:color w:val="003399" w:themeColor="text2"/>
                <w:sz w:val="18"/>
                <w:szCs w:val="18"/>
                <w:highlight w:val="lightGray"/>
              </w:rPr>
            </w:pPr>
            <w:r w:rsidRPr="003E29CF">
              <w:rPr>
                <w:noProof/>
                <w:color w:val="003399" w:themeColor="text2"/>
                <w:sz w:val="18"/>
                <w:szCs w:val="18"/>
                <w:highlight w:val="lightGray"/>
              </w:rPr>
              <w:drawing>
                <wp:inline distT="0" distB="0" distL="0" distR="0" wp14:anchorId="7BE8F931" wp14:editId="7ECBAFB7">
                  <wp:extent cx="643890" cy="643890"/>
                  <wp:effectExtent l="0" t="0" r="3810" b="3810"/>
                  <wp:docPr id="1879538782" name="Picture 18795387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82" name="Picture 1879538782">
                            <a:extLst>
                              <a:ext uri="{C183D7F6-B498-43B3-948B-1728B52AA6E4}">
                                <adec:decorative xmlns:adec="http://schemas.microsoft.com/office/drawing/2017/decorative" val="1"/>
                              </a:ext>
                            </a:extLst>
                          </pic:cNvPr>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l="523" t="523" r="523" b="523"/>
                          <a:stretch>
                            <a:fillRect/>
                          </a:stretch>
                        </pic:blipFill>
                        <pic:spPr bwMode="auto">
                          <a:xfrm>
                            <a:off x="0" y="0"/>
                            <a:ext cx="648342" cy="648342"/>
                          </a:xfrm>
                          <a:prstGeom prst="rect">
                            <a:avLst/>
                          </a:prstGeom>
                          <a:noFill/>
                          <a:ln>
                            <a:noFill/>
                          </a:ln>
                        </pic:spPr>
                      </pic:pic>
                    </a:graphicData>
                  </a:graphic>
                </wp:inline>
              </w:drawing>
            </w:r>
          </w:p>
        </w:tc>
        <w:tc>
          <w:tcPr>
            <w:tcW w:w="3515" w:type="dxa"/>
            <w:hideMark/>
          </w:tcPr>
          <w:p w14:paraId="7E3F35A0" w14:textId="1B9873F1" w:rsidR="00990732" w:rsidRPr="00990732" w:rsidRDefault="00990732" w:rsidP="00AE458E">
            <w:pPr>
              <w:keepNext/>
              <w:keepLines/>
              <w:tabs>
                <w:tab w:val="left" w:pos="2705"/>
              </w:tabs>
              <w:spacing w:before="60" w:after="60" w:line="20" w:lineRule="atLeast"/>
              <w:rPr>
                <w:noProof/>
                <w:color w:val="003399" w:themeColor="text2"/>
                <w:spacing w:val="-4"/>
                <w:sz w:val="18"/>
                <w:szCs w:val="18"/>
              </w:rPr>
            </w:pPr>
            <w:r>
              <w:rPr>
                <w:noProof/>
                <w:color w:val="003399" w:themeColor="text2"/>
                <w:spacing w:val="-4"/>
                <w:sz w:val="18"/>
                <w:szCs w:val="18"/>
              </w:rPr>
              <w:t xml:space="preserve">The </w:t>
            </w:r>
            <w:r w:rsidR="002E3C44">
              <w:rPr>
                <w:b/>
                <w:color w:val="003399" w:themeColor="text2"/>
                <w:spacing w:val="-4"/>
                <w:sz w:val="18"/>
                <w:szCs w:val="18"/>
              </w:rPr>
              <w:t>s</w:t>
            </w:r>
            <w:r w:rsidRPr="00B13363">
              <w:rPr>
                <w:b/>
                <w:color w:val="003399" w:themeColor="text2"/>
                <w:spacing w:val="-4"/>
                <w:sz w:val="18"/>
                <w:szCs w:val="18"/>
              </w:rPr>
              <w:t xml:space="preserve">ingle </w:t>
            </w:r>
            <w:r w:rsidR="002E3C44">
              <w:rPr>
                <w:b/>
                <w:color w:val="003399" w:themeColor="text2"/>
                <w:spacing w:val="-4"/>
                <w:sz w:val="18"/>
                <w:szCs w:val="18"/>
              </w:rPr>
              <w:t>m</w:t>
            </w:r>
            <w:r w:rsidR="00677359" w:rsidRPr="00B13363">
              <w:rPr>
                <w:b/>
                <w:color w:val="003399" w:themeColor="text2"/>
                <w:spacing w:val="-4"/>
                <w:sz w:val="18"/>
                <w:szCs w:val="18"/>
              </w:rPr>
              <w:t>arket programme</w:t>
            </w:r>
            <w:r w:rsidR="00677359">
              <w:rPr>
                <w:noProof/>
                <w:color w:val="003399" w:themeColor="text2"/>
                <w:spacing w:val="-4"/>
                <w:sz w:val="18"/>
                <w:szCs w:val="18"/>
              </w:rPr>
              <w:t xml:space="preserve"> </w:t>
            </w:r>
            <w:r w:rsidR="00417D56">
              <w:rPr>
                <w:noProof/>
                <w:color w:val="003399" w:themeColor="text2"/>
                <w:spacing w:val="-4"/>
                <w:sz w:val="18"/>
                <w:szCs w:val="18"/>
              </w:rPr>
              <w:t>supports i</w:t>
            </w:r>
            <w:r w:rsidRPr="00990732">
              <w:rPr>
                <w:noProof/>
                <w:color w:val="003399" w:themeColor="text2"/>
                <w:spacing w:val="-4"/>
                <w:sz w:val="18"/>
                <w:szCs w:val="18"/>
              </w:rPr>
              <w:t>nitiatives such as emergency measures for animal and plant disease control, EU Reference Laboratories and the EU vaccine bank for animal diseases, directly reduce risks to food security by ensuring sustainable agricultural production and resilience against outbreaks of diseases like African swine fever, avian influenza, foot-and-mouth disease, lumpy skin disease, peste des petits ruminants and sheep pox and goat pox.</w:t>
            </w:r>
          </w:p>
          <w:p w14:paraId="5AB96543" w14:textId="7241878A" w:rsidR="000D7D9F" w:rsidRPr="003E29CF" w:rsidRDefault="002E3C44" w:rsidP="00AE458E">
            <w:pPr>
              <w:keepNext/>
              <w:keepLines/>
              <w:tabs>
                <w:tab w:val="left" w:pos="2705"/>
              </w:tabs>
              <w:spacing w:before="60" w:after="60" w:line="20" w:lineRule="atLeast"/>
              <w:rPr>
                <w:noProof/>
                <w:color w:val="003399" w:themeColor="text2"/>
                <w:spacing w:val="-4"/>
                <w:sz w:val="18"/>
                <w:szCs w:val="18"/>
                <w:highlight w:val="lightGray"/>
              </w:rPr>
            </w:pPr>
            <w:r>
              <w:rPr>
                <w:noProof/>
                <w:color w:val="003399" w:themeColor="text2"/>
                <w:spacing w:val="-4"/>
                <w:sz w:val="18"/>
                <w:szCs w:val="18"/>
              </w:rPr>
              <w:t xml:space="preserve">The programme </w:t>
            </w:r>
            <w:r w:rsidR="00990732" w:rsidRPr="00990732">
              <w:rPr>
                <w:noProof/>
                <w:color w:val="003399" w:themeColor="text2"/>
                <w:spacing w:val="-4"/>
                <w:sz w:val="18"/>
                <w:szCs w:val="18"/>
              </w:rPr>
              <w:t xml:space="preserve">supports the European Food Bank Federation’s activities to facilitate food donation and increase the share of surplus food made available for human consumption, thereby addressing both food security and preventing food waste. The annual grant helps increase </w:t>
            </w:r>
            <w:r w:rsidR="0021494D">
              <w:rPr>
                <w:noProof/>
                <w:color w:val="003399" w:themeColor="text2"/>
                <w:spacing w:val="-4"/>
                <w:sz w:val="18"/>
                <w:szCs w:val="18"/>
              </w:rPr>
              <w:t xml:space="preserve">the </w:t>
            </w:r>
            <w:r w:rsidR="00EA687E">
              <w:rPr>
                <w:noProof/>
                <w:color w:val="003399" w:themeColor="text2"/>
                <w:spacing w:val="-4"/>
                <w:sz w:val="18"/>
                <w:szCs w:val="18"/>
              </w:rPr>
              <w:t xml:space="preserve">federation’s </w:t>
            </w:r>
            <w:r w:rsidR="00990732" w:rsidRPr="00990732">
              <w:rPr>
                <w:noProof/>
                <w:color w:val="003399" w:themeColor="text2"/>
                <w:spacing w:val="-4"/>
                <w:sz w:val="18"/>
                <w:szCs w:val="18"/>
              </w:rPr>
              <w:t>capacity to redistribute food</w:t>
            </w:r>
            <w:r w:rsidR="00294186">
              <w:rPr>
                <w:noProof/>
                <w:color w:val="003399" w:themeColor="text2"/>
                <w:spacing w:val="-4"/>
                <w:sz w:val="18"/>
                <w:szCs w:val="18"/>
              </w:rPr>
              <w:t>.</w:t>
            </w:r>
          </w:p>
        </w:tc>
      </w:tr>
      <w:tr w:rsidR="000D7D9F" w:rsidRPr="003E29CF" w14:paraId="6258FB77" w14:textId="77777777" w:rsidTr="001B7D68">
        <w:trPr>
          <w:trHeight w:val="20"/>
          <w:jc w:val="center"/>
        </w:trPr>
        <w:tc>
          <w:tcPr>
            <w:tcW w:w="1276" w:type="dxa"/>
          </w:tcPr>
          <w:p w14:paraId="4E8055D5" w14:textId="77777777" w:rsidR="000D7D9F" w:rsidRPr="003E29CF" w:rsidRDefault="000D7D9F" w:rsidP="00AE458E">
            <w:pPr>
              <w:keepNext/>
              <w:keepLines/>
              <w:numPr>
                <w:ilvl w:val="1"/>
                <w:numId w:val="0"/>
              </w:numPr>
              <w:tabs>
                <w:tab w:val="left" w:pos="2705"/>
              </w:tabs>
              <w:spacing w:before="60" w:after="60" w:line="20" w:lineRule="atLeast"/>
              <w:rPr>
                <w:noProof/>
                <w:color w:val="003399" w:themeColor="text2"/>
                <w:sz w:val="16"/>
                <w:szCs w:val="16"/>
                <w:highlight w:val="lightGray"/>
              </w:rPr>
            </w:pPr>
            <w:r w:rsidRPr="003E29CF">
              <w:rPr>
                <w:noProof/>
                <w:color w:val="003399" w:themeColor="text2"/>
                <w:sz w:val="16"/>
                <w:szCs w:val="16"/>
                <w:highlight w:val="lightGray"/>
              </w:rPr>
              <w:drawing>
                <wp:inline distT="0" distB="0" distL="0" distR="0" wp14:anchorId="05AC236C" wp14:editId="4B18847F">
                  <wp:extent cx="659958" cy="659958"/>
                  <wp:effectExtent l="0" t="0" r="6985" b="6985"/>
                  <wp:docPr id="1879538765" name="Picture 18795387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65" name="Picture 1879538765">
                            <a:extLst>
                              <a:ext uri="{C183D7F6-B498-43B3-948B-1728B52AA6E4}">
                                <adec:decorative xmlns:adec="http://schemas.microsoft.com/office/drawing/2017/decorative" val="1"/>
                              </a:ext>
                            </a:extLst>
                          </pic:cNvPr>
                          <pic:cNvPicPr>
                            <a:picLocks noChangeAspect="1" noChangeArrowheads="1"/>
                          </pic:cNvPicPr>
                        </pic:nvPicPr>
                        <pic:blipFill>
                          <a:blip r:embed="rId86" cstate="print">
                            <a:extLst>
                              <a:ext uri="{28A0092B-C50C-407E-A947-70E740481C1C}">
                                <a14:useLocalDpi xmlns:a14="http://schemas.microsoft.com/office/drawing/2010/main" val="0"/>
                              </a:ext>
                            </a:extLst>
                          </a:blip>
                          <a:stretch>
                            <a:fillRect/>
                          </a:stretch>
                        </pic:blipFill>
                        <pic:spPr bwMode="auto">
                          <a:xfrm>
                            <a:off x="0" y="0"/>
                            <a:ext cx="663755" cy="663755"/>
                          </a:xfrm>
                          <a:prstGeom prst="rect">
                            <a:avLst/>
                          </a:prstGeom>
                          <a:noFill/>
                          <a:ln>
                            <a:noFill/>
                          </a:ln>
                        </pic:spPr>
                      </pic:pic>
                    </a:graphicData>
                  </a:graphic>
                </wp:inline>
              </w:drawing>
            </w:r>
          </w:p>
        </w:tc>
        <w:tc>
          <w:tcPr>
            <w:tcW w:w="3515" w:type="dxa"/>
            <w:tcBorders>
              <w:right w:val="single" w:sz="4" w:space="0" w:color="D9D9D9" w:themeColor="background1" w:themeShade="D9"/>
            </w:tcBorders>
          </w:tcPr>
          <w:p w14:paraId="2C699AAE" w14:textId="300818C4" w:rsidR="000D7D9F" w:rsidRPr="00B13363" w:rsidRDefault="00F71D98" w:rsidP="00AE458E">
            <w:pPr>
              <w:tabs>
                <w:tab w:val="left" w:pos="2705"/>
              </w:tabs>
              <w:spacing w:before="60" w:after="60" w:line="20" w:lineRule="atLeast"/>
              <w:rPr>
                <w:color w:val="003399" w:themeColor="text2"/>
                <w:sz w:val="18"/>
                <w:szCs w:val="18"/>
              </w:rPr>
            </w:pPr>
            <w:r w:rsidRPr="00B13363">
              <w:rPr>
                <w:color w:val="003399" w:themeColor="text2"/>
                <w:sz w:val="18"/>
                <w:szCs w:val="18"/>
              </w:rPr>
              <w:t xml:space="preserve">The </w:t>
            </w:r>
            <w:r w:rsidRPr="00B13363">
              <w:rPr>
                <w:b/>
                <w:color w:val="003399" w:themeColor="text2"/>
                <w:sz w:val="18"/>
                <w:szCs w:val="18"/>
              </w:rPr>
              <w:t>EU4Health</w:t>
            </w:r>
            <w:r w:rsidRPr="00B13363">
              <w:rPr>
                <w:color w:val="003399" w:themeColor="text2"/>
                <w:sz w:val="18"/>
                <w:szCs w:val="18"/>
              </w:rPr>
              <w:t xml:space="preserve"> programme and its annual work programmes deliver actions to implement the ‘Healthier together’ initiative, Europe’s </w:t>
            </w:r>
            <w:r w:rsidR="00F20A2F">
              <w:rPr>
                <w:color w:val="003399" w:themeColor="text2"/>
                <w:sz w:val="18"/>
                <w:szCs w:val="18"/>
              </w:rPr>
              <w:t>b</w:t>
            </w:r>
            <w:r w:rsidRPr="00B13363">
              <w:rPr>
                <w:color w:val="003399" w:themeColor="text2"/>
                <w:sz w:val="18"/>
                <w:szCs w:val="18"/>
              </w:rPr>
              <w:t xml:space="preserve">eating </w:t>
            </w:r>
            <w:r w:rsidR="00F20A2F">
              <w:rPr>
                <w:color w:val="003399" w:themeColor="text2"/>
                <w:sz w:val="18"/>
                <w:szCs w:val="18"/>
              </w:rPr>
              <w:t>c</w:t>
            </w:r>
            <w:r w:rsidRPr="00B13363">
              <w:rPr>
                <w:color w:val="003399" w:themeColor="text2"/>
                <w:sz w:val="18"/>
                <w:szCs w:val="18"/>
              </w:rPr>
              <w:t xml:space="preserve">ancer </w:t>
            </w:r>
            <w:r w:rsidR="00F20A2F">
              <w:rPr>
                <w:color w:val="003399" w:themeColor="text2"/>
                <w:sz w:val="18"/>
                <w:szCs w:val="18"/>
              </w:rPr>
              <w:t>p</w:t>
            </w:r>
            <w:r w:rsidRPr="00B13363">
              <w:rPr>
                <w:color w:val="003399" w:themeColor="text2"/>
                <w:sz w:val="18"/>
                <w:szCs w:val="18"/>
              </w:rPr>
              <w:t>lan, the</w:t>
            </w:r>
            <w:r w:rsidR="008B1F0C">
              <w:rPr>
                <w:rFonts w:ascii="Calibri" w:hAnsi="Calibri" w:cs="Calibri"/>
                <w:color w:val="003399" w:themeColor="text2"/>
                <w:sz w:val="18"/>
                <w:szCs w:val="18"/>
              </w:rPr>
              <w:t xml:space="preserve"> </w:t>
            </w:r>
            <w:r w:rsidRPr="00B13363">
              <w:rPr>
                <w:color w:val="003399" w:themeColor="text2"/>
                <w:sz w:val="18"/>
                <w:szCs w:val="18"/>
              </w:rPr>
              <w:t>comprehensive approach to mental health,</w:t>
            </w:r>
            <w:r w:rsidR="008B1F0C">
              <w:rPr>
                <w:rFonts w:ascii="Calibri" w:hAnsi="Calibri" w:cs="Calibri"/>
                <w:color w:val="003399" w:themeColor="text2"/>
                <w:sz w:val="18"/>
                <w:szCs w:val="18"/>
              </w:rPr>
              <w:t xml:space="preserve"> </w:t>
            </w:r>
            <w:r w:rsidRPr="00B13363">
              <w:rPr>
                <w:color w:val="003399" w:themeColor="text2"/>
                <w:sz w:val="18"/>
                <w:szCs w:val="18"/>
              </w:rPr>
              <w:t>and addresses</w:t>
            </w:r>
            <w:r w:rsidR="008B1F0C">
              <w:rPr>
                <w:rFonts w:ascii="Calibri" w:hAnsi="Calibri" w:cs="Calibri"/>
                <w:color w:val="003399" w:themeColor="text2"/>
                <w:sz w:val="18"/>
                <w:szCs w:val="18"/>
              </w:rPr>
              <w:t xml:space="preserve"> </w:t>
            </w:r>
            <w:r w:rsidRPr="00B13363">
              <w:rPr>
                <w:color w:val="003399" w:themeColor="text2"/>
                <w:sz w:val="18"/>
                <w:szCs w:val="18"/>
              </w:rPr>
              <w:t>key</w:t>
            </w:r>
            <w:r w:rsidR="008B1F0C">
              <w:rPr>
                <w:rFonts w:ascii="Calibri" w:hAnsi="Calibri" w:cs="Calibri"/>
                <w:color w:val="003399" w:themeColor="text2"/>
                <w:sz w:val="18"/>
                <w:szCs w:val="18"/>
              </w:rPr>
              <w:t xml:space="preserve"> </w:t>
            </w:r>
            <w:r w:rsidRPr="00B13363">
              <w:rPr>
                <w:color w:val="003399" w:themeColor="text2"/>
                <w:sz w:val="18"/>
                <w:szCs w:val="18"/>
              </w:rPr>
              <w:t>risk factors</w:t>
            </w:r>
            <w:r w:rsidR="008B1F0C">
              <w:rPr>
                <w:rFonts w:ascii="Calibri" w:hAnsi="Calibri" w:cs="Calibri"/>
                <w:color w:val="003399" w:themeColor="text2"/>
                <w:sz w:val="18"/>
                <w:szCs w:val="18"/>
              </w:rPr>
              <w:t xml:space="preserve"> </w:t>
            </w:r>
            <w:r w:rsidRPr="00B13363">
              <w:rPr>
                <w:color w:val="003399" w:themeColor="text2"/>
                <w:sz w:val="18"/>
                <w:szCs w:val="18"/>
              </w:rPr>
              <w:t xml:space="preserve">to reduce premature mortality from non-communicable diseases. The </w:t>
            </w:r>
            <w:r w:rsidR="000A578D">
              <w:rPr>
                <w:color w:val="003399" w:themeColor="text2"/>
                <w:sz w:val="18"/>
                <w:szCs w:val="18"/>
              </w:rPr>
              <w:t>p</w:t>
            </w:r>
            <w:r w:rsidRPr="00B13363">
              <w:rPr>
                <w:color w:val="003399" w:themeColor="text2"/>
                <w:sz w:val="18"/>
                <w:szCs w:val="18"/>
              </w:rPr>
              <w:t>rogramme also funds actions that are producing guidance to improve healthcare</w:t>
            </w:r>
            <w:r w:rsidR="008B1F0C">
              <w:rPr>
                <w:rFonts w:ascii="Calibri" w:hAnsi="Calibri" w:cs="Calibri"/>
                <w:color w:val="003399" w:themeColor="text2"/>
                <w:sz w:val="18"/>
                <w:szCs w:val="18"/>
              </w:rPr>
              <w:t xml:space="preserve"> </w:t>
            </w:r>
            <w:r w:rsidRPr="00B13363">
              <w:rPr>
                <w:color w:val="003399" w:themeColor="text2"/>
                <w:sz w:val="18"/>
                <w:szCs w:val="18"/>
              </w:rPr>
              <w:t>access</w:t>
            </w:r>
            <w:r w:rsidR="00EF4D33">
              <w:rPr>
                <w:color w:val="003399" w:themeColor="text2"/>
                <w:sz w:val="18"/>
                <w:szCs w:val="18"/>
              </w:rPr>
              <w:t xml:space="preserve"> contributing to SDG 3.8</w:t>
            </w:r>
            <w:r w:rsidR="000A578D">
              <w:rPr>
                <w:color w:val="003399" w:themeColor="text2"/>
                <w:sz w:val="18"/>
                <w:szCs w:val="18"/>
              </w:rPr>
              <w:t>,</w:t>
            </w:r>
            <w:r w:rsidR="002A2127" w:rsidRPr="00B13363">
              <w:rPr>
                <w:color w:val="003399" w:themeColor="text2"/>
                <w:sz w:val="18"/>
                <w:szCs w:val="18"/>
              </w:rPr>
              <w:t xml:space="preserve"> while also </w:t>
            </w:r>
            <w:r w:rsidRPr="00B13363">
              <w:rPr>
                <w:color w:val="003399" w:themeColor="text2"/>
                <w:sz w:val="18"/>
                <w:szCs w:val="18"/>
              </w:rPr>
              <w:t>fund</w:t>
            </w:r>
            <w:r w:rsidR="003318A9" w:rsidRPr="00B13363">
              <w:rPr>
                <w:color w:val="003399" w:themeColor="text2"/>
                <w:sz w:val="18"/>
                <w:szCs w:val="18"/>
              </w:rPr>
              <w:t>ing</w:t>
            </w:r>
            <w:r w:rsidR="008B1F0C">
              <w:rPr>
                <w:rFonts w:ascii="Calibri" w:hAnsi="Calibri" w:cs="Calibri"/>
                <w:color w:val="003399" w:themeColor="text2"/>
                <w:sz w:val="18"/>
                <w:szCs w:val="18"/>
              </w:rPr>
              <w:t xml:space="preserve"> </w:t>
            </w:r>
            <w:r w:rsidRPr="00B13363">
              <w:rPr>
                <w:color w:val="003399" w:themeColor="text2"/>
                <w:sz w:val="18"/>
                <w:szCs w:val="18"/>
              </w:rPr>
              <w:t xml:space="preserve">actions to </w:t>
            </w:r>
            <w:r w:rsidR="00FD6783">
              <w:rPr>
                <w:color w:val="003399" w:themeColor="text2"/>
                <w:sz w:val="18"/>
                <w:szCs w:val="18"/>
              </w:rPr>
              <w:t xml:space="preserve">address SDG 3.3 </w:t>
            </w:r>
            <w:r w:rsidR="009B4783">
              <w:rPr>
                <w:color w:val="003399" w:themeColor="text2"/>
                <w:sz w:val="18"/>
                <w:szCs w:val="18"/>
              </w:rPr>
              <w:t xml:space="preserve">to </w:t>
            </w:r>
            <w:r w:rsidRPr="00B13363">
              <w:rPr>
                <w:color w:val="003399" w:themeColor="text2"/>
                <w:sz w:val="18"/>
                <w:szCs w:val="18"/>
              </w:rPr>
              <w:t>end the epidemics of HIV/AIDS, tuberculosis, neglected tropical diseases and combat hepatitis, water-borne</w:t>
            </w:r>
            <w:r w:rsidR="008B1F0C">
              <w:rPr>
                <w:rFonts w:ascii="Calibri" w:hAnsi="Calibri" w:cs="Calibri"/>
                <w:color w:val="003399" w:themeColor="text2"/>
                <w:sz w:val="18"/>
                <w:szCs w:val="18"/>
              </w:rPr>
              <w:t xml:space="preserve"> </w:t>
            </w:r>
            <w:r w:rsidRPr="00B13363">
              <w:rPr>
                <w:color w:val="003399" w:themeColor="text2"/>
                <w:sz w:val="18"/>
                <w:szCs w:val="18"/>
              </w:rPr>
              <w:t>diseases</w:t>
            </w:r>
            <w:r w:rsidR="008B1F0C">
              <w:rPr>
                <w:rFonts w:ascii="Calibri" w:hAnsi="Calibri" w:cs="Calibri"/>
                <w:color w:val="003399" w:themeColor="text2"/>
                <w:sz w:val="18"/>
                <w:szCs w:val="18"/>
              </w:rPr>
              <w:t xml:space="preserve"> </w:t>
            </w:r>
            <w:r w:rsidRPr="00B13363">
              <w:rPr>
                <w:color w:val="003399" w:themeColor="text2"/>
                <w:sz w:val="18"/>
                <w:szCs w:val="18"/>
              </w:rPr>
              <w:t>and other communicable diseases.</w:t>
            </w:r>
            <w:r w:rsidR="008B1F0C">
              <w:rPr>
                <w:rFonts w:ascii="Calibri" w:hAnsi="Calibri" w:cs="Calibri"/>
                <w:color w:val="003399" w:themeColor="text2"/>
                <w:sz w:val="18"/>
                <w:szCs w:val="18"/>
              </w:rPr>
              <w:t xml:space="preserve"> </w:t>
            </w:r>
            <w:r w:rsidRPr="00B13363">
              <w:rPr>
                <w:color w:val="003399" w:themeColor="text2"/>
                <w:sz w:val="18"/>
                <w:szCs w:val="18"/>
              </w:rPr>
              <w:t xml:space="preserve">The </w:t>
            </w:r>
            <w:r w:rsidR="00996AAC">
              <w:rPr>
                <w:color w:val="003399" w:themeColor="text2"/>
                <w:sz w:val="18"/>
                <w:szCs w:val="18"/>
              </w:rPr>
              <w:t>p</w:t>
            </w:r>
            <w:r w:rsidRPr="00B13363">
              <w:rPr>
                <w:color w:val="003399" w:themeColor="text2"/>
                <w:sz w:val="18"/>
                <w:szCs w:val="18"/>
              </w:rPr>
              <w:t>rogramme funds actions to</w:t>
            </w:r>
            <w:r w:rsidR="008B1F0C">
              <w:rPr>
                <w:rFonts w:ascii="Calibri" w:hAnsi="Calibri" w:cs="Calibri"/>
                <w:color w:val="003399" w:themeColor="text2"/>
                <w:sz w:val="18"/>
                <w:szCs w:val="18"/>
              </w:rPr>
              <w:t xml:space="preserve"> </w:t>
            </w:r>
            <w:r w:rsidRPr="00B13363">
              <w:rPr>
                <w:color w:val="003399" w:themeColor="text2"/>
                <w:sz w:val="18"/>
                <w:szCs w:val="18"/>
              </w:rPr>
              <w:t>strengthen the capacity of countries</w:t>
            </w:r>
            <w:r w:rsidR="008B1F0C">
              <w:rPr>
                <w:rFonts w:ascii="Calibri" w:hAnsi="Calibri" w:cs="Calibri"/>
                <w:color w:val="003399" w:themeColor="text2"/>
                <w:sz w:val="18"/>
                <w:szCs w:val="18"/>
              </w:rPr>
              <w:t xml:space="preserve"> </w:t>
            </w:r>
            <w:r w:rsidRPr="00B13363">
              <w:rPr>
                <w:color w:val="003399" w:themeColor="text2"/>
                <w:sz w:val="18"/>
                <w:szCs w:val="18"/>
              </w:rPr>
              <w:t>for early warning, risk</w:t>
            </w:r>
            <w:r w:rsidR="008B1F0C">
              <w:rPr>
                <w:rFonts w:ascii="Calibri" w:hAnsi="Calibri" w:cs="Calibri"/>
                <w:color w:val="003399" w:themeColor="text2"/>
                <w:sz w:val="18"/>
                <w:szCs w:val="18"/>
              </w:rPr>
              <w:t xml:space="preserve"> </w:t>
            </w:r>
            <w:r w:rsidRPr="00B13363">
              <w:rPr>
                <w:color w:val="003399" w:themeColor="text2"/>
                <w:sz w:val="18"/>
                <w:szCs w:val="18"/>
              </w:rPr>
              <w:t>reduction</w:t>
            </w:r>
            <w:r w:rsidR="008B1F0C">
              <w:rPr>
                <w:rFonts w:ascii="Calibri" w:hAnsi="Calibri" w:cs="Calibri"/>
                <w:color w:val="003399" w:themeColor="text2"/>
                <w:sz w:val="18"/>
                <w:szCs w:val="18"/>
              </w:rPr>
              <w:t xml:space="preserve"> </w:t>
            </w:r>
            <w:r w:rsidRPr="00B13363">
              <w:rPr>
                <w:color w:val="003399" w:themeColor="text2"/>
                <w:sz w:val="18"/>
                <w:szCs w:val="18"/>
              </w:rPr>
              <w:t>and management of national and global health risks</w:t>
            </w:r>
            <w:r w:rsidR="009F5071">
              <w:rPr>
                <w:color w:val="003399" w:themeColor="text2"/>
                <w:sz w:val="18"/>
                <w:szCs w:val="18"/>
              </w:rPr>
              <w:t>, addressing SDG 3.D</w:t>
            </w:r>
            <w:r w:rsidRPr="00B13363">
              <w:rPr>
                <w:color w:val="003399" w:themeColor="text2"/>
                <w:sz w:val="18"/>
                <w:szCs w:val="18"/>
              </w:rPr>
              <w:t>.</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6A5FD7EE" w14:textId="27974C04" w:rsidR="000D7D9F" w:rsidRPr="003E29CF" w:rsidRDefault="000D7D9F" w:rsidP="00AE458E">
            <w:pPr>
              <w:keepNext/>
              <w:keepLines/>
              <w:numPr>
                <w:ilvl w:val="1"/>
                <w:numId w:val="0"/>
              </w:numPr>
              <w:tabs>
                <w:tab w:val="left" w:pos="2705"/>
              </w:tabs>
              <w:spacing w:before="60" w:after="60" w:line="20" w:lineRule="atLeast"/>
              <w:rPr>
                <w:noProof/>
                <w:color w:val="003399" w:themeColor="text2"/>
                <w:sz w:val="18"/>
                <w:szCs w:val="18"/>
                <w:highlight w:val="lightGray"/>
              </w:rPr>
            </w:pPr>
            <w:r w:rsidRPr="003E29CF">
              <w:rPr>
                <w:b/>
                <w:noProof/>
                <w:color w:val="003399" w:themeColor="text2"/>
                <w:sz w:val="18"/>
                <w:szCs w:val="18"/>
                <w:highlight w:val="lightGray"/>
              </w:rPr>
              <w:drawing>
                <wp:inline distT="0" distB="0" distL="0" distR="0" wp14:anchorId="680DABCF" wp14:editId="3BE6FD0F">
                  <wp:extent cx="652007" cy="652007"/>
                  <wp:effectExtent l="0" t="0" r="0" b="0"/>
                  <wp:docPr id="1879538766" name="Picture 18795387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66" name="Picture 1879538766">
                            <a:extLst>
                              <a:ext uri="{C183D7F6-B498-43B3-948B-1728B52AA6E4}">
                                <adec:decorative xmlns:adec="http://schemas.microsoft.com/office/drawing/2017/decorative" val="1"/>
                              </a:ext>
                            </a:extLst>
                          </pic:cNvPr>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54403" cy="654403"/>
                          </a:xfrm>
                          <a:prstGeom prst="rect">
                            <a:avLst/>
                          </a:prstGeom>
                          <a:noFill/>
                          <a:ln>
                            <a:noFill/>
                          </a:ln>
                        </pic:spPr>
                      </pic:pic>
                    </a:graphicData>
                  </a:graphic>
                </wp:inline>
              </w:drawing>
            </w:r>
          </w:p>
        </w:tc>
        <w:tc>
          <w:tcPr>
            <w:tcW w:w="3515" w:type="dxa"/>
          </w:tcPr>
          <w:p w14:paraId="51A08F47" w14:textId="0DC2CED8" w:rsidR="00AB0162" w:rsidRPr="00B13363" w:rsidRDefault="000D7D9F" w:rsidP="00AE458E">
            <w:pPr>
              <w:spacing w:before="60" w:after="60" w:line="20" w:lineRule="atLeast"/>
              <w:rPr>
                <w:color w:val="003399" w:themeColor="text2"/>
                <w:sz w:val="18"/>
                <w:szCs w:val="18"/>
                <w:lang w:val="en-IE"/>
              </w:rPr>
            </w:pPr>
            <w:r w:rsidRPr="00B13363">
              <w:rPr>
                <w:color w:val="003399" w:themeColor="text2"/>
                <w:sz w:val="18"/>
                <w:szCs w:val="18"/>
              </w:rPr>
              <w:t xml:space="preserve">Financed by </w:t>
            </w:r>
            <w:r w:rsidRPr="00B13363">
              <w:rPr>
                <w:b/>
                <w:color w:val="003399" w:themeColor="text2"/>
                <w:sz w:val="18"/>
                <w:szCs w:val="18"/>
              </w:rPr>
              <w:t>Erasmus</w:t>
            </w:r>
            <w:r w:rsidR="00AB0162" w:rsidRPr="00B13363">
              <w:rPr>
                <w:b/>
                <w:color w:val="003399" w:themeColor="text2"/>
                <w:sz w:val="18"/>
                <w:szCs w:val="18"/>
              </w:rPr>
              <w:t>+</w:t>
            </w:r>
            <w:r w:rsidR="00AB0162" w:rsidRPr="001907EE">
              <w:rPr>
                <w:bCs/>
                <w:color w:val="003399" w:themeColor="text2"/>
                <w:sz w:val="18"/>
                <w:szCs w:val="18"/>
              </w:rPr>
              <w:t xml:space="preserve">, </w:t>
            </w:r>
            <w:r w:rsidR="00AB0162" w:rsidRPr="00B13363">
              <w:rPr>
                <w:color w:val="003399" w:themeColor="text2"/>
                <w:sz w:val="18"/>
                <w:szCs w:val="18"/>
              </w:rPr>
              <w:t>the share the music for inclusive learning in education project was designed to support teachers in addressing this challenge by providing a practical framework and</w:t>
            </w:r>
            <w:r w:rsidR="00294186">
              <w:rPr>
                <w:rFonts w:ascii="Calibri" w:hAnsi="Calibri" w:cs="Calibri"/>
                <w:color w:val="003399" w:themeColor="text2"/>
                <w:sz w:val="18"/>
                <w:szCs w:val="18"/>
              </w:rPr>
              <w:t xml:space="preserve"> </w:t>
            </w:r>
            <w:r w:rsidR="00AB0162" w:rsidRPr="00B13363">
              <w:rPr>
                <w:color w:val="003399" w:themeColor="text2"/>
                <w:sz w:val="18"/>
                <w:szCs w:val="18"/>
              </w:rPr>
              <w:t>showcasing</w:t>
            </w:r>
            <w:r w:rsidR="00294186">
              <w:rPr>
                <w:rFonts w:ascii="Calibri" w:hAnsi="Calibri" w:cs="Calibri"/>
                <w:color w:val="003399" w:themeColor="text2"/>
                <w:sz w:val="18"/>
                <w:szCs w:val="18"/>
              </w:rPr>
              <w:t xml:space="preserve"> </w:t>
            </w:r>
            <w:r w:rsidR="00AB0162" w:rsidRPr="00B13363">
              <w:rPr>
                <w:color w:val="003399" w:themeColor="text2"/>
                <w:sz w:val="18"/>
                <w:szCs w:val="18"/>
              </w:rPr>
              <w:t>best practices for managing inclusion and diversity in education. Its primary goal is to offer pre-primary and primary</w:t>
            </w:r>
            <w:r w:rsidR="00294186">
              <w:rPr>
                <w:rFonts w:ascii="Calibri" w:hAnsi="Calibri" w:cs="Calibri"/>
                <w:color w:val="003399" w:themeColor="text2"/>
                <w:sz w:val="18"/>
                <w:szCs w:val="18"/>
              </w:rPr>
              <w:t xml:space="preserve"> </w:t>
            </w:r>
            <w:r w:rsidR="00AB0162" w:rsidRPr="00B13363">
              <w:rPr>
                <w:color w:val="003399" w:themeColor="text2"/>
                <w:sz w:val="18"/>
                <w:szCs w:val="18"/>
              </w:rPr>
              <w:t>schoolteachers</w:t>
            </w:r>
            <w:r w:rsidR="00294186">
              <w:rPr>
                <w:rFonts w:ascii="Calibri" w:hAnsi="Calibri" w:cs="Calibri"/>
                <w:color w:val="003399" w:themeColor="text2"/>
                <w:sz w:val="18"/>
                <w:szCs w:val="18"/>
              </w:rPr>
              <w:t xml:space="preserve"> </w:t>
            </w:r>
            <w:r w:rsidR="00AB0162" w:rsidRPr="00B13363">
              <w:rPr>
                <w:color w:val="003399" w:themeColor="text2"/>
                <w:sz w:val="18"/>
                <w:szCs w:val="18"/>
              </w:rPr>
              <w:t>new knowledge, key</w:t>
            </w:r>
            <w:r w:rsidR="00294186">
              <w:rPr>
                <w:rFonts w:ascii="Calibri" w:hAnsi="Calibri" w:cs="Calibri"/>
                <w:color w:val="003399" w:themeColor="text2"/>
                <w:sz w:val="18"/>
                <w:szCs w:val="18"/>
              </w:rPr>
              <w:t xml:space="preserve"> </w:t>
            </w:r>
            <w:r w:rsidR="00AB0162" w:rsidRPr="00B13363">
              <w:rPr>
                <w:color w:val="003399" w:themeColor="text2"/>
                <w:sz w:val="18"/>
                <w:szCs w:val="18"/>
              </w:rPr>
              <w:t>competencies</w:t>
            </w:r>
            <w:r w:rsidR="00294186">
              <w:rPr>
                <w:rFonts w:ascii="Calibri" w:hAnsi="Calibri" w:cs="Calibri"/>
                <w:color w:val="003399" w:themeColor="text2"/>
                <w:sz w:val="18"/>
                <w:szCs w:val="18"/>
              </w:rPr>
              <w:t xml:space="preserve"> </w:t>
            </w:r>
            <w:r w:rsidR="00AB0162" w:rsidRPr="00B13363">
              <w:rPr>
                <w:color w:val="003399" w:themeColor="text2"/>
                <w:sz w:val="18"/>
                <w:szCs w:val="18"/>
              </w:rPr>
              <w:t>and ready-to-use educational materials to effectively use music as a pedagogical tool for inclusive education.</w:t>
            </w:r>
          </w:p>
          <w:p w14:paraId="79EBB3AD" w14:textId="2BE35F2F" w:rsidR="000D7D9F" w:rsidRPr="003E29CF" w:rsidRDefault="00AB0162" w:rsidP="00294186">
            <w:pPr>
              <w:spacing w:before="60" w:after="60" w:line="20" w:lineRule="atLeast"/>
              <w:rPr>
                <w:noProof/>
                <w:color w:val="003399" w:themeColor="text2"/>
                <w:sz w:val="18"/>
                <w:szCs w:val="18"/>
                <w:highlight w:val="lightGray"/>
              </w:rPr>
            </w:pPr>
            <w:r w:rsidRPr="00B13363">
              <w:rPr>
                <w:color w:val="003399" w:themeColor="text2"/>
                <w:sz w:val="18"/>
                <w:szCs w:val="18"/>
              </w:rPr>
              <w:t>Additionally, the project aims to help teachers develop their social and digital skills through its digital repository and online training resources. While the project has been designed for teachers, the ultimate beneficiaries are the students, whose well-being and academic performance are expected to improve</w:t>
            </w:r>
            <w:r w:rsidR="00294186">
              <w:rPr>
                <w:rFonts w:ascii="Calibri" w:hAnsi="Calibri" w:cs="Calibri"/>
                <w:color w:val="003399" w:themeColor="text2"/>
                <w:sz w:val="18"/>
                <w:szCs w:val="18"/>
              </w:rPr>
              <w:t xml:space="preserve"> </w:t>
            </w:r>
            <w:r w:rsidRPr="00B13363">
              <w:rPr>
                <w:color w:val="003399" w:themeColor="text2"/>
                <w:sz w:val="18"/>
                <w:szCs w:val="18"/>
              </w:rPr>
              <w:t>as a result of</w:t>
            </w:r>
            <w:r w:rsidR="00294186">
              <w:rPr>
                <w:rFonts w:ascii="Calibri" w:hAnsi="Calibri" w:cs="Calibri"/>
                <w:color w:val="003399" w:themeColor="text2"/>
                <w:sz w:val="18"/>
                <w:szCs w:val="18"/>
              </w:rPr>
              <w:t xml:space="preserve"> </w:t>
            </w:r>
            <w:r w:rsidRPr="00B13363">
              <w:rPr>
                <w:color w:val="003399" w:themeColor="text2"/>
                <w:sz w:val="18"/>
                <w:szCs w:val="18"/>
              </w:rPr>
              <w:t>these integrated inclusive practices.</w:t>
            </w:r>
          </w:p>
        </w:tc>
      </w:tr>
      <w:tr w:rsidR="000D7D9F" w:rsidRPr="003E29CF" w14:paraId="7792FF83" w14:textId="77777777" w:rsidTr="001B7D68">
        <w:trPr>
          <w:trHeight w:val="20"/>
          <w:jc w:val="center"/>
        </w:trPr>
        <w:tc>
          <w:tcPr>
            <w:tcW w:w="1276" w:type="dxa"/>
            <w:tcBorders>
              <w:bottom w:val="single" w:sz="4" w:space="0" w:color="D9D9D9" w:themeColor="background1" w:themeShade="D9"/>
            </w:tcBorders>
          </w:tcPr>
          <w:p w14:paraId="0AB3FBBF" w14:textId="5E7192F1" w:rsidR="000D7D9F" w:rsidRPr="003E29CF" w:rsidRDefault="000D7D9F" w:rsidP="00AE458E">
            <w:pPr>
              <w:keepNext/>
              <w:keepLines/>
              <w:numPr>
                <w:ilvl w:val="1"/>
                <w:numId w:val="0"/>
              </w:numPr>
              <w:tabs>
                <w:tab w:val="left" w:pos="2705"/>
              </w:tabs>
              <w:spacing w:before="60" w:after="60" w:line="20" w:lineRule="atLeast"/>
              <w:rPr>
                <w:noProof/>
                <w:color w:val="003399" w:themeColor="text2"/>
                <w:sz w:val="16"/>
                <w:szCs w:val="16"/>
                <w:highlight w:val="lightGray"/>
              </w:rPr>
            </w:pPr>
            <w:r w:rsidRPr="003E29CF">
              <w:rPr>
                <w:noProof/>
                <w:color w:val="003399" w:themeColor="text2"/>
                <w:sz w:val="16"/>
                <w:szCs w:val="16"/>
                <w:highlight w:val="lightGray"/>
              </w:rPr>
              <w:drawing>
                <wp:inline distT="0" distB="0" distL="0" distR="0" wp14:anchorId="5F7F4FDC" wp14:editId="2DF57178">
                  <wp:extent cx="620202" cy="620202"/>
                  <wp:effectExtent l="0" t="0" r="8890" b="8890"/>
                  <wp:docPr id="1879538767" name="Picture 18795387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67" name="Picture 1879538767">
                            <a:extLst>
                              <a:ext uri="{C183D7F6-B498-43B3-948B-1728B52AA6E4}">
                                <adec:decorative xmlns:adec="http://schemas.microsoft.com/office/drawing/2017/decorative" val="1"/>
                              </a:ext>
                            </a:extLst>
                          </pic:cNvPr>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26764" cy="626764"/>
                          </a:xfrm>
                          <a:prstGeom prst="rect">
                            <a:avLst/>
                          </a:prstGeom>
                          <a:noFill/>
                          <a:ln>
                            <a:noFill/>
                          </a:ln>
                        </pic:spPr>
                      </pic:pic>
                    </a:graphicData>
                  </a:graphic>
                </wp:inline>
              </w:drawing>
            </w:r>
          </w:p>
        </w:tc>
        <w:tc>
          <w:tcPr>
            <w:tcW w:w="3515" w:type="dxa"/>
            <w:tcBorders>
              <w:bottom w:val="single" w:sz="4" w:space="0" w:color="D9D9D9" w:themeColor="background1" w:themeShade="D9"/>
              <w:right w:val="single" w:sz="4" w:space="0" w:color="D9D9D9" w:themeColor="background1" w:themeShade="D9"/>
            </w:tcBorders>
          </w:tcPr>
          <w:p w14:paraId="35CD7700" w14:textId="3BF2CC81" w:rsidR="000D7D9F" w:rsidRPr="003E29CF" w:rsidRDefault="00C64784" w:rsidP="00AE458E">
            <w:pPr>
              <w:numPr>
                <w:ilvl w:val="1"/>
                <w:numId w:val="0"/>
              </w:numPr>
              <w:tabs>
                <w:tab w:val="left" w:pos="2705"/>
              </w:tabs>
              <w:spacing w:before="60" w:after="60" w:line="20" w:lineRule="atLeast"/>
              <w:rPr>
                <w:noProof/>
                <w:color w:val="003399" w:themeColor="text2"/>
                <w:spacing w:val="-4"/>
                <w:sz w:val="18"/>
                <w:szCs w:val="18"/>
                <w:highlight w:val="lightGray"/>
              </w:rPr>
            </w:pPr>
            <w:r w:rsidRPr="00C64784">
              <w:rPr>
                <w:noProof/>
                <w:color w:val="003399" w:themeColor="text2"/>
                <w:spacing w:val="-4"/>
                <w:sz w:val="18"/>
                <w:szCs w:val="18"/>
              </w:rPr>
              <w:t xml:space="preserve">Under the </w:t>
            </w:r>
            <w:r>
              <w:rPr>
                <w:b/>
                <w:bCs/>
                <w:noProof/>
                <w:color w:val="003399" w:themeColor="text2"/>
                <w:spacing w:val="-4"/>
                <w:sz w:val="18"/>
                <w:szCs w:val="18"/>
              </w:rPr>
              <w:t>Tec</w:t>
            </w:r>
            <w:r w:rsidR="00A13372">
              <w:rPr>
                <w:b/>
                <w:bCs/>
                <w:noProof/>
                <w:color w:val="003399" w:themeColor="text2"/>
                <w:spacing w:val="-4"/>
                <w:sz w:val="18"/>
                <w:szCs w:val="18"/>
              </w:rPr>
              <w:t>hnical Support Instrument</w:t>
            </w:r>
            <w:r w:rsidR="008C1735">
              <w:rPr>
                <w:b/>
                <w:bCs/>
                <w:noProof/>
                <w:color w:val="003399" w:themeColor="text2"/>
                <w:spacing w:val="-4"/>
                <w:sz w:val="18"/>
                <w:szCs w:val="18"/>
              </w:rPr>
              <w:t xml:space="preserve"> </w:t>
            </w:r>
            <w:r w:rsidR="008C1735">
              <w:rPr>
                <w:noProof/>
                <w:color w:val="003399" w:themeColor="text2"/>
                <w:spacing w:val="-4"/>
                <w:sz w:val="18"/>
                <w:szCs w:val="18"/>
              </w:rPr>
              <w:t>in</w:t>
            </w:r>
            <w:r w:rsidRPr="00C64784">
              <w:rPr>
                <w:noProof/>
                <w:color w:val="003399" w:themeColor="text2"/>
                <w:spacing w:val="-4"/>
                <w:sz w:val="18"/>
                <w:szCs w:val="18"/>
              </w:rPr>
              <w:t xml:space="preserve"> 2025, a number of new gender</w:t>
            </w:r>
            <w:r w:rsidR="007123E0">
              <w:rPr>
                <w:noProof/>
                <w:color w:val="003399" w:themeColor="text2"/>
                <w:spacing w:val="-4"/>
                <w:sz w:val="18"/>
                <w:szCs w:val="18"/>
              </w:rPr>
              <w:t>-</w:t>
            </w:r>
            <w:r w:rsidRPr="00C64784">
              <w:rPr>
                <w:noProof/>
                <w:color w:val="003399" w:themeColor="text2"/>
                <w:spacing w:val="-4"/>
                <w:sz w:val="18"/>
                <w:szCs w:val="18"/>
              </w:rPr>
              <w:t xml:space="preserve">related projects started recently. For instance, the </w:t>
            </w:r>
            <w:r w:rsidR="007123E0" w:rsidRPr="001907EE">
              <w:rPr>
                <w:noProof/>
                <w:color w:val="003399" w:themeColor="text2"/>
                <w:spacing w:val="-4"/>
                <w:sz w:val="18"/>
                <w:szCs w:val="18"/>
              </w:rPr>
              <w:t>Technical Support Instrument</w:t>
            </w:r>
            <w:r w:rsidRPr="00C64784">
              <w:rPr>
                <w:noProof/>
                <w:color w:val="003399" w:themeColor="text2"/>
                <w:spacing w:val="-4"/>
                <w:sz w:val="18"/>
                <w:szCs w:val="18"/>
              </w:rPr>
              <w:t xml:space="preserve"> project on the </w:t>
            </w:r>
            <w:r w:rsidR="00525E37">
              <w:rPr>
                <w:noProof/>
                <w:color w:val="003399" w:themeColor="text2"/>
                <w:spacing w:val="-4"/>
                <w:sz w:val="18"/>
                <w:szCs w:val="18"/>
              </w:rPr>
              <w:t>a</w:t>
            </w:r>
            <w:r w:rsidRPr="00C64784">
              <w:rPr>
                <w:noProof/>
                <w:color w:val="003399" w:themeColor="text2"/>
                <w:spacing w:val="-4"/>
                <w:sz w:val="18"/>
                <w:szCs w:val="18"/>
              </w:rPr>
              <w:t>ssessment on the effectiveness of work</w:t>
            </w:r>
            <w:r w:rsidR="007123E0">
              <w:rPr>
                <w:noProof/>
                <w:color w:val="003399" w:themeColor="text2"/>
                <w:spacing w:val="-4"/>
                <w:sz w:val="18"/>
                <w:szCs w:val="18"/>
              </w:rPr>
              <w:t>–</w:t>
            </w:r>
            <w:r w:rsidRPr="00C64784">
              <w:rPr>
                <w:noProof/>
                <w:color w:val="003399" w:themeColor="text2"/>
                <w:spacing w:val="-4"/>
                <w:sz w:val="18"/>
                <w:szCs w:val="18"/>
              </w:rPr>
              <w:t>life balance and gender equality policies in the labour market is helping Portugal to address its demographic challenges and promote a more inclusive and equitable society, contributing to the country’s sustainable economic development and competitiveness.</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265AFFB6" w14:textId="272A72FF" w:rsidR="000D7D9F" w:rsidRPr="003E29CF" w:rsidRDefault="000D7D9F" w:rsidP="00AE458E">
            <w:pPr>
              <w:keepNext/>
              <w:keepLines/>
              <w:numPr>
                <w:ilvl w:val="1"/>
                <w:numId w:val="0"/>
              </w:numPr>
              <w:tabs>
                <w:tab w:val="left" w:pos="2705"/>
              </w:tabs>
              <w:spacing w:before="60" w:after="60" w:line="20" w:lineRule="atLeast"/>
              <w:rPr>
                <w:noProof/>
                <w:color w:val="003399" w:themeColor="text2"/>
                <w:sz w:val="18"/>
                <w:szCs w:val="18"/>
                <w:highlight w:val="lightGray"/>
              </w:rPr>
            </w:pPr>
            <w:r w:rsidRPr="003E29CF">
              <w:rPr>
                <w:noProof/>
                <w:color w:val="003399" w:themeColor="text2"/>
                <w:sz w:val="18"/>
                <w:szCs w:val="18"/>
                <w:highlight w:val="lightGray"/>
              </w:rPr>
              <w:drawing>
                <wp:inline distT="0" distB="0" distL="0" distR="0" wp14:anchorId="326A6F83" wp14:editId="3050C821">
                  <wp:extent cx="647258" cy="647258"/>
                  <wp:effectExtent l="0" t="0" r="635" b="635"/>
                  <wp:docPr id="1879538768" name="Picture 18795387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68" name="Picture 1879538768">
                            <a:extLst>
                              <a:ext uri="{C183D7F6-B498-43B3-948B-1728B52AA6E4}">
                                <adec:decorative xmlns:adec="http://schemas.microsoft.com/office/drawing/2017/decorative" val="1"/>
                              </a:ext>
                            </a:extLst>
                          </pic:cNvPr>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50628" cy="650628"/>
                          </a:xfrm>
                          <a:prstGeom prst="rect">
                            <a:avLst/>
                          </a:prstGeom>
                          <a:noFill/>
                          <a:ln>
                            <a:noFill/>
                          </a:ln>
                        </pic:spPr>
                      </pic:pic>
                    </a:graphicData>
                  </a:graphic>
                </wp:inline>
              </w:drawing>
            </w:r>
          </w:p>
        </w:tc>
        <w:tc>
          <w:tcPr>
            <w:tcW w:w="3515" w:type="dxa"/>
            <w:tcBorders>
              <w:bottom w:val="single" w:sz="4" w:space="0" w:color="D9D9D9" w:themeColor="background1" w:themeShade="D9"/>
            </w:tcBorders>
          </w:tcPr>
          <w:p w14:paraId="0C10B240" w14:textId="51C48693" w:rsidR="000D7D9F" w:rsidRPr="003E29CF" w:rsidRDefault="005261DE" w:rsidP="00AE458E">
            <w:pPr>
              <w:keepNext/>
              <w:keepLines/>
              <w:numPr>
                <w:ilvl w:val="1"/>
                <w:numId w:val="0"/>
              </w:numPr>
              <w:tabs>
                <w:tab w:val="left" w:pos="2705"/>
              </w:tabs>
              <w:spacing w:before="60" w:after="60" w:line="20" w:lineRule="atLeast"/>
              <w:rPr>
                <w:noProof/>
                <w:color w:val="003399" w:themeColor="text2"/>
                <w:sz w:val="18"/>
                <w:szCs w:val="18"/>
                <w:highlight w:val="lightGray"/>
              </w:rPr>
            </w:pPr>
            <w:r>
              <w:rPr>
                <w:noProof/>
                <w:color w:val="003399" w:themeColor="text2"/>
                <w:sz w:val="18"/>
                <w:szCs w:val="18"/>
              </w:rPr>
              <w:t>T</w:t>
            </w:r>
            <w:r w:rsidR="009D7984">
              <w:rPr>
                <w:noProof/>
                <w:color w:val="003399" w:themeColor="text2"/>
                <w:sz w:val="18"/>
                <w:szCs w:val="18"/>
              </w:rPr>
              <w:t>he EU provides</w:t>
            </w:r>
            <w:r w:rsidRPr="005261DE">
              <w:rPr>
                <w:noProof/>
                <w:color w:val="003399" w:themeColor="text2"/>
                <w:sz w:val="18"/>
                <w:szCs w:val="18"/>
              </w:rPr>
              <w:t xml:space="preserve"> safe drinking water, sanitation and hygiene support through its humanitarian aid </w:t>
            </w:r>
            <w:r w:rsidR="00D97AB0">
              <w:rPr>
                <w:noProof/>
                <w:color w:val="003399" w:themeColor="text2"/>
                <w:sz w:val="18"/>
                <w:szCs w:val="18"/>
              </w:rPr>
              <w:t xml:space="preserve">operations </w:t>
            </w:r>
            <w:r w:rsidRPr="005261DE">
              <w:rPr>
                <w:noProof/>
                <w:color w:val="003399" w:themeColor="text2"/>
                <w:sz w:val="18"/>
                <w:szCs w:val="18"/>
              </w:rPr>
              <w:t>and</w:t>
            </w:r>
            <w:r w:rsidR="003E0D6E">
              <w:rPr>
                <w:noProof/>
                <w:color w:val="003399" w:themeColor="text2"/>
                <w:sz w:val="18"/>
                <w:szCs w:val="18"/>
              </w:rPr>
              <w:t xml:space="preserve"> the</w:t>
            </w:r>
            <w:r w:rsidRPr="005261DE">
              <w:rPr>
                <w:noProof/>
                <w:color w:val="003399" w:themeColor="text2"/>
                <w:sz w:val="18"/>
                <w:szCs w:val="18"/>
              </w:rPr>
              <w:t xml:space="preserve"> </w:t>
            </w:r>
            <w:r w:rsidR="00AC52ED" w:rsidRPr="001907EE">
              <w:rPr>
                <w:b/>
                <w:bCs/>
                <w:noProof/>
                <w:color w:val="003399" w:themeColor="text2"/>
                <w:sz w:val="18"/>
                <w:szCs w:val="18"/>
              </w:rPr>
              <w:t>Union</w:t>
            </w:r>
            <w:r w:rsidR="00AC52ED">
              <w:rPr>
                <w:noProof/>
                <w:color w:val="003399" w:themeColor="text2"/>
                <w:sz w:val="18"/>
                <w:szCs w:val="18"/>
              </w:rPr>
              <w:t xml:space="preserve"> </w:t>
            </w:r>
            <w:r w:rsidRPr="00B13363">
              <w:rPr>
                <w:b/>
                <w:color w:val="003399" w:themeColor="text2"/>
                <w:sz w:val="18"/>
                <w:szCs w:val="18"/>
              </w:rPr>
              <w:t>Civil Protection Mechanism</w:t>
            </w:r>
            <w:r w:rsidRPr="005261DE">
              <w:rPr>
                <w:noProof/>
                <w:color w:val="003399" w:themeColor="text2"/>
                <w:sz w:val="18"/>
                <w:szCs w:val="18"/>
              </w:rPr>
              <w:t>, wh</w:t>
            </w:r>
            <w:r w:rsidR="00226298">
              <w:rPr>
                <w:noProof/>
                <w:color w:val="003399" w:themeColor="text2"/>
                <w:sz w:val="18"/>
                <w:szCs w:val="18"/>
              </w:rPr>
              <w:t>ose</w:t>
            </w:r>
            <w:r w:rsidRPr="005261DE">
              <w:rPr>
                <w:noProof/>
                <w:color w:val="003399" w:themeColor="text2"/>
                <w:sz w:val="18"/>
                <w:szCs w:val="18"/>
              </w:rPr>
              <w:t xml:space="preserve"> main objective </w:t>
            </w:r>
            <w:r w:rsidR="00226298">
              <w:rPr>
                <w:noProof/>
                <w:color w:val="003399" w:themeColor="text2"/>
                <w:sz w:val="18"/>
                <w:szCs w:val="18"/>
              </w:rPr>
              <w:t xml:space="preserve">is </w:t>
            </w:r>
            <w:r w:rsidRPr="005261DE">
              <w:rPr>
                <w:noProof/>
                <w:color w:val="003399" w:themeColor="text2"/>
                <w:sz w:val="18"/>
                <w:szCs w:val="18"/>
              </w:rPr>
              <w:t xml:space="preserve">to save and preserve life and alleviate the suffering of populations facing severe environmental health risks and water insecurity in the context of anticipated, ongoing and recent humanitarian crises, for example in Ukraine. The </w:t>
            </w:r>
            <w:r w:rsidR="00226298">
              <w:rPr>
                <w:noProof/>
                <w:color w:val="003399" w:themeColor="text2"/>
                <w:sz w:val="18"/>
                <w:szCs w:val="18"/>
              </w:rPr>
              <w:t>mechanism</w:t>
            </w:r>
            <w:r w:rsidRPr="005261DE">
              <w:rPr>
                <w:noProof/>
                <w:color w:val="003399" w:themeColor="text2"/>
                <w:sz w:val="18"/>
                <w:szCs w:val="18"/>
              </w:rPr>
              <w:t xml:space="preserve"> has also been active in responding to flooded areas with non-food items, health and </w:t>
            </w:r>
            <w:r w:rsidR="00226298">
              <w:rPr>
                <w:noProof/>
                <w:color w:val="003399" w:themeColor="text2"/>
                <w:sz w:val="18"/>
                <w:szCs w:val="18"/>
              </w:rPr>
              <w:t>w</w:t>
            </w:r>
            <w:r w:rsidRPr="005261DE">
              <w:rPr>
                <w:noProof/>
                <w:color w:val="003399" w:themeColor="text2"/>
                <w:sz w:val="18"/>
                <w:szCs w:val="18"/>
              </w:rPr>
              <w:t xml:space="preserve">ater </w:t>
            </w:r>
            <w:r w:rsidR="00226298">
              <w:rPr>
                <w:noProof/>
                <w:color w:val="003399" w:themeColor="text2"/>
                <w:sz w:val="18"/>
                <w:szCs w:val="18"/>
              </w:rPr>
              <w:t>a</w:t>
            </w:r>
            <w:r w:rsidRPr="005261DE">
              <w:rPr>
                <w:noProof/>
                <w:color w:val="003399" w:themeColor="text2"/>
                <w:sz w:val="18"/>
                <w:szCs w:val="18"/>
              </w:rPr>
              <w:t>ccess</w:t>
            </w:r>
            <w:r w:rsidR="00992109">
              <w:rPr>
                <w:noProof/>
                <w:color w:val="003399" w:themeColor="text2"/>
                <w:sz w:val="18"/>
                <w:szCs w:val="18"/>
              </w:rPr>
              <w:t xml:space="preserve"> and</w:t>
            </w:r>
            <w:r w:rsidRPr="005261DE">
              <w:rPr>
                <w:noProof/>
                <w:color w:val="003399" w:themeColor="text2"/>
                <w:sz w:val="18"/>
                <w:szCs w:val="18"/>
              </w:rPr>
              <w:t xml:space="preserve"> </w:t>
            </w:r>
            <w:r w:rsidR="00226298">
              <w:rPr>
                <w:noProof/>
                <w:color w:val="003399" w:themeColor="text2"/>
                <w:sz w:val="18"/>
                <w:szCs w:val="18"/>
              </w:rPr>
              <w:t>s</w:t>
            </w:r>
            <w:r w:rsidRPr="005261DE">
              <w:rPr>
                <w:noProof/>
                <w:color w:val="003399" w:themeColor="text2"/>
                <w:sz w:val="18"/>
                <w:szCs w:val="18"/>
              </w:rPr>
              <w:t xml:space="preserve">anitation and </w:t>
            </w:r>
            <w:r w:rsidR="00226298">
              <w:rPr>
                <w:noProof/>
                <w:color w:val="003399" w:themeColor="text2"/>
                <w:sz w:val="18"/>
                <w:szCs w:val="18"/>
              </w:rPr>
              <w:t>h</w:t>
            </w:r>
            <w:r w:rsidRPr="005261DE">
              <w:rPr>
                <w:noProof/>
                <w:color w:val="003399" w:themeColor="text2"/>
                <w:sz w:val="18"/>
                <w:szCs w:val="18"/>
              </w:rPr>
              <w:t xml:space="preserve">ygiene material, such as </w:t>
            </w:r>
            <w:r w:rsidR="003605ED">
              <w:rPr>
                <w:noProof/>
                <w:color w:val="003399" w:themeColor="text2"/>
                <w:sz w:val="18"/>
                <w:szCs w:val="18"/>
              </w:rPr>
              <w:t xml:space="preserve">in </w:t>
            </w:r>
            <w:r w:rsidRPr="005261DE">
              <w:rPr>
                <w:noProof/>
                <w:color w:val="003399" w:themeColor="text2"/>
                <w:sz w:val="18"/>
                <w:szCs w:val="18"/>
              </w:rPr>
              <w:t xml:space="preserve">the response to </w:t>
            </w:r>
            <w:r w:rsidR="00FE30F1" w:rsidRPr="005261DE">
              <w:rPr>
                <w:noProof/>
                <w:color w:val="003399" w:themeColor="text2"/>
                <w:sz w:val="18"/>
                <w:szCs w:val="18"/>
              </w:rPr>
              <w:t xml:space="preserve">Hurricane </w:t>
            </w:r>
            <w:r w:rsidRPr="005261DE">
              <w:rPr>
                <w:noProof/>
                <w:color w:val="003399" w:themeColor="text2"/>
                <w:sz w:val="18"/>
                <w:szCs w:val="18"/>
              </w:rPr>
              <w:t>Melissa in the Caribbean (</w:t>
            </w:r>
            <w:r w:rsidR="00270341">
              <w:rPr>
                <w:noProof/>
                <w:color w:val="003399" w:themeColor="text2"/>
                <w:sz w:val="18"/>
                <w:szCs w:val="18"/>
              </w:rPr>
              <w:t xml:space="preserve">Cuba, </w:t>
            </w:r>
            <w:r w:rsidRPr="005261DE">
              <w:rPr>
                <w:noProof/>
                <w:color w:val="003399" w:themeColor="text2"/>
                <w:sz w:val="18"/>
                <w:szCs w:val="18"/>
              </w:rPr>
              <w:t>Jamaica) and in earthquake</w:t>
            </w:r>
            <w:r w:rsidR="00FE30F1">
              <w:rPr>
                <w:noProof/>
                <w:color w:val="003399" w:themeColor="text2"/>
                <w:sz w:val="18"/>
                <w:szCs w:val="18"/>
              </w:rPr>
              <w:t>-</w:t>
            </w:r>
            <w:r w:rsidRPr="005261DE">
              <w:rPr>
                <w:noProof/>
                <w:color w:val="003399" w:themeColor="text2"/>
                <w:sz w:val="18"/>
                <w:szCs w:val="18"/>
              </w:rPr>
              <w:t>affected areas such as Myanmar. These donations were offered by Member States</w:t>
            </w:r>
            <w:r w:rsidR="003A4101">
              <w:rPr>
                <w:noProof/>
                <w:color w:val="003399" w:themeColor="text2"/>
                <w:sz w:val="18"/>
                <w:szCs w:val="18"/>
              </w:rPr>
              <w:t>,</w:t>
            </w:r>
            <w:r w:rsidRPr="005261DE">
              <w:rPr>
                <w:noProof/>
                <w:color w:val="003399" w:themeColor="text2"/>
                <w:sz w:val="18"/>
                <w:szCs w:val="18"/>
              </w:rPr>
              <w:t xml:space="preserve"> and the Emergency Response Coordination Centre co-funded transport and deployment costs.</w:t>
            </w:r>
          </w:p>
        </w:tc>
      </w:tr>
      <w:tr w:rsidR="000D7D9F" w:rsidRPr="003E29CF" w14:paraId="4CB11FE0" w14:textId="77777777" w:rsidTr="001B7D68">
        <w:trPr>
          <w:trHeight w:val="20"/>
          <w:jc w:val="center"/>
        </w:trPr>
        <w:tc>
          <w:tcPr>
            <w:tcW w:w="1276" w:type="dxa"/>
            <w:tcBorders>
              <w:top w:val="single" w:sz="4" w:space="0" w:color="D9D9D9" w:themeColor="background1" w:themeShade="D9"/>
              <w:bottom w:val="single" w:sz="4" w:space="0" w:color="D9D9D9" w:themeColor="background1" w:themeShade="D9"/>
            </w:tcBorders>
            <w:hideMark/>
          </w:tcPr>
          <w:p w14:paraId="5D61429E" w14:textId="77777777" w:rsidR="000D7D9F" w:rsidRPr="003E29CF" w:rsidRDefault="000D7D9F" w:rsidP="00AE458E">
            <w:pPr>
              <w:keepNext/>
              <w:keepLines/>
              <w:numPr>
                <w:ilvl w:val="1"/>
                <w:numId w:val="0"/>
              </w:numPr>
              <w:tabs>
                <w:tab w:val="left" w:pos="2705"/>
              </w:tabs>
              <w:spacing w:before="60" w:after="60" w:line="20" w:lineRule="atLeast"/>
              <w:rPr>
                <w:noProof/>
                <w:color w:val="003399" w:themeColor="text2"/>
                <w:sz w:val="16"/>
                <w:szCs w:val="16"/>
                <w:highlight w:val="lightGray"/>
              </w:rPr>
            </w:pPr>
            <w:r w:rsidRPr="003E29CF">
              <w:rPr>
                <w:noProof/>
                <w:color w:val="003399" w:themeColor="text2"/>
                <w:sz w:val="16"/>
                <w:szCs w:val="16"/>
                <w:highlight w:val="lightGray"/>
              </w:rPr>
              <w:drawing>
                <wp:inline distT="0" distB="0" distL="0" distR="0" wp14:anchorId="3FF882EE" wp14:editId="6E2D6444">
                  <wp:extent cx="659765" cy="659765"/>
                  <wp:effectExtent l="0" t="0" r="6985" b="6985"/>
                  <wp:docPr id="1879538769" name="Picture 18795387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69" name="Picture 1879538769">
                            <a:extLst>
                              <a:ext uri="{C183D7F6-B498-43B3-948B-1728B52AA6E4}">
                                <adec:decorative xmlns:adec="http://schemas.microsoft.com/office/drawing/2017/decorative" val="1"/>
                              </a:ext>
                            </a:extLst>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61101" cy="661101"/>
                          </a:xfrm>
                          <a:prstGeom prst="rect">
                            <a:avLst/>
                          </a:prstGeom>
                          <a:noFill/>
                          <a:ln>
                            <a:noFill/>
                          </a:ln>
                        </pic:spPr>
                      </pic:pic>
                    </a:graphicData>
                  </a:graphic>
                </wp:inline>
              </w:drawing>
            </w:r>
          </w:p>
        </w:tc>
        <w:tc>
          <w:tcPr>
            <w:tcW w:w="351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77459551" w14:textId="4CEFE102" w:rsidR="000D7D9F" w:rsidRPr="003E29CF" w:rsidRDefault="00C54794" w:rsidP="00AE458E">
            <w:pPr>
              <w:keepNext/>
              <w:keepLines/>
              <w:numPr>
                <w:ilvl w:val="1"/>
                <w:numId w:val="0"/>
              </w:numPr>
              <w:tabs>
                <w:tab w:val="left" w:pos="2705"/>
              </w:tabs>
              <w:spacing w:before="60" w:after="60" w:line="20" w:lineRule="atLeast"/>
              <w:rPr>
                <w:rFonts w:eastAsia="EC Square Sans Pro"/>
                <w:noProof/>
                <w:color w:val="003399" w:themeColor="text2"/>
                <w:spacing w:val="-4"/>
                <w:sz w:val="18"/>
                <w:szCs w:val="18"/>
                <w:highlight w:val="lightGray"/>
              </w:rPr>
            </w:pPr>
            <w:r w:rsidRPr="00B13363">
              <w:rPr>
                <w:rFonts w:eastAsia="EC Square Sans Pro"/>
                <w:color w:val="003399" w:themeColor="text2"/>
                <w:spacing w:val="-4"/>
                <w:sz w:val="18"/>
                <w:szCs w:val="18"/>
              </w:rPr>
              <w:t xml:space="preserve">Through </w:t>
            </w:r>
            <w:r w:rsidRPr="00B13363">
              <w:rPr>
                <w:rFonts w:eastAsia="EC Square Sans Pro"/>
                <w:b/>
                <w:color w:val="003399" w:themeColor="text2"/>
                <w:spacing w:val="-4"/>
                <w:sz w:val="18"/>
                <w:szCs w:val="18"/>
              </w:rPr>
              <w:t>Horizon Europe</w:t>
            </w:r>
            <w:r w:rsidRPr="00B13363">
              <w:rPr>
                <w:rFonts w:eastAsia="EC Square Sans Pro"/>
                <w:color w:val="003399" w:themeColor="text2"/>
                <w:spacing w:val="-4"/>
                <w:sz w:val="18"/>
                <w:szCs w:val="18"/>
              </w:rPr>
              <w:t xml:space="preserve">, the </w:t>
            </w:r>
            <w:r w:rsidR="0096038A">
              <w:rPr>
                <w:rFonts w:eastAsia="EC Square Sans Pro"/>
                <w:color w:val="003399" w:themeColor="text2"/>
                <w:spacing w:val="-4"/>
                <w:sz w:val="18"/>
                <w:szCs w:val="18"/>
              </w:rPr>
              <w:t>a</w:t>
            </w:r>
            <w:r w:rsidR="00D66373">
              <w:rPr>
                <w:rFonts w:eastAsia="EC Square Sans Pro"/>
                <w:color w:val="003399" w:themeColor="text2"/>
                <w:spacing w:val="-4"/>
                <w:sz w:val="18"/>
                <w:szCs w:val="18"/>
              </w:rPr>
              <w:t>scend</w:t>
            </w:r>
            <w:r w:rsidRPr="00B13363">
              <w:rPr>
                <w:rFonts w:eastAsia="EC Square Sans Pro"/>
                <w:color w:val="003399" w:themeColor="text2"/>
                <w:spacing w:val="-4"/>
                <w:sz w:val="18"/>
                <w:szCs w:val="18"/>
              </w:rPr>
              <w:t xml:space="preserve"> project, with an EU contribution of </w:t>
            </w:r>
            <w:r w:rsidR="0061275E">
              <w:rPr>
                <w:rFonts w:eastAsia="EC Square Sans Pro"/>
                <w:color w:val="003399" w:themeColor="text2"/>
                <w:spacing w:val="-4"/>
                <w:sz w:val="18"/>
                <w:szCs w:val="18"/>
              </w:rPr>
              <w:t>EUR</w:t>
            </w:r>
            <w:r w:rsidRPr="00B13363">
              <w:rPr>
                <w:rFonts w:ascii="Calibri" w:eastAsia="EC Square Sans Pro" w:hAnsi="Calibri" w:cs="Calibri"/>
                <w:color w:val="003399" w:themeColor="text2"/>
                <w:spacing w:val="-4"/>
                <w:sz w:val="18"/>
                <w:szCs w:val="18"/>
              </w:rPr>
              <w:t> </w:t>
            </w:r>
            <w:r w:rsidRPr="00B13363">
              <w:rPr>
                <w:rFonts w:eastAsia="EC Square Sans Pro"/>
                <w:color w:val="003399" w:themeColor="text2"/>
                <w:spacing w:val="-4"/>
                <w:sz w:val="18"/>
                <w:szCs w:val="18"/>
              </w:rPr>
              <w:t>19.99</w:t>
            </w:r>
            <w:r w:rsidR="008B1F0C">
              <w:rPr>
                <w:rFonts w:ascii="Calibri" w:eastAsia="EC Square Sans Pro" w:hAnsi="Calibri" w:cs="Calibri"/>
                <w:color w:val="003399" w:themeColor="text2"/>
                <w:spacing w:val="-4"/>
                <w:sz w:val="18"/>
                <w:szCs w:val="18"/>
              </w:rPr>
              <w:t> </w:t>
            </w:r>
            <w:r w:rsidRPr="00B13363">
              <w:rPr>
                <w:rFonts w:eastAsia="EC Square Sans Pro"/>
                <w:color w:val="003399" w:themeColor="text2"/>
                <w:spacing w:val="-4"/>
                <w:sz w:val="18"/>
                <w:szCs w:val="18"/>
              </w:rPr>
              <w:t>million, supports</w:t>
            </w:r>
            <w:r w:rsidR="008B1F0C">
              <w:rPr>
                <w:rFonts w:ascii="Calibri" w:eastAsia="EC Square Sans Pro" w:hAnsi="Calibri" w:cs="Calibri"/>
                <w:color w:val="003399" w:themeColor="text2"/>
                <w:spacing w:val="-4"/>
                <w:sz w:val="18"/>
                <w:szCs w:val="18"/>
              </w:rPr>
              <w:t xml:space="preserve"> </w:t>
            </w:r>
            <w:r w:rsidRPr="00B13363">
              <w:rPr>
                <w:rFonts w:eastAsia="EC Square Sans Pro"/>
                <w:color w:val="003399" w:themeColor="text2"/>
                <w:spacing w:val="-4"/>
                <w:sz w:val="18"/>
                <w:szCs w:val="18"/>
              </w:rPr>
              <w:t>affordable and clean energy</w:t>
            </w:r>
            <w:r w:rsidR="008B1F0C">
              <w:rPr>
                <w:rFonts w:ascii="Calibri" w:eastAsia="EC Square Sans Pro" w:hAnsi="Calibri" w:cs="Calibri"/>
                <w:color w:val="003399" w:themeColor="text2"/>
                <w:spacing w:val="-4"/>
                <w:sz w:val="18"/>
                <w:szCs w:val="18"/>
              </w:rPr>
              <w:t xml:space="preserve"> </w:t>
            </w:r>
            <w:r w:rsidRPr="00B13363">
              <w:rPr>
                <w:rFonts w:eastAsia="EC Square Sans Pro"/>
                <w:color w:val="003399" w:themeColor="text2"/>
                <w:spacing w:val="-4"/>
                <w:sz w:val="18"/>
                <w:szCs w:val="18"/>
              </w:rPr>
              <w:t>in cities by delivering two</w:t>
            </w:r>
            <w:r w:rsidR="008B1F0C">
              <w:rPr>
                <w:rFonts w:ascii="Calibri" w:eastAsia="EC Square Sans Pro" w:hAnsi="Calibri" w:cs="Calibri"/>
                <w:color w:val="003399" w:themeColor="text2"/>
                <w:spacing w:val="-4"/>
                <w:sz w:val="18"/>
                <w:szCs w:val="18"/>
              </w:rPr>
              <w:t xml:space="preserve"> </w:t>
            </w:r>
            <w:r w:rsidRPr="00B13363">
              <w:rPr>
                <w:rFonts w:eastAsia="EC Square Sans Pro"/>
                <w:color w:val="003399" w:themeColor="text2"/>
                <w:spacing w:val="-4"/>
                <w:sz w:val="18"/>
                <w:szCs w:val="18"/>
              </w:rPr>
              <w:t>Positive Clean Energy Districts</w:t>
            </w:r>
            <w:r w:rsidR="008B1F0C">
              <w:rPr>
                <w:rFonts w:ascii="Calibri" w:eastAsia="EC Square Sans Pro" w:hAnsi="Calibri" w:cs="Calibri"/>
                <w:color w:val="003399" w:themeColor="text2"/>
                <w:spacing w:val="-4"/>
                <w:sz w:val="18"/>
                <w:szCs w:val="18"/>
              </w:rPr>
              <w:t xml:space="preserve"> </w:t>
            </w:r>
            <w:r w:rsidRPr="00B13363">
              <w:rPr>
                <w:rFonts w:eastAsia="EC Square Sans Pro"/>
                <w:color w:val="003399" w:themeColor="text2"/>
                <w:spacing w:val="-4"/>
                <w:sz w:val="18"/>
                <w:szCs w:val="18"/>
              </w:rPr>
              <w:t>in Lyon and Munich and engaging eight partner cities to prepare replication. The project develops and</w:t>
            </w:r>
            <w:r w:rsidR="008B1F0C">
              <w:rPr>
                <w:rFonts w:ascii="Calibri" w:eastAsia="EC Square Sans Pro" w:hAnsi="Calibri" w:cs="Calibri"/>
                <w:color w:val="003399" w:themeColor="text2"/>
                <w:spacing w:val="-4"/>
                <w:sz w:val="18"/>
                <w:szCs w:val="18"/>
              </w:rPr>
              <w:t xml:space="preserve"> </w:t>
            </w:r>
            <w:r w:rsidRPr="00B13363">
              <w:rPr>
                <w:rFonts w:eastAsia="EC Square Sans Pro"/>
                <w:color w:val="003399" w:themeColor="text2"/>
                <w:spacing w:val="-4"/>
                <w:sz w:val="18"/>
                <w:szCs w:val="18"/>
              </w:rPr>
              <w:t>disseminates</w:t>
            </w:r>
            <w:r w:rsidR="008B1F0C">
              <w:rPr>
                <w:rFonts w:ascii="Calibri" w:eastAsia="EC Square Sans Pro" w:hAnsi="Calibri" w:cs="Calibri"/>
                <w:color w:val="003399" w:themeColor="text2"/>
                <w:spacing w:val="-4"/>
                <w:sz w:val="18"/>
                <w:szCs w:val="18"/>
              </w:rPr>
              <w:t xml:space="preserve"> </w:t>
            </w:r>
            <w:r w:rsidRPr="00B13363">
              <w:rPr>
                <w:rFonts w:eastAsia="EC Square Sans Pro"/>
                <w:color w:val="003399" w:themeColor="text2"/>
                <w:spacing w:val="-4"/>
                <w:sz w:val="18"/>
                <w:szCs w:val="18"/>
              </w:rPr>
              <w:t>scalable, cost-effective</w:t>
            </w:r>
            <w:r w:rsidR="008B1F0C">
              <w:rPr>
                <w:rFonts w:ascii="Calibri" w:eastAsia="EC Square Sans Pro" w:hAnsi="Calibri" w:cs="Calibri"/>
                <w:color w:val="003399" w:themeColor="text2"/>
                <w:spacing w:val="-4"/>
                <w:sz w:val="18"/>
                <w:szCs w:val="18"/>
              </w:rPr>
              <w:t xml:space="preserve"> </w:t>
            </w:r>
            <w:r w:rsidRPr="00B13363">
              <w:rPr>
                <w:rFonts w:eastAsia="EC Square Sans Pro"/>
                <w:color w:val="003399" w:themeColor="text2"/>
                <w:spacing w:val="-4"/>
                <w:sz w:val="18"/>
                <w:szCs w:val="18"/>
              </w:rPr>
              <w:t>district-level energy solutions</w:t>
            </w:r>
            <w:r w:rsidR="008B1F0C">
              <w:rPr>
                <w:rFonts w:ascii="Calibri" w:eastAsia="EC Square Sans Pro" w:hAnsi="Calibri" w:cs="Calibri"/>
                <w:color w:val="003399" w:themeColor="text2"/>
                <w:spacing w:val="-4"/>
                <w:sz w:val="18"/>
                <w:szCs w:val="18"/>
              </w:rPr>
              <w:t xml:space="preserve"> </w:t>
            </w:r>
            <w:r w:rsidRPr="00B13363">
              <w:rPr>
                <w:rFonts w:eastAsia="EC Square Sans Pro"/>
                <w:color w:val="003399" w:themeColor="text2"/>
                <w:spacing w:val="-4"/>
                <w:sz w:val="18"/>
                <w:szCs w:val="18"/>
              </w:rPr>
              <w:t>to accelerate</w:t>
            </w:r>
            <w:r w:rsidR="008B1F0C">
              <w:rPr>
                <w:rFonts w:ascii="Calibri" w:eastAsia="EC Square Sans Pro" w:hAnsi="Calibri" w:cs="Calibri"/>
                <w:color w:val="003399" w:themeColor="text2"/>
                <w:spacing w:val="-4"/>
                <w:sz w:val="18"/>
                <w:szCs w:val="18"/>
              </w:rPr>
              <w:t xml:space="preserve"> </w:t>
            </w:r>
            <w:r w:rsidRPr="00B13363">
              <w:rPr>
                <w:rFonts w:eastAsia="EC Square Sans Pro"/>
                <w:color w:val="003399" w:themeColor="text2"/>
                <w:spacing w:val="-4"/>
                <w:sz w:val="18"/>
                <w:szCs w:val="18"/>
              </w:rPr>
              <w:t>urban energy transitions.</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hideMark/>
          </w:tcPr>
          <w:p w14:paraId="437E302C" w14:textId="6E407961" w:rsidR="000D7D9F" w:rsidRPr="003E29CF" w:rsidRDefault="000D7D9F" w:rsidP="00AE458E">
            <w:pPr>
              <w:keepNext/>
              <w:keepLines/>
              <w:numPr>
                <w:ilvl w:val="1"/>
                <w:numId w:val="0"/>
              </w:numPr>
              <w:tabs>
                <w:tab w:val="left" w:pos="2705"/>
              </w:tabs>
              <w:spacing w:before="60" w:after="60" w:line="20" w:lineRule="atLeast"/>
              <w:rPr>
                <w:noProof/>
                <w:color w:val="003399" w:themeColor="text2"/>
                <w:sz w:val="18"/>
                <w:szCs w:val="18"/>
                <w:highlight w:val="lightGray"/>
              </w:rPr>
            </w:pPr>
            <w:r w:rsidRPr="003E29CF">
              <w:rPr>
                <w:noProof/>
                <w:color w:val="003399" w:themeColor="text2"/>
                <w:sz w:val="18"/>
                <w:szCs w:val="18"/>
                <w:highlight w:val="lightGray"/>
              </w:rPr>
              <w:drawing>
                <wp:inline distT="0" distB="0" distL="0" distR="0" wp14:anchorId="5F5162AD" wp14:editId="3892B1FF">
                  <wp:extent cx="659958" cy="659958"/>
                  <wp:effectExtent l="0" t="0" r="6985" b="6985"/>
                  <wp:docPr id="1879538770" name="Picture 18795387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70" name="Picture 1879538770">
                            <a:extLst>
                              <a:ext uri="{C183D7F6-B498-43B3-948B-1728B52AA6E4}">
                                <adec:decorative xmlns:adec="http://schemas.microsoft.com/office/drawing/2017/decorative" val="1"/>
                              </a:ext>
                            </a:extLst>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64915" cy="664915"/>
                          </a:xfrm>
                          <a:prstGeom prst="rect">
                            <a:avLst/>
                          </a:prstGeom>
                          <a:noFill/>
                          <a:ln>
                            <a:noFill/>
                          </a:ln>
                        </pic:spPr>
                      </pic:pic>
                    </a:graphicData>
                  </a:graphic>
                </wp:inline>
              </w:drawing>
            </w:r>
          </w:p>
        </w:tc>
        <w:tc>
          <w:tcPr>
            <w:tcW w:w="3515" w:type="dxa"/>
            <w:tcBorders>
              <w:top w:val="single" w:sz="4" w:space="0" w:color="D9D9D9" w:themeColor="background1" w:themeShade="D9"/>
              <w:bottom w:val="single" w:sz="4" w:space="0" w:color="D9D9D9" w:themeColor="background1" w:themeShade="D9"/>
            </w:tcBorders>
            <w:hideMark/>
          </w:tcPr>
          <w:p w14:paraId="5B0AE99D" w14:textId="3F10A412" w:rsidR="000D7D9F" w:rsidRPr="00B13363" w:rsidRDefault="000D7D9F" w:rsidP="00AE458E">
            <w:pPr>
              <w:numPr>
                <w:ilvl w:val="1"/>
                <w:numId w:val="0"/>
              </w:numPr>
              <w:spacing w:before="60" w:after="60" w:line="20" w:lineRule="atLeast"/>
              <w:rPr>
                <w:rFonts w:eastAsia="EC Square Sans Pro"/>
                <w:color w:val="003399" w:themeColor="text2"/>
                <w:sz w:val="18"/>
                <w:szCs w:val="18"/>
              </w:rPr>
            </w:pPr>
            <w:r w:rsidRPr="00B13363">
              <w:rPr>
                <w:rFonts w:eastAsia="EC Square Sans Pro"/>
                <w:color w:val="003399" w:themeColor="text2"/>
                <w:sz w:val="18"/>
                <w:szCs w:val="18"/>
              </w:rPr>
              <w:t xml:space="preserve">Under the </w:t>
            </w:r>
            <w:r w:rsidRPr="00B13363">
              <w:rPr>
                <w:rFonts w:eastAsia="EC Square Sans Pro"/>
                <w:b/>
                <w:color w:val="003399" w:themeColor="text2"/>
                <w:sz w:val="18"/>
                <w:szCs w:val="18"/>
              </w:rPr>
              <w:t>Instrument for Pre-accession Assistance</w:t>
            </w:r>
            <w:r w:rsidRPr="00B13363">
              <w:rPr>
                <w:rFonts w:eastAsia="EC Square Sans Pro"/>
                <w:color w:val="003399" w:themeColor="text2"/>
                <w:sz w:val="18"/>
                <w:szCs w:val="18"/>
              </w:rPr>
              <w:t xml:space="preserve">, </w:t>
            </w:r>
            <w:r w:rsidR="00120201" w:rsidRPr="00B13363">
              <w:rPr>
                <w:rFonts w:eastAsia="EC Square Sans Pro"/>
                <w:color w:val="003399" w:themeColor="text2"/>
                <w:sz w:val="18"/>
                <w:szCs w:val="18"/>
              </w:rPr>
              <w:t xml:space="preserve">the regional project </w:t>
            </w:r>
            <w:r w:rsidR="00294186">
              <w:rPr>
                <w:rFonts w:eastAsia="EC Square Sans Pro"/>
                <w:color w:val="003399" w:themeColor="text2"/>
                <w:sz w:val="18"/>
                <w:szCs w:val="18"/>
              </w:rPr>
              <w:t>‘</w:t>
            </w:r>
            <w:r w:rsidR="00120201" w:rsidRPr="00B13363">
              <w:rPr>
                <w:rFonts w:eastAsia="EC Square Sans Pro"/>
                <w:color w:val="003399" w:themeColor="text2"/>
                <w:sz w:val="18"/>
                <w:szCs w:val="18"/>
              </w:rPr>
              <w:t>Supporting the development of a modern payment system and a regional investment area in the Western Balkans</w:t>
            </w:r>
            <w:r w:rsidR="00294186">
              <w:rPr>
                <w:rFonts w:eastAsia="EC Square Sans Pro"/>
                <w:color w:val="003399" w:themeColor="text2"/>
                <w:sz w:val="18"/>
                <w:szCs w:val="18"/>
              </w:rPr>
              <w:t>’</w:t>
            </w:r>
            <w:r w:rsidR="00120201" w:rsidRPr="00B13363">
              <w:rPr>
                <w:rFonts w:eastAsia="EC Square Sans Pro"/>
                <w:color w:val="003399" w:themeColor="text2"/>
                <w:sz w:val="18"/>
                <w:szCs w:val="18"/>
              </w:rPr>
              <w:t>,</w:t>
            </w:r>
            <w:r w:rsidR="00294186">
              <w:rPr>
                <w:rFonts w:ascii="Calibri" w:eastAsia="EC Square Sans Pro" w:hAnsi="Calibri" w:cs="Calibri"/>
                <w:color w:val="003399" w:themeColor="text2"/>
                <w:sz w:val="18"/>
                <w:szCs w:val="18"/>
              </w:rPr>
              <w:t xml:space="preserve"> </w:t>
            </w:r>
            <w:r w:rsidR="00120201" w:rsidRPr="00B13363">
              <w:rPr>
                <w:rFonts w:eastAsia="EC Square Sans Pro"/>
                <w:color w:val="003399" w:themeColor="text2"/>
                <w:sz w:val="18"/>
                <w:szCs w:val="18"/>
              </w:rPr>
              <w:t>implemented by the World Bank, supports the Western Balkan partners to join the Single Euro Payments Area (SEPA). In 2025 North Macedonia and Serbia joined SEPA</w:t>
            </w:r>
            <w:r w:rsidR="00120201" w:rsidRPr="00B13363">
              <w:rPr>
                <w:rFonts w:eastAsia="EC Square Sans Pro" w:cs="EC Square Sans Pro"/>
                <w:color w:val="003399" w:themeColor="text2"/>
                <w:sz w:val="18"/>
                <w:szCs w:val="18"/>
              </w:rPr>
              <w:t>’</w:t>
            </w:r>
            <w:r w:rsidR="00120201" w:rsidRPr="00B13363">
              <w:rPr>
                <w:rFonts w:eastAsia="EC Square Sans Pro"/>
                <w:color w:val="003399" w:themeColor="text2"/>
                <w:sz w:val="18"/>
                <w:szCs w:val="18"/>
              </w:rPr>
              <w:t>s geographical scope, after Albania and Montenegro who had already joined at the end of 2024. Moreover, as of October 2025</w:t>
            </w:r>
            <w:r w:rsidR="00D22F2A">
              <w:rPr>
                <w:rFonts w:eastAsia="EC Square Sans Pro"/>
                <w:color w:val="003399" w:themeColor="text2"/>
                <w:sz w:val="18"/>
                <w:szCs w:val="18"/>
              </w:rPr>
              <w:t>,</w:t>
            </w:r>
            <w:r w:rsidR="00120201" w:rsidRPr="00B13363">
              <w:rPr>
                <w:rFonts w:eastAsia="EC Square Sans Pro"/>
                <w:color w:val="003399" w:themeColor="text2"/>
                <w:sz w:val="18"/>
                <w:szCs w:val="18"/>
              </w:rPr>
              <w:t xml:space="preserve"> Albania, Montenegro and North Macedonia started enjoying SEPA</w:t>
            </w:r>
            <w:r w:rsidR="00120201" w:rsidRPr="00B13363">
              <w:rPr>
                <w:rFonts w:eastAsia="EC Square Sans Pro" w:cs="EC Square Sans Pro"/>
                <w:color w:val="003399" w:themeColor="text2"/>
                <w:sz w:val="18"/>
                <w:szCs w:val="18"/>
              </w:rPr>
              <w:t>’</w:t>
            </w:r>
            <w:r w:rsidR="00120201" w:rsidRPr="00B13363">
              <w:rPr>
                <w:rFonts w:eastAsia="EC Square Sans Pro"/>
                <w:color w:val="003399" w:themeColor="text2"/>
                <w:sz w:val="18"/>
                <w:szCs w:val="18"/>
              </w:rPr>
              <w:t xml:space="preserve">s concrete benefits by joining its payment schemes. This resulted in faster transactions and in a reduction of transaction costs by up to ten times. It is estimated that SEPA’s </w:t>
            </w:r>
            <w:r w:rsidR="00FD2869">
              <w:rPr>
                <w:rFonts w:eastAsia="EC Square Sans Pro"/>
                <w:color w:val="003399" w:themeColor="text2"/>
                <w:sz w:val="18"/>
                <w:szCs w:val="18"/>
              </w:rPr>
              <w:t xml:space="preserve">full </w:t>
            </w:r>
            <w:r w:rsidR="00120201" w:rsidRPr="00B13363">
              <w:rPr>
                <w:rFonts w:eastAsia="EC Square Sans Pro"/>
                <w:color w:val="003399" w:themeColor="text2"/>
                <w:sz w:val="18"/>
                <w:szCs w:val="18"/>
              </w:rPr>
              <w:t xml:space="preserve">implementation in the Western Balkan region could potentially save up to </w:t>
            </w:r>
            <w:r w:rsidR="00E03143">
              <w:rPr>
                <w:rFonts w:eastAsia="EC Square Sans Pro"/>
                <w:color w:val="003399" w:themeColor="text2"/>
                <w:sz w:val="18"/>
                <w:szCs w:val="18"/>
              </w:rPr>
              <w:t>EUR</w:t>
            </w:r>
            <w:r w:rsidR="00E03143">
              <w:rPr>
                <w:rFonts w:ascii="Calibri" w:eastAsia="EC Square Sans Pro" w:hAnsi="Calibri" w:cs="Calibri"/>
                <w:color w:val="003399" w:themeColor="text2"/>
                <w:sz w:val="18"/>
                <w:szCs w:val="18"/>
              </w:rPr>
              <w:t> </w:t>
            </w:r>
            <w:r w:rsidR="00120201" w:rsidRPr="00B13363">
              <w:rPr>
                <w:rFonts w:eastAsia="EC Square Sans Pro"/>
                <w:color w:val="003399" w:themeColor="text2"/>
                <w:sz w:val="18"/>
                <w:szCs w:val="18"/>
              </w:rPr>
              <w:t>500</w:t>
            </w:r>
            <w:r w:rsidR="00EB0E5C">
              <w:rPr>
                <w:rFonts w:ascii="Calibri" w:eastAsia="EC Square Sans Pro" w:hAnsi="Calibri" w:cs="Calibri"/>
                <w:color w:val="003399" w:themeColor="text2"/>
                <w:sz w:val="18"/>
                <w:szCs w:val="18"/>
              </w:rPr>
              <w:t> </w:t>
            </w:r>
            <w:r w:rsidR="00EB0E5C">
              <w:rPr>
                <w:rFonts w:eastAsia="EC Square Sans Pro"/>
                <w:color w:val="003399" w:themeColor="text2"/>
                <w:sz w:val="18"/>
                <w:szCs w:val="18"/>
              </w:rPr>
              <w:t>million</w:t>
            </w:r>
            <w:r w:rsidR="00120201" w:rsidRPr="00B13363">
              <w:rPr>
                <w:rFonts w:eastAsia="EC Square Sans Pro"/>
                <w:color w:val="003399" w:themeColor="text2"/>
                <w:sz w:val="18"/>
                <w:szCs w:val="18"/>
              </w:rPr>
              <w:t xml:space="preserve"> per year for individuals and businesses.</w:t>
            </w:r>
          </w:p>
        </w:tc>
      </w:tr>
      <w:tr w:rsidR="000D7D9F" w:rsidRPr="003E29CF" w14:paraId="5E6E75DC" w14:textId="77777777" w:rsidTr="001B7D68">
        <w:trPr>
          <w:trHeight w:val="20"/>
          <w:jc w:val="center"/>
        </w:trPr>
        <w:tc>
          <w:tcPr>
            <w:tcW w:w="1276" w:type="dxa"/>
            <w:tcBorders>
              <w:top w:val="single" w:sz="4" w:space="0" w:color="D9D9D9" w:themeColor="background1" w:themeShade="D9"/>
            </w:tcBorders>
          </w:tcPr>
          <w:p w14:paraId="4220A72C" w14:textId="77777777" w:rsidR="000D7D9F" w:rsidRPr="003E29CF" w:rsidRDefault="000D7D9F" w:rsidP="00AE458E">
            <w:pPr>
              <w:numPr>
                <w:ilvl w:val="1"/>
                <w:numId w:val="0"/>
              </w:numPr>
              <w:tabs>
                <w:tab w:val="left" w:pos="2705"/>
              </w:tabs>
              <w:spacing w:before="60" w:after="60" w:line="20" w:lineRule="atLeast"/>
              <w:rPr>
                <w:noProof/>
                <w:color w:val="003399" w:themeColor="text2"/>
                <w:sz w:val="16"/>
                <w:szCs w:val="16"/>
                <w:highlight w:val="lightGray"/>
              </w:rPr>
            </w:pPr>
            <w:r w:rsidRPr="003E29CF">
              <w:rPr>
                <w:noProof/>
                <w:color w:val="003399" w:themeColor="text2"/>
                <w:sz w:val="16"/>
                <w:szCs w:val="16"/>
                <w:highlight w:val="lightGray"/>
              </w:rPr>
              <w:drawing>
                <wp:inline distT="0" distB="0" distL="0" distR="0" wp14:anchorId="48C0997B" wp14:editId="3E498385">
                  <wp:extent cx="643503" cy="643503"/>
                  <wp:effectExtent l="0" t="0" r="4445" b="4445"/>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53177" cy="653177"/>
                          </a:xfrm>
                          <a:prstGeom prst="rect">
                            <a:avLst/>
                          </a:prstGeom>
                          <a:noFill/>
                          <a:ln>
                            <a:noFill/>
                          </a:ln>
                        </pic:spPr>
                      </pic:pic>
                    </a:graphicData>
                  </a:graphic>
                </wp:inline>
              </w:drawing>
            </w:r>
          </w:p>
        </w:tc>
        <w:tc>
          <w:tcPr>
            <w:tcW w:w="3515" w:type="dxa"/>
            <w:tcBorders>
              <w:top w:val="single" w:sz="4" w:space="0" w:color="D9D9D9" w:themeColor="background1" w:themeShade="D9"/>
              <w:right w:val="single" w:sz="4" w:space="0" w:color="D9D9D9" w:themeColor="background1" w:themeShade="D9"/>
            </w:tcBorders>
          </w:tcPr>
          <w:p w14:paraId="79BA11CE" w14:textId="60217E90" w:rsidR="000D7D9F" w:rsidRPr="003E29CF" w:rsidRDefault="00264D39" w:rsidP="00AE458E">
            <w:pPr>
              <w:numPr>
                <w:ilvl w:val="1"/>
                <w:numId w:val="0"/>
              </w:numPr>
              <w:tabs>
                <w:tab w:val="left" w:pos="2705"/>
              </w:tabs>
              <w:spacing w:before="60" w:after="60" w:line="20" w:lineRule="atLeast"/>
              <w:rPr>
                <w:noProof/>
                <w:color w:val="003399" w:themeColor="text2"/>
                <w:spacing w:val="-4"/>
                <w:sz w:val="18"/>
                <w:szCs w:val="18"/>
                <w:highlight w:val="lightGray"/>
              </w:rPr>
            </w:pPr>
            <w:r w:rsidRPr="00B13363">
              <w:rPr>
                <w:b/>
                <w:color w:val="003399" w:themeColor="text2"/>
                <w:spacing w:val="-4"/>
                <w:sz w:val="18"/>
                <w:szCs w:val="18"/>
              </w:rPr>
              <w:t>Digital Europe</w:t>
            </w:r>
            <w:r w:rsidRPr="00264D39">
              <w:rPr>
                <w:noProof/>
                <w:color w:val="003399" w:themeColor="text2"/>
                <w:spacing w:val="-4"/>
                <w:sz w:val="18"/>
                <w:szCs w:val="18"/>
              </w:rPr>
              <w:t xml:space="preserve"> is contributing to the broader digital transformation of areas of public interest and of industry. The acquisition and deployment of advanced supercomputing capabilities aim to enhance Europe’s industrial competitiveness. Moreover, the established network of European Digital Innovation Hubs contributes to the digitisation of industry and addresses issues of technological accessibility, ensuring that businesses, including small and medium-sized enterprises, have access to cutting-edge technologies and finance for adapting to digital change. The interoperable Europe action supports the development of reusable interoperability infrastructure/solutions, with the view to support the digital transformation of the public sector and create capacity for public authorities to collaborate effectively to set up seamless cross-border services. </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724A0F55" w14:textId="77777777" w:rsidR="000D7D9F" w:rsidRPr="003E29CF" w:rsidRDefault="000D7D9F" w:rsidP="00AE458E">
            <w:pPr>
              <w:numPr>
                <w:ilvl w:val="1"/>
                <w:numId w:val="0"/>
              </w:numPr>
              <w:tabs>
                <w:tab w:val="left" w:pos="2705"/>
              </w:tabs>
              <w:spacing w:before="60" w:after="60" w:line="20" w:lineRule="atLeast"/>
              <w:rPr>
                <w:noProof/>
                <w:color w:val="003399" w:themeColor="text2"/>
                <w:sz w:val="18"/>
                <w:szCs w:val="18"/>
                <w:highlight w:val="lightGray"/>
              </w:rPr>
            </w:pPr>
            <w:r w:rsidRPr="003E29CF">
              <w:rPr>
                <w:noProof/>
                <w:color w:val="003399" w:themeColor="text2"/>
                <w:sz w:val="18"/>
                <w:szCs w:val="18"/>
                <w:highlight w:val="lightGray"/>
              </w:rPr>
              <w:drawing>
                <wp:inline distT="0" distB="0" distL="0" distR="0" wp14:anchorId="1377970B" wp14:editId="2FC2B9CF">
                  <wp:extent cx="659765" cy="675861"/>
                  <wp:effectExtent l="0" t="0" r="6985" b="0"/>
                  <wp:docPr id="1879538771" name="Picture 18795387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9538771" name="Picture 1879538771">
                            <a:extLst>
                              <a:ext uri="{C183D7F6-B498-43B3-948B-1728B52AA6E4}">
                                <adec:decorative xmlns:adec="http://schemas.microsoft.com/office/drawing/2017/decorative" val="1"/>
                              </a:ext>
                            </a:extLst>
                          </pic:cNvPr>
                          <pic:cNvPicPr>
                            <a:picLocks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62374" cy="678534"/>
                          </a:xfrm>
                          <a:prstGeom prst="rect">
                            <a:avLst/>
                          </a:prstGeom>
                          <a:noFill/>
                          <a:ln>
                            <a:noFill/>
                          </a:ln>
                        </pic:spPr>
                      </pic:pic>
                    </a:graphicData>
                  </a:graphic>
                </wp:inline>
              </w:drawing>
            </w:r>
          </w:p>
        </w:tc>
        <w:tc>
          <w:tcPr>
            <w:tcW w:w="3515" w:type="dxa"/>
            <w:tcBorders>
              <w:top w:val="single" w:sz="4" w:space="0" w:color="D9D9D9" w:themeColor="background1" w:themeShade="D9"/>
            </w:tcBorders>
          </w:tcPr>
          <w:p w14:paraId="1E3B27B1" w14:textId="77777777" w:rsidR="000D7D9F" w:rsidRPr="003E29CF" w:rsidRDefault="000D7D9F" w:rsidP="00AE458E">
            <w:pPr>
              <w:spacing w:before="60" w:after="60" w:line="20" w:lineRule="atLeast"/>
              <w:rPr>
                <w:noProof/>
                <w:color w:val="003399" w:themeColor="text2"/>
                <w:sz w:val="18"/>
                <w:szCs w:val="18"/>
                <w:highlight w:val="lightGray"/>
              </w:rPr>
            </w:pPr>
            <w:r w:rsidRPr="00B13363">
              <w:rPr>
                <w:color w:val="003399" w:themeColor="text2"/>
                <w:sz w:val="18"/>
                <w:szCs w:val="18"/>
              </w:rPr>
              <w:t xml:space="preserve">Under the </w:t>
            </w:r>
            <w:r w:rsidRPr="00B13363">
              <w:rPr>
                <w:b/>
                <w:color w:val="003399" w:themeColor="text2"/>
                <w:sz w:val="18"/>
                <w:szCs w:val="18"/>
              </w:rPr>
              <w:t>Asylum Migration and Integration Fund</w:t>
            </w:r>
            <w:r w:rsidRPr="00B13363">
              <w:rPr>
                <w:color w:val="003399" w:themeColor="text2"/>
                <w:sz w:val="18"/>
                <w:szCs w:val="18"/>
              </w:rPr>
              <w:t>, phase</w:t>
            </w:r>
            <w:r w:rsidRPr="00B13363">
              <w:rPr>
                <w:rFonts w:ascii="Calibri" w:hAnsi="Calibri" w:cs="Calibri"/>
                <w:color w:val="003399" w:themeColor="text2"/>
                <w:sz w:val="18"/>
                <w:szCs w:val="18"/>
              </w:rPr>
              <w:t> </w:t>
            </w:r>
            <w:r w:rsidRPr="00B13363">
              <w:rPr>
                <w:color w:val="003399" w:themeColor="text2"/>
                <w:sz w:val="18"/>
                <w:szCs w:val="18"/>
              </w:rPr>
              <w:t xml:space="preserve">7 of the regional development and protection programme for North Africa is running from 2025 to 2028 with a budget (EU grant amount maximum) of </w:t>
            </w:r>
            <w:r w:rsidRPr="00B13363" w:rsidDel="009C1DD8">
              <w:rPr>
                <w:color w:val="003399" w:themeColor="text2"/>
                <w:sz w:val="18"/>
                <w:szCs w:val="18"/>
              </w:rPr>
              <w:t>EUR</w:t>
            </w:r>
            <w:r w:rsidRPr="00B13363">
              <w:rPr>
                <w:rFonts w:ascii="Calibri" w:hAnsi="Calibri" w:cs="Calibri"/>
                <w:color w:val="003399" w:themeColor="text2"/>
                <w:sz w:val="18"/>
                <w:szCs w:val="18"/>
              </w:rPr>
              <w:t> </w:t>
            </w:r>
            <w:r w:rsidRPr="00B13363">
              <w:rPr>
                <w:color w:val="003399" w:themeColor="text2"/>
                <w:sz w:val="18"/>
                <w:szCs w:val="18"/>
              </w:rPr>
              <w:t>37.</w:t>
            </w:r>
            <w:r w:rsidRPr="00B13363" w:rsidDel="009C1DD8">
              <w:rPr>
                <w:color w:val="003399" w:themeColor="text2"/>
                <w:sz w:val="18"/>
                <w:szCs w:val="18"/>
              </w:rPr>
              <w:t>5</w:t>
            </w:r>
            <w:r w:rsidRPr="00B13363">
              <w:rPr>
                <w:rFonts w:ascii="Calibri" w:hAnsi="Calibri" w:cs="Calibri"/>
                <w:color w:val="003399" w:themeColor="text2"/>
                <w:sz w:val="18"/>
                <w:szCs w:val="18"/>
              </w:rPr>
              <w:t> </w:t>
            </w:r>
            <w:r w:rsidRPr="00B13363">
              <w:rPr>
                <w:color w:val="003399" w:themeColor="text2"/>
                <w:sz w:val="18"/>
                <w:szCs w:val="18"/>
              </w:rPr>
              <w:t>million. The main objective of the proposed action is to support non-EU countries in North Africa and across the Atlantic and Mediterranean migration route to consolidate their migration and asylum systems and build their capacity to provide adequate reception, protection and durable solutions for vulnerable migrants, asylum seekers and refugees.</w:t>
            </w:r>
          </w:p>
        </w:tc>
      </w:tr>
      <w:tr w:rsidR="00E81F14" w:rsidRPr="003E29CF" w14:paraId="5CE6FBE7" w14:textId="77777777" w:rsidTr="001B7D68">
        <w:trPr>
          <w:trHeight w:val="227"/>
          <w:jc w:val="center"/>
        </w:trPr>
        <w:tc>
          <w:tcPr>
            <w:tcW w:w="1276" w:type="dxa"/>
            <w:tcBorders>
              <w:bottom w:val="single" w:sz="4" w:space="0" w:color="D9D9D9" w:themeColor="background1" w:themeShade="D9"/>
            </w:tcBorders>
            <w:hideMark/>
          </w:tcPr>
          <w:p w14:paraId="4EAC5A7A" w14:textId="77777777" w:rsidR="000D7D9F" w:rsidRPr="003E29CF" w:rsidRDefault="000D7D9F" w:rsidP="00AE458E">
            <w:pPr>
              <w:numPr>
                <w:ilvl w:val="1"/>
                <w:numId w:val="0"/>
              </w:numPr>
              <w:tabs>
                <w:tab w:val="left" w:pos="2705"/>
              </w:tabs>
              <w:spacing w:before="60" w:after="60" w:line="20" w:lineRule="atLeast"/>
              <w:rPr>
                <w:noProof/>
                <w:color w:val="003399" w:themeColor="text2"/>
                <w:sz w:val="16"/>
                <w:szCs w:val="16"/>
                <w:highlight w:val="lightGray"/>
              </w:rPr>
            </w:pPr>
            <w:r w:rsidRPr="003E29CF">
              <w:rPr>
                <w:noProof/>
                <w:color w:val="003399" w:themeColor="text2"/>
                <w:highlight w:val="lightGray"/>
              </w:rPr>
              <w:drawing>
                <wp:inline distT="0" distB="0" distL="0" distR="0" wp14:anchorId="4BBB2556" wp14:editId="2F865A50">
                  <wp:extent cx="654689" cy="659765"/>
                  <wp:effectExtent l="0" t="0" r="0" b="6985"/>
                  <wp:docPr id="1879538772" name="Picture 18795387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9538772" name="Picture 1879538772">
                            <a:extLst>
                              <a:ext uri="{C183D7F6-B498-43B3-948B-1728B52AA6E4}">
                                <adec:decorative xmlns:adec="http://schemas.microsoft.com/office/drawing/2017/decorative" val="1"/>
                              </a:ext>
                            </a:extLst>
                          </pic:cNvPr>
                          <pic:cNvPicPr/>
                        </pic:nvPicPr>
                        <pic:blipFill rotWithShape="1">
                          <a:blip r:embed="rId94">
                            <a:extLst>
                              <a:ext uri="{28A0092B-C50C-407E-A947-70E740481C1C}">
                                <a14:useLocalDpi xmlns:a14="http://schemas.microsoft.com/office/drawing/2010/main" val="0"/>
                              </a:ext>
                            </a:extLst>
                          </a:blip>
                          <a:srcRect t="-364" b="-364"/>
                          <a:stretch>
                            <a:fillRect/>
                          </a:stretch>
                        </pic:blipFill>
                        <pic:spPr>
                          <a:xfrm>
                            <a:off x="0" y="0"/>
                            <a:ext cx="658490" cy="663595"/>
                          </a:xfrm>
                          <a:prstGeom prst="rect">
                            <a:avLst/>
                          </a:prstGeom>
                        </pic:spPr>
                      </pic:pic>
                    </a:graphicData>
                  </a:graphic>
                </wp:inline>
              </w:drawing>
            </w:r>
          </w:p>
        </w:tc>
        <w:tc>
          <w:tcPr>
            <w:tcW w:w="3515" w:type="dxa"/>
            <w:tcBorders>
              <w:bottom w:val="single" w:sz="4" w:space="0" w:color="D9D9D9" w:themeColor="background1" w:themeShade="D9"/>
              <w:right w:val="single" w:sz="4" w:space="0" w:color="D9D9D9" w:themeColor="background1" w:themeShade="D9"/>
            </w:tcBorders>
            <w:hideMark/>
          </w:tcPr>
          <w:p w14:paraId="4517E731" w14:textId="1C2C0E5B" w:rsidR="000D7D9F" w:rsidRPr="0061150A" w:rsidRDefault="00145413" w:rsidP="00AE458E">
            <w:pPr>
              <w:numPr>
                <w:ilvl w:val="1"/>
                <w:numId w:val="0"/>
              </w:numPr>
              <w:spacing w:before="60" w:after="60" w:line="20" w:lineRule="atLeast"/>
              <w:rPr>
                <w:noProof/>
                <w:color w:val="003399" w:themeColor="text2"/>
                <w:spacing w:val="-6"/>
                <w:sz w:val="18"/>
                <w:szCs w:val="18"/>
                <w:highlight w:val="lightGray"/>
              </w:rPr>
            </w:pPr>
            <w:r w:rsidRPr="0061150A">
              <w:rPr>
                <w:color w:val="003399" w:themeColor="text2"/>
                <w:spacing w:val="-6"/>
                <w:sz w:val="18"/>
                <w:szCs w:val="18"/>
              </w:rPr>
              <w:t xml:space="preserve">Under </w:t>
            </w:r>
            <w:r w:rsidR="002356F8" w:rsidRPr="0061150A">
              <w:rPr>
                <w:b/>
                <w:bCs/>
                <w:color w:val="003399" w:themeColor="text2"/>
                <w:spacing w:val="-6"/>
                <w:sz w:val="18"/>
                <w:szCs w:val="18"/>
              </w:rPr>
              <w:t>Neighbourhood, Development and International Cooperation Instrument</w:t>
            </w:r>
            <w:r w:rsidR="002356F8" w:rsidRPr="0061150A">
              <w:rPr>
                <w:rFonts w:ascii="Calibri" w:hAnsi="Calibri" w:cs="Calibri"/>
                <w:b/>
                <w:bCs/>
                <w:color w:val="003399" w:themeColor="text2"/>
                <w:spacing w:val="-6"/>
                <w:sz w:val="18"/>
                <w:szCs w:val="18"/>
              </w:rPr>
              <w:t> </w:t>
            </w:r>
            <w:r w:rsidR="002356F8" w:rsidRPr="0061150A">
              <w:rPr>
                <w:rFonts w:hint="eastAsia"/>
                <w:b/>
                <w:bCs/>
                <w:color w:val="003399" w:themeColor="text2"/>
                <w:spacing w:val="-6"/>
                <w:sz w:val="18"/>
                <w:szCs w:val="18"/>
              </w:rPr>
              <w:t>–</w:t>
            </w:r>
            <w:r w:rsidR="002356F8" w:rsidRPr="0061150A">
              <w:rPr>
                <w:b/>
                <w:bCs/>
                <w:color w:val="003399" w:themeColor="text2"/>
                <w:spacing w:val="-6"/>
                <w:sz w:val="18"/>
                <w:szCs w:val="18"/>
              </w:rPr>
              <w:t xml:space="preserve"> Global Europe</w:t>
            </w:r>
            <w:r w:rsidR="002356F8" w:rsidRPr="0061150A">
              <w:rPr>
                <w:color w:val="003399" w:themeColor="text2"/>
                <w:spacing w:val="-6"/>
                <w:sz w:val="18"/>
                <w:szCs w:val="18"/>
              </w:rPr>
              <w:t>,</w:t>
            </w:r>
            <w:r w:rsidRPr="0061150A">
              <w:rPr>
                <w:color w:val="003399" w:themeColor="text2"/>
                <w:spacing w:val="-6"/>
                <w:sz w:val="18"/>
                <w:szCs w:val="18"/>
              </w:rPr>
              <w:t xml:space="preserve"> </w:t>
            </w:r>
            <w:r w:rsidR="00445C6C" w:rsidRPr="0061150A">
              <w:rPr>
                <w:color w:val="003399" w:themeColor="text2"/>
                <w:spacing w:val="-6"/>
                <w:sz w:val="18"/>
                <w:szCs w:val="18"/>
              </w:rPr>
              <w:t xml:space="preserve">in 2025 </w:t>
            </w:r>
            <w:r w:rsidRPr="0061150A">
              <w:rPr>
                <w:color w:val="003399" w:themeColor="text2"/>
                <w:spacing w:val="-6"/>
                <w:sz w:val="18"/>
                <w:szCs w:val="18"/>
              </w:rPr>
              <w:t>the EU launched</w:t>
            </w:r>
            <w:r w:rsidR="00064F40" w:rsidRPr="0061150A">
              <w:rPr>
                <w:color w:val="003399" w:themeColor="text2"/>
                <w:spacing w:val="-6"/>
                <w:sz w:val="18"/>
                <w:szCs w:val="18"/>
              </w:rPr>
              <w:t>,</w:t>
            </w:r>
            <w:r w:rsidRPr="0061150A">
              <w:rPr>
                <w:color w:val="003399" w:themeColor="text2"/>
                <w:spacing w:val="-6"/>
                <w:sz w:val="18"/>
                <w:szCs w:val="18"/>
              </w:rPr>
              <w:t xml:space="preserve"> the third phase of its flagship initiative Mayors for Economic Growth (2025-2028, </w:t>
            </w:r>
            <w:r w:rsidR="00E03143" w:rsidRPr="0061150A">
              <w:rPr>
                <w:color w:val="003399" w:themeColor="text2"/>
                <w:spacing w:val="-6"/>
                <w:sz w:val="18"/>
                <w:szCs w:val="18"/>
              </w:rPr>
              <w:t>EUR</w:t>
            </w:r>
            <w:r w:rsidR="00E03143" w:rsidRPr="0061150A">
              <w:rPr>
                <w:rFonts w:ascii="Calibri" w:hAnsi="Calibri" w:cs="Calibri"/>
                <w:color w:val="003399" w:themeColor="text2"/>
                <w:spacing w:val="-6"/>
                <w:sz w:val="18"/>
                <w:szCs w:val="18"/>
              </w:rPr>
              <w:t> </w:t>
            </w:r>
            <w:r w:rsidRPr="0061150A">
              <w:rPr>
                <w:color w:val="003399" w:themeColor="text2"/>
                <w:spacing w:val="-6"/>
                <w:sz w:val="18"/>
                <w:szCs w:val="18"/>
              </w:rPr>
              <w:t>8</w:t>
            </w:r>
            <w:r w:rsidR="00EB0E5C" w:rsidRPr="0061150A">
              <w:rPr>
                <w:rFonts w:ascii="Calibri" w:hAnsi="Calibri" w:cs="Calibri"/>
                <w:color w:val="003399" w:themeColor="text2"/>
                <w:spacing w:val="-6"/>
                <w:sz w:val="18"/>
                <w:szCs w:val="18"/>
              </w:rPr>
              <w:t> </w:t>
            </w:r>
            <w:r w:rsidR="00EB0E5C" w:rsidRPr="0061150A">
              <w:rPr>
                <w:color w:val="003399" w:themeColor="text2"/>
                <w:spacing w:val="-6"/>
                <w:sz w:val="18"/>
                <w:szCs w:val="18"/>
              </w:rPr>
              <w:t>million</w:t>
            </w:r>
            <w:r w:rsidRPr="0061150A">
              <w:rPr>
                <w:color w:val="003399" w:themeColor="text2"/>
                <w:spacing w:val="-6"/>
                <w:sz w:val="18"/>
                <w:szCs w:val="18"/>
              </w:rPr>
              <w:t>), implemented by</w:t>
            </w:r>
            <w:r w:rsidR="0019213B" w:rsidRPr="0061150A">
              <w:rPr>
                <w:color w:val="003399" w:themeColor="text2"/>
                <w:spacing w:val="-6"/>
                <w:sz w:val="18"/>
                <w:szCs w:val="18"/>
              </w:rPr>
              <w:t xml:space="preserve"> the </w:t>
            </w:r>
            <w:r w:rsidRPr="0061150A">
              <w:rPr>
                <w:color w:val="003399" w:themeColor="text2"/>
                <w:spacing w:val="-6"/>
                <w:sz w:val="18"/>
                <w:szCs w:val="18"/>
              </w:rPr>
              <w:t>U</w:t>
            </w:r>
            <w:r w:rsidR="0019213B" w:rsidRPr="0061150A">
              <w:rPr>
                <w:color w:val="003399" w:themeColor="text2"/>
                <w:spacing w:val="-6"/>
                <w:sz w:val="18"/>
                <w:szCs w:val="18"/>
              </w:rPr>
              <w:t xml:space="preserve">nited </w:t>
            </w:r>
            <w:r w:rsidRPr="0061150A">
              <w:rPr>
                <w:color w:val="003399" w:themeColor="text2"/>
                <w:spacing w:val="-6"/>
                <w:sz w:val="18"/>
                <w:szCs w:val="18"/>
              </w:rPr>
              <w:t>N</w:t>
            </w:r>
            <w:r w:rsidR="0019213B" w:rsidRPr="0061150A">
              <w:rPr>
                <w:color w:val="003399" w:themeColor="text2"/>
                <w:spacing w:val="-6"/>
                <w:sz w:val="18"/>
                <w:szCs w:val="18"/>
              </w:rPr>
              <w:t xml:space="preserve">ations </w:t>
            </w:r>
            <w:r w:rsidRPr="0061150A">
              <w:rPr>
                <w:color w:val="003399" w:themeColor="text2"/>
                <w:spacing w:val="-6"/>
                <w:sz w:val="18"/>
                <w:szCs w:val="18"/>
              </w:rPr>
              <w:t>D</w:t>
            </w:r>
            <w:r w:rsidR="0019213B" w:rsidRPr="0061150A">
              <w:rPr>
                <w:color w:val="003399" w:themeColor="text2"/>
                <w:spacing w:val="-6"/>
                <w:sz w:val="18"/>
                <w:szCs w:val="18"/>
              </w:rPr>
              <w:t xml:space="preserve">evelopment </w:t>
            </w:r>
            <w:r w:rsidRPr="0061150A">
              <w:rPr>
                <w:color w:val="003399" w:themeColor="text2"/>
                <w:spacing w:val="-6"/>
                <w:sz w:val="18"/>
                <w:szCs w:val="18"/>
              </w:rPr>
              <w:t>P</w:t>
            </w:r>
            <w:r w:rsidR="0019213B" w:rsidRPr="0061150A">
              <w:rPr>
                <w:color w:val="003399" w:themeColor="text2"/>
                <w:spacing w:val="-6"/>
                <w:sz w:val="18"/>
                <w:szCs w:val="18"/>
              </w:rPr>
              <w:t>rogramme</w:t>
            </w:r>
            <w:r w:rsidRPr="0061150A">
              <w:rPr>
                <w:color w:val="003399" w:themeColor="text2"/>
                <w:spacing w:val="-6"/>
                <w:sz w:val="18"/>
                <w:szCs w:val="18"/>
              </w:rPr>
              <w:t xml:space="preserve">, reinforcing its support for local economic development across the Eastern Partnership since 2017. This new phase empowers cities and towns in Armenia, Moldova, and Ukraine to tackle challenges such as rural depopulation, job creation, climate change, and the digital transition, with a strengthened focus on local economic development planning and access to finance. In 2025 alone, </w:t>
            </w:r>
            <w:r w:rsidR="00052FE3" w:rsidRPr="0061150A">
              <w:rPr>
                <w:color w:val="003399" w:themeColor="text2"/>
                <w:spacing w:val="-6"/>
                <w:sz w:val="18"/>
                <w:szCs w:val="18"/>
              </w:rPr>
              <w:t>the initiat</w:t>
            </w:r>
            <w:r w:rsidR="00762DE1" w:rsidRPr="0061150A">
              <w:rPr>
                <w:color w:val="003399" w:themeColor="text2"/>
                <w:spacing w:val="-6"/>
                <w:sz w:val="18"/>
                <w:szCs w:val="18"/>
              </w:rPr>
              <w:t>i</w:t>
            </w:r>
            <w:r w:rsidR="00052FE3" w:rsidRPr="0061150A">
              <w:rPr>
                <w:color w:val="003399" w:themeColor="text2"/>
                <w:spacing w:val="-6"/>
                <w:sz w:val="18"/>
                <w:szCs w:val="18"/>
              </w:rPr>
              <w:t>ve</w:t>
            </w:r>
            <w:r w:rsidR="00762DE1" w:rsidRPr="0061150A">
              <w:rPr>
                <w:color w:val="003399" w:themeColor="text2"/>
                <w:spacing w:val="-6"/>
                <w:sz w:val="18"/>
                <w:szCs w:val="18"/>
              </w:rPr>
              <w:t xml:space="preserve"> </w:t>
            </w:r>
            <w:r w:rsidRPr="0061150A">
              <w:rPr>
                <w:color w:val="003399" w:themeColor="text2"/>
                <w:spacing w:val="-6"/>
                <w:sz w:val="18"/>
                <w:szCs w:val="18"/>
              </w:rPr>
              <w:t xml:space="preserve">unlocked approximately </w:t>
            </w:r>
            <w:r w:rsidR="00E03143" w:rsidRPr="0061150A">
              <w:rPr>
                <w:color w:val="003399" w:themeColor="text2"/>
                <w:spacing w:val="-6"/>
                <w:sz w:val="18"/>
                <w:szCs w:val="18"/>
              </w:rPr>
              <w:t>EUR</w:t>
            </w:r>
            <w:r w:rsidR="00E03143" w:rsidRPr="0061150A">
              <w:rPr>
                <w:rFonts w:ascii="Calibri" w:hAnsi="Calibri" w:cs="Calibri"/>
                <w:color w:val="003399" w:themeColor="text2"/>
                <w:spacing w:val="-6"/>
                <w:sz w:val="18"/>
                <w:szCs w:val="18"/>
              </w:rPr>
              <w:t> </w:t>
            </w:r>
            <w:r w:rsidRPr="0061150A">
              <w:rPr>
                <w:color w:val="003399" w:themeColor="text2"/>
                <w:spacing w:val="-6"/>
                <w:sz w:val="18"/>
                <w:szCs w:val="18"/>
              </w:rPr>
              <w:t>1</w:t>
            </w:r>
            <w:r w:rsidR="00EB0E5C" w:rsidRPr="0061150A">
              <w:rPr>
                <w:rFonts w:ascii="Calibri" w:hAnsi="Calibri" w:cs="Calibri"/>
                <w:color w:val="003399" w:themeColor="text2"/>
                <w:spacing w:val="-6"/>
                <w:sz w:val="18"/>
                <w:szCs w:val="18"/>
              </w:rPr>
              <w:t> </w:t>
            </w:r>
            <w:r w:rsidR="00EB0E5C" w:rsidRPr="0061150A">
              <w:rPr>
                <w:color w:val="003399" w:themeColor="text2"/>
                <w:spacing w:val="-6"/>
                <w:sz w:val="18"/>
                <w:szCs w:val="18"/>
              </w:rPr>
              <w:t>million</w:t>
            </w:r>
            <w:r w:rsidRPr="0061150A">
              <w:rPr>
                <w:color w:val="003399" w:themeColor="text2"/>
                <w:spacing w:val="-6"/>
                <w:sz w:val="18"/>
                <w:szCs w:val="18"/>
              </w:rPr>
              <w:t xml:space="preserve"> to support local governments in leading their own economic transformation</w:t>
            </w:r>
            <w:r w:rsidR="000D7D9F" w:rsidRPr="0061150A">
              <w:rPr>
                <w:b/>
                <w:color w:val="003399" w:themeColor="text2"/>
                <w:spacing w:val="-6"/>
                <w:sz w:val="18"/>
                <w:szCs w:val="18"/>
              </w:rPr>
              <w:t>.</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hideMark/>
          </w:tcPr>
          <w:p w14:paraId="410D19B8" w14:textId="77777777" w:rsidR="000D7D9F" w:rsidRPr="003E29CF" w:rsidRDefault="000D7D9F" w:rsidP="00AE458E">
            <w:pPr>
              <w:numPr>
                <w:ilvl w:val="1"/>
                <w:numId w:val="0"/>
              </w:numPr>
              <w:tabs>
                <w:tab w:val="left" w:pos="2705"/>
              </w:tabs>
              <w:spacing w:before="60" w:after="60" w:line="20" w:lineRule="atLeast"/>
              <w:rPr>
                <w:noProof/>
                <w:color w:val="003399" w:themeColor="text2"/>
                <w:sz w:val="18"/>
                <w:szCs w:val="18"/>
                <w:highlight w:val="lightGray"/>
              </w:rPr>
            </w:pPr>
            <w:r w:rsidRPr="003E29CF">
              <w:rPr>
                <w:noProof/>
                <w:color w:val="003399" w:themeColor="text2"/>
                <w:sz w:val="18"/>
                <w:szCs w:val="18"/>
                <w:highlight w:val="lightGray"/>
              </w:rPr>
              <w:drawing>
                <wp:inline distT="0" distB="0" distL="0" distR="0" wp14:anchorId="02E09479" wp14:editId="73EF1D70">
                  <wp:extent cx="639307" cy="659958"/>
                  <wp:effectExtent l="0" t="0" r="8890" b="6985"/>
                  <wp:docPr id="1879538773" name="Picture 18795387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9538773" name="Picture 1879538773">
                            <a:extLst>
                              <a:ext uri="{C183D7F6-B498-43B3-948B-1728B52AA6E4}">
                                <adec:decorative xmlns:adec="http://schemas.microsoft.com/office/drawing/2017/decorative" val="1"/>
                              </a:ext>
                            </a:extLst>
                          </pic:cNvPr>
                          <pic:cNvPicPr>
                            <a:picLocks noChangeArrowheads="1"/>
                          </pic:cNvPicPr>
                        </pic:nvPicPr>
                        <pic:blipFill rotWithShape="1">
                          <a:blip r:embed="rId95">
                            <a:extLst>
                              <a:ext uri="{28A0092B-C50C-407E-A947-70E740481C1C}">
                                <a14:useLocalDpi xmlns:a14="http://schemas.microsoft.com/office/drawing/2010/main" val="0"/>
                              </a:ext>
                            </a:extLst>
                          </a:blip>
                          <a:srcRect l="1530" r="1530"/>
                          <a:stretch>
                            <a:fillRect/>
                          </a:stretch>
                        </pic:blipFill>
                        <pic:spPr bwMode="auto">
                          <a:xfrm>
                            <a:off x="0" y="0"/>
                            <a:ext cx="642130" cy="662872"/>
                          </a:xfrm>
                          <a:prstGeom prst="rect">
                            <a:avLst/>
                          </a:prstGeom>
                          <a:noFill/>
                          <a:ln>
                            <a:noFill/>
                          </a:ln>
                        </pic:spPr>
                      </pic:pic>
                    </a:graphicData>
                  </a:graphic>
                </wp:inline>
              </w:drawing>
            </w:r>
          </w:p>
        </w:tc>
        <w:tc>
          <w:tcPr>
            <w:tcW w:w="3515" w:type="dxa"/>
            <w:tcBorders>
              <w:bottom w:val="single" w:sz="4" w:space="0" w:color="D9D9D9" w:themeColor="background1" w:themeShade="D9"/>
            </w:tcBorders>
            <w:hideMark/>
          </w:tcPr>
          <w:p w14:paraId="2EA0764C" w14:textId="6E528E91" w:rsidR="000D7D9F" w:rsidRPr="003E29CF" w:rsidRDefault="000D7D9F" w:rsidP="00AE458E">
            <w:pPr>
              <w:numPr>
                <w:ilvl w:val="1"/>
                <w:numId w:val="0"/>
              </w:numPr>
              <w:tabs>
                <w:tab w:val="left" w:pos="2705"/>
              </w:tabs>
              <w:spacing w:before="60" w:after="60" w:line="20" w:lineRule="atLeast"/>
              <w:rPr>
                <w:noProof/>
                <w:color w:val="003399" w:themeColor="text2"/>
                <w:sz w:val="18"/>
                <w:szCs w:val="18"/>
                <w:highlight w:val="lightGray"/>
              </w:rPr>
            </w:pPr>
            <w:r w:rsidRPr="00B13363" w:rsidDel="00DE773D">
              <w:rPr>
                <w:color w:val="003399" w:themeColor="text2"/>
                <w:sz w:val="18"/>
                <w:szCs w:val="18"/>
              </w:rPr>
              <w:t xml:space="preserve">By the end of </w:t>
            </w:r>
            <w:r w:rsidRPr="00B13363">
              <w:rPr>
                <w:noProof/>
                <w:color w:val="003399" w:themeColor="text2"/>
                <w:sz w:val="18"/>
                <w:szCs w:val="18"/>
              </w:rPr>
              <w:t>202</w:t>
            </w:r>
            <w:r w:rsidR="00E50DAF" w:rsidRPr="00B13363">
              <w:rPr>
                <w:noProof/>
                <w:color w:val="003399" w:themeColor="text2"/>
                <w:sz w:val="18"/>
                <w:szCs w:val="18"/>
              </w:rPr>
              <w:t>5</w:t>
            </w:r>
            <w:r w:rsidRPr="00B13363" w:rsidDel="00DE773D">
              <w:rPr>
                <w:color w:val="003399" w:themeColor="text2"/>
                <w:sz w:val="18"/>
                <w:szCs w:val="18"/>
              </w:rPr>
              <w:t xml:space="preserve">, </w:t>
            </w:r>
            <w:r w:rsidRPr="00B13363" w:rsidDel="00B05467">
              <w:rPr>
                <w:color w:val="003399" w:themeColor="text2"/>
                <w:sz w:val="18"/>
                <w:szCs w:val="18"/>
              </w:rPr>
              <w:t xml:space="preserve">the </w:t>
            </w:r>
            <w:r w:rsidRPr="00B13363" w:rsidDel="00B05467">
              <w:rPr>
                <w:b/>
                <w:color w:val="003399" w:themeColor="text2"/>
                <w:sz w:val="18"/>
                <w:szCs w:val="18"/>
              </w:rPr>
              <w:t>Recovery and Resilience Facility</w:t>
            </w:r>
            <w:r w:rsidR="00E50DAF" w:rsidRPr="00B13363">
              <w:rPr>
                <w:color w:val="003399" w:themeColor="text2"/>
                <w:sz w:val="18"/>
                <w:szCs w:val="18"/>
              </w:rPr>
              <w:t xml:space="preserve"> supported the installation of photovoltaic capacity in business premises in</w:t>
            </w:r>
            <w:r w:rsidR="00294186">
              <w:rPr>
                <w:rFonts w:ascii="Calibri" w:hAnsi="Calibri" w:cs="Calibri"/>
                <w:color w:val="003399" w:themeColor="text2"/>
                <w:sz w:val="18"/>
                <w:szCs w:val="18"/>
              </w:rPr>
              <w:t xml:space="preserve"> </w:t>
            </w:r>
            <w:r w:rsidR="00E50DAF" w:rsidRPr="00B13363">
              <w:rPr>
                <w:color w:val="003399" w:themeColor="text2"/>
                <w:sz w:val="18"/>
                <w:szCs w:val="18"/>
              </w:rPr>
              <w:t>Luxembourg.</w:t>
            </w:r>
          </w:p>
        </w:tc>
      </w:tr>
      <w:tr w:rsidR="00973A5C" w:rsidRPr="003E29CF" w14:paraId="6276CADB" w14:textId="77777777" w:rsidTr="001B7D68">
        <w:trPr>
          <w:cantSplit/>
          <w:trHeight w:val="20"/>
          <w:jc w:val="center"/>
        </w:trPr>
        <w:tc>
          <w:tcPr>
            <w:tcW w:w="1276" w:type="dxa"/>
            <w:tcBorders>
              <w:top w:val="single" w:sz="4" w:space="0" w:color="D9D9D9" w:themeColor="background1" w:themeShade="D9"/>
              <w:bottom w:val="single" w:sz="4" w:space="0" w:color="D9D9D9" w:themeColor="background1" w:themeShade="D9"/>
            </w:tcBorders>
          </w:tcPr>
          <w:p w14:paraId="245AB2E6" w14:textId="77777777" w:rsidR="000D7D9F" w:rsidRPr="003E29CF" w:rsidRDefault="000D7D9F" w:rsidP="00AE458E">
            <w:pPr>
              <w:numPr>
                <w:ilvl w:val="1"/>
                <w:numId w:val="0"/>
              </w:numPr>
              <w:tabs>
                <w:tab w:val="left" w:pos="2705"/>
              </w:tabs>
              <w:spacing w:before="60" w:after="60" w:line="20" w:lineRule="atLeast"/>
              <w:rPr>
                <w:noProof/>
                <w:color w:val="003399" w:themeColor="text2"/>
                <w:sz w:val="16"/>
                <w:szCs w:val="16"/>
                <w:highlight w:val="lightGray"/>
              </w:rPr>
            </w:pPr>
            <w:r w:rsidRPr="003E29CF">
              <w:rPr>
                <w:noProof/>
                <w:color w:val="003399" w:themeColor="text2"/>
                <w:sz w:val="16"/>
                <w:szCs w:val="16"/>
                <w:highlight w:val="lightGray"/>
              </w:rPr>
              <w:drawing>
                <wp:inline distT="0" distB="0" distL="0" distR="0" wp14:anchorId="069DB0F3" wp14:editId="6EE94FB9">
                  <wp:extent cx="622491" cy="636105"/>
                  <wp:effectExtent l="0" t="0" r="6350" b="0"/>
                  <wp:docPr id="1879538774" name="Picture 18795387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9538774" name="Picture 1879538774">
                            <a:extLst>
                              <a:ext uri="{C183D7F6-B498-43B3-948B-1728B52AA6E4}">
                                <adec:decorative xmlns:adec="http://schemas.microsoft.com/office/drawing/2017/decorative" val="1"/>
                              </a:ext>
                            </a:extLst>
                          </pic:cNvPr>
                          <pic:cNvPicPr>
                            <a:picLocks noChangeArrowheads="1"/>
                          </pic:cNvPicPr>
                        </pic:nvPicPr>
                        <pic:blipFill rotWithShape="1">
                          <a:blip r:embed="rId96">
                            <a:extLst>
                              <a:ext uri="{28A0092B-C50C-407E-A947-70E740481C1C}">
                                <a14:useLocalDpi xmlns:a14="http://schemas.microsoft.com/office/drawing/2010/main" val="0"/>
                              </a:ext>
                            </a:extLst>
                          </a:blip>
                          <a:srcRect l="3101" t="1586" r="3101" b="1586"/>
                          <a:stretch>
                            <a:fillRect/>
                          </a:stretch>
                        </pic:blipFill>
                        <pic:spPr bwMode="auto">
                          <a:xfrm>
                            <a:off x="0" y="0"/>
                            <a:ext cx="624585" cy="638245"/>
                          </a:xfrm>
                          <a:prstGeom prst="rect">
                            <a:avLst/>
                          </a:prstGeom>
                          <a:noFill/>
                          <a:ln>
                            <a:noFill/>
                          </a:ln>
                        </pic:spPr>
                      </pic:pic>
                    </a:graphicData>
                  </a:graphic>
                </wp:inline>
              </w:drawing>
            </w:r>
          </w:p>
        </w:tc>
        <w:tc>
          <w:tcPr>
            <w:tcW w:w="351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468DDD33" w14:textId="1E533011" w:rsidR="000D7D9F" w:rsidRPr="003E29CF" w:rsidRDefault="000D7D9F" w:rsidP="00845492">
            <w:pPr>
              <w:tabs>
                <w:tab w:val="left" w:pos="2705"/>
              </w:tabs>
              <w:spacing w:before="60" w:after="60" w:line="22" w:lineRule="atLeast"/>
              <w:rPr>
                <w:noProof/>
                <w:color w:val="003399" w:themeColor="text2"/>
                <w:sz w:val="18"/>
                <w:szCs w:val="18"/>
                <w:highlight w:val="lightGray"/>
              </w:rPr>
            </w:pPr>
            <w:r w:rsidRPr="008072FE">
              <w:rPr>
                <w:color w:val="003399" w:themeColor="text2"/>
                <w:sz w:val="18"/>
                <w:szCs w:val="18"/>
              </w:rPr>
              <w:t xml:space="preserve">The </w:t>
            </w:r>
            <w:r w:rsidRPr="008072FE">
              <w:rPr>
                <w:b/>
                <w:color w:val="003399" w:themeColor="text2"/>
                <w:sz w:val="18"/>
                <w:szCs w:val="18"/>
              </w:rPr>
              <w:t>Innovation Fund</w:t>
            </w:r>
            <w:r w:rsidRPr="008072FE">
              <w:rPr>
                <w:color w:val="003399" w:themeColor="text2"/>
                <w:sz w:val="18"/>
                <w:szCs w:val="18"/>
              </w:rPr>
              <w:t xml:space="preserve"> is designed to answer this goal and take urgent action to combat climate change and its impacts. </w:t>
            </w:r>
            <w:r w:rsidR="00EF3E77" w:rsidRPr="00EF3E77">
              <w:rPr>
                <w:color w:val="003399" w:themeColor="text2"/>
                <w:sz w:val="18"/>
                <w:szCs w:val="18"/>
              </w:rPr>
              <w:t xml:space="preserve">The </w:t>
            </w:r>
            <w:r w:rsidR="009A550E">
              <w:rPr>
                <w:color w:val="003399" w:themeColor="text2"/>
                <w:sz w:val="18"/>
                <w:szCs w:val="18"/>
              </w:rPr>
              <w:t>grip</w:t>
            </w:r>
            <w:r w:rsidR="00EF3E77" w:rsidRPr="00EF3E77">
              <w:rPr>
                <w:color w:val="003399" w:themeColor="text2"/>
                <w:sz w:val="18"/>
                <w:szCs w:val="18"/>
              </w:rPr>
              <w:t xml:space="preserve"> project aims to decarbonise industrial heat production up to 200</w:t>
            </w:r>
            <w:r w:rsidR="00231713">
              <w:rPr>
                <w:rFonts w:ascii="Calibri" w:hAnsi="Calibri" w:cs="Calibri"/>
                <w:color w:val="003399" w:themeColor="text2"/>
                <w:sz w:val="18"/>
                <w:szCs w:val="18"/>
              </w:rPr>
              <w:t> </w:t>
            </w:r>
            <w:r w:rsidR="00EF3E77" w:rsidRPr="00EF3E77">
              <w:rPr>
                <w:color w:val="003399" w:themeColor="text2"/>
                <w:sz w:val="18"/>
                <w:szCs w:val="18"/>
              </w:rPr>
              <w:t xml:space="preserve">°C by scaling up the industrialisation of the innovative </w:t>
            </w:r>
            <w:r w:rsidR="00087319">
              <w:rPr>
                <w:color w:val="003399" w:themeColor="text2"/>
                <w:sz w:val="18"/>
                <w:szCs w:val="18"/>
              </w:rPr>
              <w:t>r</w:t>
            </w:r>
            <w:r w:rsidR="00EF3E77" w:rsidRPr="00EF3E77">
              <w:rPr>
                <w:color w:val="003399" w:themeColor="text2"/>
                <w:sz w:val="18"/>
                <w:szCs w:val="18"/>
              </w:rPr>
              <w:t xml:space="preserve">otation </w:t>
            </w:r>
            <w:r w:rsidR="00087319">
              <w:rPr>
                <w:color w:val="003399" w:themeColor="text2"/>
                <w:sz w:val="18"/>
                <w:szCs w:val="18"/>
              </w:rPr>
              <w:t>h</w:t>
            </w:r>
            <w:r w:rsidR="00EF3E77" w:rsidRPr="00EF3E77">
              <w:rPr>
                <w:color w:val="003399" w:themeColor="text2"/>
                <w:sz w:val="18"/>
                <w:szCs w:val="18"/>
              </w:rPr>
              <w:t xml:space="preserve">eat </w:t>
            </w:r>
            <w:r w:rsidR="00087319">
              <w:rPr>
                <w:color w:val="003399" w:themeColor="text2"/>
                <w:sz w:val="18"/>
                <w:szCs w:val="18"/>
              </w:rPr>
              <w:t>p</w:t>
            </w:r>
            <w:r w:rsidR="00EF3E77" w:rsidRPr="00EF3E77">
              <w:rPr>
                <w:color w:val="003399" w:themeColor="text2"/>
                <w:sz w:val="18"/>
                <w:szCs w:val="18"/>
              </w:rPr>
              <w:t xml:space="preserve">ump technology. Project </w:t>
            </w:r>
            <w:r w:rsidR="009A550E">
              <w:rPr>
                <w:color w:val="003399" w:themeColor="text2"/>
                <w:sz w:val="18"/>
                <w:szCs w:val="18"/>
              </w:rPr>
              <w:t>endor</w:t>
            </w:r>
            <w:r w:rsidR="00EF3E77" w:rsidRPr="00EF3E77">
              <w:rPr>
                <w:color w:val="003399" w:themeColor="text2"/>
                <w:sz w:val="18"/>
                <w:szCs w:val="18"/>
              </w:rPr>
              <w:t xml:space="preserve"> aims at producing electric </w:t>
            </w:r>
            <w:r w:rsidR="00BD72CE">
              <w:rPr>
                <w:color w:val="003399" w:themeColor="text2"/>
                <w:sz w:val="18"/>
                <w:szCs w:val="18"/>
              </w:rPr>
              <w:t>s</w:t>
            </w:r>
            <w:r w:rsidR="00EF3E77" w:rsidRPr="00EF3E77">
              <w:rPr>
                <w:color w:val="003399" w:themeColor="text2"/>
                <w:sz w:val="18"/>
                <w:szCs w:val="18"/>
              </w:rPr>
              <w:t xml:space="preserve">ustainable </w:t>
            </w:r>
            <w:r w:rsidR="00BD72CE">
              <w:rPr>
                <w:color w:val="003399" w:themeColor="text2"/>
                <w:sz w:val="18"/>
                <w:szCs w:val="18"/>
              </w:rPr>
              <w:t>a</w:t>
            </w:r>
            <w:r w:rsidR="00EF3E77" w:rsidRPr="00EF3E77">
              <w:rPr>
                <w:color w:val="003399" w:themeColor="text2"/>
                <w:sz w:val="18"/>
                <w:szCs w:val="18"/>
              </w:rPr>
              <w:t xml:space="preserve">viation </w:t>
            </w:r>
            <w:r w:rsidR="00BD72CE">
              <w:rPr>
                <w:color w:val="003399" w:themeColor="text2"/>
                <w:sz w:val="18"/>
                <w:szCs w:val="18"/>
              </w:rPr>
              <w:t>f</w:t>
            </w:r>
            <w:r w:rsidR="00EF3E77" w:rsidRPr="00EF3E77">
              <w:rPr>
                <w:color w:val="003399" w:themeColor="text2"/>
                <w:sz w:val="18"/>
                <w:szCs w:val="18"/>
              </w:rPr>
              <w:t>uel to support the decarbonisation of the aviation sector.</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4B6BB77B" w14:textId="77777777" w:rsidR="000D7D9F" w:rsidRPr="003E29CF" w:rsidRDefault="000D7D9F" w:rsidP="00845492">
            <w:pPr>
              <w:numPr>
                <w:ilvl w:val="1"/>
                <w:numId w:val="0"/>
              </w:numPr>
              <w:tabs>
                <w:tab w:val="left" w:pos="2705"/>
              </w:tabs>
              <w:spacing w:before="60" w:after="60" w:line="22" w:lineRule="atLeast"/>
              <w:rPr>
                <w:noProof/>
                <w:color w:val="003399" w:themeColor="text2"/>
                <w:sz w:val="18"/>
                <w:szCs w:val="18"/>
                <w:highlight w:val="lightGray"/>
              </w:rPr>
            </w:pPr>
            <w:r w:rsidRPr="003E29CF">
              <w:rPr>
                <w:noProof/>
                <w:color w:val="003399" w:themeColor="text2"/>
                <w:sz w:val="18"/>
                <w:szCs w:val="18"/>
                <w:highlight w:val="lightGray"/>
              </w:rPr>
              <w:drawing>
                <wp:inline distT="0" distB="0" distL="0" distR="0" wp14:anchorId="30CF90A7" wp14:editId="54A6CCF3">
                  <wp:extent cx="659765" cy="659765"/>
                  <wp:effectExtent l="0" t="0" r="6985" b="6985"/>
                  <wp:docPr id="1879538775" name="Picture 18795387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75" name="Picture 1879538775">
                            <a:extLst>
                              <a:ext uri="{C183D7F6-B498-43B3-948B-1728B52AA6E4}">
                                <adec:decorative xmlns:adec="http://schemas.microsoft.com/office/drawing/2017/decorative" val="1"/>
                              </a:ext>
                            </a:extLst>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61338" cy="661338"/>
                          </a:xfrm>
                          <a:prstGeom prst="rect">
                            <a:avLst/>
                          </a:prstGeom>
                          <a:noFill/>
                          <a:ln>
                            <a:noFill/>
                          </a:ln>
                        </pic:spPr>
                      </pic:pic>
                    </a:graphicData>
                  </a:graphic>
                </wp:inline>
              </w:drawing>
            </w:r>
          </w:p>
        </w:tc>
        <w:tc>
          <w:tcPr>
            <w:tcW w:w="3515" w:type="dxa"/>
            <w:tcBorders>
              <w:top w:val="single" w:sz="4" w:space="0" w:color="D9D9D9" w:themeColor="background1" w:themeShade="D9"/>
              <w:bottom w:val="single" w:sz="4" w:space="0" w:color="D9D9D9" w:themeColor="background1" w:themeShade="D9"/>
            </w:tcBorders>
          </w:tcPr>
          <w:p w14:paraId="7E6ACE3C" w14:textId="77777777" w:rsidR="000D7D9F" w:rsidRPr="003E29CF" w:rsidRDefault="000D7D9F" w:rsidP="00845492">
            <w:pPr>
              <w:tabs>
                <w:tab w:val="left" w:pos="2705"/>
              </w:tabs>
              <w:spacing w:before="60" w:after="60" w:line="22" w:lineRule="atLeast"/>
              <w:rPr>
                <w:noProof/>
                <w:color w:val="003399" w:themeColor="text2"/>
                <w:sz w:val="18"/>
                <w:szCs w:val="18"/>
                <w:highlight w:val="lightGray"/>
              </w:rPr>
            </w:pPr>
            <w:r w:rsidRPr="008072FE">
              <w:rPr>
                <w:b/>
                <w:color w:val="003399" w:themeColor="text2"/>
                <w:sz w:val="18"/>
                <w:szCs w:val="18"/>
              </w:rPr>
              <w:t xml:space="preserve">Regional fisheries management organisations </w:t>
            </w:r>
            <w:r w:rsidRPr="008072FE">
              <w:rPr>
                <w:color w:val="003399" w:themeColor="text2"/>
                <w:sz w:val="18"/>
                <w:szCs w:val="18"/>
              </w:rPr>
              <w:t>promote the conservation and sustainable use of the oceans, seas and marine resources by improving management measures adopted following scientific advice and by promoting healthy tuna stocks in the Atlantic and Indian Oceans, and through the governance framework established by sustainable fisheries partnership agreements with a number of non-EU countries.</w:t>
            </w:r>
          </w:p>
        </w:tc>
      </w:tr>
      <w:tr w:rsidR="00E31272" w14:paraId="79FDC227" w14:textId="77777777" w:rsidTr="001B7D68">
        <w:trPr>
          <w:trHeight w:val="20"/>
          <w:jc w:val="center"/>
        </w:trPr>
        <w:tc>
          <w:tcPr>
            <w:tcW w:w="1276" w:type="dxa"/>
            <w:tcBorders>
              <w:top w:val="single" w:sz="4" w:space="0" w:color="D9D9D9" w:themeColor="background1" w:themeShade="D9"/>
            </w:tcBorders>
          </w:tcPr>
          <w:p w14:paraId="02512587" w14:textId="77777777" w:rsidR="000D7D9F" w:rsidRPr="003E29CF" w:rsidRDefault="000D7D9F" w:rsidP="00AE458E">
            <w:pPr>
              <w:numPr>
                <w:ilvl w:val="1"/>
                <w:numId w:val="0"/>
              </w:numPr>
              <w:tabs>
                <w:tab w:val="left" w:pos="2705"/>
              </w:tabs>
              <w:spacing w:before="60" w:after="60" w:line="20" w:lineRule="atLeast"/>
              <w:rPr>
                <w:noProof/>
                <w:color w:val="003399" w:themeColor="text2"/>
                <w:sz w:val="16"/>
                <w:szCs w:val="16"/>
                <w:highlight w:val="lightGray"/>
              </w:rPr>
            </w:pPr>
            <w:r w:rsidRPr="003E29CF">
              <w:rPr>
                <w:noProof/>
                <w:color w:val="003399" w:themeColor="text2"/>
                <w:sz w:val="16"/>
                <w:szCs w:val="16"/>
                <w:highlight w:val="lightGray"/>
              </w:rPr>
              <w:drawing>
                <wp:inline distT="0" distB="0" distL="0" distR="0" wp14:anchorId="14629FD2" wp14:editId="1B455917">
                  <wp:extent cx="651510" cy="651510"/>
                  <wp:effectExtent l="0" t="0" r="0" b="0"/>
                  <wp:docPr id="1879538776" name="Picture 18795387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76" name="Picture 1879538776">
                            <a:extLst>
                              <a:ext uri="{C183D7F6-B498-43B3-948B-1728B52AA6E4}">
                                <adec:decorative xmlns:adec="http://schemas.microsoft.com/office/drawing/2017/decorative" val="1"/>
                              </a:ext>
                            </a:extLst>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53338" cy="653338"/>
                          </a:xfrm>
                          <a:prstGeom prst="rect">
                            <a:avLst/>
                          </a:prstGeom>
                          <a:noFill/>
                          <a:ln>
                            <a:noFill/>
                          </a:ln>
                        </pic:spPr>
                      </pic:pic>
                    </a:graphicData>
                  </a:graphic>
                </wp:inline>
              </w:drawing>
            </w:r>
          </w:p>
        </w:tc>
        <w:tc>
          <w:tcPr>
            <w:tcW w:w="3515" w:type="dxa"/>
            <w:tcBorders>
              <w:top w:val="single" w:sz="4" w:space="0" w:color="D9D9D9" w:themeColor="background1" w:themeShade="D9"/>
              <w:right w:val="single" w:sz="4" w:space="0" w:color="D9D9D9" w:themeColor="background1" w:themeShade="D9"/>
            </w:tcBorders>
          </w:tcPr>
          <w:p w14:paraId="7E196A15" w14:textId="6607F306" w:rsidR="000D7D9F" w:rsidRPr="003E29CF" w:rsidRDefault="000D7D9F" w:rsidP="00845492">
            <w:pPr>
              <w:numPr>
                <w:ilvl w:val="1"/>
                <w:numId w:val="0"/>
              </w:numPr>
              <w:spacing w:before="60" w:after="60" w:line="22" w:lineRule="atLeast"/>
              <w:rPr>
                <w:rFonts w:eastAsia="EC Square Sans Pro"/>
                <w:noProof/>
                <w:color w:val="003399" w:themeColor="text2"/>
                <w:spacing w:val="-4"/>
                <w:sz w:val="18"/>
                <w:szCs w:val="18"/>
                <w:highlight w:val="lightGray"/>
              </w:rPr>
            </w:pPr>
            <w:r w:rsidRPr="00B13363">
              <w:rPr>
                <w:rFonts w:eastAsia="EC Square Sans Pro"/>
                <w:color w:val="003399" w:themeColor="text2"/>
                <w:spacing w:val="-4"/>
                <w:sz w:val="18"/>
                <w:szCs w:val="18"/>
              </w:rPr>
              <w:t xml:space="preserve">The </w:t>
            </w:r>
            <w:r w:rsidRPr="00B13363">
              <w:rPr>
                <w:rFonts w:eastAsia="EC Square Sans Pro"/>
                <w:b/>
                <w:color w:val="003399" w:themeColor="text2"/>
                <w:spacing w:val="-4"/>
                <w:sz w:val="18"/>
                <w:szCs w:val="18"/>
              </w:rPr>
              <w:t>European Regional Development Fund</w:t>
            </w:r>
            <w:r w:rsidRPr="00B13363">
              <w:rPr>
                <w:rFonts w:eastAsia="EC Square Sans Pro"/>
                <w:color w:val="003399" w:themeColor="text2"/>
                <w:spacing w:val="-4"/>
                <w:sz w:val="18"/>
                <w:szCs w:val="18"/>
              </w:rPr>
              <w:t xml:space="preserve"> planned EUR</w:t>
            </w:r>
            <w:r w:rsidRPr="00B13363">
              <w:rPr>
                <w:rFonts w:ascii="Calibri" w:eastAsia="EC Square Sans Pro" w:hAnsi="Calibri" w:cs="Calibri"/>
                <w:color w:val="003399" w:themeColor="text2"/>
                <w:spacing w:val="-4"/>
                <w:sz w:val="18"/>
                <w:szCs w:val="18"/>
              </w:rPr>
              <w:t> </w:t>
            </w:r>
            <w:r w:rsidRPr="00B13363">
              <w:rPr>
                <w:rFonts w:eastAsia="EC Square Sans Pro"/>
                <w:color w:val="003399" w:themeColor="text2"/>
                <w:spacing w:val="-4"/>
                <w:sz w:val="18"/>
                <w:szCs w:val="18"/>
              </w:rPr>
              <w:t>9.</w:t>
            </w:r>
            <w:r w:rsidRPr="00B13363" w:rsidDel="007972F4">
              <w:rPr>
                <w:rFonts w:eastAsia="EC Square Sans Pro"/>
                <w:color w:val="003399" w:themeColor="text2"/>
                <w:spacing w:val="-4"/>
                <w:sz w:val="18"/>
                <w:szCs w:val="18"/>
              </w:rPr>
              <w:t>5</w:t>
            </w:r>
            <w:r w:rsidRPr="00B13363">
              <w:rPr>
                <w:rFonts w:ascii="Calibri" w:eastAsia="EC Square Sans Pro" w:hAnsi="Calibri" w:cs="Calibri"/>
                <w:color w:val="003399" w:themeColor="text2"/>
                <w:spacing w:val="-4"/>
                <w:sz w:val="18"/>
                <w:szCs w:val="18"/>
              </w:rPr>
              <w:t> </w:t>
            </w:r>
            <w:r w:rsidRPr="00B13363">
              <w:rPr>
                <w:rFonts w:eastAsia="EC Square Sans Pro"/>
                <w:color w:val="003399" w:themeColor="text2"/>
                <w:spacing w:val="-4"/>
                <w:sz w:val="18"/>
                <w:szCs w:val="18"/>
              </w:rPr>
              <w:t xml:space="preserve">billion to support this goal. </w:t>
            </w:r>
            <w:r w:rsidR="00AB0960" w:rsidRPr="00AB0960">
              <w:rPr>
                <w:rFonts w:eastAsia="EC Square Sans Pro"/>
                <w:color w:val="003399" w:themeColor="text2"/>
                <w:spacing w:val="-4"/>
                <w:sz w:val="18"/>
                <w:szCs w:val="18"/>
              </w:rPr>
              <w:t xml:space="preserve">For instance, the </w:t>
            </w:r>
            <w:r w:rsidR="00D04177">
              <w:rPr>
                <w:rFonts w:eastAsia="EC Square Sans Pro"/>
                <w:color w:val="003399" w:themeColor="text2"/>
                <w:spacing w:val="-4"/>
                <w:sz w:val="18"/>
                <w:szCs w:val="18"/>
              </w:rPr>
              <w:t>u</w:t>
            </w:r>
            <w:r w:rsidR="00AB0960" w:rsidRPr="00AB0960">
              <w:rPr>
                <w:rFonts w:eastAsia="EC Square Sans Pro"/>
                <w:color w:val="003399" w:themeColor="text2"/>
                <w:spacing w:val="-4"/>
                <w:sz w:val="18"/>
                <w:szCs w:val="18"/>
              </w:rPr>
              <w:t xml:space="preserve">rban </w:t>
            </w:r>
            <w:r w:rsidR="00D04177">
              <w:rPr>
                <w:rFonts w:eastAsia="EC Square Sans Pro"/>
                <w:color w:val="003399" w:themeColor="text2"/>
                <w:spacing w:val="-4"/>
                <w:sz w:val="18"/>
                <w:szCs w:val="18"/>
              </w:rPr>
              <w:t>b</w:t>
            </w:r>
            <w:r w:rsidR="00AB0960" w:rsidRPr="00AB0960">
              <w:rPr>
                <w:rFonts w:eastAsia="EC Square Sans Pro"/>
                <w:color w:val="003399" w:themeColor="text2"/>
                <w:spacing w:val="-4"/>
                <w:sz w:val="18"/>
                <w:szCs w:val="18"/>
              </w:rPr>
              <w:t xml:space="preserve">iodiversity </w:t>
            </w:r>
            <w:r w:rsidR="00D04177">
              <w:rPr>
                <w:rFonts w:eastAsia="EC Square Sans Pro"/>
                <w:color w:val="003399" w:themeColor="text2"/>
                <w:spacing w:val="-4"/>
                <w:sz w:val="18"/>
                <w:szCs w:val="18"/>
              </w:rPr>
              <w:t>p</w:t>
            </w:r>
            <w:r w:rsidR="00AB0960" w:rsidRPr="00AB0960">
              <w:rPr>
                <w:rFonts w:eastAsia="EC Square Sans Pro"/>
                <w:color w:val="003399" w:themeColor="text2"/>
                <w:spacing w:val="-4"/>
                <w:sz w:val="18"/>
                <w:szCs w:val="18"/>
              </w:rPr>
              <w:t>arks project in Turku (Finland) reflects the New European Bauhaus principles by promoting urban ecological restoration and regeneration through the creation of biodiversity parks and pilot green spaces. It reflects Turku’s ambition to become one of the world’s leading ‘nature and climate cities’. The project aim is to establish a 20-hectare biodiversity park, providing a recreational area</w:t>
            </w:r>
            <w:r w:rsidR="003A4A74">
              <w:rPr>
                <w:rFonts w:ascii="Calibri" w:eastAsia="EC Square Sans Pro" w:hAnsi="Calibri" w:cs="Calibri"/>
                <w:color w:val="003399" w:themeColor="text2"/>
                <w:spacing w:val="-4"/>
                <w:sz w:val="18"/>
                <w:szCs w:val="18"/>
              </w:rPr>
              <w:t> </w:t>
            </w:r>
            <w:r w:rsidR="00AB0960" w:rsidRPr="00AB0960">
              <w:rPr>
                <w:rFonts w:eastAsia="EC Square Sans Pro"/>
                <w:color w:val="003399" w:themeColor="text2"/>
                <w:spacing w:val="-4"/>
                <w:sz w:val="18"/>
                <w:szCs w:val="18"/>
              </w:rPr>
              <w:t xml:space="preserve">– while also serving as a platform for community engagement and experiential learning. The concept is being piloted in Turku’s Skanssi area, with more, smaller pilots planned in other suburban neighbourhoods.   </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300790C2" w14:textId="77777777" w:rsidR="000D7D9F" w:rsidRPr="003E29CF" w:rsidRDefault="000D7D9F" w:rsidP="00845492">
            <w:pPr>
              <w:numPr>
                <w:ilvl w:val="1"/>
                <w:numId w:val="0"/>
              </w:numPr>
              <w:tabs>
                <w:tab w:val="left" w:pos="2705"/>
              </w:tabs>
              <w:spacing w:before="60" w:after="60" w:line="22" w:lineRule="atLeast"/>
              <w:rPr>
                <w:noProof/>
                <w:color w:val="003399" w:themeColor="text2"/>
                <w:sz w:val="18"/>
                <w:szCs w:val="18"/>
                <w:highlight w:val="lightGray"/>
              </w:rPr>
            </w:pPr>
            <w:r w:rsidRPr="003E29CF">
              <w:rPr>
                <w:noProof/>
                <w:color w:val="003399" w:themeColor="text2"/>
                <w:sz w:val="18"/>
                <w:szCs w:val="18"/>
                <w:highlight w:val="lightGray"/>
              </w:rPr>
              <w:drawing>
                <wp:inline distT="0" distB="0" distL="0" distR="0" wp14:anchorId="7A5E2764" wp14:editId="2AAE31B3">
                  <wp:extent cx="652007" cy="652007"/>
                  <wp:effectExtent l="0" t="0" r="0" b="0"/>
                  <wp:docPr id="1879538777" name="Picture 18795387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77" name="Picture 1879538777">
                            <a:extLst>
                              <a:ext uri="{C183D7F6-B498-43B3-948B-1728B52AA6E4}">
                                <adec:decorative xmlns:adec="http://schemas.microsoft.com/office/drawing/2017/decorative" val="1"/>
                              </a:ext>
                            </a:extLst>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53731" cy="653731"/>
                          </a:xfrm>
                          <a:prstGeom prst="rect">
                            <a:avLst/>
                          </a:prstGeom>
                          <a:noFill/>
                          <a:ln>
                            <a:noFill/>
                          </a:ln>
                        </pic:spPr>
                      </pic:pic>
                    </a:graphicData>
                  </a:graphic>
                </wp:inline>
              </w:drawing>
            </w:r>
          </w:p>
        </w:tc>
        <w:tc>
          <w:tcPr>
            <w:tcW w:w="3515" w:type="dxa"/>
            <w:tcBorders>
              <w:top w:val="single" w:sz="4" w:space="0" w:color="D9D9D9" w:themeColor="background1" w:themeShade="D9"/>
            </w:tcBorders>
          </w:tcPr>
          <w:p w14:paraId="3B90DAB7" w14:textId="05976AC2" w:rsidR="000D7D9F" w:rsidRPr="0082136F" w:rsidRDefault="000D7D9F" w:rsidP="00845492">
            <w:pPr>
              <w:numPr>
                <w:ilvl w:val="1"/>
                <w:numId w:val="0"/>
              </w:numPr>
              <w:tabs>
                <w:tab w:val="left" w:pos="2705"/>
              </w:tabs>
              <w:spacing w:before="60" w:after="60" w:line="22" w:lineRule="atLeast"/>
              <w:rPr>
                <w:color w:val="003399" w:themeColor="text2"/>
                <w:sz w:val="18"/>
                <w:szCs w:val="18"/>
              </w:rPr>
            </w:pPr>
            <w:r w:rsidRPr="008072FE">
              <w:rPr>
                <w:color w:val="003399" w:themeColor="text2"/>
                <w:sz w:val="18"/>
                <w:szCs w:val="18"/>
              </w:rPr>
              <w:t xml:space="preserve">The </w:t>
            </w:r>
            <w:r w:rsidR="00804400">
              <w:rPr>
                <w:b/>
                <w:color w:val="003399" w:themeColor="text2"/>
                <w:sz w:val="18"/>
                <w:szCs w:val="18"/>
              </w:rPr>
              <w:t>c</w:t>
            </w:r>
            <w:r w:rsidRPr="008072FE">
              <w:rPr>
                <w:b/>
                <w:color w:val="003399" w:themeColor="text2"/>
                <w:sz w:val="18"/>
                <w:szCs w:val="18"/>
              </w:rPr>
              <w:t xml:space="preserve">ommon </w:t>
            </w:r>
            <w:r w:rsidR="00565F9F">
              <w:rPr>
                <w:b/>
                <w:color w:val="003399" w:themeColor="text2"/>
                <w:sz w:val="18"/>
                <w:szCs w:val="18"/>
              </w:rPr>
              <w:t>f</w:t>
            </w:r>
            <w:r w:rsidRPr="008072FE">
              <w:rPr>
                <w:b/>
                <w:color w:val="003399" w:themeColor="text2"/>
                <w:sz w:val="18"/>
                <w:szCs w:val="18"/>
              </w:rPr>
              <w:t xml:space="preserve">oreign and </w:t>
            </w:r>
            <w:r w:rsidR="00565F9F">
              <w:rPr>
                <w:b/>
                <w:color w:val="003399" w:themeColor="text2"/>
                <w:sz w:val="18"/>
                <w:szCs w:val="18"/>
              </w:rPr>
              <w:t>s</w:t>
            </w:r>
            <w:r w:rsidRPr="008072FE">
              <w:rPr>
                <w:b/>
                <w:color w:val="003399" w:themeColor="text2"/>
                <w:sz w:val="18"/>
                <w:szCs w:val="18"/>
              </w:rPr>
              <w:t xml:space="preserve">ecurity </w:t>
            </w:r>
            <w:r w:rsidR="00565F9F">
              <w:rPr>
                <w:b/>
                <w:color w:val="003399" w:themeColor="text2"/>
                <w:sz w:val="18"/>
                <w:szCs w:val="18"/>
              </w:rPr>
              <w:t>p</w:t>
            </w:r>
            <w:r w:rsidRPr="008072FE">
              <w:rPr>
                <w:b/>
                <w:color w:val="003399" w:themeColor="text2"/>
                <w:sz w:val="18"/>
                <w:szCs w:val="18"/>
              </w:rPr>
              <w:t>olicy</w:t>
            </w:r>
            <w:r w:rsidRPr="008072FE">
              <w:rPr>
                <w:color w:val="003399" w:themeColor="text2"/>
                <w:sz w:val="18"/>
                <w:szCs w:val="18"/>
              </w:rPr>
              <w:t xml:space="preserve"> measures contribute to the preservation of peace, conflict prevention, strengthening of international security, consolidating and supporting democracy, the rule of law and human rights by advising and building capacity on security sector reforms, the rule of law and border management, by supporting mediation and conflict resolution initiatives or by supporting the universalisation and effective implementation of international treaties and conventions addressing the proliferation of weapons of mass destruction or conventional weapons.</w:t>
            </w:r>
          </w:p>
        </w:tc>
      </w:tr>
      <w:tr w:rsidR="000D7D9F" w:rsidRPr="003E29CF" w14:paraId="7352884B" w14:textId="77777777" w:rsidTr="001B7D68">
        <w:trPr>
          <w:gridAfter w:val="2"/>
          <w:wAfter w:w="4649" w:type="dxa"/>
          <w:trHeight w:val="20"/>
          <w:jc w:val="center"/>
        </w:trPr>
        <w:tc>
          <w:tcPr>
            <w:tcW w:w="1276" w:type="dxa"/>
            <w:tcBorders>
              <w:right w:val="single" w:sz="4" w:space="0" w:color="D9D9D9" w:themeColor="background1" w:themeShade="D9"/>
            </w:tcBorders>
          </w:tcPr>
          <w:p w14:paraId="58A168BE" w14:textId="77777777" w:rsidR="000D7D9F" w:rsidRPr="003E29CF" w:rsidRDefault="000D7D9F" w:rsidP="00AE458E">
            <w:pPr>
              <w:numPr>
                <w:ilvl w:val="1"/>
                <w:numId w:val="0"/>
              </w:numPr>
              <w:tabs>
                <w:tab w:val="left" w:pos="2705"/>
              </w:tabs>
              <w:spacing w:before="60" w:after="60" w:line="20" w:lineRule="atLeast"/>
              <w:rPr>
                <w:noProof/>
                <w:color w:val="003399" w:themeColor="text2"/>
                <w:sz w:val="16"/>
                <w:szCs w:val="16"/>
                <w:highlight w:val="lightGray"/>
              </w:rPr>
            </w:pPr>
            <w:r w:rsidRPr="003E29CF">
              <w:rPr>
                <w:noProof/>
                <w:color w:val="003399" w:themeColor="text2"/>
                <w:sz w:val="16"/>
                <w:szCs w:val="16"/>
                <w:highlight w:val="lightGray"/>
              </w:rPr>
              <w:drawing>
                <wp:inline distT="0" distB="0" distL="0" distR="0" wp14:anchorId="4812C4B1" wp14:editId="02C4621C">
                  <wp:extent cx="662586" cy="659959"/>
                  <wp:effectExtent l="0" t="0" r="4445" b="6985"/>
                  <wp:docPr id="1879538778" name="Picture 18795387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9538778" name="Picture 1879538778">
                            <a:extLst>
                              <a:ext uri="{C183D7F6-B498-43B3-948B-1728B52AA6E4}">
                                <adec:decorative xmlns:adec="http://schemas.microsoft.com/office/drawing/2017/decorative" val="1"/>
                              </a:ext>
                            </a:extLst>
                          </pic:cNvPr>
                          <pic:cNvPicPr>
                            <a:picLocks noChangeArrowheads="1"/>
                          </pic:cNvPicPr>
                        </pic:nvPicPr>
                        <pic:blipFill rotWithShape="1">
                          <a:blip r:embed="rId100">
                            <a:extLst>
                              <a:ext uri="{28A0092B-C50C-407E-A947-70E740481C1C}">
                                <a14:useLocalDpi xmlns:a14="http://schemas.microsoft.com/office/drawing/2010/main" val="0"/>
                              </a:ext>
                            </a:extLst>
                          </a:blip>
                          <a:srcRect l="-161" r="-161"/>
                          <a:stretch>
                            <a:fillRect/>
                          </a:stretch>
                        </pic:blipFill>
                        <pic:spPr bwMode="auto">
                          <a:xfrm>
                            <a:off x="0" y="0"/>
                            <a:ext cx="664533" cy="661898"/>
                          </a:xfrm>
                          <a:prstGeom prst="rect">
                            <a:avLst/>
                          </a:prstGeom>
                          <a:noFill/>
                          <a:ln>
                            <a:noFill/>
                          </a:ln>
                        </pic:spPr>
                      </pic:pic>
                    </a:graphicData>
                  </a:graphic>
                </wp:inline>
              </w:drawing>
            </w:r>
          </w:p>
        </w:tc>
        <w:tc>
          <w:tcPr>
            <w:tcW w:w="3515" w:type="dxa"/>
            <w:tcBorders>
              <w:top w:val="single" w:sz="4" w:space="0" w:color="D9D9D9" w:themeColor="background1" w:themeShade="D9"/>
              <w:left w:val="single" w:sz="4" w:space="0" w:color="D9D9D9" w:themeColor="background1" w:themeShade="D9"/>
              <w:bottom w:val="nil"/>
            </w:tcBorders>
          </w:tcPr>
          <w:p w14:paraId="433C1731" w14:textId="3DE9AB8B" w:rsidR="000D7D9F" w:rsidRPr="003E29CF" w:rsidRDefault="003E47A6" w:rsidP="00845492">
            <w:pPr>
              <w:numPr>
                <w:ilvl w:val="1"/>
                <w:numId w:val="0"/>
              </w:numPr>
              <w:tabs>
                <w:tab w:val="left" w:pos="2705"/>
              </w:tabs>
              <w:spacing w:before="60" w:after="60" w:line="22" w:lineRule="atLeast"/>
              <w:rPr>
                <w:noProof/>
                <w:color w:val="003399" w:themeColor="text2"/>
                <w:sz w:val="18"/>
                <w:szCs w:val="18"/>
                <w:highlight w:val="lightGray"/>
              </w:rPr>
            </w:pPr>
            <w:r w:rsidRPr="00B13363">
              <w:rPr>
                <w:color w:val="003399" w:themeColor="text2"/>
                <w:sz w:val="18"/>
                <w:szCs w:val="18"/>
              </w:rPr>
              <w:t xml:space="preserve">The </w:t>
            </w:r>
            <w:r w:rsidR="00035B0E">
              <w:rPr>
                <w:b/>
                <w:color w:val="003399" w:themeColor="text2"/>
                <w:sz w:val="18"/>
                <w:szCs w:val="18"/>
              </w:rPr>
              <w:t>h</w:t>
            </w:r>
            <w:r w:rsidRPr="00B13363">
              <w:rPr>
                <w:b/>
                <w:color w:val="003399" w:themeColor="text2"/>
                <w:sz w:val="18"/>
                <w:szCs w:val="18"/>
              </w:rPr>
              <w:t xml:space="preserve">umanitarian </w:t>
            </w:r>
            <w:r w:rsidR="00035B0E">
              <w:rPr>
                <w:b/>
                <w:color w:val="003399" w:themeColor="text2"/>
                <w:sz w:val="18"/>
                <w:szCs w:val="18"/>
              </w:rPr>
              <w:t>a</w:t>
            </w:r>
            <w:r w:rsidRPr="00B13363">
              <w:rPr>
                <w:b/>
                <w:color w:val="003399" w:themeColor="text2"/>
                <w:sz w:val="18"/>
                <w:szCs w:val="18"/>
              </w:rPr>
              <w:t>id</w:t>
            </w:r>
            <w:r w:rsidRPr="00B13363">
              <w:rPr>
                <w:color w:val="003399" w:themeColor="text2"/>
                <w:sz w:val="18"/>
                <w:szCs w:val="18"/>
              </w:rPr>
              <w:t xml:space="preserve"> programme supports local actors and partners to reinforce both their capacities, security of staff and ability to reach communities in hard-to-reach areas. This work is further empowered by our commitment to inclusiveness in coordination mechanisms wherever possible. In Myanmar, one third of the budget goes to local organisations, with many programmes operating through large networks of local partners that ensure principled, context-sensitive</w:t>
            </w:r>
            <w:r w:rsidR="00294186">
              <w:rPr>
                <w:rFonts w:ascii="Calibri" w:hAnsi="Calibri" w:cs="Calibri"/>
                <w:color w:val="003399" w:themeColor="text2"/>
                <w:sz w:val="18"/>
                <w:szCs w:val="18"/>
              </w:rPr>
              <w:t xml:space="preserve"> </w:t>
            </w:r>
            <w:r w:rsidRPr="00B13363">
              <w:rPr>
                <w:color w:val="003399" w:themeColor="text2"/>
                <w:sz w:val="18"/>
                <w:szCs w:val="18"/>
              </w:rPr>
              <w:t>and</w:t>
            </w:r>
            <w:r w:rsidR="00294186">
              <w:rPr>
                <w:rFonts w:ascii="Calibri" w:hAnsi="Calibri" w:cs="Calibri"/>
                <w:color w:val="003399" w:themeColor="text2"/>
                <w:sz w:val="18"/>
                <w:szCs w:val="18"/>
              </w:rPr>
              <w:t xml:space="preserve"> </w:t>
            </w:r>
            <w:r w:rsidRPr="00B13363">
              <w:rPr>
                <w:color w:val="003399" w:themeColor="text2"/>
                <w:sz w:val="18"/>
                <w:szCs w:val="18"/>
              </w:rPr>
              <w:t>timely</w:t>
            </w:r>
            <w:r w:rsidR="00294186">
              <w:rPr>
                <w:rFonts w:ascii="Calibri" w:hAnsi="Calibri" w:cs="Calibri"/>
                <w:color w:val="003399" w:themeColor="text2"/>
                <w:sz w:val="18"/>
                <w:szCs w:val="18"/>
              </w:rPr>
              <w:t xml:space="preserve"> </w:t>
            </w:r>
            <w:r w:rsidRPr="00B13363">
              <w:rPr>
                <w:color w:val="003399" w:themeColor="text2"/>
                <w:sz w:val="18"/>
                <w:szCs w:val="18"/>
              </w:rPr>
              <w:t>humanitarian</w:t>
            </w:r>
            <w:r w:rsidR="00294186">
              <w:rPr>
                <w:rFonts w:ascii="Calibri" w:hAnsi="Calibri" w:cs="Calibri"/>
                <w:color w:val="003399" w:themeColor="text2"/>
                <w:sz w:val="18"/>
                <w:szCs w:val="18"/>
              </w:rPr>
              <w:t xml:space="preserve"> </w:t>
            </w:r>
            <w:r w:rsidRPr="00B13363">
              <w:rPr>
                <w:color w:val="003399" w:themeColor="text2"/>
                <w:sz w:val="18"/>
                <w:szCs w:val="18"/>
              </w:rPr>
              <w:t>assistance, even in highly constrained and insecure environments. These partnerships strengthen local ownership, improve access and acceptance at community level, and contribute to more sustainable humanitarian</w:t>
            </w:r>
            <w:r w:rsidR="0074779E">
              <w:rPr>
                <w:color w:val="003399" w:themeColor="text2"/>
                <w:sz w:val="18"/>
                <w:szCs w:val="18"/>
              </w:rPr>
              <w:t xml:space="preserve"> outcomes</w:t>
            </w:r>
            <w:r w:rsidRPr="00B13363">
              <w:rPr>
                <w:color w:val="003399" w:themeColor="text2"/>
                <w:sz w:val="18"/>
                <w:szCs w:val="18"/>
              </w:rPr>
              <w:t xml:space="preserve">. </w:t>
            </w:r>
          </w:p>
        </w:tc>
      </w:tr>
    </w:tbl>
    <w:p w14:paraId="03825254" w14:textId="77777777" w:rsidR="00337B06" w:rsidRPr="001B7D68" w:rsidRDefault="00337B06" w:rsidP="006F7DD4"/>
    <w:sectPr w:rsidR="00337B06" w:rsidRPr="001B7D68" w:rsidSect="00777137">
      <w:headerReference w:type="even" r:id="rId101"/>
      <w:headerReference w:type="default" r:id="rId102"/>
      <w:footerReference w:type="even" r:id="rId103"/>
      <w:footerReference w:type="default" r:id="rId104"/>
      <w:headerReference w:type="first" r:id="rId105"/>
      <w:footerReference w:type="first" r:id="rId106"/>
      <w:endnotePr>
        <w:pos w:val="sectEnd"/>
        <w:numFmt w:val="lowerLetter"/>
      </w:endnotePr>
      <w:type w:val="oddPage"/>
      <w:pgSz w:w="11907" w:h="16839" w:code="9"/>
      <w:pgMar w:top="1418" w:right="1418" w:bottom="1418" w:left="1418" w:header="680"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02479" w14:textId="77777777" w:rsidR="003336BC" w:rsidRDefault="003336BC">
      <w:pPr>
        <w:spacing w:before="0" w:after="0" w:line="240" w:lineRule="auto"/>
      </w:pPr>
      <w:r>
        <w:separator/>
      </w:r>
    </w:p>
  </w:endnote>
  <w:endnote w:type="continuationSeparator" w:id="0">
    <w:p w14:paraId="58E367DA" w14:textId="77777777" w:rsidR="003336BC" w:rsidRDefault="003336B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EC Square Sans Pro Medium">
    <w:altName w:val="Corbel"/>
    <w:panose1 w:val="020B0500000000020004"/>
    <w:charset w:val="00"/>
    <w:family w:val="swiss"/>
    <w:pitch w:val="variable"/>
    <w:sig w:usb0="20000287" w:usb1="00000001" w:usb2="00000000" w:usb3="00000000" w:csb0="0000019F" w:csb1="00000000"/>
  </w:font>
  <w:font w:name="Tunga">
    <w:panose1 w:val="00000400000000000000"/>
    <w:charset w:val="00"/>
    <w:family w:val="swiss"/>
    <w:pitch w:val="variable"/>
    <w:sig w:usb0="004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6A6FC" w14:textId="125E08BB" w:rsidR="00663854" w:rsidRPr="00663854" w:rsidRDefault="00663854" w:rsidP="00663854">
    <w:pPr>
      <w:pStyle w:val="FooterCoverPage"/>
      <w:rPr>
        <w:rFonts w:ascii="Arial" w:hAnsi="Arial" w:cs="Arial"/>
        <w:b/>
        <w:sz w:val="48"/>
      </w:rPr>
    </w:pPr>
    <w:r w:rsidRPr="00663854">
      <w:rPr>
        <w:rFonts w:ascii="Arial" w:hAnsi="Arial" w:cs="Arial"/>
        <w:b/>
        <w:sz w:val="48"/>
      </w:rPr>
      <w:t>EN</w:t>
    </w:r>
    <w:r w:rsidRPr="00663854">
      <w:rPr>
        <w:rFonts w:ascii="Arial" w:hAnsi="Arial" w:cs="Arial"/>
        <w:b/>
        <w:sz w:val="48"/>
      </w:rPr>
      <w:tab/>
    </w:r>
    <w:r w:rsidRPr="00663854">
      <w:rPr>
        <w:rFonts w:ascii="Arial" w:hAnsi="Arial" w:cs="Arial"/>
        <w:b/>
        <w:sz w:val="48"/>
      </w:rPr>
      <w:tab/>
    </w:r>
    <w:r w:rsidRPr="00663854">
      <w:tab/>
    </w:r>
    <w:r w:rsidRPr="0066385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95DB7" w14:textId="75029BD6" w:rsidR="00663854" w:rsidRPr="00663854" w:rsidRDefault="00663854" w:rsidP="00663854">
    <w:pPr>
      <w:pStyle w:val="FooterCoverPage"/>
      <w:rPr>
        <w:rFonts w:ascii="Arial" w:hAnsi="Arial" w:cs="Arial"/>
        <w:b/>
        <w:sz w:val="48"/>
      </w:rPr>
    </w:pPr>
    <w:r w:rsidRPr="00663854">
      <w:rPr>
        <w:rFonts w:ascii="Arial" w:hAnsi="Arial" w:cs="Arial"/>
        <w:b/>
        <w:sz w:val="48"/>
      </w:rPr>
      <w:t>EN</w:t>
    </w:r>
    <w:r w:rsidRPr="00663854">
      <w:rPr>
        <w:rFonts w:ascii="Arial" w:hAnsi="Arial" w:cs="Arial"/>
        <w:b/>
        <w:sz w:val="48"/>
      </w:rPr>
      <w:tab/>
    </w:r>
    <w:r w:rsidRPr="00663854">
      <w:rPr>
        <w:rFonts w:ascii="Arial" w:hAnsi="Arial" w:cs="Arial"/>
        <w:b/>
        <w:sz w:val="48"/>
      </w:rPr>
      <w:tab/>
    </w:r>
    <w:r w:rsidRPr="00663854">
      <w:tab/>
    </w:r>
    <w:r w:rsidRPr="0066385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9C33" w14:textId="77777777" w:rsidR="00663854" w:rsidRPr="00663854" w:rsidRDefault="00663854" w:rsidP="0066385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67EE" w14:textId="32FF1AD5" w:rsidR="008C3E58" w:rsidRPr="008C3E58" w:rsidRDefault="008C3E58" w:rsidP="008C3E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C8E36" w14:textId="4E17249D" w:rsidR="000919A7" w:rsidRPr="003474D3" w:rsidRDefault="000919A7" w:rsidP="003474D3">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9B7D6" w14:textId="77777777" w:rsidR="000919A7" w:rsidRDefault="000919A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0B017" w14:textId="73E51ECB" w:rsidR="000D7D9F" w:rsidRDefault="005C7FF5" w:rsidP="005C7FF5">
    <w:pPr>
      <w:pStyle w:val="amprFooter-Right"/>
    </w:pPr>
    <w:r w:rsidRPr="00E8784B">
      <w:fldChar w:fldCharType="begin"/>
    </w:r>
    <w:r w:rsidRPr="000D56E1">
      <w:instrText xml:space="preserve"> PAGE \* MERGEFORMAT </w:instrText>
    </w:r>
    <w:r w:rsidRPr="00E8784B">
      <w:fldChar w:fldCharType="separate"/>
    </w:r>
    <w:r>
      <w:t>3</w:t>
    </w:r>
    <w:r w:rsidRPr="00E8784B">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1D11F" w14:textId="77777777" w:rsidR="000D7D9F" w:rsidRPr="000D56E1" w:rsidRDefault="000D7D9F">
    <w:pPr>
      <w:pStyle w:val="amprFooter-Right"/>
    </w:pPr>
    <w:r w:rsidRPr="00E8784B">
      <w:fldChar w:fldCharType="begin"/>
    </w:r>
    <w:r w:rsidRPr="000D56E1">
      <w:instrText xml:space="preserve"> PAGE \* MERGEFORMAT </w:instrText>
    </w:r>
    <w:r w:rsidRPr="00E8784B">
      <w:fldChar w:fldCharType="separate"/>
    </w:r>
    <w:r>
      <w:rPr>
        <w:noProof/>
      </w:rPr>
      <w:t>3</w:t>
    </w:r>
    <w:r w:rsidRPr="00E8784B">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0B9D7" w14:textId="77777777" w:rsidR="000D7D9F" w:rsidRDefault="000D7D9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63DF0" w14:textId="77777777" w:rsidR="000D7D9F" w:rsidRPr="00C4644D" w:rsidRDefault="000D7D9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40E89" w14:textId="77777777" w:rsidR="000D7D9F" w:rsidRPr="00C4644D" w:rsidRDefault="000D7D9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DF745" w14:textId="77777777" w:rsidR="000D7D9F" w:rsidRPr="00C4644D" w:rsidRDefault="000D7D9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6FBAF" w14:textId="77777777" w:rsidR="000D7D9F" w:rsidRPr="00B964EB" w:rsidRDefault="000D7D9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9CAB" w14:textId="77777777" w:rsidR="000D7D9F" w:rsidRPr="00B964EB" w:rsidRDefault="000D7D9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9ABC9" w14:textId="77777777" w:rsidR="000D7D9F" w:rsidRPr="00B964EB" w:rsidRDefault="000D7D9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236D3" w14:textId="77777777" w:rsidR="000D7D9F" w:rsidRPr="00953636" w:rsidRDefault="000D7D9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57985" w14:textId="77777777" w:rsidR="000D7D9F" w:rsidRPr="00953636" w:rsidRDefault="000D7D9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5B4E2" w14:textId="77777777" w:rsidR="000D7D9F" w:rsidRPr="00953636" w:rsidRDefault="000D7D9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9444C" w14:textId="77777777" w:rsidR="006C776E" w:rsidRPr="00E8784B" w:rsidRDefault="006C776E">
    <w:pPr>
      <w:pStyle w:val="amprFooter-Left"/>
    </w:pPr>
    <w:r w:rsidRPr="00E8784B">
      <w:fldChar w:fldCharType="begin"/>
    </w:r>
    <w:r w:rsidRPr="000D56E1">
      <w:instrText xml:space="preserve"> PAGE   \* MERGEFORMAT </w:instrText>
    </w:r>
    <w:r w:rsidRPr="00E8784B">
      <w:fldChar w:fldCharType="separate"/>
    </w:r>
    <w:r>
      <w:t>10</w:t>
    </w:r>
    <w:r w:rsidRPr="00E8784B">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4BAFB" w14:textId="77777777" w:rsidR="006C776E" w:rsidRPr="000D56E1" w:rsidRDefault="006C776E">
    <w:pPr>
      <w:pStyle w:val="amprFooter-Right"/>
    </w:pPr>
    <w:r w:rsidRPr="00E8784B">
      <w:fldChar w:fldCharType="begin"/>
    </w:r>
    <w:r w:rsidRPr="000D56E1">
      <w:instrText xml:space="preserve"> PAGE   \* MERGEFORMAT </w:instrText>
    </w:r>
    <w:r w:rsidRPr="00E8784B">
      <w:fldChar w:fldCharType="separate"/>
    </w:r>
    <w:r>
      <w:rPr>
        <w:noProof/>
      </w:rPr>
      <w:t>13</w:t>
    </w:r>
    <w:r w:rsidRPr="00E8784B">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F1B7E" w14:textId="77777777" w:rsidR="00941AA3" w:rsidRDefault="00941A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468CE" w14:textId="77777777" w:rsidR="003336BC" w:rsidRDefault="003336BC">
      <w:pPr>
        <w:spacing w:before="0" w:after="0" w:line="240" w:lineRule="auto"/>
      </w:pPr>
      <w:r>
        <w:separator/>
      </w:r>
    </w:p>
  </w:footnote>
  <w:footnote w:type="continuationSeparator" w:id="0">
    <w:p w14:paraId="68D768F0" w14:textId="77777777" w:rsidR="003336BC" w:rsidRDefault="003336BC">
      <w:pPr>
        <w:spacing w:before="0" w:after="0" w:line="240" w:lineRule="auto"/>
      </w:pPr>
      <w:r>
        <w:continuationSeparator/>
      </w:r>
    </w:p>
  </w:footnote>
  <w:footnote w:id="1">
    <w:p w14:paraId="266C0BB5" w14:textId="2D624054" w:rsidR="00F9277C" w:rsidRPr="00BE39BE" w:rsidRDefault="00F9277C" w:rsidP="00F9277C">
      <w:pPr>
        <w:pStyle w:val="FootnoteText"/>
        <w:rPr>
          <w:lang w:val="en-IE"/>
        </w:rPr>
      </w:pPr>
      <w:r>
        <w:t>(</w:t>
      </w:r>
      <w:r>
        <w:rPr>
          <w:rStyle w:val="FootnoteReference"/>
        </w:rPr>
        <w:footnoteRef/>
      </w:r>
      <w:r>
        <w:t>)</w:t>
      </w:r>
      <w:r>
        <w:tab/>
      </w:r>
      <w:r w:rsidR="00F82C5C" w:rsidRPr="00F82C5C">
        <w:t>This amount includes EUR</w:t>
      </w:r>
      <w:r w:rsidR="005D4169">
        <w:rPr>
          <w:rFonts w:ascii="Calibri" w:hAnsi="Calibri" w:cs="Calibri"/>
        </w:rPr>
        <w:t> </w:t>
      </w:r>
      <w:r w:rsidR="00F82C5C" w:rsidRPr="00F82C5C">
        <w:t>190.9</w:t>
      </w:r>
      <w:r w:rsidR="005D4169">
        <w:rPr>
          <w:rFonts w:ascii="Calibri" w:hAnsi="Calibri" w:cs="Calibri"/>
        </w:rPr>
        <w:t> </w:t>
      </w:r>
      <w:r w:rsidR="00F82C5C" w:rsidRPr="00F82C5C">
        <w:t>billion from the final adopted budget; EUR</w:t>
      </w:r>
      <w:r w:rsidR="005D4169">
        <w:rPr>
          <w:rFonts w:ascii="Calibri" w:hAnsi="Calibri" w:cs="Calibri"/>
        </w:rPr>
        <w:t> </w:t>
      </w:r>
      <w:r w:rsidR="00F82C5C" w:rsidRPr="00F82C5C">
        <w:t>1.6</w:t>
      </w:r>
      <w:r w:rsidR="005D4169">
        <w:rPr>
          <w:rFonts w:ascii="Calibri" w:hAnsi="Calibri" w:cs="Calibri"/>
        </w:rPr>
        <w:t> </w:t>
      </w:r>
      <w:r w:rsidR="00F82C5C" w:rsidRPr="00F82C5C">
        <w:t>billion from appropriations carried</w:t>
      </w:r>
      <w:r w:rsidR="004F5C41" w:rsidRPr="00F82C5C">
        <w:t xml:space="preserve"> </w:t>
      </w:r>
      <w:r w:rsidR="00F82C5C" w:rsidRPr="00F82C5C">
        <w:t>over or made available again from 2024; and EUR</w:t>
      </w:r>
      <w:r w:rsidR="00813617">
        <w:rPr>
          <w:rFonts w:ascii="Calibri" w:hAnsi="Calibri" w:cs="Calibri"/>
        </w:rPr>
        <w:t> </w:t>
      </w:r>
      <w:r w:rsidR="00F82C5C" w:rsidRPr="00F82C5C">
        <w:t>14.1</w:t>
      </w:r>
      <w:r w:rsidR="00813617">
        <w:rPr>
          <w:rFonts w:ascii="Calibri" w:hAnsi="Calibri" w:cs="Calibri"/>
        </w:rPr>
        <w:t> </w:t>
      </w:r>
      <w:r w:rsidR="00F82C5C" w:rsidRPr="00F82C5C">
        <w:t>billion from appropriations stemming from assigned revenues (of which EUR</w:t>
      </w:r>
      <w:r w:rsidR="00813617">
        <w:rPr>
          <w:rFonts w:ascii="Calibri" w:hAnsi="Calibri" w:cs="Calibri"/>
        </w:rPr>
        <w:t> </w:t>
      </w:r>
      <w:r w:rsidR="00F82C5C" w:rsidRPr="00F82C5C">
        <w:t>0.4</w:t>
      </w:r>
      <w:r w:rsidR="00813617">
        <w:rPr>
          <w:rFonts w:ascii="Calibri" w:hAnsi="Calibri" w:cs="Calibri"/>
        </w:rPr>
        <w:t> </w:t>
      </w:r>
      <w:r w:rsidR="00F82C5C" w:rsidRPr="00F82C5C">
        <w:t>billion from NextGenerat</w:t>
      </w:r>
      <w:r w:rsidR="00941A91">
        <w:t>i</w:t>
      </w:r>
      <w:r w:rsidR="00F82C5C" w:rsidRPr="00F82C5C">
        <w:t>onEU).</w:t>
      </w:r>
    </w:p>
  </w:footnote>
  <w:footnote w:id="2">
    <w:p w14:paraId="29867B62" w14:textId="1FE15CEC" w:rsidR="004C286F" w:rsidRPr="006767BC" w:rsidRDefault="004C286F">
      <w:pPr>
        <w:pStyle w:val="FootnoteText"/>
        <w:rPr>
          <w:lang w:val="en-IE"/>
        </w:rPr>
      </w:pPr>
      <w:r>
        <w:t>(</w:t>
      </w:r>
      <w:r>
        <w:rPr>
          <w:rStyle w:val="FootnoteReference"/>
        </w:rPr>
        <w:footnoteRef/>
      </w:r>
      <w:r>
        <w:t>)</w:t>
      </w:r>
      <w:r>
        <w:tab/>
        <w:t>As of January 2026.</w:t>
      </w:r>
    </w:p>
  </w:footnote>
  <w:footnote w:id="3">
    <w:p w14:paraId="52B9869A" w14:textId="77777777" w:rsidR="00F90239" w:rsidRPr="00A07EB1" w:rsidRDefault="00F90239" w:rsidP="00F90239">
      <w:pPr>
        <w:pStyle w:val="FootnoteText"/>
      </w:pPr>
      <w:r w:rsidRPr="00DF1B2F">
        <w:t>(</w:t>
      </w:r>
      <w:r w:rsidRPr="00AA5A4D">
        <w:rPr>
          <w:rStyle w:val="FootnoteReference"/>
        </w:rPr>
        <w:footnoteRef/>
      </w:r>
      <w:r w:rsidRPr="00DF1B2F">
        <w:t>)</w:t>
      </w:r>
      <w:r>
        <w:tab/>
      </w:r>
      <w:r w:rsidRPr="00A07EB1">
        <w:t>Aggregated data of core performance indicators, reflecting estimated and expected impact from the EU budget project as from 2014.</w:t>
      </w:r>
    </w:p>
  </w:footnote>
  <w:footnote w:id="4">
    <w:p w14:paraId="2FDAE9F3" w14:textId="72D81CE4" w:rsidR="00F90239" w:rsidRPr="00A07EB1" w:rsidRDefault="00F90239" w:rsidP="00F90239">
      <w:pPr>
        <w:pStyle w:val="FootnoteText"/>
      </w:pPr>
      <w:r w:rsidRPr="00A07EB1">
        <w:t>(</w:t>
      </w:r>
      <w:r w:rsidRPr="00AA5A4D">
        <w:rPr>
          <w:rStyle w:val="FootnoteReference"/>
        </w:rPr>
        <w:footnoteRef/>
      </w:r>
      <w:r w:rsidRPr="00A07EB1">
        <w:t>)</w:t>
      </w:r>
      <w:r>
        <w:tab/>
      </w:r>
      <w:r w:rsidRPr="00A07EB1">
        <w:t xml:space="preserve">Financed by the following 2021-2027 programmes: Fiscalis; customs programme; European Maritime Fisheries and Aquaculture Fund; Recovery and Resilience Facility; Euratom; European Social Fund Plus; Just Transition Mechanism; Erasmus+; European Globalisation Adjustment Fund for Displaced Workers; </w:t>
      </w:r>
      <w:r w:rsidR="00BB6D38">
        <w:t>c</w:t>
      </w:r>
      <w:r w:rsidRPr="00A07EB1">
        <w:t>reative Europe; European Solidarity Corps; justice programme; Asylum, Migration and Integration Fund; Internal Security Fund; Horizon Europe; InvestEU; single market programme; digital Europe programme; regional policy; European Agricultural Guarantee Fund.</w:t>
      </w:r>
    </w:p>
  </w:footnote>
  <w:footnote w:id="5">
    <w:p w14:paraId="5CB5265E" w14:textId="1735D2EB" w:rsidR="000D7D9F" w:rsidRPr="00A07EB1" w:rsidRDefault="000D7D9F" w:rsidP="00AA5A4D">
      <w:pPr>
        <w:pStyle w:val="FootnoteText"/>
        <w:rPr>
          <w:highlight w:val="lightGray"/>
        </w:rPr>
      </w:pPr>
      <w:r w:rsidRPr="00A07EB1">
        <w:t>(</w:t>
      </w:r>
      <w:r w:rsidRPr="00AA5A4D">
        <w:rPr>
          <w:rStyle w:val="FootnoteReference"/>
        </w:rPr>
        <w:footnoteRef/>
      </w:r>
      <w:r w:rsidRPr="00A07EB1">
        <w:t>)</w:t>
      </w:r>
      <w:r w:rsidR="00AA5A4D">
        <w:tab/>
      </w:r>
      <w:r w:rsidRPr="00A07EB1">
        <w:t>As provided for in point</w:t>
      </w:r>
      <w:r w:rsidRPr="00AE65EA">
        <w:rPr>
          <w:rFonts w:ascii="Calibri" w:hAnsi="Calibri" w:cs="Calibri"/>
        </w:rPr>
        <w:t> </w:t>
      </w:r>
      <w:r w:rsidRPr="00A07EB1">
        <w:t>16(d–g) of the interinstitutional agreement for the 2021-2027 multiannual financial framework.</w:t>
      </w:r>
    </w:p>
  </w:footnote>
  <w:footnote w:id="6">
    <w:p w14:paraId="261E3AB4" w14:textId="77777777" w:rsidR="009F1BF0" w:rsidRPr="00E56EE2" w:rsidRDefault="009F1BF0" w:rsidP="009F1BF0">
      <w:pPr>
        <w:pStyle w:val="FootnoteText"/>
        <w:rPr>
          <w:lang w:val="en-IE"/>
        </w:rPr>
      </w:pPr>
      <w:r>
        <w:t>(</w:t>
      </w:r>
      <w:r>
        <w:rPr>
          <w:rStyle w:val="FootnoteReference"/>
        </w:rPr>
        <w:footnoteRef/>
      </w:r>
      <w:r>
        <w:t>)</w:t>
      </w:r>
      <w:r>
        <w:tab/>
      </w:r>
      <w:r w:rsidRPr="00B94934">
        <w:rPr>
          <w:rFonts w:eastAsia="EC Square Sans Pro" w:cs="EC Square Sans Pro"/>
          <w:noProof/>
        </w:rPr>
        <w:t>Proposal for a Regulation of the European Parliament and of the Council</w:t>
      </w:r>
      <w:r>
        <w:rPr>
          <w:rFonts w:eastAsia="EC Square Sans Pro" w:cs="EC Square Sans Pro"/>
          <w:noProof/>
        </w:rPr>
        <w:t xml:space="preserve"> </w:t>
      </w:r>
      <w:r w:rsidRPr="00B94934">
        <w:rPr>
          <w:rFonts w:eastAsia="EC Square Sans Pro" w:cs="EC Square Sans Pro"/>
          <w:noProof/>
        </w:rPr>
        <w:t xml:space="preserve">establishing a budget expenditure tracking and performance framework, along with other horizontal rules for the Union programmes and activities, </w:t>
      </w:r>
      <w:r w:rsidRPr="00B94934">
        <w:rPr>
          <w:rFonts w:eastAsia="EC Square Sans Pro" w:cs="EC Square Sans Pro"/>
        </w:rPr>
        <w:t>COM</w:t>
      </w:r>
      <w:r>
        <w:rPr>
          <w:rFonts w:eastAsia="EC Square Sans Pro" w:cs="EC Square Sans Pro"/>
        </w:rPr>
        <w:t>(</w:t>
      </w:r>
      <w:r w:rsidRPr="00B94934">
        <w:rPr>
          <w:rFonts w:eastAsia="EC Square Sans Pro" w:cs="EC Square Sans Pro"/>
        </w:rPr>
        <w:t>2025</w:t>
      </w:r>
      <w:r>
        <w:rPr>
          <w:rFonts w:eastAsia="EC Square Sans Pro" w:cs="EC Square Sans Pro"/>
        </w:rPr>
        <w:t>)</w:t>
      </w:r>
      <w:r>
        <w:rPr>
          <w:rFonts w:ascii="Calibri" w:eastAsia="EC Square Sans Pro" w:hAnsi="Calibri" w:cs="Calibri"/>
        </w:rPr>
        <w:t> </w:t>
      </w:r>
      <w:r w:rsidRPr="00B94934">
        <w:rPr>
          <w:rFonts w:eastAsia="EC Square Sans Pro" w:cs="EC Square Sans Pro"/>
        </w:rPr>
        <w:t>545 final of 16</w:t>
      </w:r>
      <w:r w:rsidRPr="00B94934">
        <w:rPr>
          <w:rFonts w:ascii="Calibri" w:eastAsia="EC Square Sans Pro" w:hAnsi="Calibri" w:cs="Calibri"/>
        </w:rPr>
        <w:t> </w:t>
      </w:r>
      <w:r w:rsidRPr="00B94934">
        <w:rPr>
          <w:rFonts w:eastAsia="EC Square Sans Pro" w:cs="EC Square Sans Pro"/>
        </w:rPr>
        <w:t xml:space="preserve">July 2025, </w:t>
      </w:r>
      <w:hyperlink r:id="rId1" w:history="1">
        <w:r w:rsidRPr="00B94934">
          <w:rPr>
            <w:rStyle w:val="Hyperlink"/>
            <w:rFonts w:eastAsia="EC Square Sans Pro" w:cs="EC Square Sans Pro"/>
          </w:rPr>
          <w:t>https://eur-lex.europa.eu/legal-content/EN/TXT/?uri=CELEX%3A52025PC0545&amp;qid=1753797488776</w:t>
        </w:r>
      </w:hyperlink>
      <w:r w:rsidRPr="00B94934">
        <w:rPr>
          <w:rFonts w:eastAsia="EC Square Sans Pro" w:cs="EC Square Sans Pro"/>
        </w:rPr>
        <w:t>.</w:t>
      </w:r>
    </w:p>
  </w:footnote>
  <w:footnote w:id="7">
    <w:p w14:paraId="0FB68476" w14:textId="5FC0C628" w:rsidR="004E1D7D" w:rsidRPr="00080490" w:rsidRDefault="004E1D7D" w:rsidP="006D6731">
      <w:pPr>
        <w:spacing w:after="0" w:line="240" w:lineRule="auto"/>
        <w:ind w:left="357" w:hanging="357"/>
        <w:rPr>
          <w:szCs w:val="18"/>
          <w:lang w:val="en-IE"/>
        </w:rPr>
      </w:pPr>
      <w:r w:rsidRPr="006D6731">
        <w:rPr>
          <w:sz w:val="18"/>
          <w:szCs w:val="18"/>
          <w:lang w:val="en-IE"/>
        </w:rPr>
        <w:t>(</w:t>
      </w:r>
      <w:r w:rsidRPr="006D6731">
        <w:rPr>
          <w:rStyle w:val="FootnoteReference"/>
          <w:sz w:val="18"/>
          <w:szCs w:val="18"/>
        </w:rPr>
        <w:footnoteRef/>
      </w:r>
      <w:r w:rsidRPr="006D6731">
        <w:rPr>
          <w:sz w:val="18"/>
          <w:szCs w:val="18"/>
          <w:lang w:val="en-IE"/>
        </w:rPr>
        <w:t>)</w:t>
      </w:r>
      <w:r w:rsidRPr="006D6731">
        <w:rPr>
          <w:sz w:val="18"/>
          <w:szCs w:val="18"/>
          <w:lang w:val="en-IE"/>
        </w:rPr>
        <w:tab/>
      </w:r>
      <w:r w:rsidR="008C351A" w:rsidRPr="006D6731">
        <w:rPr>
          <w:rFonts w:eastAsia="EC Square Sans Pro" w:cs="EC Square Sans Pro"/>
          <w:noProof/>
          <w:sz w:val="18"/>
          <w:szCs w:val="18"/>
        </w:rPr>
        <w:t>Communication from the Commission to the European Parliament, the Council, the European Economic and Social Committee and the Committee of the regions</w:t>
      </w:r>
      <w:r w:rsidR="008C351A" w:rsidRPr="006D6731">
        <w:rPr>
          <w:rFonts w:ascii="Calibri" w:eastAsia="EC Square Sans Pro" w:hAnsi="Calibri" w:cs="Calibri"/>
          <w:noProof/>
          <w:sz w:val="18"/>
          <w:szCs w:val="18"/>
        </w:rPr>
        <w:t> </w:t>
      </w:r>
      <w:r w:rsidR="008C351A" w:rsidRPr="006D6731">
        <w:rPr>
          <w:rFonts w:eastAsia="EC Square Sans Pro" w:cs="EC Square Sans Pro"/>
          <w:noProof/>
          <w:sz w:val="18"/>
          <w:szCs w:val="18"/>
        </w:rPr>
        <w:t>– Enhancing the accession process</w:t>
      </w:r>
      <w:r w:rsidR="008C351A" w:rsidRPr="006D6731">
        <w:rPr>
          <w:rFonts w:ascii="Calibri" w:eastAsia="EC Square Sans Pro" w:hAnsi="Calibri" w:cs="Calibri"/>
          <w:noProof/>
          <w:sz w:val="18"/>
          <w:szCs w:val="18"/>
        </w:rPr>
        <w:t> </w:t>
      </w:r>
      <w:r w:rsidR="008C351A" w:rsidRPr="006D6731">
        <w:rPr>
          <w:rFonts w:eastAsia="EC Square Sans Pro" w:cs="EC Square Sans Pro"/>
          <w:noProof/>
          <w:sz w:val="18"/>
          <w:szCs w:val="18"/>
        </w:rPr>
        <w:t>– A credible EU perspective for the Western Balkans, COM(2020)</w:t>
      </w:r>
      <w:r w:rsidR="008C351A" w:rsidRPr="006D6731">
        <w:rPr>
          <w:rFonts w:ascii="Calibri" w:eastAsia="EC Square Sans Pro" w:hAnsi="Calibri" w:cs="Calibri"/>
          <w:noProof/>
          <w:sz w:val="18"/>
          <w:szCs w:val="18"/>
        </w:rPr>
        <w:t> </w:t>
      </w:r>
      <w:r w:rsidR="008C351A" w:rsidRPr="006D6731">
        <w:rPr>
          <w:rFonts w:eastAsia="EC Square Sans Pro" w:cs="EC Square Sans Pro"/>
          <w:noProof/>
          <w:sz w:val="18"/>
          <w:szCs w:val="18"/>
        </w:rPr>
        <w:t>57 final of 5</w:t>
      </w:r>
      <w:r w:rsidR="008C351A" w:rsidRPr="006D6731">
        <w:rPr>
          <w:rFonts w:ascii="Calibri" w:eastAsia="EC Square Sans Pro" w:hAnsi="Calibri" w:cs="Calibri"/>
          <w:noProof/>
          <w:sz w:val="18"/>
          <w:szCs w:val="18"/>
        </w:rPr>
        <w:t> </w:t>
      </w:r>
      <w:r w:rsidR="008C351A" w:rsidRPr="006D6731">
        <w:rPr>
          <w:rFonts w:eastAsia="EC Square Sans Pro" w:cs="EC Square Sans Pro"/>
          <w:noProof/>
          <w:sz w:val="18"/>
          <w:szCs w:val="18"/>
        </w:rPr>
        <w:t>February 2020,</w:t>
      </w:r>
      <w:r w:rsidR="000F4D68">
        <w:rPr>
          <w:rFonts w:eastAsia="EC Square Sans Pro" w:cs="EC Square Sans Pro"/>
          <w:noProof/>
          <w:sz w:val="18"/>
          <w:szCs w:val="18"/>
        </w:rPr>
        <w:t xml:space="preserve"> </w:t>
      </w:r>
      <w:hyperlink r:id="rId2" w:history="1">
        <w:r w:rsidR="002E0889" w:rsidRPr="0004327D">
          <w:rPr>
            <w:rStyle w:val="Hyperlink"/>
            <w:rFonts w:eastAsia="EC Square Sans Pro" w:cs="EC Square Sans Pro"/>
            <w:noProof/>
            <w:sz w:val="18"/>
            <w:szCs w:val="18"/>
          </w:rPr>
          <w:t>https://enlargement.ec.europa.eu/enhancing-accession-process-credible-eu-perspective-western-balkans_en</w:t>
        </w:r>
      </w:hyperlink>
      <w:r w:rsidR="002E0889" w:rsidRPr="006D6731">
        <w:rPr>
          <w:sz w:val="18"/>
          <w:szCs w:val="18"/>
          <w:lang w:val="en-IE"/>
        </w:rPr>
        <w:t>.</w:t>
      </w:r>
    </w:p>
  </w:footnote>
  <w:footnote w:id="8">
    <w:p w14:paraId="3EB16A51" w14:textId="795B79D0" w:rsidR="00B232F9" w:rsidRPr="00DB5DE7" w:rsidRDefault="00B232F9">
      <w:pPr>
        <w:pStyle w:val="FootnoteText"/>
        <w:rPr>
          <w:lang w:val="en-IE"/>
        </w:rPr>
      </w:pPr>
      <w:r w:rsidRPr="00080490">
        <w:rPr>
          <w:lang w:val="en-IE"/>
        </w:rPr>
        <w:t>(</w:t>
      </w:r>
      <w:r>
        <w:rPr>
          <w:rStyle w:val="FootnoteReference"/>
        </w:rPr>
        <w:footnoteRef/>
      </w:r>
      <w:r w:rsidRPr="00DB5DE7">
        <w:rPr>
          <w:lang w:val="en-IE"/>
        </w:rPr>
        <w:t>)</w:t>
      </w:r>
      <w:r w:rsidRPr="00DB5DE7">
        <w:rPr>
          <w:lang w:val="en-IE"/>
        </w:rPr>
        <w:tab/>
      </w:r>
      <w:r w:rsidR="00D82EAB" w:rsidRPr="00DB5DE7">
        <w:t>Council Implementing Decision (EU) 2024/1447 of 14</w:t>
      </w:r>
      <w:r w:rsidR="00670B6A" w:rsidRPr="00DB5DE7">
        <w:rPr>
          <w:rFonts w:ascii="Calibri" w:hAnsi="Calibri" w:cs="Calibri"/>
        </w:rPr>
        <w:t> </w:t>
      </w:r>
      <w:r w:rsidR="00D82EAB" w:rsidRPr="00DB5DE7">
        <w:t>May 2024 on the approval of the assessment of the Ukraine Plan (</w:t>
      </w:r>
      <w:r w:rsidRPr="00DB5DE7">
        <w:rPr>
          <w:lang w:val="en-IE"/>
        </w:rPr>
        <w:t>OJ L, 2024/1447, 24.5.2024, ELI:</w:t>
      </w:r>
      <w:r w:rsidR="00416506" w:rsidRPr="00DB5DE7">
        <w:rPr>
          <w:rFonts w:ascii="Calibri" w:hAnsi="Calibri" w:cs="Calibri"/>
          <w:lang w:val="en-IE"/>
        </w:rPr>
        <w:t> </w:t>
      </w:r>
      <w:hyperlink r:id="rId3" w:history="1">
        <w:r w:rsidR="00784349" w:rsidRPr="00DB5DE7">
          <w:rPr>
            <w:rStyle w:val="Hyperlink"/>
            <w:lang w:val="en-IE"/>
          </w:rPr>
          <w:t>http://data.europa.eu/eli/dec_impl/2024/1447/oj</w:t>
        </w:r>
      </w:hyperlink>
      <w:r w:rsidR="00416506" w:rsidRPr="00DB5DE7">
        <w:rPr>
          <w:lang w:val="en-IE"/>
        </w:rPr>
        <w:t>).</w:t>
      </w:r>
    </w:p>
  </w:footnote>
  <w:footnote w:id="9">
    <w:p w14:paraId="53DD681C" w14:textId="087A6FFE" w:rsidR="007E32A8" w:rsidRDefault="007E32A8">
      <w:pPr>
        <w:pStyle w:val="FootnoteText"/>
      </w:pPr>
      <w:r>
        <w:t>(</w:t>
      </w:r>
      <w:r>
        <w:rPr>
          <w:rStyle w:val="FootnoteReference"/>
        </w:rPr>
        <w:footnoteRef/>
      </w:r>
      <w:r>
        <w:t>)</w:t>
      </w:r>
      <w:r>
        <w:tab/>
        <w:t>This designation shall not be construed as recognition of a State of Palestine and is without prejudice to the individual positions of the Member States on this issue.</w:t>
      </w:r>
    </w:p>
  </w:footnote>
  <w:footnote w:id="10">
    <w:p w14:paraId="1736EC49" w14:textId="2AE4F941" w:rsidR="00C54DD6" w:rsidRPr="00EA4BC0" w:rsidRDefault="00C54DD6">
      <w:pPr>
        <w:pStyle w:val="FootnoteText"/>
        <w:rPr>
          <w:lang w:val="en-IE"/>
        </w:rPr>
      </w:pPr>
      <w:r>
        <w:t>(</w:t>
      </w:r>
      <w:r>
        <w:rPr>
          <w:rStyle w:val="FootnoteReference"/>
        </w:rPr>
        <w:footnoteRef/>
      </w:r>
      <w:r>
        <w:t>)</w:t>
      </w:r>
      <w:r>
        <w:tab/>
      </w:r>
      <w:r w:rsidRPr="00C54DD6">
        <w:t xml:space="preserve">Cumulative data for </w:t>
      </w:r>
      <w:r w:rsidR="00867331">
        <w:t xml:space="preserve">the </w:t>
      </w:r>
      <w:r w:rsidR="00600FFE" w:rsidRPr="00555509">
        <w:t>Neighbourhood, Development and International Cooperation Instrument</w:t>
      </w:r>
      <w:r w:rsidR="00600FFE" w:rsidRPr="00555509">
        <w:rPr>
          <w:rFonts w:ascii="Calibri" w:hAnsi="Calibri" w:cs="Calibri"/>
        </w:rPr>
        <w:t> </w:t>
      </w:r>
      <w:r w:rsidR="00600FFE" w:rsidRPr="00555509">
        <w:t>– Global Europe</w:t>
      </w:r>
      <w:r w:rsidR="00600FFE" w:rsidRPr="00C54DD6" w:rsidDel="00600FFE">
        <w:t xml:space="preserve"> </w:t>
      </w:r>
      <w:r w:rsidR="00600FFE">
        <w:t>I</w:t>
      </w:r>
      <w:r w:rsidRPr="00C54DD6">
        <w:t xml:space="preserve">nstrument for </w:t>
      </w:r>
      <w:r w:rsidR="00867331">
        <w:t xml:space="preserve">the </w:t>
      </w:r>
      <w:r w:rsidRPr="00C54DD6">
        <w:t>2021-2025</w:t>
      </w:r>
      <w:r w:rsidR="00867331">
        <w:t xml:space="preserve"> </w:t>
      </w:r>
      <w:r w:rsidR="00867331" w:rsidRPr="00C54DD6">
        <w:t>period</w:t>
      </w:r>
      <w:r>
        <w:t>.</w:t>
      </w:r>
    </w:p>
  </w:footnote>
  <w:footnote w:id="11">
    <w:p w14:paraId="7203F817" w14:textId="38CE45FC" w:rsidR="00CD4679" w:rsidRPr="009C0819" w:rsidRDefault="00CD4679">
      <w:pPr>
        <w:pStyle w:val="FootnoteText"/>
        <w:rPr>
          <w:lang w:val="en-IE"/>
        </w:rPr>
      </w:pPr>
      <w:r>
        <w:t>(</w:t>
      </w:r>
      <w:r>
        <w:rPr>
          <w:rStyle w:val="FootnoteReference"/>
        </w:rPr>
        <w:footnoteRef/>
      </w:r>
      <w:r>
        <w:t>)</w:t>
      </w:r>
      <w:r>
        <w:tab/>
      </w:r>
      <w:r w:rsidR="00F00DC9">
        <w:t>European Commission</w:t>
      </w:r>
      <w:r w:rsidR="00F00DC9" w:rsidRPr="00A07EB1">
        <w:t>: Directorate-General for Communication</w:t>
      </w:r>
      <w:r w:rsidR="00F00DC9">
        <w:t xml:space="preserve">, </w:t>
      </w:r>
      <w:r w:rsidR="00750110">
        <w:t>‘</w:t>
      </w:r>
      <w:r w:rsidR="00486ABA" w:rsidRPr="00486ABA">
        <w:t>Speech by President von der Leyen at the Copenhagen Competitiveness Summit</w:t>
      </w:r>
      <w:r w:rsidR="00750110">
        <w:t>’</w:t>
      </w:r>
      <w:r w:rsidR="00B37106">
        <w:t xml:space="preserve">, </w:t>
      </w:r>
      <w:r w:rsidR="005C3EC0" w:rsidRPr="007C01FA">
        <w:rPr>
          <w:lang w:val="en-US"/>
        </w:rPr>
        <w:t>news article, 1</w:t>
      </w:r>
      <w:r w:rsidR="00E53794">
        <w:rPr>
          <w:rFonts w:ascii="Calibri" w:hAnsi="Calibri" w:cs="Calibri"/>
          <w:lang w:eastAsia="en-IE"/>
        </w:rPr>
        <w:t> </w:t>
      </w:r>
      <w:r w:rsidR="005C3EC0" w:rsidRPr="007C01FA">
        <w:rPr>
          <w:lang w:val="en-US"/>
        </w:rPr>
        <w:t>October 2025</w:t>
      </w:r>
      <w:r w:rsidR="001E3B51" w:rsidRPr="007C01FA">
        <w:rPr>
          <w:lang w:val="en-US"/>
        </w:rPr>
        <w:t xml:space="preserve">, </w:t>
      </w:r>
      <w:hyperlink r:id="rId4" w:history="1">
        <w:r w:rsidR="001E3B51" w:rsidRPr="009C0819">
          <w:rPr>
            <w:rStyle w:val="Hyperlink"/>
            <w:lang w:val="en-US"/>
          </w:rPr>
          <w:t>https://ec.europa.eu/commission/presscorner/detail/en/speech_25_2272</w:t>
        </w:r>
      </w:hyperlink>
      <w:r w:rsidR="0053181E">
        <w:rPr>
          <w:lang w:val="en-US"/>
        </w:rPr>
        <w:t>.</w:t>
      </w:r>
    </w:p>
  </w:footnote>
  <w:footnote w:id="12">
    <w:p w14:paraId="45131757" w14:textId="08ACA70A" w:rsidR="00D4309C" w:rsidRPr="00D865DB" w:rsidRDefault="00D4309C" w:rsidP="00D4309C">
      <w:pPr>
        <w:pStyle w:val="FootnoteText"/>
        <w:rPr>
          <w:lang w:val="en-IE"/>
        </w:rPr>
      </w:pPr>
      <w:r>
        <w:t>(</w:t>
      </w:r>
      <w:r>
        <w:rPr>
          <w:rStyle w:val="FootnoteReference"/>
        </w:rPr>
        <w:footnoteRef/>
      </w:r>
      <w:r>
        <w:t>)</w:t>
      </w:r>
      <w:r>
        <w:tab/>
      </w:r>
      <w:r w:rsidR="00932823">
        <w:t xml:space="preserve">European Commission, </w:t>
      </w:r>
      <w:r w:rsidR="00A40E2D">
        <w:t>‘</w:t>
      </w:r>
      <w:r>
        <w:t xml:space="preserve">Horizon </w:t>
      </w:r>
      <w:r w:rsidR="0053181E">
        <w:t>E</w:t>
      </w:r>
      <w:r>
        <w:t xml:space="preserve">urope </w:t>
      </w:r>
      <w:r w:rsidR="00DA494D">
        <w:t xml:space="preserve">Work Programme </w:t>
      </w:r>
      <w:r>
        <w:t>2026-2027</w:t>
      </w:r>
      <w:r w:rsidR="00A40E2D">
        <w:rPr>
          <w:rFonts w:ascii="Calibri" w:hAnsi="Calibri" w:cs="Calibri"/>
        </w:rPr>
        <w:t> –</w:t>
      </w:r>
      <w:r>
        <w:t xml:space="preserve"> 14</w:t>
      </w:r>
      <w:r w:rsidR="00A40E2D">
        <w:t>. Hori</w:t>
      </w:r>
      <w:r w:rsidR="00B740CA">
        <w:t>zontal activities’</w:t>
      </w:r>
      <w:r w:rsidR="00175A73">
        <w:t xml:space="preserve">, </w:t>
      </w:r>
      <w:r w:rsidR="00175A73" w:rsidRPr="00175A73">
        <w:t>European Commission Decision C(2025) 8493 of 11</w:t>
      </w:r>
      <w:r w:rsidR="004D37D4">
        <w:rPr>
          <w:rFonts w:ascii="Calibri" w:hAnsi="Calibri" w:cs="Calibri"/>
        </w:rPr>
        <w:t> </w:t>
      </w:r>
      <w:r w:rsidR="00175A73" w:rsidRPr="00175A73">
        <w:t>December 2025</w:t>
      </w:r>
      <w:r w:rsidR="004D37D4">
        <w:t xml:space="preserve">, </w:t>
      </w:r>
      <w:r>
        <w:t>calls HORIZON-CID-2026-01 AND HORIZON-CID-2027-01</w:t>
      </w:r>
      <w:r w:rsidR="004C713C">
        <w:t>,</w:t>
      </w:r>
      <w:r>
        <w:t xml:space="preserve"> </w:t>
      </w:r>
      <w:hyperlink r:id="rId5" w:history="1">
        <w:r w:rsidRPr="00F41C11">
          <w:rPr>
            <w:rStyle w:val="Hyperlink"/>
          </w:rPr>
          <w:t>https://ec.europa.eu/info/funding-tenders/opportunities/docs/2021-2027/horizon/wp-call/2026-2027/wp-14-horizontal-activities_horizon-2026-2027_en.pdf</w:t>
        </w:r>
      </w:hyperlink>
      <w:r w:rsidR="00634B96">
        <w:t>.</w:t>
      </w:r>
    </w:p>
  </w:footnote>
  <w:footnote w:id="13">
    <w:p w14:paraId="08733408" w14:textId="6290DE8E" w:rsidR="00D4309C" w:rsidRPr="00FD3BD8" w:rsidRDefault="00D4309C" w:rsidP="00D4309C">
      <w:pPr>
        <w:pStyle w:val="FootnoteText"/>
      </w:pPr>
      <w:r w:rsidRPr="00FD3BD8">
        <w:t>(</w:t>
      </w:r>
      <w:r>
        <w:rPr>
          <w:rStyle w:val="FootnoteReference"/>
        </w:rPr>
        <w:footnoteRef/>
      </w:r>
      <w:r w:rsidRPr="00FD3BD8">
        <w:t>)</w:t>
      </w:r>
      <w:r w:rsidRPr="00FD3BD8">
        <w:tab/>
      </w:r>
      <w:r w:rsidR="00D1047A" w:rsidRPr="00FD3BD8">
        <w:t>Regulation (EU) 2025/2005 of the European Parliament and of the Council of 16</w:t>
      </w:r>
      <w:r w:rsidR="00184A15">
        <w:rPr>
          <w:rFonts w:ascii="Calibri" w:hAnsi="Calibri" w:cs="Calibri"/>
        </w:rPr>
        <w:t> </w:t>
      </w:r>
      <w:r w:rsidR="00D1047A" w:rsidRPr="00FD3BD8">
        <w:t>December 2025 amending Regulations (EU) 2015/1017, (EU) 2021/523, (EU) 2021/695 and (EU) 2021/1153 as regards increasing the efficiency of the EU guarantee under Regulation (EU) 2021/523 and simplifying reporting requirements</w:t>
      </w:r>
      <w:r w:rsidR="00C909F2">
        <w:t xml:space="preserve"> (</w:t>
      </w:r>
      <w:r w:rsidRPr="00FD3BD8">
        <w:t>OJ L, 2025/2005, 23.12.2025, ELI:</w:t>
      </w:r>
      <w:r w:rsidR="00AD1F11" w:rsidRPr="00FD3BD8">
        <w:t xml:space="preserve"> </w:t>
      </w:r>
      <w:hyperlink r:id="rId6" w:history="1">
        <w:r w:rsidRPr="00FD3BD8">
          <w:rPr>
            <w:rStyle w:val="Hyperlink"/>
          </w:rPr>
          <w:t>http://data.europa.eu/eli/reg/2025/2005/oj</w:t>
        </w:r>
      </w:hyperlink>
      <w:r w:rsidR="00C909F2">
        <w:rPr>
          <w:rFonts w:ascii="Calibri" w:hAnsi="Calibri" w:cs="Calibri"/>
        </w:rPr>
        <w:t>).</w:t>
      </w:r>
    </w:p>
  </w:footnote>
  <w:footnote w:id="14">
    <w:p w14:paraId="469FDF10" w14:textId="06163347" w:rsidR="00D4309C" w:rsidRPr="00090402" w:rsidRDefault="00D4309C" w:rsidP="00D4309C">
      <w:pPr>
        <w:pStyle w:val="FootnoteText"/>
        <w:rPr>
          <w:lang w:val="en-IE"/>
        </w:rPr>
      </w:pPr>
      <w:r>
        <w:t>(</w:t>
      </w:r>
      <w:r>
        <w:rPr>
          <w:rStyle w:val="FootnoteReference"/>
        </w:rPr>
        <w:footnoteRef/>
      </w:r>
      <w:r>
        <w:t>)</w:t>
      </w:r>
      <w:r>
        <w:tab/>
      </w:r>
      <w:r w:rsidR="00621D00" w:rsidRPr="00621D00">
        <w:t>European Innovation Council</w:t>
      </w:r>
      <w:r w:rsidR="00621D00">
        <w:t xml:space="preserve">, </w:t>
      </w:r>
      <w:r w:rsidR="00E24316" w:rsidRPr="00E24316">
        <w:t>European Innovation Council and SMEs Executive Agency</w:t>
      </w:r>
      <w:r w:rsidR="00E24316">
        <w:t>,</w:t>
      </w:r>
      <w:r w:rsidR="00621D00" w:rsidRPr="00621D00">
        <w:t xml:space="preserve"> </w:t>
      </w:r>
      <w:r>
        <w:t xml:space="preserve">EIC </w:t>
      </w:r>
      <w:r w:rsidR="00E24316">
        <w:t>D</w:t>
      </w:r>
      <w:r>
        <w:t xml:space="preserve">ata </w:t>
      </w:r>
      <w:r w:rsidR="00E24316">
        <w:t>H</w:t>
      </w:r>
      <w:r>
        <w:t>ub</w:t>
      </w:r>
      <w:r w:rsidR="00E91A99">
        <w:t>,</w:t>
      </w:r>
      <w:r>
        <w:t xml:space="preserve"> filtered for Accelerator funding stream, accessed on 2</w:t>
      </w:r>
      <w:r w:rsidR="0075174A">
        <w:t>4</w:t>
      </w:r>
      <w:r w:rsidR="00CC3266">
        <w:t>.</w:t>
      </w:r>
      <w:r>
        <w:t>4</w:t>
      </w:r>
      <w:r w:rsidR="00CC3266">
        <w:t>.</w:t>
      </w:r>
      <w:r>
        <w:t>2026</w:t>
      </w:r>
      <w:r w:rsidR="003D59BF">
        <w:rPr>
          <w:rFonts w:ascii="Calibri" w:hAnsi="Calibri" w:cs="Calibri"/>
        </w:rPr>
        <w:t> –</w:t>
      </w:r>
      <w:r>
        <w:t xml:space="preserve"> </w:t>
      </w:r>
      <w:hyperlink r:id="rId7" w:history="1">
        <w:r w:rsidRPr="00D35FB2">
          <w:rPr>
            <w:rStyle w:val="Hyperlink"/>
          </w:rPr>
          <w:t>https://eic.ec.europa.eu/impact/eic-data-hub_en</w:t>
        </w:r>
      </w:hyperlink>
      <w:r w:rsidR="005325B3">
        <w:t>.</w:t>
      </w:r>
    </w:p>
  </w:footnote>
  <w:footnote w:id="15">
    <w:p w14:paraId="7E3D3F93" w14:textId="0BEE1CC4" w:rsidR="00D4309C" w:rsidRPr="00FD3BD8" w:rsidRDefault="00D4309C">
      <w:pPr>
        <w:pStyle w:val="FootnoteText"/>
      </w:pPr>
      <w:r>
        <w:t>(</w:t>
      </w:r>
      <w:r>
        <w:rPr>
          <w:rStyle w:val="FootnoteReference"/>
        </w:rPr>
        <w:footnoteRef/>
      </w:r>
      <w:r>
        <w:t>)</w:t>
      </w:r>
      <w:r>
        <w:tab/>
      </w:r>
      <w:r w:rsidR="0048317E">
        <w:t>European C</w:t>
      </w:r>
      <w:r w:rsidR="00802FAF">
        <w:t>o</w:t>
      </w:r>
      <w:r w:rsidR="0048317E">
        <w:t>mmission</w:t>
      </w:r>
      <w:r w:rsidR="008A2EE6">
        <w:t xml:space="preserve"> (</w:t>
      </w:r>
      <w:r w:rsidR="00260DC3">
        <w:t>n.d.)</w:t>
      </w:r>
      <w:r w:rsidR="00802FAF">
        <w:t xml:space="preserve">, </w:t>
      </w:r>
      <w:r w:rsidR="00260DC3">
        <w:t>‘</w:t>
      </w:r>
      <w:r>
        <w:t xml:space="preserve">Horizon Europe 2026-2027 </w:t>
      </w:r>
      <w:r w:rsidR="00260DC3">
        <w:t>w</w:t>
      </w:r>
      <w:r>
        <w:t xml:space="preserve">ork </w:t>
      </w:r>
      <w:r w:rsidR="00260DC3">
        <w:t>p</w:t>
      </w:r>
      <w:r>
        <w:t>rogramme</w:t>
      </w:r>
      <w:r w:rsidR="00260DC3">
        <w:t>s’</w:t>
      </w:r>
      <w:r w:rsidR="005325B3">
        <w:t>,</w:t>
      </w:r>
      <w:r w:rsidR="00C6135F">
        <w:t xml:space="preserve"> </w:t>
      </w:r>
      <w:r w:rsidR="00C6135F" w:rsidRPr="00C6135F">
        <w:t>Research and innovation</w:t>
      </w:r>
      <w:r w:rsidR="00C6135F">
        <w:t xml:space="preserve"> website,</w:t>
      </w:r>
      <w:r>
        <w:t xml:space="preserve"> </w:t>
      </w:r>
      <w:hyperlink r:id="rId8" w:history="1">
        <w:r w:rsidR="001945A0" w:rsidRPr="001945A0">
          <w:rPr>
            <w:rStyle w:val="Hyperlink"/>
          </w:rPr>
          <w:t>Horizon Europe work programmes - Research and innovation</w:t>
        </w:r>
      </w:hyperlink>
      <w:r w:rsidR="001945A0">
        <w:t>.</w:t>
      </w:r>
    </w:p>
  </w:footnote>
  <w:footnote w:id="16">
    <w:p w14:paraId="029D13AB" w14:textId="1B29E2BB" w:rsidR="00BC644D" w:rsidRPr="00EC71B1" w:rsidRDefault="00BC644D" w:rsidP="00BC644D">
      <w:pPr>
        <w:pStyle w:val="FootnoteText"/>
        <w:rPr>
          <w:lang w:val="en-IE"/>
        </w:rPr>
      </w:pPr>
      <w:r w:rsidRPr="00EC71B1">
        <w:rPr>
          <w:lang w:val="en-IE"/>
        </w:rPr>
        <w:t>(</w:t>
      </w:r>
      <w:r>
        <w:rPr>
          <w:rStyle w:val="FootnoteReference"/>
        </w:rPr>
        <w:footnoteRef/>
      </w:r>
      <w:r w:rsidRPr="00EC71B1">
        <w:rPr>
          <w:lang w:val="en-IE"/>
        </w:rPr>
        <w:t>)</w:t>
      </w:r>
      <w:r w:rsidRPr="00EC71B1">
        <w:rPr>
          <w:lang w:val="en-IE"/>
        </w:rPr>
        <w:tab/>
      </w:r>
      <w:r w:rsidR="00D33595" w:rsidRPr="003059CD">
        <w:t>European Commission</w:t>
      </w:r>
      <w:r w:rsidR="00D33595">
        <w:t>,</w:t>
      </w:r>
      <w:r w:rsidR="00D33595" w:rsidRPr="00785B8F">
        <w:t xml:space="preserve"> </w:t>
      </w:r>
      <w:r w:rsidR="00790DC1">
        <w:t>‘</w:t>
      </w:r>
      <w:r w:rsidRPr="00785B8F">
        <w:t>ACCEPT: Automotive Cells Company European Production Take-off</w:t>
      </w:r>
      <w:r w:rsidR="00790DC1">
        <w:t>’</w:t>
      </w:r>
      <w:r w:rsidR="008931EE">
        <w:t xml:space="preserve">, </w:t>
      </w:r>
      <w:r w:rsidR="00E91513">
        <w:t xml:space="preserve">Innovation Fund </w:t>
      </w:r>
      <w:r w:rsidR="00BC0F91">
        <w:t>project factsheet</w:t>
      </w:r>
      <w:r w:rsidR="00E35DB0">
        <w:t>,</w:t>
      </w:r>
      <w:r>
        <w:t xml:space="preserve"> </w:t>
      </w:r>
      <w:hyperlink r:id="rId9" w:history="1">
        <w:r w:rsidR="00E35DB0" w:rsidRPr="00E35DB0">
          <w:rPr>
            <w:rStyle w:val="Hyperlink"/>
          </w:rPr>
          <w:t>https://ec.europa.eu/assets/cinea/project_fiches/innovation_fund/101250958.pdf</w:t>
        </w:r>
      </w:hyperlink>
      <w:r w:rsidR="000E0CE2">
        <w:t>.</w:t>
      </w:r>
    </w:p>
  </w:footnote>
  <w:footnote w:id="17">
    <w:p w14:paraId="47BEE301" w14:textId="3016A316" w:rsidR="001A1B0E" w:rsidRPr="00EC71B1" w:rsidRDefault="001A1B0E" w:rsidP="001A1B0E">
      <w:pPr>
        <w:pStyle w:val="FootnoteText"/>
        <w:rPr>
          <w:lang w:val="en-IE"/>
        </w:rPr>
      </w:pPr>
      <w:r w:rsidRPr="00EC71B1">
        <w:rPr>
          <w:lang w:val="en-IE"/>
        </w:rPr>
        <w:t>(</w:t>
      </w:r>
      <w:r>
        <w:rPr>
          <w:rStyle w:val="FootnoteReference"/>
        </w:rPr>
        <w:footnoteRef/>
      </w:r>
      <w:r w:rsidRPr="00EC71B1">
        <w:rPr>
          <w:lang w:val="en-IE"/>
        </w:rPr>
        <w:t>)</w:t>
      </w:r>
      <w:r w:rsidRPr="00EC71B1">
        <w:rPr>
          <w:lang w:val="en-IE"/>
        </w:rPr>
        <w:tab/>
      </w:r>
      <w:r w:rsidR="00D33595" w:rsidRPr="003059CD">
        <w:t>European Commission</w:t>
      </w:r>
      <w:r w:rsidR="00D33595">
        <w:t>,</w:t>
      </w:r>
      <w:r w:rsidR="00D33595" w:rsidRPr="00FD21E8">
        <w:t xml:space="preserve"> </w:t>
      </w:r>
      <w:r w:rsidR="00790DC1">
        <w:t>‘</w:t>
      </w:r>
      <w:r w:rsidRPr="00FD21E8">
        <w:t>MeCaClay: Green Cement Production through Mechano-Chemical Activation of Clay</w:t>
      </w:r>
      <w:r w:rsidR="00790DC1">
        <w:t>’</w:t>
      </w:r>
      <w:r w:rsidR="00F25A03">
        <w:t xml:space="preserve">, </w:t>
      </w:r>
      <w:r w:rsidR="00E91513">
        <w:t xml:space="preserve">Innovation Fund </w:t>
      </w:r>
      <w:r w:rsidR="00E35DB0">
        <w:t xml:space="preserve">project factsheet, </w:t>
      </w:r>
      <w:hyperlink r:id="rId10" w:history="1">
        <w:r w:rsidR="00E35DB0" w:rsidRPr="00E35DB0">
          <w:rPr>
            <w:rStyle w:val="Hyperlink"/>
          </w:rPr>
          <w:t>https://ec.europa.eu/assets/cinea/project_fiches/innovation_fund/101250933.pdf</w:t>
        </w:r>
      </w:hyperlink>
      <w:r w:rsidR="002A43AB">
        <w:t>.</w:t>
      </w:r>
    </w:p>
  </w:footnote>
  <w:footnote w:id="18">
    <w:p w14:paraId="7F8E6FF0" w14:textId="665B1A74" w:rsidR="00A8506F" w:rsidRPr="00FE0257" w:rsidRDefault="00A8506F" w:rsidP="00A8506F">
      <w:pPr>
        <w:pStyle w:val="FootnoteText"/>
        <w:rPr>
          <w:lang w:val="en-IE"/>
        </w:rPr>
      </w:pPr>
      <w:r w:rsidRPr="00FE0257">
        <w:rPr>
          <w:lang w:val="en-IE"/>
        </w:rPr>
        <w:t>(</w:t>
      </w:r>
      <w:r>
        <w:rPr>
          <w:rStyle w:val="FootnoteReference"/>
        </w:rPr>
        <w:footnoteRef/>
      </w:r>
      <w:r w:rsidRPr="00FE0257">
        <w:rPr>
          <w:lang w:val="en-IE"/>
        </w:rPr>
        <w:t>)</w:t>
      </w:r>
      <w:r w:rsidRPr="00FE0257">
        <w:rPr>
          <w:lang w:val="en-IE"/>
        </w:rPr>
        <w:tab/>
      </w:r>
      <w:r w:rsidR="00D33595" w:rsidRPr="003059CD">
        <w:t>European Commission</w:t>
      </w:r>
      <w:r w:rsidR="00D33595">
        <w:t>,</w:t>
      </w:r>
      <w:r w:rsidR="00D33595" w:rsidRPr="00FE0257">
        <w:rPr>
          <w:lang w:val="en-IE"/>
        </w:rPr>
        <w:t xml:space="preserve"> </w:t>
      </w:r>
      <w:r w:rsidR="0026555E">
        <w:rPr>
          <w:lang w:val="en-IE"/>
        </w:rPr>
        <w:t>‘</w:t>
      </w:r>
      <w:r w:rsidRPr="00FE0257">
        <w:rPr>
          <w:lang w:val="en-IE"/>
        </w:rPr>
        <w:t>H2CRI: RFNBO hydrogen production plant in Zaragoza</w:t>
      </w:r>
      <w:r w:rsidR="0026555E">
        <w:rPr>
          <w:lang w:val="en-IE"/>
        </w:rPr>
        <w:t>’</w:t>
      </w:r>
      <w:r w:rsidR="00CE1899" w:rsidRPr="00FE0257">
        <w:rPr>
          <w:lang w:val="en-IE"/>
        </w:rPr>
        <w:t>,</w:t>
      </w:r>
      <w:r w:rsidR="00E35DB0">
        <w:rPr>
          <w:lang w:val="en-IE"/>
        </w:rPr>
        <w:t xml:space="preserve"> </w:t>
      </w:r>
      <w:r w:rsidR="00E91513">
        <w:t xml:space="preserve">Innovation Fund </w:t>
      </w:r>
      <w:r w:rsidR="00E35DB0">
        <w:t xml:space="preserve">project factsheet, </w:t>
      </w:r>
      <w:hyperlink r:id="rId11" w:history="1">
        <w:r w:rsidR="00CE1899" w:rsidRPr="00FE0257">
          <w:rPr>
            <w:rStyle w:val="Hyperlink"/>
            <w:lang w:val="en-IE"/>
          </w:rPr>
          <w:t>https://ec.europa.eu/assets/cinea/project_fiches/innovation_fund/101241587.pdf</w:t>
        </w:r>
      </w:hyperlink>
      <w:r w:rsidR="00CE1899" w:rsidRPr="00FE0257">
        <w:rPr>
          <w:lang w:val="en-IE"/>
        </w:rPr>
        <w:t>.</w:t>
      </w:r>
    </w:p>
  </w:footnote>
  <w:footnote w:id="19">
    <w:p w14:paraId="31DD2EBC" w14:textId="5F836CA2" w:rsidR="00267121" w:rsidRPr="00FE0257" w:rsidRDefault="00267121" w:rsidP="00267121">
      <w:pPr>
        <w:pStyle w:val="FootnoteText"/>
      </w:pPr>
      <w:r w:rsidRPr="00FE0257">
        <w:t>(</w:t>
      </w:r>
      <w:r>
        <w:rPr>
          <w:rStyle w:val="FootnoteReference"/>
        </w:rPr>
        <w:footnoteRef/>
      </w:r>
      <w:r w:rsidRPr="00FE0257">
        <w:t>)</w:t>
      </w:r>
      <w:r w:rsidRPr="00FE0257">
        <w:tab/>
      </w:r>
      <w:r w:rsidR="00D33595" w:rsidRPr="003059CD">
        <w:t>European Commission</w:t>
      </w:r>
      <w:r w:rsidR="00D33595">
        <w:t>,</w:t>
      </w:r>
      <w:r w:rsidR="00D33595" w:rsidRPr="00FE0257">
        <w:t xml:space="preserve"> </w:t>
      </w:r>
      <w:r w:rsidR="008E2499" w:rsidRPr="00FE0257">
        <w:rPr>
          <w:rFonts w:hint="eastAsia"/>
        </w:rPr>
        <w:t>‘</w:t>
      </w:r>
      <w:r w:rsidRPr="00FE0257">
        <w:t>Swap2Zero</w:t>
      </w:r>
      <w:r w:rsidR="008E2499" w:rsidRPr="00FE0257">
        <w:rPr>
          <w:rFonts w:hint="eastAsia"/>
        </w:rPr>
        <w:t>’</w:t>
      </w:r>
      <w:r w:rsidR="00CE1899" w:rsidRPr="00FE0257">
        <w:t>,</w:t>
      </w:r>
      <w:r w:rsidR="0060124E" w:rsidRPr="00FE0257">
        <w:t xml:space="preserve"> </w:t>
      </w:r>
      <w:r w:rsidR="00E91513">
        <w:t xml:space="preserve">Innovation Fund </w:t>
      </w:r>
      <w:r w:rsidR="0060124E">
        <w:t xml:space="preserve">project factsheet, </w:t>
      </w:r>
      <w:hyperlink r:id="rId12" w:history="1">
        <w:r w:rsidR="00CE1899" w:rsidRPr="00FE0257">
          <w:rPr>
            <w:rStyle w:val="Hyperlink"/>
          </w:rPr>
          <w:t>https://ec.europa.eu/assets/cinea/project_fiches/innovation_fund/101191050.pdf</w:t>
        </w:r>
      </w:hyperlink>
      <w:r w:rsidR="00CE1899" w:rsidRPr="00FE0257">
        <w:t>.</w:t>
      </w:r>
    </w:p>
  </w:footnote>
  <w:footnote w:id="20">
    <w:p w14:paraId="2A9640D2" w14:textId="54DBAEC2" w:rsidR="002364FD" w:rsidRPr="00AA4E0F" w:rsidRDefault="002364FD">
      <w:pPr>
        <w:pStyle w:val="FootnoteText"/>
      </w:pPr>
      <w:r w:rsidRPr="00AA4E0F">
        <w:t>(</w:t>
      </w:r>
      <w:r>
        <w:rPr>
          <w:rStyle w:val="FootnoteReference"/>
        </w:rPr>
        <w:footnoteRef/>
      </w:r>
      <w:r w:rsidRPr="00AA4E0F">
        <w:t>)</w:t>
      </w:r>
      <w:r w:rsidRPr="00AA4E0F">
        <w:tab/>
      </w:r>
      <w:r w:rsidR="004D2BF4" w:rsidRPr="00AA4E0F">
        <w:t xml:space="preserve">European Commission: </w:t>
      </w:r>
      <w:r w:rsidR="004D2BF4" w:rsidRPr="004D2BF4">
        <w:t>Directorate-General for Internal Market, Industry, Entrepreneurship and SMEs</w:t>
      </w:r>
      <w:r w:rsidR="004D2BF4" w:rsidRPr="00AA4E0F">
        <w:t xml:space="preserve"> </w:t>
      </w:r>
      <w:r w:rsidR="006647D4" w:rsidRPr="00AA4E0F">
        <w:t>(n.d.), ‘</w:t>
      </w:r>
      <w:r w:rsidR="00933406" w:rsidRPr="004D2BF4">
        <w:t>SG Pan EU Wind Package</w:t>
      </w:r>
      <w:r w:rsidR="00933406" w:rsidRPr="00AA4E0F">
        <w:t xml:space="preserve">’, </w:t>
      </w:r>
      <w:r w:rsidR="00410824" w:rsidRPr="00BC3CD6">
        <w:t>InvestEU website</w:t>
      </w:r>
      <w:r w:rsidR="00410824">
        <w:t>,</w:t>
      </w:r>
      <w:r w:rsidR="00410824" w:rsidRPr="00BC3CD6">
        <w:t xml:space="preserve"> </w:t>
      </w:r>
      <w:hyperlink r:id="rId13" w:history="1">
        <w:r w:rsidRPr="00AA4E0F">
          <w:rPr>
            <w:rStyle w:val="Hyperlink"/>
          </w:rPr>
          <w:t>https://investeu.europa.eu/investeu-operations/investeu-operations-list/sg-pan-eu-wind-package_en</w:t>
        </w:r>
      </w:hyperlink>
      <w:r w:rsidR="0046356B" w:rsidRPr="00AA4E0F">
        <w:t>.</w:t>
      </w:r>
    </w:p>
  </w:footnote>
  <w:footnote w:id="21">
    <w:p w14:paraId="245A8561" w14:textId="0ACC1E7F" w:rsidR="002364FD" w:rsidRPr="00AA4E0F" w:rsidRDefault="002364FD">
      <w:pPr>
        <w:pStyle w:val="FootnoteText"/>
      </w:pPr>
      <w:r w:rsidRPr="00AA4E0F">
        <w:t>(</w:t>
      </w:r>
      <w:r>
        <w:rPr>
          <w:rStyle w:val="FootnoteReference"/>
        </w:rPr>
        <w:footnoteRef/>
      </w:r>
      <w:r w:rsidRPr="00AA4E0F">
        <w:t>)</w:t>
      </w:r>
      <w:r w:rsidRPr="00AA4E0F">
        <w:tab/>
      </w:r>
      <w:r w:rsidR="007510BA" w:rsidRPr="003059CD">
        <w:t xml:space="preserve">European Commission: </w:t>
      </w:r>
      <w:r w:rsidR="007510BA" w:rsidRPr="004D2BF4">
        <w:t>Directorate-General for Internal Market, Industry, Entrepreneurship and SMEs</w:t>
      </w:r>
      <w:r w:rsidR="007510BA" w:rsidRPr="003059CD">
        <w:t xml:space="preserve"> (n.d.)</w:t>
      </w:r>
      <w:r w:rsidR="00277F4A">
        <w:t xml:space="preserve">, </w:t>
      </w:r>
      <w:r w:rsidR="00294B2B" w:rsidRPr="00277F4A">
        <w:t>‘</w:t>
      </w:r>
      <w:r w:rsidR="000B7ECF" w:rsidRPr="00277F4A">
        <w:t>Marguerite III (CDPE)</w:t>
      </w:r>
      <w:r w:rsidR="000B7ECF" w:rsidRPr="00AA4E0F">
        <w:t>’,</w:t>
      </w:r>
      <w:r w:rsidR="00AA66B6">
        <w:t xml:space="preserve"> </w:t>
      </w:r>
      <w:r w:rsidR="00AA66B6" w:rsidRPr="00277F4A">
        <w:t>InvestEU website</w:t>
      </w:r>
      <w:r w:rsidR="00553AA8">
        <w:t>,</w:t>
      </w:r>
      <w:r w:rsidR="00AB6881" w:rsidRPr="00AA4E0F">
        <w:t xml:space="preserve"> </w:t>
      </w:r>
      <w:hyperlink r:id="rId14" w:history="1">
        <w:r w:rsidR="000B7ECF" w:rsidRPr="00AA4E0F">
          <w:rPr>
            <w:rStyle w:val="Hyperlink"/>
          </w:rPr>
          <w:t>https://investeu.europa.eu/investeu-operations/investeu-operations-list/marguerite-iii-cdpe_en</w:t>
        </w:r>
      </w:hyperlink>
      <w:r w:rsidR="0046356B" w:rsidRPr="00AA4E0F">
        <w:t>.</w:t>
      </w:r>
    </w:p>
  </w:footnote>
  <w:footnote w:id="22">
    <w:p w14:paraId="4069F690" w14:textId="53BAB5B1" w:rsidR="002364FD" w:rsidRPr="00AA4E0F" w:rsidRDefault="002364FD">
      <w:pPr>
        <w:pStyle w:val="FootnoteText"/>
      </w:pPr>
      <w:r w:rsidRPr="00AA4E0F">
        <w:t>(</w:t>
      </w:r>
      <w:r>
        <w:rPr>
          <w:rStyle w:val="FootnoteReference"/>
        </w:rPr>
        <w:footnoteRef/>
      </w:r>
      <w:r w:rsidRPr="00AA4E0F">
        <w:t>)</w:t>
      </w:r>
      <w:r w:rsidRPr="00AA4E0F">
        <w:tab/>
      </w:r>
      <w:r w:rsidR="00553AA8" w:rsidRPr="003059CD">
        <w:t xml:space="preserve">European Commission: </w:t>
      </w:r>
      <w:r w:rsidR="00553AA8" w:rsidRPr="004D2BF4">
        <w:t>Directorate-General for Internal Market, Industry, Entrepreneurship and SMEs</w:t>
      </w:r>
      <w:r w:rsidR="00553AA8" w:rsidRPr="003059CD">
        <w:t xml:space="preserve"> (n.d.)</w:t>
      </w:r>
      <w:r w:rsidR="00553AA8">
        <w:t xml:space="preserve">, </w:t>
      </w:r>
      <w:r w:rsidR="00C20765" w:rsidRPr="00AA4E0F">
        <w:t>‘</w:t>
      </w:r>
      <w:r w:rsidR="004459E1" w:rsidRPr="00AA4E0F">
        <w:t>Cristal Fiber Rollout</w:t>
      </w:r>
      <w:r w:rsidR="00C20765" w:rsidRPr="00AA4E0F">
        <w:t>’</w:t>
      </w:r>
      <w:r w:rsidR="00012292" w:rsidRPr="00AA4E0F">
        <w:t>,</w:t>
      </w:r>
      <w:r w:rsidR="00F0661D" w:rsidRPr="00AA4E0F">
        <w:t xml:space="preserve"> InvestEU website,</w:t>
      </w:r>
      <w:r w:rsidR="00012292" w:rsidRPr="00AA4E0F">
        <w:t xml:space="preserve"> </w:t>
      </w:r>
      <w:hyperlink r:id="rId15" w:history="1">
        <w:r w:rsidR="00012292" w:rsidRPr="00AA4E0F">
          <w:rPr>
            <w:rStyle w:val="Hyperlink"/>
          </w:rPr>
          <w:t>https://investeu.europa.eu/investeu-operations/investeu-operations-list/cristal-fibre-rollout_en</w:t>
        </w:r>
      </w:hyperlink>
      <w:r w:rsidR="0046356B" w:rsidRPr="00AA4E0F">
        <w:t>.</w:t>
      </w:r>
    </w:p>
  </w:footnote>
  <w:footnote w:id="23">
    <w:p w14:paraId="26A66D29" w14:textId="738834D7" w:rsidR="005874DC" w:rsidRPr="00AA4E0F" w:rsidRDefault="005874DC" w:rsidP="005874DC">
      <w:pPr>
        <w:pStyle w:val="FootnoteText"/>
      </w:pPr>
      <w:r w:rsidRPr="00AA4E0F">
        <w:t>(</w:t>
      </w:r>
      <w:r>
        <w:rPr>
          <w:rStyle w:val="FootnoteReference"/>
        </w:rPr>
        <w:footnoteRef/>
      </w:r>
      <w:r w:rsidRPr="00AA4E0F">
        <w:t>)</w:t>
      </w:r>
      <w:r w:rsidRPr="00AA4E0F">
        <w:tab/>
      </w:r>
      <w:r w:rsidR="004F4AFD">
        <w:t>European Commission</w:t>
      </w:r>
      <w:r w:rsidR="00C261D0">
        <w:t xml:space="preserve"> (n.d.)</w:t>
      </w:r>
      <w:r w:rsidR="004F4AFD">
        <w:t>, ‘</w:t>
      </w:r>
      <w:r w:rsidR="00AB5491" w:rsidRPr="00AA4E0F">
        <w:t>2024-7-ES-SP-CHUAC</w:t>
      </w:r>
      <w:r w:rsidR="00AB5491">
        <w:t>’,</w:t>
      </w:r>
      <w:r w:rsidR="00AB5491" w:rsidRPr="00AA4E0F">
        <w:t xml:space="preserve"> Kohesio</w:t>
      </w:r>
      <w:r w:rsidR="00AB5491">
        <w:t xml:space="preserve"> website</w:t>
      </w:r>
      <w:r w:rsidR="00D342F8">
        <w:t>,</w:t>
      </w:r>
      <w:r w:rsidR="0040128A">
        <w:t xml:space="preserve"> </w:t>
      </w:r>
      <w:hyperlink r:id="rId16" w:history="1">
        <w:r w:rsidR="0040128A" w:rsidRPr="005111D6">
          <w:rPr>
            <w:rStyle w:val="Hyperlink"/>
          </w:rPr>
          <w:t>https://kohesio.ec.europa.eu/en/projects/Q7421383</w:t>
        </w:r>
      </w:hyperlink>
      <w:r w:rsidR="0040128A">
        <w:t>.</w:t>
      </w:r>
    </w:p>
  </w:footnote>
  <w:footnote w:id="24">
    <w:p w14:paraId="75D80355" w14:textId="4B600202" w:rsidR="005874DC" w:rsidRPr="00AA4E0F" w:rsidRDefault="005874DC" w:rsidP="005874DC">
      <w:pPr>
        <w:pStyle w:val="FootnoteText"/>
      </w:pPr>
      <w:r w:rsidRPr="00AA4E0F">
        <w:t>(</w:t>
      </w:r>
      <w:r>
        <w:rPr>
          <w:rStyle w:val="FootnoteReference"/>
        </w:rPr>
        <w:footnoteRef/>
      </w:r>
      <w:r w:rsidRPr="00AA4E0F">
        <w:t>)</w:t>
      </w:r>
      <w:r w:rsidRPr="00AA4E0F">
        <w:tab/>
      </w:r>
      <w:r w:rsidR="00225ADB">
        <w:t>Eur</w:t>
      </w:r>
      <w:r w:rsidR="0095564E">
        <w:t>opean Commission</w:t>
      </w:r>
      <w:r w:rsidR="00C261D0">
        <w:t xml:space="preserve"> (n.d.)</w:t>
      </w:r>
      <w:r w:rsidR="0095564E">
        <w:t xml:space="preserve">, </w:t>
      </w:r>
      <w:r w:rsidR="004B5882">
        <w:t>‘Magnetic plant Narva</w:t>
      </w:r>
      <w:r w:rsidR="00C12C2F">
        <w:t>’, Kohesio website,</w:t>
      </w:r>
      <w:r w:rsidR="00CA7568">
        <w:t xml:space="preserve"> </w:t>
      </w:r>
      <w:hyperlink r:id="rId17" w:history="1">
        <w:r w:rsidR="007A1DC4">
          <w:rPr>
            <w:rStyle w:val="Hyperlink"/>
          </w:rPr>
          <w:t>https://kohesio.ec.europa.eu/en/projects/Q7423897</w:t>
        </w:r>
      </w:hyperlink>
      <w:r w:rsidR="000D4863">
        <w:t>.</w:t>
      </w:r>
    </w:p>
  </w:footnote>
  <w:footnote w:id="25">
    <w:p w14:paraId="5B8D5C8A" w14:textId="3659C640" w:rsidR="00C94D20" w:rsidRPr="004C2E72" w:rsidRDefault="00C94D20" w:rsidP="00C94D20">
      <w:pPr>
        <w:pStyle w:val="FootnoteText"/>
      </w:pPr>
      <w:r w:rsidRPr="00AA4E0F">
        <w:t>(</w:t>
      </w:r>
      <w:r>
        <w:rPr>
          <w:rStyle w:val="FootnoteReference"/>
        </w:rPr>
        <w:footnoteRef/>
      </w:r>
      <w:r w:rsidRPr="004C2E72">
        <w:t>)</w:t>
      </w:r>
      <w:r w:rsidRPr="004C2E72">
        <w:tab/>
      </w:r>
      <w:r w:rsidR="009E4CB7">
        <w:t>European Commission (2026),</w:t>
      </w:r>
      <w:r w:rsidR="0004665A">
        <w:t xml:space="preserve"> ‘</w:t>
      </w:r>
      <w:r w:rsidR="0004665A" w:rsidRPr="0004665A">
        <w:t>Rail Baltica</w:t>
      </w:r>
      <w:r w:rsidR="0004665A">
        <w:rPr>
          <w:rFonts w:ascii="Calibri" w:hAnsi="Calibri" w:cs="Calibri"/>
        </w:rPr>
        <w:t> –</w:t>
      </w:r>
      <w:r w:rsidR="0004665A" w:rsidRPr="0004665A">
        <w:t xml:space="preserve"> 1</w:t>
      </w:r>
      <w:r w:rsidR="0004665A">
        <w:rPr>
          <w:rFonts w:ascii="Calibri" w:hAnsi="Calibri" w:cs="Calibri"/>
        </w:rPr>
        <w:t> </w:t>
      </w:r>
      <w:r w:rsidR="0004665A" w:rsidRPr="0004665A">
        <w:t>435</w:t>
      </w:r>
      <w:r w:rsidR="0004665A">
        <w:rPr>
          <w:rFonts w:ascii="Calibri" w:hAnsi="Calibri" w:cs="Calibri"/>
        </w:rPr>
        <w:t> </w:t>
      </w:r>
      <w:r w:rsidR="0004665A" w:rsidRPr="0004665A">
        <w:t>mm standard gauge railway line development in Estonia, Latvia and Lithuania (Part IX C)</w:t>
      </w:r>
      <w:r w:rsidR="0004665A">
        <w:t xml:space="preserve">’, </w:t>
      </w:r>
      <w:r w:rsidR="00AA4F59">
        <w:t>CEF Transport programme,</w:t>
      </w:r>
      <w:r w:rsidR="009E4CB7">
        <w:t xml:space="preserve"> </w:t>
      </w:r>
      <w:hyperlink r:id="rId18" w:history="1">
        <w:r w:rsidRPr="004C2E72">
          <w:rPr>
            <w:rStyle w:val="Hyperlink"/>
          </w:rPr>
          <w:t>https://ec.europa.eu/assets/cinea/project_fiches/cef/cef_transport/23-EU-TC-RBGP%20Part%20IX%20C.pdf</w:t>
        </w:r>
      </w:hyperlink>
      <w:r w:rsidR="00B50B11">
        <w:t>.</w:t>
      </w:r>
    </w:p>
  </w:footnote>
  <w:footnote w:id="26">
    <w:p w14:paraId="5923FACA" w14:textId="2D1752CD" w:rsidR="00C94D20" w:rsidRPr="004C2E72" w:rsidRDefault="00C94D20" w:rsidP="00C94D20">
      <w:pPr>
        <w:pStyle w:val="FootnoteText"/>
      </w:pPr>
      <w:r w:rsidRPr="004C2E72">
        <w:t>(</w:t>
      </w:r>
      <w:r>
        <w:rPr>
          <w:rStyle w:val="FootnoteReference"/>
        </w:rPr>
        <w:footnoteRef/>
      </w:r>
      <w:r w:rsidRPr="004C2E72">
        <w:t>)</w:t>
      </w:r>
      <w:r w:rsidRPr="004C2E72">
        <w:tab/>
      </w:r>
      <w:r w:rsidR="0025179B">
        <w:t xml:space="preserve">European Commission (2026), </w:t>
      </w:r>
      <w:r w:rsidR="00C678AF">
        <w:t>‘</w:t>
      </w:r>
      <w:r w:rsidR="00C678AF" w:rsidRPr="00C678AF">
        <w:t>MILES General: Mobility Infrastructure for Logistics</w:t>
      </w:r>
      <w:r w:rsidR="00C678AF">
        <w:rPr>
          <w:rFonts w:ascii="Calibri" w:hAnsi="Calibri" w:cs="Calibri"/>
        </w:rPr>
        <w:t> –</w:t>
      </w:r>
      <w:r w:rsidR="00C678AF" w:rsidRPr="00C678AF">
        <w:t xml:space="preserve"> Electric &amp; Sustainable in AT, BE, DE, DK, ES, FR, IT, NL, and SE</w:t>
      </w:r>
      <w:r w:rsidR="00C678AF">
        <w:t xml:space="preserve">’, CEF Transport programme, </w:t>
      </w:r>
      <w:hyperlink r:id="rId19" w:history="1">
        <w:r w:rsidRPr="004C2E72">
          <w:rPr>
            <w:rStyle w:val="Hyperlink"/>
          </w:rPr>
          <w:t>24-EU-TG-MILES General.pdf</w:t>
        </w:r>
      </w:hyperlink>
      <w:r w:rsidR="00B50B11" w:rsidRPr="004C2E72">
        <w:t>.</w:t>
      </w:r>
    </w:p>
  </w:footnote>
  <w:footnote w:id="27">
    <w:p w14:paraId="7BB1ECE1" w14:textId="36CA7057" w:rsidR="00C61A97" w:rsidRPr="00B20516" w:rsidRDefault="00C61A97">
      <w:pPr>
        <w:pStyle w:val="FootnoteText"/>
        <w:rPr>
          <w:lang w:val="en-IE"/>
        </w:rPr>
      </w:pPr>
      <w:r>
        <w:t>(</w:t>
      </w:r>
      <w:r>
        <w:rPr>
          <w:rStyle w:val="FootnoteReference"/>
        </w:rPr>
        <w:footnoteRef/>
      </w:r>
      <w:r>
        <w:t>)</w:t>
      </w:r>
      <w:r>
        <w:tab/>
      </w:r>
      <w:r w:rsidR="00B3535B">
        <w:t>‘</w:t>
      </w:r>
      <w:r>
        <w:t>Multi-sector</w:t>
      </w:r>
      <w:r w:rsidR="00B3535B">
        <w:t>’</w:t>
      </w:r>
      <w:r>
        <w:t xml:space="preserve"> refers to the budget allocated </w:t>
      </w:r>
      <w:r w:rsidR="0096598A">
        <w:t xml:space="preserve">to STEP </w:t>
      </w:r>
      <w:r>
        <w:t>from calls</w:t>
      </w:r>
      <w:r w:rsidR="0096598A">
        <w:t xml:space="preserve"> for proposals and tenders</w:t>
      </w:r>
      <w:r>
        <w:t xml:space="preserve"> </w:t>
      </w:r>
      <w:r w:rsidR="001972AC">
        <w:t>which</w:t>
      </w:r>
      <w:r w:rsidR="0096598A">
        <w:t xml:space="preserve"> target more than one STEP-relevant sector.</w:t>
      </w:r>
    </w:p>
  </w:footnote>
  <w:footnote w:id="28">
    <w:p w14:paraId="5E24E421" w14:textId="01D7F4D9" w:rsidR="00F350C3" w:rsidRPr="004C2E72" w:rsidRDefault="00F350C3" w:rsidP="00F350C3">
      <w:pPr>
        <w:pStyle w:val="FootnoteText"/>
      </w:pPr>
      <w:r>
        <w:t>(</w:t>
      </w:r>
      <w:r>
        <w:rPr>
          <w:rStyle w:val="FootnoteReference"/>
        </w:rPr>
        <w:footnoteRef/>
      </w:r>
      <w:r>
        <w:t>)</w:t>
      </w:r>
      <w:r>
        <w:tab/>
      </w:r>
      <w:r w:rsidRPr="00DE2EA1">
        <w:rPr>
          <w:rFonts w:ascii="EC Square Sans Pro" w:hAnsi="EC Square Sans Pro"/>
          <w:szCs w:val="18"/>
        </w:rPr>
        <w:t>Regulation (EU) 2025/1914 of the European Parliament and of the Council of 18</w:t>
      </w:r>
      <w:r w:rsidR="00B3535B">
        <w:rPr>
          <w:rFonts w:ascii="Calibri" w:hAnsi="Calibri" w:cs="Calibri"/>
          <w:szCs w:val="18"/>
        </w:rPr>
        <w:t> </w:t>
      </w:r>
      <w:r w:rsidRPr="00DE2EA1">
        <w:rPr>
          <w:rFonts w:ascii="EC Square Sans Pro" w:hAnsi="EC Square Sans Pro"/>
          <w:szCs w:val="18"/>
        </w:rPr>
        <w:t xml:space="preserve">September 2025 amending Regulations (EU) 2021/1058 and (EU) 2021/1056 as regards specific measures to address strategic challenges in the </w:t>
      </w:r>
      <w:r w:rsidRPr="007C49CC">
        <w:rPr>
          <w:rFonts w:ascii="EC Square Sans Pro" w:hAnsi="EC Square Sans Pro"/>
          <w:szCs w:val="18"/>
        </w:rPr>
        <w:t>context of the mid-term review</w:t>
      </w:r>
      <w:r w:rsidR="00B22512">
        <w:rPr>
          <w:rFonts w:ascii="EC Square Sans Pro" w:hAnsi="EC Square Sans Pro"/>
          <w:szCs w:val="18"/>
        </w:rPr>
        <w:t xml:space="preserve"> (</w:t>
      </w:r>
      <w:r w:rsidR="0065310A" w:rsidRPr="004C2E72">
        <w:rPr>
          <w:rFonts w:ascii="EC Square Sans Pro" w:hAnsi="EC Square Sans Pro"/>
          <w:szCs w:val="18"/>
        </w:rPr>
        <w:t>OJ L, 2025/1914, 19.9.2025, ELI:</w:t>
      </w:r>
      <w:r w:rsidR="0065310A" w:rsidRPr="004C2E72">
        <w:rPr>
          <w:rFonts w:ascii="Calibri" w:hAnsi="Calibri" w:cs="Calibri"/>
          <w:szCs w:val="18"/>
        </w:rPr>
        <w:t> </w:t>
      </w:r>
      <w:hyperlink r:id="rId20" w:tgtFrame="_blank" w:tooltip="Gives access to this document through its ELI URI." w:history="1">
        <w:r w:rsidR="0065310A" w:rsidRPr="004C2E72">
          <w:rPr>
            <w:rStyle w:val="Hyperlink"/>
            <w:rFonts w:ascii="EC Square Sans Pro" w:hAnsi="EC Square Sans Pro"/>
            <w:szCs w:val="18"/>
          </w:rPr>
          <w:t>http://data.europa.eu/eli/reg/2025/1914/oj</w:t>
        </w:r>
      </w:hyperlink>
      <w:r w:rsidR="00B22512">
        <w:t>).</w:t>
      </w:r>
    </w:p>
  </w:footnote>
  <w:footnote w:id="29">
    <w:p w14:paraId="4850A8E5" w14:textId="2BC6205B" w:rsidR="00F350C3" w:rsidRPr="004C2E72" w:rsidRDefault="00F350C3" w:rsidP="00F350C3">
      <w:pPr>
        <w:pStyle w:val="FootnoteText"/>
      </w:pPr>
      <w:r>
        <w:t>(</w:t>
      </w:r>
      <w:r>
        <w:rPr>
          <w:rStyle w:val="FootnoteReference"/>
        </w:rPr>
        <w:footnoteRef/>
      </w:r>
      <w:r>
        <w:t>)</w:t>
      </w:r>
      <w:r>
        <w:tab/>
      </w:r>
      <w:r w:rsidRPr="00DE2EA1">
        <w:rPr>
          <w:rFonts w:ascii="EC Square Sans Pro" w:hAnsi="EC Square Sans Pro"/>
          <w:szCs w:val="18"/>
        </w:rPr>
        <w:t>Regulation (EU) 2025/2653 of the European Parliament and of the Council of 19</w:t>
      </w:r>
      <w:r w:rsidR="00DA6E69">
        <w:rPr>
          <w:rFonts w:ascii="Calibri" w:hAnsi="Calibri" w:cs="Calibri"/>
          <w:szCs w:val="18"/>
        </w:rPr>
        <w:t> </w:t>
      </w:r>
      <w:r w:rsidRPr="00DE2EA1">
        <w:rPr>
          <w:rFonts w:ascii="EC Square Sans Pro" w:hAnsi="EC Square Sans Pro"/>
          <w:szCs w:val="18"/>
        </w:rPr>
        <w:t xml:space="preserve">December 2025 amending Regulations (EU) 2021/694, (EU) 2021/695, (EU) 2021/697, (EU) 2021/1153 and (EU) 2024/795, as regards incentivising defence-related investment in the EU budget </w:t>
      </w:r>
      <w:r w:rsidRPr="00FE7C59">
        <w:rPr>
          <w:rFonts w:ascii="EC Square Sans Pro" w:hAnsi="EC Square Sans Pro"/>
          <w:szCs w:val="18"/>
        </w:rPr>
        <w:t>to implement the ReArm Europe Plan</w:t>
      </w:r>
      <w:r w:rsidR="00B22512">
        <w:rPr>
          <w:rFonts w:ascii="EC Square Sans Pro" w:hAnsi="EC Square Sans Pro"/>
          <w:szCs w:val="18"/>
        </w:rPr>
        <w:t xml:space="preserve"> (</w:t>
      </w:r>
      <w:r w:rsidR="00FE7C59" w:rsidRPr="004C2E72">
        <w:rPr>
          <w:rFonts w:ascii="EC Square Sans Pro" w:hAnsi="EC Square Sans Pro"/>
          <w:szCs w:val="18"/>
        </w:rPr>
        <w:t>OJ L, 2025/2653, 22.12.2025, ELI:</w:t>
      </w:r>
      <w:r w:rsidR="00FE7C59" w:rsidRPr="004C2E72">
        <w:rPr>
          <w:rFonts w:ascii="Calibri" w:hAnsi="Calibri" w:cs="Calibri"/>
          <w:szCs w:val="18"/>
        </w:rPr>
        <w:t> </w:t>
      </w:r>
      <w:hyperlink r:id="rId21" w:tgtFrame="_blank" w:tooltip="Gives access to this document through its ELI URI." w:history="1">
        <w:r w:rsidR="00FE7C59" w:rsidRPr="004C2E72">
          <w:rPr>
            <w:rStyle w:val="Hyperlink"/>
            <w:rFonts w:ascii="EC Square Sans Pro" w:hAnsi="EC Square Sans Pro"/>
            <w:szCs w:val="18"/>
          </w:rPr>
          <w:t>http://data.europa.eu/eli/reg/2025/2653/oj</w:t>
        </w:r>
      </w:hyperlink>
      <w:r w:rsidR="00B22512">
        <w:t>).</w:t>
      </w:r>
    </w:p>
  </w:footnote>
  <w:footnote w:id="30">
    <w:p w14:paraId="08D36AD0" w14:textId="0BAE30D2" w:rsidR="000D7D9F" w:rsidRPr="00A07EB1" w:rsidRDefault="000D7D9F" w:rsidP="00AA5A4D">
      <w:pPr>
        <w:pStyle w:val="FootnoteText"/>
      </w:pPr>
      <w:r w:rsidRPr="00A07EB1">
        <w:t>(</w:t>
      </w:r>
      <w:r w:rsidRPr="00AA5A4D">
        <w:rPr>
          <w:rStyle w:val="FootnoteReference"/>
        </w:rPr>
        <w:footnoteRef/>
      </w:r>
      <w:r w:rsidRPr="00A07EB1">
        <w:t>)</w:t>
      </w:r>
      <w:r w:rsidR="00AA5A4D">
        <w:tab/>
      </w:r>
      <w:r w:rsidRPr="00A07EB1">
        <w:t>European Commission: Directorate-General for Communication, ‘</w:t>
      </w:r>
      <w:r w:rsidR="00677A2F" w:rsidRPr="00677A2F">
        <w:t>2025 State of the Union Address by President von der Leyen</w:t>
      </w:r>
      <w:r w:rsidR="004F77B6">
        <w:t>’</w:t>
      </w:r>
      <w:r w:rsidRPr="00A07EB1">
        <w:t xml:space="preserve">, </w:t>
      </w:r>
      <w:r w:rsidR="00936C63">
        <w:t>10</w:t>
      </w:r>
      <w:r w:rsidR="004F77B6">
        <w:rPr>
          <w:rFonts w:ascii="Calibri" w:hAnsi="Calibri" w:cs="Calibri"/>
          <w:noProof/>
          <w:lang w:val="en-IE" w:eastAsia="en-IE"/>
        </w:rPr>
        <w:t> </w:t>
      </w:r>
      <w:r w:rsidR="00936C63">
        <w:t>September 2025</w:t>
      </w:r>
      <w:r w:rsidRPr="00A07EB1">
        <w:t>,</w:t>
      </w:r>
      <w:r w:rsidR="001A6021">
        <w:t xml:space="preserve"> </w:t>
      </w:r>
      <w:hyperlink r:id="rId22" w:history="1">
        <w:r w:rsidR="001A6021" w:rsidRPr="003E099A">
          <w:rPr>
            <w:rStyle w:val="Hyperlink"/>
          </w:rPr>
          <w:t>https://commission.europa.eu/strategy-and-policy/state-union/state-union-2025_en</w:t>
        </w:r>
      </w:hyperlink>
      <w:r w:rsidRPr="00A07EB1">
        <w:t>.</w:t>
      </w:r>
    </w:p>
  </w:footnote>
  <w:footnote w:id="31">
    <w:p w14:paraId="1BCC551B" w14:textId="12DF891D" w:rsidR="00590989" w:rsidRPr="004C7E25" w:rsidRDefault="00590989">
      <w:pPr>
        <w:pStyle w:val="FootnoteText"/>
        <w:rPr>
          <w:lang w:val="en-IE"/>
        </w:rPr>
      </w:pPr>
      <w:r>
        <w:t>(</w:t>
      </w:r>
      <w:r>
        <w:rPr>
          <w:rStyle w:val="FootnoteReference"/>
        </w:rPr>
        <w:footnoteRef/>
      </w:r>
      <w:r>
        <w:t>)</w:t>
      </w:r>
      <w:r>
        <w:tab/>
      </w:r>
      <w:r w:rsidR="00D41237">
        <w:t>European Commission</w:t>
      </w:r>
      <w:r w:rsidR="00064914">
        <w:t xml:space="preserve"> (n.d.)</w:t>
      </w:r>
      <w:r w:rsidR="00D41237">
        <w:t xml:space="preserve">, </w:t>
      </w:r>
      <w:r w:rsidR="00222B50">
        <w:t>‘</w:t>
      </w:r>
      <w:r w:rsidR="002A3D51" w:rsidRPr="002A3D51">
        <w:t>Projects funded under the Internal Security Fund call for proposals on the protection of public spaces: ISF-2024-TF2-AG-PROTECT</w:t>
      </w:r>
      <w:r w:rsidR="00222B50">
        <w:t xml:space="preserve">’, </w:t>
      </w:r>
      <w:hyperlink r:id="rId23" w:history="1">
        <w:r w:rsidR="00222B50" w:rsidRPr="00222B50">
          <w:rPr>
            <w:rStyle w:val="Hyperlink"/>
          </w:rPr>
          <w:t>https://home-affairs.ec.europa.eu/document/download/cc4034e6-bc2a-4d71-9238-9f61d465c91b_en?filename=Projects%20funded%20under%20ISF_booklet.pdf</w:t>
        </w:r>
      </w:hyperlink>
      <w:r w:rsidR="00D27374">
        <w:t>.</w:t>
      </w:r>
    </w:p>
  </w:footnote>
  <w:footnote w:id="32">
    <w:p w14:paraId="442AF361" w14:textId="4E0F5525" w:rsidR="00B42D89" w:rsidRPr="00A07EB1" w:rsidRDefault="00B42D89" w:rsidP="00B42D89">
      <w:pPr>
        <w:pStyle w:val="FootnoteText"/>
      </w:pPr>
      <w:r w:rsidRPr="00940018">
        <w:t>(</w:t>
      </w:r>
      <w:r w:rsidRPr="00940018">
        <w:rPr>
          <w:rStyle w:val="FootnoteReference"/>
        </w:rPr>
        <w:footnoteRef/>
      </w:r>
      <w:r w:rsidRPr="00940018">
        <w:t>)</w:t>
      </w:r>
      <w:r w:rsidRPr="00940018">
        <w:tab/>
        <w:t>European Commission: Directorate-General for Communication, ‘</w:t>
      </w:r>
      <w:r w:rsidR="00B67DE7" w:rsidRPr="00940018">
        <w:t>Speech by President von der Leyen in the European Parliament plenary debate on the Commission Work Programme</w:t>
      </w:r>
      <w:r w:rsidR="00543E6D">
        <w:t>’</w:t>
      </w:r>
      <w:r w:rsidR="00BB05DF">
        <w:t>,</w:t>
      </w:r>
      <w:r w:rsidRPr="00940018">
        <w:t xml:space="preserve"> </w:t>
      </w:r>
      <w:r w:rsidR="008665B3">
        <w:t xml:space="preserve">news article, </w:t>
      </w:r>
      <w:r w:rsidR="00B67DE7" w:rsidRPr="00940018">
        <w:t>21</w:t>
      </w:r>
      <w:r w:rsidRPr="00940018">
        <w:rPr>
          <w:rFonts w:ascii="Calibri" w:hAnsi="Calibri" w:cs="Calibri"/>
        </w:rPr>
        <w:t> </w:t>
      </w:r>
      <w:r w:rsidR="00B67DE7" w:rsidRPr="00940018">
        <w:rPr>
          <w:rFonts w:ascii="Calibri" w:hAnsi="Calibri" w:cs="Calibri"/>
        </w:rPr>
        <w:t>October</w:t>
      </w:r>
      <w:r w:rsidRPr="00940018">
        <w:t xml:space="preserve"> 2025, </w:t>
      </w:r>
      <w:hyperlink r:id="rId24" w:history="1">
        <w:r w:rsidR="00940018" w:rsidRPr="00940018">
          <w:rPr>
            <w:rStyle w:val="Hyperlink"/>
          </w:rPr>
          <w:t>https://ec.europa.eu/commission/presscorner/detail/en/speech_25_2462</w:t>
        </w:r>
      </w:hyperlink>
      <w:r w:rsidR="00365292">
        <w:t>.</w:t>
      </w:r>
    </w:p>
  </w:footnote>
  <w:footnote w:id="33">
    <w:p w14:paraId="6673915D" w14:textId="237CDD97" w:rsidR="00B65810" w:rsidRPr="00D83C17" w:rsidRDefault="00B65810">
      <w:pPr>
        <w:pStyle w:val="FootnoteText"/>
        <w:rPr>
          <w:lang w:val="en-IE"/>
        </w:rPr>
      </w:pPr>
      <w:r>
        <w:t>(</w:t>
      </w:r>
      <w:r>
        <w:rPr>
          <w:rStyle w:val="FootnoteReference"/>
        </w:rPr>
        <w:footnoteRef/>
      </w:r>
      <w:r>
        <w:t>)</w:t>
      </w:r>
      <w:r>
        <w:tab/>
      </w:r>
      <w:r w:rsidR="00976AA0" w:rsidRPr="00976AA0">
        <w:t>Communication from the Commission to the European Parliament, the European Council, the Council, the European Economic and Social Committee and the Committee of the Regions</w:t>
      </w:r>
      <w:r w:rsidR="00976AA0" w:rsidRPr="00976AA0">
        <w:rPr>
          <w:rFonts w:ascii="Calibri" w:hAnsi="Calibri" w:cs="Calibri"/>
        </w:rPr>
        <w:t> </w:t>
      </w:r>
      <w:r w:rsidR="00976AA0" w:rsidRPr="00976AA0">
        <w:rPr>
          <w:rFonts w:ascii="EC Square Sans Pro" w:hAnsi="EC Square Sans Pro" w:cs="EC Square Sans Pro"/>
        </w:rPr>
        <w:t>–</w:t>
      </w:r>
      <w:r w:rsidR="00976AA0" w:rsidRPr="00976AA0">
        <w:t xml:space="preserve"> </w:t>
      </w:r>
      <w:r w:rsidR="00F16E72" w:rsidRPr="00F16E72">
        <w:t>Action Plan for Affordable Energy Unlocking the true value of our Energy Union to secure affordable, efficient and clean energy for all Europeans</w:t>
      </w:r>
      <w:r w:rsidR="00976AA0" w:rsidRPr="00976AA0">
        <w:t>, COM(2025)</w:t>
      </w:r>
      <w:r w:rsidR="00976AA0" w:rsidRPr="00976AA0">
        <w:rPr>
          <w:rFonts w:ascii="Calibri" w:hAnsi="Calibri" w:cs="Calibri"/>
        </w:rPr>
        <w:t> </w:t>
      </w:r>
      <w:r w:rsidR="00D23E1A">
        <w:t>79</w:t>
      </w:r>
      <w:r w:rsidR="00976AA0" w:rsidRPr="00976AA0">
        <w:t xml:space="preserve"> final of 2</w:t>
      </w:r>
      <w:r w:rsidR="004D1502">
        <w:t>6</w:t>
      </w:r>
      <w:r w:rsidR="00976AA0" w:rsidRPr="00976AA0">
        <w:rPr>
          <w:rFonts w:ascii="Calibri" w:hAnsi="Calibri" w:cs="Calibri"/>
        </w:rPr>
        <w:t> </w:t>
      </w:r>
      <w:r w:rsidR="004D1502">
        <w:t>February</w:t>
      </w:r>
      <w:r w:rsidR="00976AA0" w:rsidRPr="00976AA0">
        <w:t xml:space="preserve"> 2025, </w:t>
      </w:r>
      <w:hyperlink r:id="rId25" w:history="1">
        <w:r w:rsidR="00D83C17" w:rsidRPr="00D80393">
          <w:rPr>
            <w:rStyle w:val="Hyperlink"/>
          </w:rPr>
          <w:t>https://eur-lex.europa.eu/legal-content/EN/TXT/?uri=CELEX:52025DC0079</w:t>
        </w:r>
      </w:hyperlink>
      <w:r w:rsidR="00D83C17">
        <w:t xml:space="preserve"> </w:t>
      </w:r>
    </w:p>
  </w:footnote>
  <w:footnote w:id="34">
    <w:p w14:paraId="19F62CD1" w14:textId="3D42429C" w:rsidR="00402B6E" w:rsidRPr="001A0AF4" w:rsidRDefault="00402B6E">
      <w:pPr>
        <w:pStyle w:val="FootnoteText"/>
      </w:pPr>
      <w:r>
        <w:t>(</w:t>
      </w:r>
      <w:r>
        <w:rPr>
          <w:rStyle w:val="FootnoteReference"/>
        </w:rPr>
        <w:footnoteRef/>
      </w:r>
      <w:r>
        <w:t>)</w:t>
      </w:r>
      <w:r>
        <w:tab/>
      </w:r>
      <w:r w:rsidR="007C6BFA" w:rsidRPr="00940018">
        <w:t>European Commission</w:t>
      </w:r>
      <w:r w:rsidR="004006C2">
        <w:t xml:space="preserve">: </w:t>
      </w:r>
      <w:r w:rsidR="004006C2" w:rsidRPr="004006C2">
        <w:t>European Climate, Infrastructure and Environment Executive Agency</w:t>
      </w:r>
      <w:r w:rsidR="00EC78BE">
        <w:t xml:space="preserve"> (n.d.)</w:t>
      </w:r>
      <w:r w:rsidR="00447FFB">
        <w:t xml:space="preserve">, </w:t>
      </w:r>
      <w:r w:rsidR="00F90181">
        <w:t>‘</w:t>
      </w:r>
      <w:r w:rsidR="00F90181" w:rsidRPr="00F90181">
        <w:t>CEF Energy:</w:t>
      </w:r>
      <w:r w:rsidR="00445C69">
        <w:t xml:space="preserve"> </w:t>
      </w:r>
      <w:r w:rsidR="00F90181" w:rsidRPr="00F90181">
        <w:t>Instrumental funding to achieve the Baltic synchronisation with the Continental European Network</w:t>
      </w:r>
      <w:r w:rsidR="00FD220B">
        <w:t>’</w:t>
      </w:r>
      <w:r w:rsidR="007B793D">
        <w:t xml:space="preserve">, </w:t>
      </w:r>
      <w:hyperlink r:id="rId26" w:history="1">
        <w:r w:rsidR="00DB604E" w:rsidRPr="00D35FB2">
          <w:rPr>
            <w:rStyle w:val="Hyperlink"/>
          </w:rPr>
          <w:t>https://cinea.ec.europa.eu/cef-energy-instrumental-funding-achieve-baltic-synchronisation-continental-european-network_en</w:t>
        </w:r>
      </w:hyperlink>
      <w:r w:rsidR="00365292">
        <w:t>.</w:t>
      </w:r>
    </w:p>
  </w:footnote>
  <w:footnote w:id="35">
    <w:p w14:paraId="6E1EAF11" w14:textId="1068C70E" w:rsidR="00C44775" w:rsidRPr="00083655" w:rsidRDefault="00C44775" w:rsidP="00C44775">
      <w:pPr>
        <w:pStyle w:val="FootnoteText"/>
        <w:rPr>
          <w:lang w:val="en-US"/>
        </w:rPr>
      </w:pPr>
      <w:r>
        <w:t>(</w:t>
      </w:r>
      <w:r>
        <w:rPr>
          <w:rStyle w:val="FootnoteReference"/>
        </w:rPr>
        <w:footnoteRef/>
      </w:r>
      <w:r>
        <w:t>)</w:t>
      </w:r>
      <w:r>
        <w:tab/>
      </w:r>
      <w:r w:rsidRPr="00D12CB5">
        <w:t xml:space="preserve">Model simulations for the 2014-2020 </w:t>
      </w:r>
      <w:r w:rsidRPr="00EE3E9D">
        <w:rPr>
          <w:i/>
          <w:iCs/>
        </w:rPr>
        <w:t>ex</w:t>
      </w:r>
      <w:r w:rsidR="00D40218" w:rsidRPr="00EE3E9D">
        <w:rPr>
          <w:i/>
          <w:iCs/>
        </w:rPr>
        <w:t xml:space="preserve"> </w:t>
      </w:r>
      <w:r w:rsidRPr="00EE3E9D">
        <w:rPr>
          <w:i/>
          <w:iCs/>
        </w:rPr>
        <w:t>post</w:t>
      </w:r>
      <w:r w:rsidRPr="00D12CB5">
        <w:t xml:space="preserve"> evaluation. Exactly EUR</w:t>
      </w:r>
      <w:r w:rsidR="00685CB1">
        <w:rPr>
          <w:rFonts w:ascii="Calibri" w:hAnsi="Calibri" w:cs="Calibri"/>
        </w:rPr>
        <w:t> </w:t>
      </w:r>
      <w:r w:rsidRPr="00D12CB5">
        <w:t>2.9, 15</w:t>
      </w:r>
      <w:r w:rsidR="00685CB1">
        <w:rPr>
          <w:rFonts w:ascii="Calibri" w:hAnsi="Calibri" w:cs="Calibri"/>
        </w:rPr>
        <w:t> </w:t>
      </w:r>
      <w:r w:rsidRPr="00D12CB5">
        <w:t>years after end of period.</w:t>
      </w:r>
    </w:p>
  </w:footnote>
  <w:footnote w:id="36">
    <w:p w14:paraId="56170E07" w14:textId="5CA3B70F" w:rsidR="008A040D" w:rsidRPr="008A040D" w:rsidRDefault="008A040D">
      <w:pPr>
        <w:pStyle w:val="FootnoteText"/>
        <w:rPr>
          <w:lang w:val="en-IE"/>
        </w:rPr>
      </w:pPr>
      <w:r>
        <w:t>(</w:t>
      </w:r>
      <w:r>
        <w:rPr>
          <w:rStyle w:val="FootnoteReference"/>
        </w:rPr>
        <w:footnoteRef/>
      </w:r>
      <w:r>
        <w:t>)</w:t>
      </w:r>
      <w:r>
        <w:tab/>
      </w:r>
      <w:r w:rsidR="00856670" w:rsidRPr="00976AA0">
        <w:t>Communication from the Commission to the European Parliament, the European Council, the Council, the European Economic and Social Committee and the Committee of the Regions</w:t>
      </w:r>
      <w:r w:rsidR="00856670" w:rsidRPr="00976AA0">
        <w:rPr>
          <w:rFonts w:ascii="Calibri" w:hAnsi="Calibri" w:cs="Calibri"/>
        </w:rPr>
        <w:t> </w:t>
      </w:r>
      <w:r w:rsidR="00856670" w:rsidRPr="00976AA0">
        <w:rPr>
          <w:rFonts w:ascii="EC Square Sans Pro" w:hAnsi="EC Square Sans Pro" w:cs="EC Square Sans Pro"/>
        </w:rPr>
        <w:t>–</w:t>
      </w:r>
      <w:r w:rsidR="00856670" w:rsidRPr="00976AA0">
        <w:t xml:space="preserve"> </w:t>
      </w:r>
      <w:r w:rsidR="00856670">
        <w:t>The Union of Skills</w:t>
      </w:r>
      <w:r w:rsidR="00856670" w:rsidRPr="00976AA0">
        <w:t>, COM(2025)</w:t>
      </w:r>
      <w:r w:rsidR="00856670" w:rsidRPr="00976AA0">
        <w:rPr>
          <w:rFonts w:ascii="Calibri" w:hAnsi="Calibri" w:cs="Calibri"/>
        </w:rPr>
        <w:t> </w:t>
      </w:r>
      <w:r w:rsidR="00856670">
        <w:t>9</w:t>
      </w:r>
      <w:r w:rsidR="00A00A79">
        <w:t>0</w:t>
      </w:r>
      <w:r w:rsidR="00856670" w:rsidRPr="00976AA0">
        <w:t xml:space="preserve"> final of </w:t>
      </w:r>
      <w:r w:rsidR="00A00A79">
        <w:t>5</w:t>
      </w:r>
      <w:r w:rsidR="00856670" w:rsidRPr="00976AA0">
        <w:rPr>
          <w:rFonts w:ascii="Calibri" w:hAnsi="Calibri" w:cs="Calibri"/>
        </w:rPr>
        <w:t> </w:t>
      </w:r>
      <w:r w:rsidR="00A00A79">
        <w:t>March</w:t>
      </w:r>
      <w:r w:rsidR="00856670" w:rsidRPr="00976AA0">
        <w:t xml:space="preserve"> 2025, </w:t>
      </w:r>
      <w:hyperlink r:id="rId27" w:history="1">
        <w:r w:rsidR="009C54C4" w:rsidRPr="00D80393">
          <w:rPr>
            <w:rStyle w:val="Hyperlink"/>
          </w:rPr>
          <w:t>https://eur-lex.europa.eu/legal-content/EN/TXT/?uri=celex:52025DC0090</w:t>
        </w:r>
      </w:hyperlink>
      <w:r w:rsidR="009C54C4">
        <w:t xml:space="preserve">. </w:t>
      </w:r>
    </w:p>
  </w:footnote>
  <w:footnote w:id="37">
    <w:p w14:paraId="71D14629" w14:textId="569DF0A2" w:rsidR="009568A9" w:rsidRPr="00D93E11" w:rsidRDefault="009568A9">
      <w:pPr>
        <w:pStyle w:val="FootnoteText"/>
        <w:rPr>
          <w:lang w:val="en-US"/>
        </w:rPr>
      </w:pPr>
      <w:r>
        <w:t>(</w:t>
      </w:r>
      <w:r>
        <w:rPr>
          <w:rStyle w:val="FootnoteReference"/>
        </w:rPr>
        <w:footnoteRef/>
      </w:r>
      <w:r>
        <w:t>)</w:t>
      </w:r>
      <w:r>
        <w:tab/>
      </w:r>
      <w:r w:rsidR="007378EB">
        <w:t>European Com</w:t>
      </w:r>
      <w:r w:rsidR="00825544">
        <w:t>mission</w:t>
      </w:r>
      <w:r w:rsidR="00D052B1">
        <w:t xml:space="preserve"> (</w:t>
      </w:r>
      <w:r w:rsidR="00825544">
        <w:t>2025</w:t>
      </w:r>
      <w:r w:rsidR="00D052B1">
        <w:t>)</w:t>
      </w:r>
      <w:r w:rsidR="00825544">
        <w:t xml:space="preserve">, </w:t>
      </w:r>
      <w:r w:rsidR="00641669">
        <w:t>‘</w:t>
      </w:r>
      <w:r w:rsidR="00F12CC3" w:rsidRPr="00F12CC3">
        <w:t>Pact for Skills Annual Report 2025</w:t>
      </w:r>
      <w:r w:rsidR="00641669">
        <w:t>’</w:t>
      </w:r>
      <w:r w:rsidR="00F12CC3" w:rsidRPr="00F12CC3">
        <w:t xml:space="preserve">, </w:t>
      </w:r>
      <w:hyperlink r:id="rId28" w:history="1">
        <w:r w:rsidR="00F12CC3" w:rsidRPr="00FB0C96">
          <w:rPr>
            <w:rStyle w:val="Hyperlink"/>
          </w:rPr>
          <w:t>https://pact-for-skills.ec.europa.eu/document/download/84378a3e-3380-488f-b35a-9bd97a024ab1_en?filename=Annual%20Report%202025_FINAL.pdf</w:t>
        </w:r>
      </w:hyperlink>
      <w:r w:rsidR="00685CB1">
        <w:t>.</w:t>
      </w:r>
    </w:p>
  </w:footnote>
  <w:footnote w:id="38">
    <w:p w14:paraId="76167308" w14:textId="3F20683C" w:rsidR="000D7D9F" w:rsidRPr="00857017" w:rsidRDefault="000D7D9F" w:rsidP="00AA5A4D">
      <w:pPr>
        <w:pStyle w:val="FootnoteText"/>
      </w:pPr>
      <w:r w:rsidRPr="00A07EB1">
        <w:t>(</w:t>
      </w:r>
      <w:r w:rsidRPr="00AA5A4D">
        <w:rPr>
          <w:rStyle w:val="FootnoteReference"/>
        </w:rPr>
        <w:footnoteRef/>
      </w:r>
      <w:r w:rsidRPr="00A07EB1">
        <w:t>)</w:t>
      </w:r>
      <w:r w:rsidR="00AA5A4D">
        <w:tab/>
      </w:r>
      <w:r w:rsidR="00671DFB" w:rsidRPr="00940018">
        <w:t>European Commission: Directorate-General for Communication, ‘Speech by President von der Leyen in the European Parliament plenary debate on the Commission Work Programme</w:t>
      </w:r>
      <w:r w:rsidR="00C51694">
        <w:t xml:space="preserve"> 2026</w:t>
      </w:r>
      <w:r w:rsidR="00D03A9B">
        <w:t>, news art</w:t>
      </w:r>
      <w:r w:rsidR="00B23112">
        <w:t>icle</w:t>
      </w:r>
      <w:r w:rsidR="00A3134A">
        <w:t>,</w:t>
      </w:r>
      <w:r w:rsidR="00671DFB" w:rsidRPr="00940018">
        <w:t xml:space="preserve"> 21</w:t>
      </w:r>
      <w:r w:rsidR="00671DFB" w:rsidRPr="00940018">
        <w:rPr>
          <w:rFonts w:ascii="Calibri" w:hAnsi="Calibri" w:cs="Calibri"/>
        </w:rPr>
        <w:t> October</w:t>
      </w:r>
      <w:r w:rsidR="00671DFB" w:rsidRPr="00940018">
        <w:t xml:space="preserve"> 2025, </w:t>
      </w:r>
      <w:hyperlink r:id="rId29" w:history="1">
        <w:r w:rsidR="00671DFB" w:rsidRPr="00940018">
          <w:rPr>
            <w:rStyle w:val="Hyperlink"/>
          </w:rPr>
          <w:t>https://ec.europa.eu/commission/presscorner/detail/en/speech_25_2462</w:t>
        </w:r>
      </w:hyperlink>
      <w:r w:rsidR="00857017">
        <w:t>.</w:t>
      </w:r>
    </w:p>
  </w:footnote>
  <w:footnote w:id="39">
    <w:p w14:paraId="686D1567" w14:textId="5E40348E" w:rsidR="00B70E9F" w:rsidRPr="00BA4B67" w:rsidRDefault="00B70E9F">
      <w:pPr>
        <w:pStyle w:val="FootnoteText"/>
        <w:rPr>
          <w:lang w:val="en-IE"/>
        </w:rPr>
      </w:pPr>
      <w:r>
        <w:t>(</w:t>
      </w:r>
      <w:r>
        <w:rPr>
          <w:rStyle w:val="FootnoteReference"/>
        </w:rPr>
        <w:footnoteRef/>
      </w:r>
      <w:r>
        <w:t>)</w:t>
      </w:r>
      <w:r>
        <w:tab/>
      </w:r>
      <w:r w:rsidR="00A46EE6" w:rsidRPr="00940018">
        <w:t>European Commission</w:t>
      </w:r>
      <w:r w:rsidR="00384F40">
        <w:t xml:space="preserve"> (2026)</w:t>
      </w:r>
      <w:r w:rsidR="00D04955">
        <w:t>,</w:t>
      </w:r>
      <w:r w:rsidR="00A46EE6">
        <w:t xml:space="preserve"> </w:t>
      </w:r>
      <w:r w:rsidR="00A34E21">
        <w:t>‘</w:t>
      </w:r>
      <w:r>
        <w:t>The EU in 2025</w:t>
      </w:r>
      <w:r w:rsidR="00D04955">
        <w:t xml:space="preserve">: </w:t>
      </w:r>
      <w:r w:rsidR="0052371F">
        <w:t>General report on the activities of the Eur</w:t>
      </w:r>
      <w:r w:rsidR="007C4635">
        <w:t>o</w:t>
      </w:r>
      <w:r w:rsidR="0052371F">
        <w:t>pean Union</w:t>
      </w:r>
      <w:r w:rsidR="00A34E21">
        <w:t>’,</w:t>
      </w:r>
      <w:r>
        <w:t xml:space="preserve"> </w:t>
      </w:r>
      <w:r w:rsidR="003F0487" w:rsidRPr="00E0372D">
        <w:t>Chapter</w:t>
      </w:r>
      <w:r w:rsidR="00F231DB">
        <w:rPr>
          <w:rFonts w:ascii="Calibri" w:hAnsi="Calibri" w:cs="Calibri"/>
        </w:rPr>
        <w:t> </w:t>
      </w:r>
      <w:r w:rsidR="003F0487" w:rsidRPr="00E0372D">
        <w:t>5: A Europe fit for the digital age</w:t>
      </w:r>
      <w:r w:rsidR="003116F2">
        <w:t>,</w:t>
      </w:r>
      <w:r w:rsidR="006D40B5">
        <w:t xml:space="preserve"> </w:t>
      </w:r>
      <w:hyperlink r:id="rId30" w:anchor="subchapter5-2" w:history="1">
        <w:r w:rsidR="003F0487" w:rsidRPr="005111D6">
          <w:rPr>
            <w:rStyle w:val="Hyperlink"/>
          </w:rPr>
          <w:t>https://op.europa.eu/webpub/com/general-report-2025/en/chapter5.html#subchapter5-2</w:t>
        </w:r>
      </w:hyperlink>
      <w:r w:rsidR="003F0487">
        <w:t>.</w:t>
      </w:r>
    </w:p>
  </w:footnote>
  <w:footnote w:id="40">
    <w:p w14:paraId="0BE07C1E" w14:textId="3E26EAE0" w:rsidR="00596793" w:rsidRPr="007F2FE8" w:rsidRDefault="00596793">
      <w:pPr>
        <w:pStyle w:val="FootnoteText"/>
        <w:rPr>
          <w:lang w:val="en-IE"/>
        </w:rPr>
      </w:pPr>
      <w:r>
        <w:t>(</w:t>
      </w:r>
      <w:r>
        <w:rPr>
          <w:rStyle w:val="FootnoteReference"/>
        </w:rPr>
        <w:footnoteRef/>
      </w:r>
      <w:r>
        <w:t>)</w:t>
      </w:r>
      <w:r>
        <w:tab/>
      </w:r>
      <w:r w:rsidR="004C0D12" w:rsidRPr="00E0372D">
        <w:t>Commission Implementing Regulation (EU) 2025/441 of 6</w:t>
      </w:r>
      <w:r w:rsidR="004C0D12" w:rsidRPr="00E0372D">
        <w:rPr>
          <w:rFonts w:ascii="Calibri" w:hAnsi="Calibri" w:cs="Calibri"/>
        </w:rPr>
        <w:t> </w:t>
      </w:r>
      <w:r w:rsidR="004C0D12" w:rsidRPr="00E0372D">
        <w:t>March 2025 providing for emergency financial support for the agricultural sectors affected by adverse climatic events and natural disasters in Spain, Croatia, Cyprus, Latvia and Hungary, in accordance with Regulation (EU) No</w:t>
      </w:r>
      <w:r w:rsidR="004C0D12" w:rsidRPr="00E0372D">
        <w:rPr>
          <w:rFonts w:ascii="Calibri" w:hAnsi="Calibri" w:cs="Calibri"/>
        </w:rPr>
        <w:t> </w:t>
      </w:r>
      <w:r w:rsidR="004C0D12" w:rsidRPr="00E0372D">
        <w:t>1308/2013 of the European Parliament and of the Council</w:t>
      </w:r>
      <w:r w:rsidR="004C0D12" w:rsidRPr="00B80791">
        <w:t xml:space="preserve"> </w:t>
      </w:r>
      <w:r w:rsidR="0095282B">
        <w:t>(</w:t>
      </w:r>
      <w:r w:rsidR="00334870" w:rsidRPr="00E0372D">
        <w:t>OJ L, 2025/441, 10.3.2025, ELI:</w:t>
      </w:r>
      <w:r w:rsidR="00334870" w:rsidRPr="00E0372D">
        <w:rPr>
          <w:rFonts w:ascii="Calibri" w:hAnsi="Calibri" w:cs="Calibri"/>
        </w:rPr>
        <w:t> </w:t>
      </w:r>
      <w:hyperlink r:id="rId31" w:tgtFrame="_blank" w:tooltip="Gives access to this document through its ELI URI." w:history="1">
        <w:r w:rsidR="00334870" w:rsidRPr="00E0372D">
          <w:rPr>
            <w:rStyle w:val="Hyperlink"/>
          </w:rPr>
          <w:t>http://data.europa.eu/eli/reg_impl/2025/441/oj</w:t>
        </w:r>
      </w:hyperlink>
      <w:r w:rsidR="00334870" w:rsidRPr="00E0372D">
        <w:t xml:space="preserve"> and OJ L, 2025/1137, 11.6.2025, ELI:</w:t>
      </w:r>
      <w:r w:rsidR="00334870" w:rsidRPr="00E0372D">
        <w:rPr>
          <w:rFonts w:ascii="Calibri" w:hAnsi="Calibri" w:cs="Calibri"/>
        </w:rPr>
        <w:t> </w:t>
      </w:r>
      <w:hyperlink r:id="rId32" w:tgtFrame="_blank" w:tooltip="Gives access to this document through its ELI URI." w:history="1">
        <w:r w:rsidR="00334870" w:rsidRPr="00E0372D">
          <w:rPr>
            <w:rStyle w:val="Hyperlink"/>
          </w:rPr>
          <w:t>http://data.europa.eu/eli/reg_impl/2025/1137/oj</w:t>
        </w:r>
      </w:hyperlink>
      <w:r w:rsidR="0095282B">
        <w:rPr>
          <w:rFonts w:ascii="Calibri" w:hAnsi="Calibri" w:cs="Calibri"/>
        </w:rPr>
        <w:t>).</w:t>
      </w:r>
    </w:p>
  </w:footnote>
  <w:footnote w:id="41">
    <w:p w14:paraId="6F52DF82" w14:textId="760D7813" w:rsidR="00432CA9" w:rsidRPr="00E0372D" w:rsidRDefault="00432CA9">
      <w:pPr>
        <w:pStyle w:val="FootnoteText"/>
        <w:rPr>
          <w:lang w:val="en-IE"/>
        </w:rPr>
      </w:pPr>
      <w:r w:rsidRPr="00E0372D">
        <w:rPr>
          <w:lang w:val="en-IE"/>
        </w:rPr>
        <w:t>(</w:t>
      </w:r>
      <w:r w:rsidRPr="00D16118">
        <w:rPr>
          <w:rStyle w:val="FootnoteReference"/>
        </w:rPr>
        <w:footnoteRef/>
      </w:r>
      <w:r w:rsidRPr="00E0372D">
        <w:rPr>
          <w:lang w:val="en-IE"/>
        </w:rPr>
        <w:t>)</w:t>
      </w:r>
      <w:r w:rsidRPr="00E0372D">
        <w:rPr>
          <w:lang w:val="en-IE"/>
        </w:rPr>
        <w:tab/>
      </w:r>
      <w:r w:rsidR="00D278A3" w:rsidRPr="00E0372D">
        <w:t>Commission Implementing Regulation (EU) 2025/1145 of 10</w:t>
      </w:r>
      <w:r w:rsidR="00D278A3" w:rsidRPr="00E0372D">
        <w:rPr>
          <w:rFonts w:ascii="Calibri" w:hAnsi="Calibri" w:cs="Calibri"/>
        </w:rPr>
        <w:t> </w:t>
      </w:r>
      <w:r w:rsidR="00D278A3" w:rsidRPr="00E0372D">
        <w:t>June 2025 on exceptional support measures for the milk and pigmeat sectors in Germany</w:t>
      </w:r>
      <w:r w:rsidR="00D278A3" w:rsidRPr="00E0372D">
        <w:rPr>
          <w:lang w:val="en-IE"/>
        </w:rPr>
        <w:t xml:space="preserve"> </w:t>
      </w:r>
      <w:r w:rsidR="0095282B" w:rsidRPr="00E0372D">
        <w:rPr>
          <w:lang w:val="en-IE"/>
        </w:rPr>
        <w:t>(</w:t>
      </w:r>
      <w:r w:rsidRPr="00E0372D">
        <w:rPr>
          <w:lang w:val="en-IE"/>
        </w:rPr>
        <w:t>OJ L, 2025/1145, 11.6.2025, ELI:</w:t>
      </w:r>
      <w:r w:rsidRPr="00E0372D">
        <w:rPr>
          <w:rFonts w:ascii="Calibri" w:hAnsi="Calibri" w:cs="Calibri"/>
          <w:lang w:val="en-IE"/>
        </w:rPr>
        <w:t> </w:t>
      </w:r>
      <w:hyperlink r:id="rId33" w:tgtFrame="_blank" w:tooltip="Gives access to this document through its ELI URI." w:history="1">
        <w:r w:rsidRPr="00E0372D">
          <w:rPr>
            <w:rStyle w:val="Hyperlink"/>
            <w:lang w:val="en-IE"/>
          </w:rPr>
          <w:t>http://data.europa.eu/eli/reg_impl/2025/1145/oj</w:t>
        </w:r>
      </w:hyperlink>
      <w:r w:rsidR="0095282B">
        <w:rPr>
          <w:rFonts w:ascii="Calibri" w:hAnsi="Calibri" w:cs="Calibri"/>
        </w:rPr>
        <w:t>).</w:t>
      </w:r>
    </w:p>
  </w:footnote>
  <w:footnote w:id="42">
    <w:p w14:paraId="7422354B" w14:textId="7DC475E6" w:rsidR="008E26EF" w:rsidRPr="00E0372D" w:rsidRDefault="008E26EF">
      <w:pPr>
        <w:pStyle w:val="FootnoteText"/>
        <w:rPr>
          <w:lang w:val="en-IE"/>
        </w:rPr>
      </w:pPr>
      <w:r w:rsidRPr="00E0372D">
        <w:rPr>
          <w:lang w:val="en-IE"/>
        </w:rPr>
        <w:t>(</w:t>
      </w:r>
      <w:r w:rsidRPr="00D16118">
        <w:rPr>
          <w:rStyle w:val="FootnoteReference"/>
        </w:rPr>
        <w:footnoteRef/>
      </w:r>
      <w:r w:rsidRPr="00E0372D">
        <w:rPr>
          <w:lang w:val="en-IE"/>
        </w:rPr>
        <w:t>)</w:t>
      </w:r>
      <w:r w:rsidRPr="00E0372D">
        <w:rPr>
          <w:lang w:val="en-IE"/>
        </w:rPr>
        <w:tab/>
      </w:r>
      <w:r w:rsidR="00D16118" w:rsidRPr="00E0372D">
        <w:t>Commission Implementing Regulation (EU) 2025/2061 of 10</w:t>
      </w:r>
      <w:r w:rsidR="00D16118" w:rsidRPr="00E0372D">
        <w:rPr>
          <w:rFonts w:ascii="Calibri" w:hAnsi="Calibri" w:cs="Calibri"/>
        </w:rPr>
        <w:t> </w:t>
      </w:r>
      <w:r w:rsidR="00D16118" w:rsidRPr="00E0372D">
        <w:t>October 2025 providing for emergency financial support for the agricultural sectors affected by adverse climatic events in Bulgaria, Latvia, Lithuania, Hungary, Poland and Romania, in accordance with Regulation (EU) No</w:t>
      </w:r>
      <w:r w:rsidR="00D16118" w:rsidRPr="00E0372D">
        <w:rPr>
          <w:rFonts w:ascii="Calibri" w:hAnsi="Calibri" w:cs="Calibri"/>
        </w:rPr>
        <w:t> </w:t>
      </w:r>
      <w:r w:rsidR="00D16118" w:rsidRPr="00E0372D">
        <w:t>1308/2013 of the European Parliament and of the Council</w:t>
      </w:r>
      <w:r w:rsidR="00D16118" w:rsidRPr="00E0372D">
        <w:rPr>
          <w:lang w:val="en-IE"/>
        </w:rPr>
        <w:t xml:space="preserve"> </w:t>
      </w:r>
      <w:r w:rsidR="0095282B" w:rsidRPr="00E0372D">
        <w:rPr>
          <w:lang w:val="en-IE"/>
        </w:rPr>
        <w:t>(</w:t>
      </w:r>
      <w:r w:rsidRPr="00E0372D">
        <w:rPr>
          <w:lang w:val="en-IE"/>
        </w:rPr>
        <w:t>OJ L, 2025/2061, 13.10.2025, ELI:</w:t>
      </w:r>
      <w:r w:rsidRPr="00E0372D">
        <w:rPr>
          <w:rFonts w:ascii="Calibri" w:hAnsi="Calibri" w:cs="Calibri"/>
          <w:lang w:val="en-IE"/>
        </w:rPr>
        <w:t> </w:t>
      </w:r>
      <w:hyperlink r:id="rId34" w:tgtFrame="_blank" w:tooltip="Gives access to this document through its ELI URI." w:history="1">
        <w:r w:rsidRPr="00E0372D">
          <w:rPr>
            <w:rStyle w:val="Hyperlink"/>
            <w:lang w:val="en-IE"/>
          </w:rPr>
          <w:t>http://data.europa.eu/eli/reg_impl/2025/2061/oj</w:t>
        </w:r>
      </w:hyperlink>
      <w:r w:rsidR="0095282B">
        <w:rPr>
          <w:rFonts w:ascii="Calibri" w:hAnsi="Calibri" w:cs="Calibri"/>
        </w:rPr>
        <w:t>).</w:t>
      </w:r>
    </w:p>
  </w:footnote>
  <w:footnote w:id="43">
    <w:p w14:paraId="7A46A7DA" w14:textId="5B343257" w:rsidR="00446884" w:rsidRPr="00E0372D" w:rsidRDefault="00446884">
      <w:pPr>
        <w:pStyle w:val="FootnoteText"/>
      </w:pPr>
      <w:r w:rsidRPr="00E0372D">
        <w:rPr>
          <w:lang w:val="en-IE"/>
        </w:rPr>
        <w:t>(</w:t>
      </w:r>
      <w:r w:rsidRPr="007F2FE8">
        <w:rPr>
          <w:rStyle w:val="FootnoteReference"/>
        </w:rPr>
        <w:footnoteRef/>
      </w:r>
      <w:r w:rsidRPr="00E0372D">
        <w:rPr>
          <w:lang w:val="en-IE"/>
        </w:rPr>
        <w:t>)</w:t>
      </w:r>
      <w:r w:rsidRPr="00E0372D">
        <w:rPr>
          <w:lang w:val="en-IE"/>
        </w:rPr>
        <w:tab/>
      </w:r>
      <w:r w:rsidR="00F8540D" w:rsidRPr="00E0372D">
        <w:t>Commission Implementing Regulation (EU) 2025/1485 of 24</w:t>
      </w:r>
      <w:r w:rsidR="00F8540D" w:rsidRPr="00E0372D">
        <w:rPr>
          <w:rFonts w:ascii="Calibri" w:hAnsi="Calibri" w:cs="Calibri"/>
        </w:rPr>
        <w:t> </w:t>
      </w:r>
      <w:r w:rsidR="00F8540D" w:rsidRPr="00E0372D">
        <w:t>July 2025 on exceptional market measures for the eggs and poultry</w:t>
      </w:r>
      <w:r w:rsidR="00E0372D">
        <w:t xml:space="preserve"> </w:t>
      </w:r>
      <w:r w:rsidR="00F8540D" w:rsidRPr="00E0372D">
        <w:t>meat sectors in Poland</w:t>
      </w:r>
      <w:r w:rsidR="00F8540D" w:rsidRPr="00E0372D">
        <w:rPr>
          <w:lang w:val="en-IE"/>
        </w:rPr>
        <w:t xml:space="preserve"> </w:t>
      </w:r>
      <w:r w:rsidR="0095282B" w:rsidRPr="00E0372D">
        <w:rPr>
          <w:lang w:val="en-IE"/>
        </w:rPr>
        <w:t>(</w:t>
      </w:r>
      <w:r w:rsidR="00B26B37" w:rsidRPr="00E0372D">
        <w:rPr>
          <w:lang w:val="en-IE"/>
        </w:rPr>
        <w:t>OJ L, 2025/1485, 25.7.2025, ELI:</w:t>
      </w:r>
      <w:r w:rsidR="00B26B37" w:rsidRPr="00E0372D">
        <w:rPr>
          <w:rFonts w:ascii="Calibri" w:hAnsi="Calibri" w:cs="Calibri"/>
          <w:lang w:val="en-IE"/>
        </w:rPr>
        <w:t> </w:t>
      </w:r>
      <w:hyperlink r:id="rId35" w:tgtFrame="_blank" w:tooltip="Gives access to this document through its ELI URI." w:history="1">
        <w:r w:rsidR="00B26B37" w:rsidRPr="00E0372D">
          <w:rPr>
            <w:rStyle w:val="Hyperlink"/>
            <w:lang w:val="en-IE"/>
          </w:rPr>
          <w:t>http://data.europa.eu/eli/reg_impl/2025/1485/oj</w:t>
        </w:r>
      </w:hyperlink>
      <w:r w:rsidR="0095282B">
        <w:rPr>
          <w:rFonts w:ascii="Calibri" w:hAnsi="Calibri" w:cs="Calibri"/>
        </w:rPr>
        <w:t>).</w:t>
      </w:r>
    </w:p>
  </w:footnote>
  <w:footnote w:id="44">
    <w:p w14:paraId="1D0D15C7" w14:textId="1302A253" w:rsidR="00EA222C" w:rsidRPr="00E0372D" w:rsidRDefault="00EA222C">
      <w:pPr>
        <w:pStyle w:val="FootnoteText"/>
        <w:rPr>
          <w:lang w:val="en-IE"/>
        </w:rPr>
      </w:pPr>
      <w:r w:rsidRPr="00E0372D">
        <w:rPr>
          <w:lang w:val="en-IE"/>
        </w:rPr>
        <w:t>(</w:t>
      </w:r>
      <w:r w:rsidRPr="007F2FE8">
        <w:rPr>
          <w:rStyle w:val="FootnoteReference"/>
        </w:rPr>
        <w:footnoteRef/>
      </w:r>
      <w:r w:rsidRPr="00E0372D">
        <w:rPr>
          <w:lang w:val="en-IE"/>
        </w:rPr>
        <w:t>)</w:t>
      </w:r>
      <w:r w:rsidRPr="00E0372D">
        <w:rPr>
          <w:lang w:val="en-IE"/>
        </w:rPr>
        <w:tab/>
      </w:r>
      <w:r w:rsidR="00FD5F1C" w:rsidRPr="00E0372D">
        <w:t>Regulation (EU) 2025/1276 of the European Parliament and of the Council of 24</w:t>
      </w:r>
      <w:r w:rsidR="00FD5F1C">
        <w:rPr>
          <w:rFonts w:ascii="Calibri" w:hAnsi="Calibri" w:cs="Calibri"/>
        </w:rPr>
        <w:t> </w:t>
      </w:r>
      <w:r w:rsidR="00FD5F1C" w:rsidRPr="00E0372D">
        <w:t>June 2025 amending Regulation (EU) No 228/2013 as regards additional assistance to, and further flexibility in respect of, outermost regions affected by severe natural disasters and in the context of the devastation caused by cyclone Chido in Mayotte</w:t>
      </w:r>
      <w:r w:rsidR="00FD5F1C" w:rsidRPr="00E0372D">
        <w:rPr>
          <w:lang w:val="en-IE"/>
        </w:rPr>
        <w:t xml:space="preserve"> </w:t>
      </w:r>
      <w:r w:rsidR="0095282B" w:rsidRPr="00E0372D">
        <w:rPr>
          <w:lang w:val="en-IE"/>
        </w:rPr>
        <w:t>(</w:t>
      </w:r>
      <w:r w:rsidRPr="00E0372D">
        <w:rPr>
          <w:lang w:val="en-IE"/>
        </w:rPr>
        <w:t>OJ L, 2025/1276, 27.6.2025, ELI:</w:t>
      </w:r>
      <w:r w:rsidRPr="00E0372D">
        <w:rPr>
          <w:rFonts w:ascii="Calibri" w:hAnsi="Calibri" w:cs="Calibri"/>
          <w:lang w:val="en-IE"/>
        </w:rPr>
        <w:t> </w:t>
      </w:r>
      <w:hyperlink r:id="rId36" w:tgtFrame="_blank" w:tooltip="Gives access to this document through its ELI URI." w:history="1">
        <w:r w:rsidRPr="00E0372D">
          <w:rPr>
            <w:rStyle w:val="Hyperlink"/>
            <w:lang w:val="en-IE"/>
          </w:rPr>
          <w:t>http://data.europa.eu/eli/reg/2025/1276/oj</w:t>
        </w:r>
      </w:hyperlink>
      <w:r w:rsidR="0095282B">
        <w:rPr>
          <w:rFonts w:ascii="Calibri" w:hAnsi="Calibri" w:cs="Calibri"/>
        </w:rPr>
        <w:t>).</w:t>
      </w:r>
    </w:p>
  </w:footnote>
  <w:footnote w:id="45">
    <w:p w14:paraId="7CD8F753" w14:textId="10BB5D00" w:rsidR="00F87DC9" w:rsidRPr="00E0372D" w:rsidRDefault="00F87DC9" w:rsidP="00F87DC9">
      <w:pPr>
        <w:pStyle w:val="FootnoteText"/>
      </w:pPr>
      <w:r>
        <w:t>(</w:t>
      </w:r>
      <w:r>
        <w:rPr>
          <w:rStyle w:val="FootnoteReference"/>
        </w:rPr>
        <w:footnoteRef/>
      </w:r>
      <w:r>
        <w:t>)</w:t>
      </w:r>
      <w:r>
        <w:tab/>
      </w:r>
      <w:r w:rsidR="00064EA6">
        <w:t>European Commission</w:t>
      </w:r>
      <w:r w:rsidR="00236E6E">
        <w:t xml:space="preserve">: </w:t>
      </w:r>
      <w:r w:rsidR="00236E6E" w:rsidRPr="00236E6E">
        <w:t>European Climate, Infrastructure and Environment Executive Agency</w:t>
      </w:r>
      <w:r w:rsidR="00064EA6">
        <w:t xml:space="preserve"> (n.d.), ‘</w:t>
      </w:r>
      <w:r w:rsidR="00443F6E" w:rsidRPr="00E0372D">
        <w:t>Blue ports: Empowering ports for a greener future</w:t>
      </w:r>
      <w:r w:rsidR="00064EA6">
        <w:t>’</w:t>
      </w:r>
      <w:r w:rsidR="00443F6E">
        <w:t xml:space="preserve">, </w:t>
      </w:r>
      <w:hyperlink r:id="rId37" w:history="1">
        <w:r w:rsidR="00443F6E" w:rsidRPr="005111D6">
          <w:rPr>
            <w:rStyle w:val="Hyperlink"/>
          </w:rPr>
          <w:t>https://cinea.ec.europa.eu/featured-projects/blue-ports-empowering-ports-greener-future_en</w:t>
        </w:r>
      </w:hyperlink>
      <w:r w:rsidR="009E02CC">
        <w:t>.</w:t>
      </w:r>
    </w:p>
  </w:footnote>
  <w:footnote w:id="46">
    <w:p w14:paraId="60ACE076" w14:textId="3D32BAC1" w:rsidR="00C26EAD" w:rsidRPr="00B13363" w:rsidRDefault="00C26EAD" w:rsidP="00C26EAD">
      <w:pPr>
        <w:pStyle w:val="FootnoteText"/>
        <w:rPr>
          <w:lang w:val="en-IE"/>
        </w:rPr>
      </w:pPr>
      <w:r>
        <w:t>(</w:t>
      </w:r>
      <w:r>
        <w:rPr>
          <w:rStyle w:val="FootnoteReference"/>
        </w:rPr>
        <w:footnoteRef/>
      </w:r>
      <w:r>
        <w:t>)</w:t>
      </w:r>
      <w:r>
        <w:tab/>
      </w:r>
      <w:r w:rsidR="00150DD9">
        <w:t>European Commission</w:t>
      </w:r>
      <w:r w:rsidR="002D1244">
        <w:t xml:space="preserve">: </w:t>
      </w:r>
      <w:r w:rsidR="002D1244" w:rsidRPr="00236E6E">
        <w:t>European Climate, Infrastructure and Environment Executive Agency</w:t>
      </w:r>
      <w:r w:rsidR="00913D14">
        <w:t xml:space="preserve"> (n.d.)</w:t>
      </w:r>
      <w:r w:rsidR="00150DD9">
        <w:t>, ‘</w:t>
      </w:r>
      <w:r w:rsidR="00827A59" w:rsidRPr="00E0372D">
        <w:t>Diaspara project: Unlocking the secrets of Europe’s endangered eel and salmon</w:t>
      </w:r>
      <w:r w:rsidR="00BD1CF5">
        <w:t>’</w:t>
      </w:r>
      <w:r w:rsidR="002D1244">
        <w:t xml:space="preserve">, </w:t>
      </w:r>
      <w:hyperlink r:id="rId38" w:history="1">
        <w:r w:rsidR="002D1244" w:rsidRPr="005111D6">
          <w:rPr>
            <w:rStyle w:val="Hyperlink"/>
          </w:rPr>
          <w:t>https://cinea.ec.europa.eu/featured-projects/diaspara-project-unlocking-secrets-europes-endangered-eel-and-salmon_en</w:t>
        </w:r>
      </w:hyperlink>
      <w:r w:rsidR="00BD1CF5">
        <w:t>.</w:t>
      </w:r>
    </w:p>
  </w:footnote>
  <w:footnote w:id="47">
    <w:p w14:paraId="1B906D75" w14:textId="658D815D" w:rsidR="008B4448" w:rsidRPr="00B13363" w:rsidRDefault="008B4448" w:rsidP="008B4448">
      <w:pPr>
        <w:pStyle w:val="FootnoteText"/>
        <w:rPr>
          <w:lang w:val="en-IE"/>
        </w:rPr>
      </w:pPr>
      <w:r>
        <w:t>(</w:t>
      </w:r>
      <w:r>
        <w:rPr>
          <w:rStyle w:val="FootnoteReference"/>
        </w:rPr>
        <w:footnoteRef/>
      </w:r>
      <w:r>
        <w:t>)</w:t>
      </w:r>
      <w:r>
        <w:tab/>
      </w:r>
      <w:r w:rsidR="00DF0D72">
        <w:t>European Commission</w:t>
      </w:r>
      <w:r w:rsidR="00C96718">
        <w:t xml:space="preserve">: </w:t>
      </w:r>
      <w:r w:rsidR="00C96718" w:rsidRPr="00236E6E">
        <w:t>European Climate, Infrastructure and Environment Executive Agency</w:t>
      </w:r>
      <w:r w:rsidR="00DF0D72">
        <w:t xml:space="preserve"> (n.d.), ‘</w:t>
      </w:r>
      <w:r w:rsidR="007D2A87" w:rsidRPr="00E0372D">
        <w:t>Decarbonyt – Decarbonising the fishing fleet in the Mediterranean and Black Sea</w:t>
      </w:r>
      <w:r w:rsidR="00DF0D72">
        <w:t>’</w:t>
      </w:r>
      <w:r w:rsidR="008C5177">
        <w:t xml:space="preserve">, </w:t>
      </w:r>
      <w:hyperlink r:id="rId39" w:history="1">
        <w:r w:rsidR="007D2A87" w:rsidRPr="005111D6">
          <w:rPr>
            <w:rStyle w:val="Hyperlink"/>
          </w:rPr>
          <w:t>https://cinea.ec.europa.eu/featured-projects/decarbonyt-decarbonising-fishing-fleet-mediterranean-and-black-sea_en</w:t>
        </w:r>
      </w:hyperlink>
      <w:r w:rsidR="007D2A87">
        <w:t>.</w:t>
      </w:r>
    </w:p>
  </w:footnote>
  <w:footnote w:id="48">
    <w:p w14:paraId="74D2B6F6" w14:textId="646E52DE" w:rsidR="005E492B" w:rsidRPr="00141B0F" w:rsidRDefault="005E492B" w:rsidP="005E492B">
      <w:pPr>
        <w:pStyle w:val="FootnoteText"/>
        <w:rPr>
          <w:lang w:val="en-IE"/>
        </w:rPr>
      </w:pPr>
      <w:r>
        <w:t>(</w:t>
      </w:r>
      <w:r>
        <w:rPr>
          <w:rStyle w:val="FootnoteReference"/>
        </w:rPr>
        <w:footnoteRef/>
      </w:r>
      <w:r>
        <w:t>)</w:t>
      </w:r>
      <w:r>
        <w:tab/>
      </w:r>
      <w:r w:rsidR="00EC4EF7" w:rsidRPr="00940018">
        <w:t>European Commission</w:t>
      </w:r>
      <w:r w:rsidR="00EC4EF7">
        <w:t xml:space="preserve"> (2026), ‘The EU in 2025: General report on the activities of the European Union’, </w:t>
      </w:r>
      <w:r w:rsidR="00EC4EF7" w:rsidRPr="003059CD">
        <w:t>Chapter</w:t>
      </w:r>
      <w:r w:rsidR="00EC4EF7">
        <w:rPr>
          <w:rFonts w:ascii="Calibri" w:hAnsi="Calibri" w:cs="Calibri"/>
        </w:rPr>
        <w:t> </w:t>
      </w:r>
      <w:r w:rsidR="00EC4EF7" w:rsidRPr="003059CD">
        <w:t>5: A Europe fit for the digital age</w:t>
      </w:r>
      <w:r w:rsidR="00EC4EF7">
        <w:t xml:space="preserve">, </w:t>
      </w:r>
      <w:hyperlink r:id="rId40" w:anchor="subchapter5-2" w:history="1">
        <w:r w:rsidR="00EC4EF7" w:rsidRPr="005111D6">
          <w:rPr>
            <w:rStyle w:val="Hyperlink"/>
          </w:rPr>
          <w:t>https://op.europa.eu/webpub/com/general-report-2025/en/chapter5.html#subchapter5-2</w:t>
        </w:r>
      </w:hyperlink>
      <w:r w:rsidR="00EC4EF7">
        <w:t>.</w:t>
      </w:r>
    </w:p>
  </w:footnote>
  <w:footnote w:id="49">
    <w:p w14:paraId="273123B8" w14:textId="25236AC9" w:rsidR="000D7D9F" w:rsidRPr="00A07EB1" w:rsidRDefault="000D7D9F" w:rsidP="00AA5A4D">
      <w:pPr>
        <w:pStyle w:val="FootnoteText"/>
      </w:pPr>
      <w:r w:rsidRPr="00A07EB1">
        <w:t>(</w:t>
      </w:r>
      <w:r w:rsidRPr="00AA5A4D">
        <w:rPr>
          <w:rStyle w:val="FootnoteReference"/>
        </w:rPr>
        <w:footnoteRef/>
      </w:r>
      <w:r w:rsidRPr="00A07EB1">
        <w:t>)</w:t>
      </w:r>
      <w:r w:rsidR="00AA5A4D">
        <w:tab/>
      </w:r>
      <w:r w:rsidR="00B13B9A" w:rsidRPr="00A07EB1">
        <w:t>European Commission: Directorate-General for Communication, ‘</w:t>
      </w:r>
      <w:r w:rsidR="00B13B9A" w:rsidRPr="00677A2F">
        <w:t>2025 State of the Union Address by President von der Leyen</w:t>
      </w:r>
      <w:r w:rsidR="001E65FC">
        <w:t>’</w:t>
      </w:r>
      <w:r w:rsidR="00B13B9A" w:rsidRPr="00A07EB1">
        <w:t xml:space="preserve">, </w:t>
      </w:r>
      <w:r w:rsidR="00B13B9A">
        <w:t>10</w:t>
      </w:r>
      <w:r w:rsidR="0091490B">
        <w:rPr>
          <w:rFonts w:ascii="Calibri" w:hAnsi="Calibri" w:cs="Calibri"/>
          <w:noProof/>
          <w:lang w:eastAsia="zh-CN"/>
        </w:rPr>
        <w:t> </w:t>
      </w:r>
      <w:r w:rsidR="00B13B9A">
        <w:t>September 2025</w:t>
      </w:r>
      <w:r w:rsidR="00B13B9A" w:rsidRPr="00A07EB1">
        <w:t>,</w:t>
      </w:r>
      <w:r w:rsidR="00B13B9A">
        <w:t xml:space="preserve"> </w:t>
      </w:r>
      <w:hyperlink r:id="rId41" w:history="1">
        <w:r w:rsidR="00B13B9A" w:rsidRPr="003E099A">
          <w:rPr>
            <w:rStyle w:val="Hyperlink"/>
          </w:rPr>
          <w:t>https://commission.europa.eu/strategy-and-policy/state-union/state-union-2025_en</w:t>
        </w:r>
      </w:hyperlink>
      <w:r w:rsidR="00B13B9A" w:rsidRPr="00A07EB1" w:rsidDel="0091490B">
        <w:t>.</w:t>
      </w:r>
    </w:p>
  </w:footnote>
  <w:footnote w:id="50">
    <w:p w14:paraId="5B5C3C38" w14:textId="32982B2B" w:rsidR="003050C6" w:rsidRPr="000224DD" w:rsidRDefault="003050C6">
      <w:pPr>
        <w:pStyle w:val="FootnoteText"/>
        <w:rPr>
          <w:lang w:val="en-IE"/>
        </w:rPr>
      </w:pPr>
      <w:r>
        <w:t>(</w:t>
      </w:r>
      <w:r>
        <w:rPr>
          <w:rStyle w:val="FootnoteReference"/>
        </w:rPr>
        <w:footnoteRef/>
      </w:r>
      <w:r>
        <w:t>)</w:t>
      </w:r>
      <w:r>
        <w:tab/>
        <w:t>Information on the</w:t>
      </w:r>
      <w:r w:rsidR="00784A9D">
        <w:t xml:space="preserve"> initiatives can be found at </w:t>
      </w:r>
      <w:hyperlink r:id="rId42" w:history="1">
        <w:r w:rsidR="00784A9D" w:rsidRPr="00D80393">
          <w:rPr>
            <w:rStyle w:val="Hyperlink"/>
          </w:rPr>
          <w:t>https://citizens-initiative.europa.eu/find-initiative_en</w:t>
        </w:r>
      </w:hyperlink>
      <w:r w:rsidR="00784A9D">
        <w:t xml:space="preserve">. </w:t>
      </w:r>
    </w:p>
  </w:footnote>
  <w:footnote w:id="51">
    <w:p w14:paraId="6DC3DD1B" w14:textId="7F08FEAF" w:rsidR="000D7D9F" w:rsidRPr="00A07EB1" w:rsidRDefault="000D7D9F" w:rsidP="00AA5A4D">
      <w:pPr>
        <w:pStyle w:val="FootnoteText"/>
        <w:rPr>
          <w:rFonts w:ascii="EC Square Sans Pro" w:hAnsi="EC Square Sans Pro"/>
        </w:rPr>
      </w:pPr>
      <w:r w:rsidRPr="00A07EB1">
        <w:rPr>
          <w:rFonts w:ascii="EC Square Sans Pro" w:hAnsi="EC Square Sans Pro"/>
        </w:rPr>
        <w:t>(</w:t>
      </w:r>
      <w:r w:rsidRPr="00AA5A4D">
        <w:rPr>
          <w:rStyle w:val="FootnoteReference"/>
        </w:rPr>
        <w:footnoteRef/>
      </w:r>
      <w:r w:rsidRPr="00A07EB1">
        <w:rPr>
          <w:rFonts w:ascii="EC Square Sans Pro" w:hAnsi="EC Square Sans Pro"/>
        </w:rPr>
        <w:t>)</w:t>
      </w:r>
      <w:r w:rsidR="00AA5A4D">
        <w:rPr>
          <w:rFonts w:ascii="EC Square Sans Pro" w:hAnsi="EC Square Sans Pro"/>
        </w:rPr>
        <w:tab/>
      </w:r>
      <w:r>
        <w:rPr>
          <w:rFonts w:ascii="EC Square Sans Pro" w:hAnsi="EC Square Sans Pro"/>
        </w:rPr>
        <w:t>European Commission</w:t>
      </w:r>
      <w:r w:rsidR="00BE07D3" w:rsidRPr="00A07EB1">
        <w:t>: Directorate-General for Communication</w:t>
      </w:r>
      <w:r w:rsidRPr="00A07EB1">
        <w:rPr>
          <w:rFonts w:ascii="EC Square Sans Pro" w:hAnsi="EC Square Sans Pro"/>
        </w:rPr>
        <w:t xml:space="preserve"> </w:t>
      </w:r>
      <w:r>
        <w:rPr>
          <w:rFonts w:ascii="EC Square Sans Pro" w:hAnsi="EC Square Sans Pro"/>
        </w:rPr>
        <w:t>‘</w:t>
      </w:r>
      <w:r w:rsidR="003A2EDA" w:rsidRPr="003A2EDA">
        <w:rPr>
          <w:rFonts w:ascii="EC Square Sans Pro" w:hAnsi="EC Square Sans Pro"/>
        </w:rPr>
        <w:t>Keynote speech by President von der Leyen at the Global Gateway Forum</w:t>
      </w:r>
      <w:r>
        <w:t xml:space="preserve">’, </w:t>
      </w:r>
      <w:r w:rsidR="000E73EF">
        <w:t xml:space="preserve">news article, </w:t>
      </w:r>
      <w:r w:rsidR="005045AE">
        <w:t>9</w:t>
      </w:r>
      <w:r>
        <w:rPr>
          <w:rFonts w:ascii="Calibri" w:hAnsi="Calibri" w:cs="Calibri"/>
        </w:rPr>
        <w:t> </w:t>
      </w:r>
      <w:r w:rsidR="005045AE">
        <w:t>October</w:t>
      </w:r>
      <w:r>
        <w:t xml:space="preserve"> 202</w:t>
      </w:r>
      <w:r w:rsidR="005045AE">
        <w:t>5</w:t>
      </w:r>
      <w:r>
        <w:t xml:space="preserve">, </w:t>
      </w:r>
      <w:hyperlink r:id="rId43" w:history="1">
        <w:r w:rsidR="0004436F" w:rsidRPr="00721A75">
          <w:rPr>
            <w:rStyle w:val="Hyperlink"/>
          </w:rPr>
          <w:t>https://ec.europa.eu/commission/presscorner/detail/en/speech_25_2337</w:t>
        </w:r>
      </w:hyperlink>
      <w:r w:rsidR="0004436F">
        <w:t xml:space="preserve">. </w:t>
      </w:r>
    </w:p>
  </w:footnote>
  <w:footnote w:id="52">
    <w:p w14:paraId="3A83A39D" w14:textId="68691DA7" w:rsidR="008C1494" w:rsidRPr="00840F96" w:rsidRDefault="008C1494">
      <w:pPr>
        <w:pStyle w:val="FootnoteText"/>
        <w:rPr>
          <w:lang w:val="en-IE"/>
        </w:rPr>
      </w:pPr>
      <w:r>
        <w:t>(</w:t>
      </w:r>
      <w:r>
        <w:rPr>
          <w:rStyle w:val="FootnoteReference"/>
        </w:rPr>
        <w:footnoteRef/>
      </w:r>
      <w:r>
        <w:t>)</w:t>
      </w:r>
      <w:r>
        <w:tab/>
      </w:r>
      <w:r w:rsidR="0091451C">
        <w:rPr>
          <w:rFonts w:ascii="EC Square Sans Pro" w:hAnsi="EC Square Sans Pro"/>
        </w:rPr>
        <w:t>European Commission,</w:t>
      </w:r>
      <w:r w:rsidR="004D4666">
        <w:rPr>
          <w:rFonts w:ascii="EC Square Sans Pro" w:hAnsi="EC Square Sans Pro"/>
        </w:rPr>
        <w:t xml:space="preserve"> ‘</w:t>
      </w:r>
      <w:r w:rsidR="004D4666" w:rsidRPr="00E0372D">
        <w:rPr>
          <w:rFonts w:ascii="EC Square Sans Pro" w:hAnsi="EC Square Sans Pro"/>
        </w:rPr>
        <w:t>Commission delivers thermal plant to supply power for 1</w:t>
      </w:r>
      <w:r w:rsidR="004D4666" w:rsidRPr="00E0372D">
        <w:t> </w:t>
      </w:r>
      <w:r w:rsidR="004D4666" w:rsidRPr="00E0372D">
        <w:rPr>
          <w:rFonts w:ascii="EC Square Sans Pro" w:hAnsi="EC Square Sans Pro"/>
        </w:rPr>
        <w:t xml:space="preserve">million Ukrainians’, press release, </w:t>
      </w:r>
      <w:r w:rsidR="00330B6F" w:rsidRPr="00E0372D">
        <w:rPr>
          <w:rFonts w:ascii="EC Square Sans Pro" w:hAnsi="EC Square Sans Pro"/>
        </w:rPr>
        <w:t>22</w:t>
      </w:r>
      <w:r w:rsidR="00330B6F" w:rsidRPr="00330B6F">
        <w:rPr>
          <w:rFonts w:ascii="Calibri" w:hAnsi="Calibri" w:cs="Calibri"/>
        </w:rPr>
        <w:t> </w:t>
      </w:r>
      <w:r w:rsidR="00330B6F" w:rsidRPr="00E0372D">
        <w:rPr>
          <w:rFonts w:ascii="EC Square Sans Pro" w:hAnsi="EC Square Sans Pro"/>
        </w:rPr>
        <w:t>December 2025</w:t>
      </w:r>
      <w:r w:rsidR="00330B6F">
        <w:rPr>
          <w:rFonts w:ascii="Calibri" w:hAnsi="Calibri" w:cs="Calibri"/>
        </w:rPr>
        <w:t xml:space="preserve">, </w:t>
      </w:r>
      <w:hyperlink r:id="rId44" w:history="1">
        <w:r w:rsidR="00330B6F" w:rsidRPr="00330B6F">
          <w:rPr>
            <w:rStyle w:val="Hyperlink"/>
          </w:rPr>
          <w:t>https://ec.europa.eu/commission/presscorner/detail/en/ip_25_3137</w:t>
        </w:r>
      </w:hyperlink>
      <w:r w:rsidR="004D4666">
        <w:t>.</w:t>
      </w:r>
    </w:p>
  </w:footnote>
  <w:footnote w:id="53">
    <w:p w14:paraId="20BF8158" w14:textId="02A3FFCA" w:rsidR="00C11000" w:rsidRPr="001C64BE" w:rsidRDefault="00C11000" w:rsidP="00121B2E">
      <w:pPr>
        <w:pStyle w:val="FootnoteText"/>
        <w:rPr>
          <w:lang w:val="en-IE"/>
        </w:rPr>
      </w:pPr>
      <w:r>
        <w:t>(</w:t>
      </w:r>
      <w:r>
        <w:rPr>
          <w:rStyle w:val="FootnoteReference"/>
        </w:rPr>
        <w:footnoteRef/>
      </w:r>
      <w:r>
        <w:t>)</w:t>
      </w:r>
      <w:r>
        <w:tab/>
      </w:r>
      <w:r w:rsidR="00BC00C3">
        <w:t xml:space="preserve">European Commission, </w:t>
      </w:r>
      <w:r w:rsidR="00D2411D">
        <w:t>‘</w:t>
      </w:r>
      <w:r w:rsidR="00D2411D" w:rsidRPr="00D2411D">
        <w:t>First deal under EU</w:t>
      </w:r>
      <w:r w:rsidR="00D2411D">
        <w:t>’</w:t>
      </w:r>
      <w:r w:rsidR="00D2411D" w:rsidRPr="00D2411D">
        <w:t>s Ukraine export credit guarantee facility: €20 million for EU exports to Ukraine through Denmark</w:t>
      </w:r>
      <w:r w:rsidR="00142935">
        <w:t>’</w:t>
      </w:r>
      <w:r w:rsidR="00D2411D" w:rsidRPr="00D2411D">
        <w:t>s EIFO</w:t>
      </w:r>
      <w:r w:rsidR="001C64BE">
        <w:t>’</w:t>
      </w:r>
      <w:r w:rsidR="00142935">
        <w:t>, p</w:t>
      </w:r>
      <w:r>
        <w:t>ress release</w:t>
      </w:r>
      <w:r w:rsidR="00142935">
        <w:t xml:space="preserve">, </w:t>
      </w:r>
      <w:r w:rsidR="001716B8">
        <w:t>5</w:t>
      </w:r>
      <w:r w:rsidR="001716B8" w:rsidRPr="001C64BE">
        <w:rPr>
          <w:rFonts w:ascii="Calibri" w:hAnsi="Calibri" w:cs="Calibri"/>
        </w:rPr>
        <w:t> </w:t>
      </w:r>
      <w:r w:rsidR="001716B8" w:rsidRPr="00E0372D">
        <w:t>June 2025,</w:t>
      </w:r>
      <w:r w:rsidR="001716B8">
        <w:rPr>
          <w:rFonts w:ascii="Calibri" w:hAnsi="Calibri" w:cs="Calibri"/>
        </w:rPr>
        <w:t xml:space="preserve"> </w:t>
      </w:r>
      <w:hyperlink r:id="rId45" w:history="1">
        <w:r w:rsidR="001716B8" w:rsidRPr="00E0372D">
          <w:rPr>
            <w:rStyle w:val="Hyperlink"/>
            <w:rFonts w:cs="Calibri"/>
          </w:rPr>
          <w:t>https://ec.europa.eu/commission/presscorner/detail/en/ip_25_1429</w:t>
        </w:r>
      </w:hyperlink>
      <w:r w:rsidR="0023167A" w:rsidRPr="001C64BE">
        <w:rPr>
          <w:lang w:val="en-IE"/>
        </w:rPr>
        <w:t>.</w:t>
      </w:r>
    </w:p>
  </w:footnote>
  <w:footnote w:id="54">
    <w:p w14:paraId="78E07130" w14:textId="689893EA" w:rsidR="00016BA4" w:rsidRPr="008A7A2D" w:rsidRDefault="00016BA4">
      <w:pPr>
        <w:pStyle w:val="FootnoteText"/>
        <w:rPr>
          <w:lang w:val="en-IE"/>
        </w:rPr>
      </w:pPr>
      <w:r>
        <w:t>(</w:t>
      </w:r>
      <w:r>
        <w:rPr>
          <w:rStyle w:val="FootnoteReference"/>
        </w:rPr>
        <w:footnoteRef/>
      </w:r>
      <w:r>
        <w:t>)</w:t>
      </w:r>
      <w:r>
        <w:tab/>
      </w:r>
      <w:r w:rsidR="00AB579E">
        <w:t>European Commission (2026),</w:t>
      </w:r>
      <w:r w:rsidR="006C344D">
        <w:t xml:space="preserve"> ‘</w:t>
      </w:r>
      <w:r w:rsidR="006C344D" w:rsidRPr="006C344D">
        <w:t>Implementation of the 1435 connectivity PL/UA border</w:t>
      </w:r>
      <w:r w:rsidR="006C344D">
        <w:rPr>
          <w:rFonts w:ascii="Calibri" w:hAnsi="Calibri" w:cs="Calibri"/>
        </w:rPr>
        <w:t> </w:t>
      </w:r>
      <w:r w:rsidR="006C344D" w:rsidRPr="006C344D">
        <w:t>– Mostyska II</w:t>
      </w:r>
      <w:r w:rsidR="006C344D">
        <w:rPr>
          <w:rFonts w:ascii="Calibri" w:hAnsi="Calibri" w:cs="Calibri"/>
        </w:rPr>
        <w:t> </w:t>
      </w:r>
      <w:r w:rsidR="006C344D" w:rsidRPr="006C344D">
        <w:t>– Sknyliv (Lviv) Stage 1</w:t>
      </w:r>
      <w:r w:rsidR="006C344D">
        <w:t>’,</w:t>
      </w:r>
      <w:r w:rsidR="005F02C4">
        <w:t xml:space="preserve"> CEF Transport programme,</w:t>
      </w:r>
      <w:r w:rsidR="00AB579E">
        <w:t xml:space="preserve"> </w:t>
      </w:r>
      <w:hyperlink r:id="rId46" w:history="1">
        <w:r w:rsidR="006C344D" w:rsidRPr="006C344D">
          <w:rPr>
            <w:rStyle w:val="Hyperlink"/>
          </w:rPr>
          <w:t>https://ec.europa.eu/assets/cinea/project_fiches/cef/cef_transport/24-UA-TG-EUUA1435PLUABCPML1.pdf</w:t>
        </w:r>
      </w:hyperlink>
      <w:r w:rsidR="0023167A">
        <w:t>.</w:t>
      </w:r>
    </w:p>
  </w:footnote>
  <w:footnote w:id="55">
    <w:p w14:paraId="35041F3C" w14:textId="406F664E" w:rsidR="005A2CF9" w:rsidRPr="005A2CF9" w:rsidRDefault="005A2CF9">
      <w:pPr>
        <w:pStyle w:val="FootnoteText"/>
        <w:rPr>
          <w:lang w:val="en-IE"/>
        </w:rPr>
      </w:pPr>
      <w:r>
        <w:t>(</w:t>
      </w:r>
      <w:r>
        <w:rPr>
          <w:rStyle w:val="FootnoteReference"/>
        </w:rPr>
        <w:footnoteRef/>
      </w:r>
      <w:r>
        <w:t>)</w:t>
      </w:r>
      <w:r>
        <w:tab/>
      </w:r>
      <w:r w:rsidR="00094148">
        <w:t xml:space="preserve">European Commission: </w:t>
      </w:r>
      <w:r w:rsidR="00094148" w:rsidRPr="00094148">
        <w:t>Directorate-General for Mobility and Transport</w:t>
      </w:r>
      <w:r w:rsidR="0073653D">
        <w:t xml:space="preserve">, </w:t>
      </w:r>
      <w:r w:rsidR="00742C75">
        <w:t>‘</w:t>
      </w:r>
      <w:r w:rsidR="00742C75" w:rsidRPr="00742C75">
        <w:t>New EU-funded railway line brings Ukraine even closer to EU</w:t>
      </w:r>
      <w:r w:rsidR="00742C75">
        <w:t>’, news article, 5</w:t>
      </w:r>
      <w:r w:rsidR="00742C75" w:rsidRPr="005627F3">
        <w:rPr>
          <w:rFonts w:ascii="Calibri" w:hAnsi="Calibri" w:cs="Calibri"/>
        </w:rPr>
        <w:t> </w:t>
      </w:r>
      <w:r w:rsidR="00742C75" w:rsidRPr="00E0372D">
        <w:t>September 2025</w:t>
      </w:r>
      <w:r w:rsidR="005627F3">
        <w:rPr>
          <w:rFonts w:ascii="Calibri" w:hAnsi="Calibri" w:cs="Calibri"/>
        </w:rPr>
        <w:t xml:space="preserve">, </w:t>
      </w:r>
      <w:hyperlink r:id="rId47" w:history="1">
        <w:r w:rsidR="00742C75" w:rsidRPr="00742C75">
          <w:rPr>
            <w:rStyle w:val="Hyperlink"/>
          </w:rPr>
          <w:t>https://transport.ec.europa.eu/news-events/news/new-eu-funded-railway-line-brings-ukraine-even-closer-eu-2025-09-05_en</w:t>
        </w:r>
      </w:hyperlink>
      <w:r w:rsidR="0023167A">
        <w:t>.</w:t>
      </w:r>
    </w:p>
  </w:footnote>
  <w:footnote w:id="56">
    <w:p w14:paraId="454B5D7E" w14:textId="565E85D2" w:rsidR="00876D45" w:rsidRPr="00240864" w:rsidRDefault="00876D45">
      <w:pPr>
        <w:pStyle w:val="FootnoteText"/>
        <w:rPr>
          <w:lang w:val="en-IE"/>
        </w:rPr>
      </w:pPr>
      <w:r>
        <w:t>(</w:t>
      </w:r>
      <w:r>
        <w:rPr>
          <w:rStyle w:val="FootnoteReference"/>
        </w:rPr>
        <w:footnoteRef/>
      </w:r>
      <w:r>
        <w:t>)</w:t>
      </w:r>
      <w:r>
        <w:tab/>
      </w:r>
      <w:r w:rsidR="00160E8F" w:rsidRPr="00940018">
        <w:t>European Commission</w:t>
      </w:r>
      <w:r w:rsidR="00160E8F">
        <w:t xml:space="preserve"> (2026), ‘The EU in 2025: General report on the activities of the European Union’, </w:t>
      </w:r>
      <w:r w:rsidR="00DE1B6B" w:rsidRPr="00E0372D">
        <w:t>Chapter</w:t>
      </w:r>
      <w:r w:rsidR="00DE1B6B">
        <w:rPr>
          <w:rFonts w:ascii="Calibri" w:hAnsi="Calibri" w:cs="Calibri"/>
        </w:rPr>
        <w:t> </w:t>
      </w:r>
      <w:r w:rsidR="00DE1B6B" w:rsidRPr="00E0372D">
        <w:t>1: The EU’s support for Ukraine</w:t>
      </w:r>
      <w:r w:rsidR="00DE1B6B">
        <w:rPr>
          <w:rFonts w:ascii="EC Square Sans Pro" w:hAnsi="EC Square Sans Pro" w:cs="EC Square Sans Pro"/>
        </w:rPr>
        <w:t>,</w:t>
      </w:r>
      <w:r w:rsidR="00DE1B6B">
        <w:t xml:space="preserve"> </w:t>
      </w:r>
      <w:hyperlink r:id="rId48" w:anchor="subchapter1-1" w:history="1">
        <w:r w:rsidR="00DE1B6B" w:rsidRPr="00DE1B6B">
          <w:rPr>
            <w:rStyle w:val="Hyperlink"/>
          </w:rPr>
          <w:t>https://op.europa.eu/webpub/com/general-report-2025/en/chapter1.html#subchapter1-</w:t>
        </w:r>
        <w:r w:rsidR="00DE1B6B" w:rsidRPr="005111D6">
          <w:rPr>
            <w:rStyle w:val="Hyperlink"/>
          </w:rPr>
          <w:t>1</w:t>
        </w:r>
      </w:hyperlink>
      <w:r w:rsidR="00597747">
        <w:t>.</w:t>
      </w:r>
    </w:p>
  </w:footnote>
  <w:footnote w:id="57">
    <w:p w14:paraId="7AB6A19B" w14:textId="3C90F1F7" w:rsidR="004760B9" w:rsidRDefault="004760B9">
      <w:pPr>
        <w:pStyle w:val="FootnoteText"/>
      </w:pPr>
      <w:r>
        <w:t>(</w:t>
      </w:r>
      <w:r>
        <w:rPr>
          <w:rStyle w:val="FootnoteReference"/>
        </w:rPr>
        <w:footnoteRef/>
      </w:r>
      <w:r>
        <w:t>)</w:t>
      </w:r>
      <w:r>
        <w:tab/>
      </w:r>
      <w:r w:rsidRPr="00F33FFF">
        <w:t>This designation is without prejudice to positions on status, and is in line with UNSCR 1244/1999 and the ICJ Opinion on the Kosovo declaration of independence.</w:t>
      </w:r>
    </w:p>
  </w:footnote>
  <w:footnote w:id="58">
    <w:p w14:paraId="6DCD3B8E" w14:textId="3E3FD50E" w:rsidR="00464959" w:rsidRPr="00464959" w:rsidRDefault="00464959">
      <w:pPr>
        <w:pStyle w:val="FootnoteText"/>
        <w:rPr>
          <w:lang w:val="en-IE"/>
        </w:rPr>
      </w:pPr>
      <w:r>
        <w:t>(</w:t>
      </w:r>
      <w:r>
        <w:rPr>
          <w:rStyle w:val="FootnoteReference"/>
        </w:rPr>
        <w:footnoteRef/>
      </w:r>
      <w:r>
        <w:t>)</w:t>
      </w:r>
      <w:r>
        <w:tab/>
      </w:r>
      <w:r w:rsidR="0058056C">
        <w:rPr>
          <w:rFonts w:ascii="EC Square Sans Pro" w:hAnsi="EC Square Sans Pro"/>
        </w:rPr>
        <w:t>European Commission, ‘</w:t>
      </w:r>
      <w:r w:rsidR="00AE5C78" w:rsidRPr="00AE5C78">
        <w:rPr>
          <w:rFonts w:ascii="EC Square Sans Pro" w:hAnsi="EC Square Sans Pro"/>
          <w:lang w:val="en-IE"/>
        </w:rPr>
        <w:t>Europe leads pledging effort in campaign mobilising €15.5 billion for clean energy in Africa</w:t>
      </w:r>
      <w:r w:rsidR="0058056C" w:rsidRPr="00E0372D">
        <w:rPr>
          <w:rFonts w:ascii="EC Square Sans Pro" w:hAnsi="EC Square Sans Pro"/>
        </w:rPr>
        <w:t>’, press release, 2</w:t>
      </w:r>
      <w:r w:rsidR="00A04702">
        <w:rPr>
          <w:rFonts w:ascii="EC Square Sans Pro" w:hAnsi="EC Square Sans Pro"/>
        </w:rPr>
        <w:t>1</w:t>
      </w:r>
      <w:r w:rsidR="0058056C" w:rsidRPr="00330B6F">
        <w:rPr>
          <w:rFonts w:ascii="Calibri" w:hAnsi="Calibri" w:cs="Calibri"/>
        </w:rPr>
        <w:t> </w:t>
      </w:r>
      <w:r w:rsidR="00A04702">
        <w:rPr>
          <w:rFonts w:ascii="EC Square Sans Pro" w:hAnsi="EC Square Sans Pro"/>
        </w:rPr>
        <w:t>November</w:t>
      </w:r>
      <w:r w:rsidR="0058056C" w:rsidRPr="00E0372D">
        <w:rPr>
          <w:rFonts w:ascii="EC Square Sans Pro" w:hAnsi="EC Square Sans Pro"/>
        </w:rPr>
        <w:t xml:space="preserve"> 2025</w:t>
      </w:r>
      <w:r w:rsidR="0058056C">
        <w:rPr>
          <w:rFonts w:ascii="Calibri" w:hAnsi="Calibri" w:cs="Calibri"/>
        </w:rPr>
        <w:t>,</w:t>
      </w:r>
      <w:r w:rsidR="00460477">
        <w:t xml:space="preserve"> </w:t>
      </w:r>
      <w:hyperlink r:id="rId49" w:history="1">
        <w:r w:rsidR="00460477" w:rsidRPr="00057216">
          <w:rPr>
            <w:rStyle w:val="Hyperlink"/>
          </w:rPr>
          <w:t>https://ec.europa.eu/commission/presscorner/detail/en/ip_25_2781</w:t>
        </w:r>
      </w:hyperlink>
      <w:r w:rsidR="0058056C">
        <w:t>.</w:t>
      </w:r>
    </w:p>
  </w:footnote>
  <w:footnote w:id="59">
    <w:p w14:paraId="296E5D34" w14:textId="5B8836B3" w:rsidR="001365E4" w:rsidRPr="00D1435C" w:rsidRDefault="001365E4">
      <w:pPr>
        <w:pStyle w:val="FootnoteText"/>
        <w:rPr>
          <w:lang w:val="en-IE"/>
        </w:rPr>
      </w:pPr>
      <w:r>
        <w:t>(</w:t>
      </w:r>
      <w:r>
        <w:rPr>
          <w:rStyle w:val="FootnoteReference"/>
        </w:rPr>
        <w:footnoteRef/>
      </w:r>
      <w:r>
        <w:t>)</w:t>
      </w:r>
      <w:r>
        <w:tab/>
      </w:r>
      <w:r w:rsidR="00A320B9" w:rsidRPr="00940018">
        <w:t>European Commission</w:t>
      </w:r>
      <w:r w:rsidR="007774F2">
        <w:t xml:space="preserve">: </w:t>
      </w:r>
      <w:r w:rsidR="007774F2" w:rsidRPr="00CA7686">
        <w:t>Directorate-General for International Partnerships</w:t>
      </w:r>
      <w:r w:rsidR="007774F2">
        <w:t xml:space="preserve"> (</w:t>
      </w:r>
      <w:r w:rsidR="00A02E7A">
        <w:t>n</w:t>
      </w:r>
      <w:r w:rsidR="007774F2">
        <w:t>.</w:t>
      </w:r>
      <w:r w:rsidR="00A02E7A">
        <w:t>d</w:t>
      </w:r>
      <w:r w:rsidR="007774F2">
        <w:t>.)</w:t>
      </w:r>
      <w:r w:rsidR="00A320B9">
        <w:t>,</w:t>
      </w:r>
      <w:r w:rsidR="005C5249">
        <w:t xml:space="preserve"> ‘</w:t>
      </w:r>
      <w:r w:rsidR="005C5249" w:rsidRPr="005C5249">
        <w:t>African Local Currency Bond Fund</w:t>
      </w:r>
      <w:r w:rsidR="00C8707B">
        <w:t xml:space="preserve">’, </w:t>
      </w:r>
      <w:hyperlink r:id="rId50" w:history="1">
        <w:r w:rsidR="006F234D" w:rsidRPr="00F41C11">
          <w:rPr>
            <w:rStyle w:val="Hyperlink"/>
          </w:rPr>
          <w:t>https://international-partnerships.ec.europa.eu/funding-and-technical-assistance/funding-instruments/european-fund-sustainable-development-plus/african-local-currency-bond-fund_en</w:t>
        </w:r>
      </w:hyperlink>
      <w:r w:rsidR="006F234D">
        <w:t xml:space="preserve"> </w:t>
      </w:r>
    </w:p>
  </w:footnote>
  <w:footnote w:id="60">
    <w:p w14:paraId="12DC3AA4" w14:textId="053945E4" w:rsidR="006F234D" w:rsidRPr="00D1435C" w:rsidRDefault="006F234D">
      <w:pPr>
        <w:pStyle w:val="FootnoteText"/>
        <w:rPr>
          <w:lang w:val="en-IE"/>
        </w:rPr>
      </w:pPr>
      <w:r>
        <w:t>(</w:t>
      </w:r>
      <w:r>
        <w:rPr>
          <w:rStyle w:val="FootnoteReference"/>
        </w:rPr>
        <w:footnoteRef/>
      </w:r>
      <w:r>
        <w:t>)</w:t>
      </w:r>
      <w:r>
        <w:tab/>
      </w:r>
      <w:r w:rsidR="00A320B9" w:rsidRPr="00940018">
        <w:t>European Commission</w:t>
      </w:r>
      <w:r w:rsidR="00CA7686">
        <w:t xml:space="preserve">: </w:t>
      </w:r>
      <w:r w:rsidR="00CA7686" w:rsidRPr="00CA7686">
        <w:t>Directorate-General for International Partnerships</w:t>
      </w:r>
      <w:r w:rsidR="009136E6">
        <w:t xml:space="preserve"> (</w:t>
      </w:r>
      <w:r w:rsidR="00A02E7A">
        <w:t>n</w:t>
      </w:r>
      <w:r w:rsidR="009136E6">
        <w:t>.</w:t>
      </w:r>
      <w:r w:rsidR="00A02E7A">
        <w:t>d</w:t>
      </w:r>
      <w:r w:rsidR="009136E6">
        <w:t>.)</w:t>
      </w:r>
      <w:r w:rsidR="00A320B9">
        <w:t>,</w:t>
      </w:r>
      <w:r w:rsidR="0018783F">
        <w:t xml:space="preserve"> ‘</w:t>
      </w:r>
      <w:r w:rsidR="0018783F" w:rsidRPr="0018783F">
        <w:t>Accelerate the Energy Transition</w:t>
      </w:r>
      <w:r w:rsidR="004913EC">
        <w:rPr>
          <w:rFonts w:ascii="Calibri" w:hAnsi="Calibri" w:cs="Calibri"/>
        </w:rPr>
        <w:t> –</w:t>
      </w:r>
      <w:r w:rsidR="0018783F" w:rsidRPr="0018783F">
        <w:t xml:space="preserve"> AccelerET</w:t>
      </w:r>
      <w:r w:rsidR="004913EC">
        <w:t xml:space="preserve">’, </w:t>
      </w:r>
      <w:hyperlink r:id="rId51" w:history="1">
        <w:r w:rsidRPr="00F41C11">
          <w:rPr>
            <w:rStyle w:val="Hyperlink"/>
          </w:rPr>
          <w:t>https://international-partnerships.ec.europa.eu/funding-and-technical-assistance/funding-instruments/european-fund-sustainable-development-plus/accelerate-energy-transition-acceleret_en</w:t>
        </w:r>
      </w:hyperlink>
      <w:r>
        <w:t xml:space="preserve"> </w:t>
      </w:r>
    </w:p>
  </w:footnote>
  <w:footnote w:id="61">
    <w:p w14:paraId="4039699F" w14:textId="1C1EED67" w:rsidR="00553741" w:rsidRPr="00D1435C" w:rsidRDefault="00553741">
      <w:pPr>
        <w:pStyle w:val="FootnoteText"/>
        <w:rPr>
          <w:lang w:val="en-IE"/>
        </w:rPr>
      </w:pPr>
      <w:r>
        <w:t>(</w:t>
      </w:r>
      <w:r>
        <w:rPr>
          <w:rStyle w:val="FootnoteReference"/>
        </w:rPr>
        <w:footnoteRef/>
      </w:r>
      <w:r>
        <w:t>)</w:t>
      </w:r>
      <w:r>
        <w:tab/>
      </w:r>
      <w:r w:rsidR="00AA3DA9">
        <w:t>European Commission</w:t>
      </w:r>
      <w:r w:rsidR="00A02E7A">
        <w:t xml:space="preserve">: </w:t>
      </w:r>
      <w:r w:rsidR="00A02E7A" w:rsidRPr="00CA7686">
        <w:t>Directorate-General for International Partnerships</w:t>
      </w:r>
      <w:r w:rsidR="00A02E7A">
        <w:t xml:space="preserve"> (n.d.)</w:t>
      </w:r>
      <w:r w:rsidR="00AA3DA9">
        <w:t>,</w:t>
      </w:r>
      <w:r w:rsidR="00217B18">
        <w:t xml:space="preserve"> ‘</w:t>
      </w:r>
      <w:r w:rsidR="00217B18" w:rsidRPr="00217B18">
        <w:t>Access to Finance</w:t>
      </w:r>
      <w:r w:rsidR="00A02E7A">
        <w:t xml:space="preserve">’, </w:t>
      </w:r>
      <w:hyperlink r:id="rId52" w:history="1">
        <w:r w:rsidR="00B52F66" w:rsidRPr="00B52F66">
          <w:rPr>
            <w:rStyle w:val="Hyperlink"/>
          </w:rPr>
          <w:t>https://international-partnerships.ec.europa.eu/funding-and-technical-assistance/funding-instruments/european-fund-sustainable-development-plus/access-finance_en</w:t>
        </w:r>
      </w:hyperlink>
      <w:r>
        <w:t xml:space="preserve"> </w:t>
      </w:r>
    </w:p>
  </w:footnote>
  <w:footnote w:id="62">
    <w:p w14:paraId="5EC8F2DF" w14:textId="553CF346" w:rsidR="00767F93" w:rsidRPr="00767F93" w:rsidRDefault="00767F93">
      <w:pPr>
        <w:pStyle w:val="FootnoteText"/>
        <w:rPr>
          <w:lang w:val="en-US"/>
        </w:rPr>
      </w:pPr>
      <w:r>
        <w:t>(</w:t>
      </w:r>
      <w:r>
        <w:rPr>
          <w:rStyle w:val="FootnoteReference"/>
        </w:rPr>
        <w:footnoteRef/>
      </w:r>
      <w:r>
        <w:t>)</w:t>
      </w:r>
      <w:r>
        <w:tab/>
      </w:r>
      <w:r w:rsidR="00A135A6" w:rsidRPr="00A135A6">
        <w:t>The designation of Palestine shall not be construed as recognition of a State of Palestine and is without prejudice to the individual positions of the Member States on this issue</w:t>
      </w:r>
      <w:r w:rsidR="00A135A6">
        <w:t>.</w:t>
      </w:r>
    </w:p>
  </w:footnote>
  <w:footnote w:id="63">
    <w:p w14:paraId="1D9E5D10" w14:textId="609A0C52" w:rsidR="0052060F" w:rsidRPr="00A07EB1" w:rsidRDefault="0052060F" w:rsidP="0052060F">
      <w:pPr>
        <w:pStyle w:val="FootnoteText"/>
        <w:rPr>
          <w:rFonts w:ascii="EC Square Sans Pro" w:hAnsi="EC Square Sans Pro"/>
        </w:rPr>
      </w:pPr>
      <w:r w:rsidRPr="00A07EB1">
        <w:rPr>
          <w:rFonts w:ascii="EC Square Sans Pro" w:hAnsi="EC Square Sans Pro"/>
        </w:rPr>
        <w:t>(</w:t>
      </w:r>
      <w:r w:rsidRPr="00AA5A4D">
        <w:rPr>
          <w:rStyle w:val="FootnoteReference"/>
        </w:rPr>
        <w:footnoteRef/>
      </w:r>
      <w:r w:rsidRPr="00A07EB1">
        <w:rPr>
          <w:rFonts w:ascii="EC Square Sans Pro" w:hAnsi="EC Square Sans Pro"/>
        </w:rPr>
        <w:t>)</w:t>
      </w:r>
      <w:r>
        <w:rPr>
          <w:rFonts w:ascii="EC Square Sans Pro" w:hAnsi="EC Square Sans Pro"/>
        </w:rPr>
        <w:tab/>
      </w:r>
      <w:r w:rsidR="001173D1" w:rsidRPr="00940018">
        <w:t>European Commission: Directorate-General for Communication, ‘</w:t>
      </w:r>
      <w:r w:rsidR="00EE3F14" w:rsidRPr="00EE3F14">
        <w:t>Speech by President von der Leyen at the European Parliament plenary debate on the new 2028-2034 Multiannual Financial Framework: architecture and governance</w:t>
      </w:r>
      <w:r w:rsidR="00EE3F14">
        <w:t>’</w:t>
      </w:r>
      <w:r w:rsidR="00B11701">
        <w:t>,</w:t>
      </w:r>
      <w:r w:rsidR="001173D1" w:rsidRPr="00940018">
        <w:t xml:space="preserve"> </w:t>
      </w:r>
      <w:r w:rsidR="0088392A">
        <w:t xml:space="preserve">news article, </w:t>
      </w:r>
      <w:r w:rsidR="00EE3F14">
        <w:t>12</w:t>
      </w:r>
      <w:r w:rsidR="0048321F">
        <w:rPr>
          <w:rFonts w:ascii="Calibri" w:hAnsi="Calibri" w:cs="Calibri"/>
        </w:rPr>
        <w:t> </w:t>
      </w:r>
      <w:r w:rsidR="00EE3F14">
        <w:t>November</w:t>
      </w:r>
      <w:r w:rsidR="001173D1" w:rsidRPr="00940018">
        <w:t xml:space="preserve"> 2025, </w:t>
      </w:r>
      <w:hyperlink r:id="rId53" w:history="1">
        <w:r w:rsidR="00C654FC" w:rsidRPr="00721A75">
          <w:rPr>
            <w:rStyle w:val="Hyperlink"/>
          </w:rPr>
          <w:t>https://ec.europa.eu/commission/presscorner/detail/en/speech_25_2673</w:t>
        </w:r>
      </w:hyperlink>
      <w:r w:rsidR="0048321F">
        <w:t>.</w:t>
      </w:r>
    </w:p>
  </w:footnote>
  <w:footnote w:id="64">
    <w:p w14:paraId="0E063F5C" w14:textId="5E2C05CC" w:rsidR="000D7D9F" w:rsidRPr="00252314" w:rsidRDefault="000D7D9F" w:rsidP="00AA5A4D">
      <w:pPr>
        <w:pStyle w:val="FootnoteText"/>
        <w:rPr>
          <w:lang w:val="en-IE"/>
        </w:rPr>
      </w:pPr>
      <w:r>
        <w:t>(</w:t>
      </w:r>
      <w:r w:rsidRPr="00AA5A4D">
        <w:rPr>
          <w:rStyle w:val="FootnoteReference"/>
        </w:rPr>
        <w:footnoteRef/>
      </w:r>
      <w:r>
        <w:t>)</w:t>
      </w:r>
      <w:r w:rsidR="00AA5A4D">
        <w:tab/>
      </w:r>
      <w:r w:rsidRPr="009B2965">
        <w:t>Interinstitutional Agreement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 Interinstitutional Agreement of 16</w:t>
      </w:r>
      <w:r w:rsidR="0048321F">
        <w:rPr>
          <w:rFonts w:ascii="Calibri" w:hAnsi="Calibri" w:cs="Calibri"/>
        </w:rPr>
        <w:t> </w:t>
      </w:r>
      <w:r w:rsidRPr="009B2965">
        <w:t>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sidR="00473D0A">
        <w:t>,</w:t>
      </w:r>
      <w:r>
        <w:t xml:space="preserve"> </w:t>
      </w:r>
      <w:r w:rsidR="0018546D">
        <w:t>(</w:t>
      </w:r>
      <w:r w:rsidRPr="009B2965">
        <w:t>OJ</w:t>
      </w:r>
      <w:r>
        <w:rPr>
          <w:rFonts w:ascii="Calibri" w:hAnsi="Calibri" w:cs="Calibri"/>
        </w:rPr>
        <w:t> </w:t>
      </w:r>
      <w:r w:rsidRPr="009B2965">
        <w:t>L 433I, 22.12.2020,</w:t>
      </w:r>
      <w:r>
        <w:t xml:space="preserve"> </w:t>
      </w:r>
      <w:r w:rsidRPr="009B2965">
        <w:t>ELI:</w:t>
      </w:r>
      <w:r w:rsidRPr="009B2965">
        <w:rPr>
          <w:rFonts w:ascii="Calibri" w:hAnsi="Calibri" w:cs="Calibri"/>
        </w:rPr>
        <w:t> </w:t>
      </w:r>
      <w:hyperlink r:id="rId54" w:tooltip="Gives access to this document through its ELI URI." w:history="1">
        <w:r w:rsidRPr="009B2965">
          <w:rPr>
            <w:rStyle w:val="Hyperlink"/>
          </w:rPr>
          <w:t>http://data.europa.eu/eli/agree_interinstit/2020/1222/oj</w:t>
        </w:r>
      </w:hyperlink>
      <w:r w:rsidR="0018546D">
        <w:rPr>
          <w:rFonts w:ascii="Calibri" w:hAnsi="Calibri" w:cs="Calibri"/>
        </w:rPr>
        <w:t>).</w:t>
      </w:r>
    </w:p>
  </w:footnote>
  <w:footnote w:id="65">
    <w:p w14:paraId="4CBEF4D5" w14:textId="22BB454E" w:rsidR="00A61F83" w:rsidRPr="0033351C" w:rsidRDefault="00A61F83">
      <w:pPr>
        <w:pStyle w:val="FootnoteText"/>
        <w:rPr>
          <w:lang w:val="en-IE"/>
        </w:rPr>
      </w:pPr>
      <w:r>
        <w:t>(</w:t>
      </w:r>
      <w:r>
        <w:rPr>
          <w:rStyle w:val="FootnoteReference"/>
        </w:rPr>
        <w:footnoteRef/>
      </w:r>
      <w:r>
        <w:t>)</w:t>
      </w:r>
      <w:r>
        <w:tab/>
      </w:r>
      <w:r w:rsidR="00BA3ADD">
        <w:t xml:space="preserve">Data on budget programming </w:t>
      </w:r>
      <w:r w:rsidR="008912E3">
        <w:t xml:space="preserve">for 2026 and 2027 presented in this report reflect information available </w:t>
      </w:r>
      <w:r w:rsidR="00F959B5">
        <w:t>as of 31 May 2026.</w:t>
      </w:r>
    </w:p>
  </w:footnote>
  <w:footnote w:id="66">
    <w:p w14:paraId="20B96B4A" w14:textId="09AB7A1B" w:rsidR="000D7D9F" w:rsidRPr="00A07EB1" w:rsidDel="006163F2" w:rsidRDefault="000D7D9F" w:rsidP="00AA5A4D">
      <w:pPr>
        <w:pStyle w:val="FootnoteText"/>
      </w:pPr>
      <w:r w:rsidRPr="00A07EB1" w:rsidDel="006163F2">
        <w:t>(</w:t>
      </w:r>
      <w:r w:rsidRPr="00AA5A4D" w:rsidDel="006163F2">
        <w:rPr>
          <w:rStyle w:val="FootnoteReference"/>
        </w:rPr>
        <w:footnoteRef/>
      </w:r>
      <w:r w:rsidRPr="00A07EB1" w:rsidDel="006163F2">
        <w:t>)</w:t>
      </w:r>
      <w:r w:rsidR="00AA5A4D">
        <w:tab/>
      </w:r>
      <w:r w:rsidRPr="00A07EB1" w:rsidDel="006163F2">
        <w:t xml:space="preserve">Aggregated data of core performance indicators reflecting estimated and expected impact from the EU budget programmes during the </w:t>
      </w:r>
      <w:r w:rsidRPr="00A07EB1">
        <w:t>2014</w:t>
      </w:r>
      <w:r w:rsidDel="006163F2">
        <w:t>-</w:t>
      </w:r>
      <w:r w:rsidRPr="00A07EB1" w:rsidDel="006163F2">
        <w:t>202</w:t>
      </w:r>
      <w:r w:rsidR="00BA6B79">
        <w:t>5</w:t>
      </w:r>
      <w:r w:rsidRPr="00EE3904" w:rsidDel="006163F2">
        <w:t xml:space="preserve"> </w:t>
      </w:r>
      <w:r w:rsidRPr="00A07EB1" w:rsidDel="006163F2">
        <w:t>period (contribution</w:t>
      </w:r>
      <w:r w:rsidDel="006163F2">
        <w:t>s</w:t>
      </w:r>
      <w:r w:rsidRPr="00A07EB1" w:rsidDel="006163F2">
        <w:t xml:space="preserve"> from </w:t>
      </w:r>
      <w:r w:rsidDel="006163F2">
        <w:t xml:space="preserve">the </w:t>
      </w:r>
      <w:r>
        <w:t>r</w:t>
      </w:r>
      <w:r w:rsidRPr="00A07EB1">
        <w:t>egional</w:t>
      </w:r>
      <w:r w:rsidRPr="00A07EB1" w:rsidDel="006163F2">
        <w:t xml:space="preserve"> policy, </w:t>
      </w:r>
      <w:r w:rsidDel="006163F2">
        <w:t xml:space="preserve">the </w:t>
      </w:r>
      <w:r w:rsidRPr="00A07EB1" w:rsidDel="006163F2">
        <w:t xml:space="preserve">LIFE programme, </w:t>
      </w:r>
      <w:r w:rsidDel="006163F2">
        <w:t xml:space="preserve">the </w:t>
      </w:r>
      <w:r w:rsidRPr="00A07EB1" w:rsidDel="006163F2">
        <w:t xml:space="preserve">InvestEU programme, </w:t>
      </w:r>
      <w:r w:rsidDel="006163F2">
        <w:t xml:space="preserve">the </w:t>
      </w:r>
      <w:r w:rsidRPr="00A07EB1" w:rsidDel="006163F2">
        <w:t xml:space="preserve">Innovation </w:t>
      </w:r>
      <w:r>
        <w:t>F</w:t>
      </w:r>
      <w:r w:rsidRPr="00A07EB1">
        <w:t>und</w:t>
      </w:r>
      <w:r w:rsidR="00AB6025">
        <w:t>, the Just Transition Mechanism</w:t>
      </w:r>
      <w:r w:rsidRPr="00A07EB1" w:rsidDel="006163F2">
        <w:t xml:space="preserve"> and the Recovery and Resilience Facility</w:t>
      </w:r>
      <w:r w:rsidRPr="00A07EB1">
        <w:t>).</w:t>
      </w:r>
    </w:p>
  </w:footnote>
  <w:footnote w:id="67">
    <w:p w14:paraId="0455B893" w14:textId="4F560933" w:rsidR="000D7D9F" w:rsidRPr="00A07EB1" w:rsidRDefault="000D7D9F" w:rsidP="00AA5A4D">
      <w:pPr>
        <w:pStyle w:val="FootnoteText"/>
        <w:rPr>
          <w:highlight w:val="lightGray"/>
        </w:rPr>
      </w:pPr>
      <w:r w:rsidRPr="00A07EB1">
        <w:t>(</w:t>
      </w:r>
      <w:r w:rsidRPr="00AA5A4D">
        <w:rPr>
          <w:rStyle w:val="FootnoteReference"/>
        </w:rPr>
        <w:footnoteRef/>
      </w:r>
      <w:r w:rsidRPr="00A07EB1">
        <w:t>)</w:t>
      </w:r>
      <w:r w:rsidR="00AA5A4D">
        <w:tab/>
      </w:r>
      <w:r w:rsidRPr="00A07EB1">
        <w:t>Taxonomy alignment is not a prerequisite for funding.</w:t>
      </w:r>
    </w:p>
  </w:footnote>
  <w:footnote w:id="68">
    <w:p w14:paraId="2D7C2BF2" w14:textId="4A0B8C2F" w:rsidR="00CA1D39" w:rsidRPr="00A3129E" w:rsidRDefault="00CA1D39" w:rsidP="00CA1D39">
      <w:pPr>
        <w:pStyle w:val="FootnoteText"/>
        <w:rPr>
          <w:lang w:val="en-IE"/>
        </w:rPr>
      </w:pPr>
      <w:r>
        <w:t>(</w:t>
      </w:r>
      <w:r>
        <w:rPr>
          <w:rStyle w:val="FootnoteReference"/>
        </w:rPr>
        <w:footnoteRef/>
      </w:r>
      <w:r>
        <w:t>)</w:t>
      </w:r>
      <w:r>
        <w:tab/>
      </w:r>
      <w:r w:rsidR="00E41084" w:rsidRPr="003F2C12">
        <w:t>Commission staff working document</w:t>
      </w:r>
      <w:r w:rsidR="00E41084" w:rsidRPr="003F2C12">
        <w:rPr>
          <w:rFonts w:ascii="Calibri" w:hAnsi="Calibri" w:cs="Calibri"/>
        </w:rPr>
        <w:t> </w:t>
      </w:r>
      <w:r w:rsidR="00E41084" w:rsidRPr="003F2C12">
        <w:t>– Impact assessment report accompanying the document Proposal for a Regulation of the European Parliament and of the Council establishing a budget expenditure tracking and performance framework and other horizontal rules for the Union programmes and activities, SWD(2025)</w:t>
      </w:r>
      <w:r w:rsidR="00E41084" w:rsidRPr="003F2C12">
        <w:rPr>
          <w:rFonts w:ascii="Calibri" w:hAnsi="Calibri" w:cs="Calibri"/>
        </w:rPr>
        <w:t> </w:t>
      </w:r>
      <w:r w:rsidR="00E41084" w:rsidRPr="003F2C12">
        <w:t>590 final of 16</w:t>
      </w:r>
      <w:r w:rsidR="00E41084" w:rsidRPr="003F2C12">
        <w:rPr>
          <w:rFonts w:ascii="Calibri" w:hAnsi="Calibri" w:cs="Calibri"/>
        </w:rPr>
        <w:t> </w:t>
      </w:r>
      <w:r w:rsidR="00E41084" w:rsidRPr="003F2C12">
        <w:t>July 2025,</w:t>
      </w:r>
      <w:r w:rsidR="001F7884">
        <w:t xml:space="preserve"> </w:t>
      </w:r>
      <w:hyperlink r:id="rId55" w:history="1">
        <w:r w:rsidR="001F7884" w:rsidRPr="003E40FD">
          <w:rPr>
            <w:rStyle w:val="Hyperlink"/>
          </w:rPr>
          <w:t>https://eur-lex.europa.eu/legal-content/EN/TXT/PDF/?uri=CELEX:52025SC0590</w:t>
        </w:r>
      </w:hyperlink>
      <w:r w:rsidR="0016704C">
        <w:t>.</w:t>
      </w:r>
    </w:p>
  </w:footnote>
  <w:footnote w:id="69">
    <w:p w14:paraId="616778AB" w14:textId="4714F8EE" w:rsidR="00F033E7" w:rsidRPr="0087125F" w:rsidRDefault="00F033E7">
      <w:pPr>
        <w:pStyle w:val="FootnoteText"/>
        <w:rPr>
          <w:lang w:val="en-IE"/>
        </w:rPr>
      </w:pPr>
      <w:r>
        <w:t>(</w:t>
      </w:r>
      <w:r>
        <w:rPr>
          <w:rStyle w:val="FootnoteReference"/>
        </w:rPr>
        <w:footnoteRef/>
      </w:r>
      <w:r>
        <w:t>)</w:t>
      </w:r>
      <w:r>
        <w:tab/>
      </w:r>
      <w:r w:rsidR="001613F4">
        <w:t>European Court of Auditors,</w:t>
      </w:r>
      <w:r w:rsidR="00EC2BC4">
        <w:t xml:space="preserve"> </w:t>
      </w:r>
      <w:r w:rsidR="00A362A9" w:rsidRPr="0055163D">
        <w:rPr>
          <w:i/>
          <w:iCs/>
        </w:rPr>
        <w:t xml:space="preserve">Gender </w:t>
      </w:r>
      <w:r w:rsidR="001B25D5">
        <w:rPr>
          <w:i/>
          <w:iCs/>
        </w:rPr>
        <w:t>M</w:t>
      </w:r>
      <w:r w:rsidR="00A362A9" w:rsidRPr="0055163D">
        <w:rPr>
          <w:i/>
          <w:iCs/>
        </w:rPr>
        <w:t xml:space="preserve">ainstreaming in the EU </w:t>
      </w:r>
      <w:r w:rsidR="001B25D5">
        <w:rPr>
          <w:i/>
          <w:iCs/>
        </w:rPr>
        <w:t>b</w:t>
      </w:r>
      <w:r w:rsidR="00A362A9" w:rsidRPr="0055163D">
        <w:rPr>
          <w:i/>
          <w:iCs/>
        </w:rPr>
        <w:t xml:space="preserve">udget: </w:t>
      </w:r>
      <w:r w:rsidR="001B25D5">
        <w:rPr>
          <w:i/>
          <w:iCs/>
        </w:rPr>
        <w:t>T</w:t>
      </w:r>
      <w:r w:rsidR="00A362A9" w:rsidRPr="0055163D">
        <w:rPr>
          <w:i/>
          <w:iCs/>
        </w:rPr>
        <w:t>ime to turn words into action</w:t>
      </w:r>
      <w:r w:rsidR="00A362A9">
        <w:t xml:space="preserve">, </w:t>
      </w:r>
      <w:r w:rsidR="00AA6C7E">
        <w:t>Publications Office of the European Union, Luxembourg</w:t>
      </w:r>
      <w:r w:rsidR="000777E4">
        <w:t>,</w:t>
      </w:r>
      <w:r w:rsidR="0000414D">
        <w:t xml:space="preserve"> 2021,</w:t>
      </w:r>
      <w:r w:rsidR="000777E4">
        <w:t xml:space="preserve"> </w:t>
      </w:r>
      <w:hyperlink r:id="rId56" w:history="1">
        <w:r w:rsidR="000777E4" w:rsidRPr="000777E4">
          <w:rPr>
            <w:rStyle w:val="Hyperlink"/>
          </w:rPr>
          <w:t>https://www.eca.europa.eu/lists/ecadocuments/sr21_10/sr_gender_mainstreaming_en.pdf</w:t>
        </w:r>
      </w:hyperlink>
      <w:r w:rsidR="00EC2BC4">
        <w:t>.</w:t>
      </w:r>
    </w:p>
  </w:footnote>
  <w:footnote w:id="70">
    <w:p w14:paraId="05090169" w14:textId="77777777" w:rsidR="00B229B3" w:rsidRPr="00A07EB1" w:rsidRDefault="00B229B3" w:rsidP="00B229B3">
      <w:pPr>
        <w:pStyle w:val="FootnoteText"/>
      </w:pPr>
      <w:r w:rsidRPr="00A07EB1">
        <w:t>(</w:t>
      </w:r>
      <w:r w:rsidRPr="00AA5A4D">
        <w:rPr>
          <w:rStyle w:val="FootnoteReference"/>
        </w:rPr>
        <w:footnoteRef/>
      </w:r>
      <w:r w:rsidRPr="00A07EB1">
        <w:t>)</w:t>
      </w:r>
      <w:r>
        <w:tab/>
      </w:r>
      <w:r w:rsidRPr="00A07EB1">
        <w:t xml:space="preserve">Number of beneficiaries by age and sex reached by humanitarian aid operations available in </w:t>
      </w:r>
      <w:r w:rsidRPr="00A07EB1" w:rsidDel="00EF59C8">
        <w:t xml:space="preserve">EVA </w:t>
      </w:r>
      <w:r>
        <w:t>a</w:t>
      </w:r>
      <w:r w:rsidRPr="00A07EB1">
        <w:t>ctions</w:t>
      </w:r>
      <w:r w:rsidRPr="00A07EB1" w:rsidDel="00EF59C8">
        <w:t xml:space="preserve"> </w:t>
      </w:r>
      <w:r>
        <w:t>o</w:t>
      </w:r>
      <w:r w:rsidRPr="00A07EB1">
        <w:t xml:space="preserve">perational </w:t>
      </w:r>
      <w:r>
        <w:t>d</w:t>
      </w:r>
      <w:r w:rsidRPr="00A07EB1">
        <w:t xml:space="preserve">ata (such data reflect information </w:t>
      </w:r>
      <w:r w:rsidRPr="006D5317">
        <w:t xml:space="preserve">encoded in Fiche </w:t>
      </w:r>
      <w:r w:rsidRPr="00286419">
        <w:t>Opérationnelle</w:t>
      </w:r>
      <w:r w:rsidRPr="006D5317">
        <w:t xml:space="preserve"> and in </w:t>
      </w:r>
      <w:r w:rsidRPr="00286419">
        <w:t>the</w:t>
      </w:r>
      <w:r w:rsidRPr="006D5317">
        <w:t xml:space="preserve"> European Hospital and Healthcare Federation).</w:t>
      </w:r>
    </w:p>
  </w:footnote>
  <w:footnote w:id="71">
    <w:p w14:paraId="743ECFD8" w14:textId="6C00D678" w:rsidR="00FB76D6" w:rsidRPr="008072FE" w:rsidRDefault="00FB76D6">
      <w:pPr>
        <w:pStyle w:val="FootnoteText"/>
        <w:rPr>
          <w:lang w:val="en-IE"/>
        </w:rPr>
      </w:pPr>
      <w:r>
        <w:t>(</w:t>
      </w:r>
      <w:r>
        <w:rPr>
          <w:rStyle w:val="FootnoteReference"/>
        </w:rPr>
        <w:footnoteRef/>
      </w:r>
      <w:r>
        <w:t>)</w:t>
      </w:r>
      <w:r>
        <w:tab/>
      </w:r>
      <w:r w:rsidR="00AF569C" w:rsidRPr="00AF569C">
        <w:t>The Game Awards, The Indie Game Awards, Tribeca Games, Game Developers Choice Awards, IGF, DEVGAMM, A Maze, Swedish Game Awards, Golden Joystick Awards, TIGA Awards, Venice Immersive, VR Awards</w:t>
      </w:r>
      <w:r w:rsidR="00944206">
        <w:t>.</w:t>
      </w:r>
    </w:p>
  </w:footnote>
  <w:footnote w:id="72">
    <w:p w14:paraId="4576203E" w14:textId="5FC66B9B" w:rsidR="000D7D9F" w:rsidRPr="00A07EB1" w:rsidRDefault="000D7D9F" w:rsidP="00AA5A4D">
      <w:pPr>
        <w:pStyle w:val="FootnoteText"/>
        <w:rPr>
          <w:highlight w:val="lightGray"/>
        </w:rPr>
      </w:pPr>
      <w:r w:rsidRPr="00A07EB1">
        <w:t>(</w:t>
      </w:r>
      <w:r w:rsidRPr="00AA5A4D">
        <w:rPr>
          <w:rStyle w:val="FootnoteReference"/>
        </w:rPr>
        <w:footnoteRef/>
      </w:r>
      <w:r w:rsidRPr="00A07EB1">
        <w:t>)</w:t>
      </w:r>
      <w:r w:rsidR="00AA5A4D">
        <w:tab/>
      </w:r>
      <w:r w:rsidRPr="00A07EB1">
        <w:t>Given that a fully</w:t>
      </w:r>
      <w:r>
        <w:t>-</w:t>
      </w:r>
      <w:r w:rsidRPr="00A07EB1">
        <w:t>fledged tracking methodology for the digital contributions of the EU budget has not yet been established, any aggregation of the contributions of individual programmes at this stage should be interpreted with caution. This is because the methodologies employed by individual spending programmes may not be strictly comparable. Despite this, such aggregation can still provide a general estimate of the total digital contribution from the EU budget.</w:t>
      </w:r>
      <w:r w:rsidR="00C00C57">
        <w:t xml:space="preserve"> </w:t>
      </w:r>
      <w:r w:rsidR="004A73A1">
        <w:t>Almost 70</w:t>
      </w:r>
      <w:r w:rsidR="00C00C57" w:rsidRPr="00C00C57">
        <w:t>% of the reported digital expenditure this year could be attributed to the four categories of the digital compass</w:t>
      </w:r>
      <w:r w:rsidR="00B10147">
        <w:t>.</w:t>
      </w:r>
    </w:p>
  </w:footnote>
  <w:footnote w:id="73">
    <w:p w14:paraId="5FBFCB1B" w14:textId="091B2BE4" w:rsidR="000D7D9F" w:rsidRPr="00D84AED" w:rsidRDefault="000D7D9F" w:rsidP="00004897">
      <w:pPr>
        <w:pStyle w:val="FootnoteText"/>
      </w:pPr>
      <w:r w:rsidRPr="00A07EB1">
        <w:t>(</w:t>
      </w:r>
      <w:r w:rsidRPr="00AA5A4D">
        <w:rPr>
          <w:rStyle w:val="FootnoteReference"/>
        </w:rPr>
        <w:footnoteRef/>
      </w:r>
      <w:r w:rsidRPr="00A07EB1">
        <w:t>)</w:t>
      </w:r>
      <w:r w:rsidR="00AA5A4D">
        <w:tab/>
      </w:r>
      <w:r w:rsidR="00CD106B" w:rsidRPr="00CD106B">
        <w:t>European Commission: Eurostat,</w:t>
      </w:r>
      <w:r w:rsidR="00F91031">
        <w:rPr>
          <w:rFonts w:ascii="Calibri" w:hAnsi="Calibri" w:cs="Calibri"/>
        </w:rPr>
        <w:t xml:space="preserve"> </w:t>
      </w:r>
      <w:r w:rsidR="00CD106B" w:rsidRPr="00CD106B">
        <w:rPr>
          <w:i/>
          <w:iCs/>
        </w:rPr>
        <w:t>Sustainable development in the European Union</w:t>
      </w:r>
      <w:r w:rsidR="00F91031">
        <w:rPr>
          <w:rFonts w:ascii="Calibri" w:hAnsi="Calibri" w:cs="Calibri"/>
          <w:i/>
          <w:iCs/>
        </w:rPr>
        <w:t> </w:t>
      </w:r>
      <w:r w:rsidR="00CD106B" w:rsidRPr="00CD106B">
        <w:rPr>
          <w:i/>
          <w:iCs/>
        </w:rPr>
        <w:t>– Overview of progress towards the SDGs in an EU context</w:t>
      </w:r>
      <w:r w:rsidR="00F7072C">
        <w:rPr>
          <w:rFonts w:ascii="Calibri" w:hAnsi="Calibri" w:cs="Calibri"/>
          <w:i/>
          <w:iCs/>
        </w:rPr>
        <w:t> </w:t>
      </w:r>
      <w:r w:rsidR="00CD106B" w:rsidRPr="00CD106B">
        <w:rPr>
          <w:i/>
          <w:iCs/>
        </w:rPr>
        <w:t>– 202</w:t>
      </w:r>
      <w:r w:rsidR="009F66A2">
        <w:rPr>
          <w:i/>
          <w:iCs/>
        </w:rPr>
        <w:t>6</w:t>
      </w:r>
      <w:r w:rsidR="00CD106B" w:rsidRPr="00CD106B">
        <w:rPr>
          <w:i/>
          <w:iCs/>
        </w:rPr>
        <w:t xml:space="preserve"> edition</w:t>
      </w:r>
      <w:r w:rsidR="00CD106B" w:rsidRPr="00CD106B">
        <w:t>, Publications Office of the European Union,</w:t>
      </w:r>
      <w:r w:rsidR="00B44774">
        <w:t xml:space="preserve"> </w:t>
      </w:r>
      <w:r w:rsidR="00CD106B">
        <w:t>2</w:t>
      </w:r>
      <w:r w:rsidR="00CD106B" w:rsidRPr="00CD106B">
        <w:t>02</w:t>
      </w:r>
      <w:r w:rsidR="00B55E73">
        <w:t>6</w:t>
      </w:r>
      <w:r w:rsidR="00CD106B" w:rsidRPr="00CD106B">
        <w:t>,</w:t>
      </w:r>
      <w:r w:rsidR="00513DFD">
        <w:t xml:space="preserve"> </w:t>
      </w:r>
      <w:hyperlink r:id="rId57" w:history="1">
        <w:r w:rsidR="003C757D" w:rsidRPr="003C757D">
          <w:rPr>
            <w:rStyle w:val="Hyperlink"/>
          </w:rPr>
          <w:t>https://data.europa.eu/doi/10.2785/9931334</w:t>
        </w:r>
      </w:hyperlink>
      <w:r w:rsidR="00F7072C">
        <w:t>;</w:t>
      </w:r>
      <w:r w:rsidR="00CD106B">
        <w:t xml:space="preserve"> </w:t>
      </w:r>
      <w:r w:rsidR="00D55833" w:rsidRPr="00D55833">
        <w:t xml:space="preserve"> </w:t>
      </w:r>
      <w:hyperlink r:id="rId58" w:history="1">
        <w:r w:rsidR="00D55833" w:rsidRPr="00443DDF">
          <w:rPr>
            <w:rStyle w:val="Hyperlink"/>
          </w:rPr>
          <w:t>https://ec.europa.eu/eurostat/product?code=KS-01-25-064</w:t>
        </w:r>
      </w:hyperlink>
      <w:r w:rsidR="00D5583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DA440" w14:textId="77777777" w:rsidR="00663854" w:rsidRPr="00663854" w:rsidRDefault="00663854" w:rsidP="0066385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3EEB0" w14:textId="77777777" w:rsidR="00663854" w:rsidRPr="00663854" w:rsidRDefault="00663854" w:rsidP="0066385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1CA87" w14:textId="77777777" w:rsidR="00663854" w:rsidRPr="00663854" w:rsidRDefault="00663854" w:rsidP="0066385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23CB0" w14:textId="77777777" w:rsidR="008C3E58" w:rsidRDefault="008C3E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FBE00" w14:textId="77777777" w:rsidR="000919A7" w:rsidRDefault="000919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3293" w14:textId="77777777" w:rsidR="000919A7" w:rsidRDefault="000919A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7484B" w14:textId="16B6E15E" w:rsidR="000D7D9F" w:rsidRPr="005C7FF5" w:rsidRDefault="005C7FF5" w:rsidP="005C7FF5">
    <w:pPr>
      <w:pStyle w:val="amprHeader-Right"/>
    </w:pPr>
    <w:r w:rsidRPr="002B3FD9">
      <w:rPr>
        <w:noProof/>
        <w:lang w:eastAsia="en-GB"/>
      </w:rPr>
      <mc:AlternateContent>
        <mc:Choice Requires="wps">
          <w:drawing>
            <wp:anchor distT="0" distB="0" distL="114300" distR="114300" simplePos="0" relativeHeight="251658245" behindDoc="0" locked="1" layoutInCell="1" allowOverlap="1" wp14:anchorId="14B84690" wp14:editId="7C77B064">
              <wp:simplePos x="0" y="0"/>
              <wp:positionH relativeFrom="page">
                <wp:align>left</wp:align>
              </wp:positionH>
              <wp:positionV relativeFrom="page">
                <wp:align>top</wp:align>
              </wp:positionV>
              <wp:extent cx="7621200" cy="212400"/>
              <wp:effectExtent l="0" t="0" r="0" b="0"/>
              <wp:wrapNone/>
              <wp:docPr id="327838281" name="Rectangle 32783828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6E10939" id="Rectangle 327838281" o:spid="_x0000_s1026" alt="&quot;&quot;" style="position:absolute;margin-left:0;margin-top:0;width:600.1pt;height:16.7pt;z-index:251658245;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D481C" w14:textId="77777777" w:rsidR="000D7D9F" w:rsidRPr="00AB241F" w:rsidRDefault="000D7D9F">
    <w:pPr>
      <w:pStyle w:val="amprHeader-Right"/>
    </w:pPr>
    <w:r w:rsidRPr="002B3FD9">
      <w:rPr>
        <w:noProof/>
        <w:lang w:eastAsia="en-GB"/>
      </w:rPr>
      <mc:AlternateContent>
        <mc:Choice Requires="wps">
          <w:drawing>
            <wp:anchor distT="0" distB="0" distL="114300" distR="114300" simplePos="0" relativeHeight="251658240" behindDoc="0" locked="1" layoutInCell="1" allowOverlap="1" wp14:anchorId="0BC8554D" wp14:editId="2872E3BE">
              <wp:simplePos x="0" y="0"/>
              <wp:positionH relativeFrom="page">
                <wp:align>left</wp:align>
              </wp:positionH>
              <wp:positionV relativeFrom="page">
                <wp:align>top</wp:align>
              </wp:positionV>
              <wp:extent cx="7621200" cy="212400"/>
              <wp:effectExtent l="0" t="0" r="0" b="0"/>
              <wp:wrapNone/>
              <wp:docPr id="474239965" name="Rectangle 4742399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3ED5EBB" id="Rectangle 474239965" o:spid="_x0000_s1026" alt="&quot;&quot;" style="position:absolute;margin-left:0;margin-top:0;width:600.1pt;height:16.7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A650A" w14:textId="77777777" w:rsidR="000D7D9F" w:rsidRDefault="000D7D9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E3F30" w14:textId="77777777" w:rsidR="000D7D9F" w:rsidRPr="00C4644D" w:rsidRDefault="000D7D9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25538" w14:textId="77777777" w:rsidR="000D7D9F" w:rsidRPr="00C4644D" w:rsidRDefault="000D7D9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6A85F" w14:textId="77777777" w:rsidR="000D7D9F" w:rsidRPr="00C4644D" w:rsidRDefault="000D7D9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2A0FA" w14:textId="77777777" w:rsidR="000D7D9F" w:rsidRPr="00B964EB" w:rsidRDefault="000D7D9F">
    <w:pPr>
      <w:pStyle w:val="Header"/>
    </w:pPr>
    <w:r w:rsidRPr="00B247E9">
      <w:rPr>
        <w:rFonts w:hint="eastAsia"/>
        <w:noProof/>
        <w:color w:val="2B579A"/>
        <w:shd w:val="clear" w:color="auto" w:fill="E6E6E6"/>
      </w:rPr>
      <w:drawing>
        <wp:anchor distT="0" distB="0" distL="114300" distR="114300" simplePos="0" relativeHeight="251658242" behindDoc="1" locked="1" layoutInCell="1" allowOverlap="1" wp14:anchorId="711CF445" wp14:editId="7ED401C9">
          <wp:simplePos x="0" y="0"/>
          <wp:positionH relativeFrom="page">
            <wp:align>left</wp:align>
          </wp:positionH>
          <wp:positionV relativeFrom="page">
            <wp:align>top</wp:align>
          </wp:positionV>
          <wp:extent cx="7560000" cy="10692000"/>
          <wp:effectExtent l="0" t="0" r="3175" b="0"/>
          <wp:wrapNone/>
          <wp:docPr id="1357402805" name="Picture 135740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56CA3" w14:textId="486E2438" w:rsidR="000D7D9F" w:rsidRPr="009D0DC4" w:rsidRDefault="000D7D9F">
    <w:pPr>
      <w:pStyle w:val="Header"/>
    </w:pPr>
    <w:r w:rsidRPr="00B247E9">
      <w:rPr>
        <w:rFonts w:hint="eastAsia"/>
        <w:noProof/>
        <w:color w:val="2B579A"/>
        <w:shd w:val="clear" w:color="auto" w:fill="E6E6E6"/>
      </w:rPr>
      <w:drawing>
        <wp:anchor distT="0" distB="0" distL="114300" distR="114300" simplePos="0" relativeHeight="251658241" behindDoc="1" locked="1" layoutInCell="1" allowOverlap="1" wp14:anchorId="3DFD013E" wp14:editId="2655F0E0">
          <wp:simplePos x="0" y="0"/>
          <wp:positionH relativeFrom="page">
            <wp:align>left</wp:align>
          </wp:positionH>
          <wp:positionV relativeFrom="page">
            <wp:align>top</wp:align>
          </wp:positionV>
          <wp:extent cx="7555865" cy="10688320"/>
          <wp:effectExtent l="0" t="0" r="6985" b="0"/>
          <wp:wrapNone/>
          <wp:docPr id="583582792" name="Picture 583582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82792" name="Picture 583582792"/>
                  <pic:cNvPicPr/>
                </pic:nvPicPr>
                <pic:blipFill>
                  <a:blip r:embed="rId1">
                    <a:extLst>
                      <a:ext uri="{28A0092B-C50C-407E-A947-70E740481C1C}">
                        <a14:useLocalDpi xmlns:a14="http://schemas.microsoft.com/office/drawing/2010/main" val="0"/>
                      </a:ext>
                    </a:extLst>
                  </a:blip>
                  <a:stretch>
                    <a:fillRect/>
                  </a:stretch>
                </pic:blipFill>
                <pic:spPr>
                  <a:xfrm>
                    <a:off x="0" y="0"/>
                    <a:ext cx="7556223" cy="10688399"/>
                  </a:xfrm>
                  <a:prstGeom prst="rect">
                    <a:avLst/>
                  </a:prstGeom>
                </pic:spPr>
              </pic:pic>
            </a:graphicData>
          </a:graphic>
          <wp14:sizeRelH relativeFrom="margin">
            <wp14:pctWidth>0</wp14:pctWidth>
          </wp14:sizeRelH>
          <wp14:sizeRelV relativeFrom="margin">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A5D24" w14:textId="77777777" w:rsidR="000D7D9F" w:rsidRPr="00B964EB" w:rsidRDefault="000D7D9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6F3CD" w14:textId="77777777" w:rsidR="000D7D9F" w:rsidRPr="00953636" w:rsidRDefault="000D7D9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38E3" w14:textId="77777777" w:rsidR="000D7D9F" w:rsidRPr="00953636" w:rsidRDefault="000D7D9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61192" w14:textId="77777777" w:rsidR="000D7D9F" w:rsidRPr="00953636" w:rsidRDefault="000D7D9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00C97" w14:textId="77777777" w:rsidR="006C776E" w:rsidRPr="00CF2BAF" w:rsidRDefault="006C776E">
    <w:pPr>
      <w:pStyle w:val="amprHeader-Left"/>
    </w:pPr>
    <w:r w:rsidRPr="002B3FD9">
      <w:rPr>
        <w:noProof/>
        <w:lang w:eastAsia="en-GB"/>
      </w:rPr>
      <mc:AlternateContent>
        <mc:Choice Requires="wps">
          <w:drawing>
            <wp:anchor distT="0" distB="0" distL="114300" distR="114300" simplePos="0" relativeHeight="251658244" behindDoc="0" locked="1" layoutInCell="1" allowOverlap="1" wp14:anchorId="45AFD5B8" wp14:editId="53793E7A">
              <wp:simplePos x="0" y="0"/>
              <wp:positionH relativeFrom="page">
                <wp:align>left</wp:align>
              </wp:positionH>
              <wp:positionV relativeFrom="page">
                <wp:align>top</wp:align>
              </wp:positionV>
              <wp:extent cx="7621200" cy="212400"/>
              <wp:effectExtent l="0" t="0" r="0" b="0"/>
              <wp:wrapNone/>
              <wp:docPr id="487177502" name="Rectangle 4871775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510193B" id="Rectangle 487177502" o:spid="_x0000_s1026" alt="&quot;&quot;" style="position:absolute;margin-left:0;margin-top:0;width:600.1pt;height:16.7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t>Annual Management and Performance Report for the EU Budget</w:t>
    </w:r>
    <w:r>
      <w:rPr>
        <w:rFonts w:ascii="Calibri" w:hAnsi="Calibri" w:cs="Calibri"/>
      </w:rPr>
      <w:t> </w:t>
    </w:r>
    <w:r>
      <w:t>– 2025 financial year</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43840" w14:textId="6B768294" w:rsidR="006C776E" w:rsidRPr="00C34857" w:rsidRDefault="006C776E">
    <w:pPr>
      <w:pStyle w:val="amprHeader-Right"/>
    </w:pPr>
    <w:r w:rsidRPr="002B3FD9">
      <w:rPr>
        <w:noProof/>
        <w:lang w:eastAsia="en-GB"/>
      </w:rPr>
      <mc:AlternateContent>
        <mc:Choice Requires="wps">
          <w:drawing>
            <wp:anchor distT="0" distB="0" distL="114300" distR="114300" simplePos="0" relativeHeight="251658243" behindDoc="0" locked="1" layoutInCell="1" allowOverlap="1" wp14:anchorId="0D5EBFA7" wp14:editId="724EC8C6">
              <wp:simplePos x="0" y="0"/>
              <wp:positionH relativeFrom="page">
                <wp:align>left</wp:align>
              </wp:positionH>
              <wp:positionV relativeFrom="page">
                <wp:align>top</wp:align>
              </wp:positionV>
              <wp:extent cx="7621200" cy="212400"/>
              <wp:effectExtent l="0" t="0" r="0" b="0"/>
              <wp:wrapNone/>
              <wp:docPr id="406694162" name="Rectangle 4066941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28DB1D5" id="Rectangle 406694162" o:spid="_x0000_s1026" alt="&quot;&quot;" style="position:absolute;margin-left:0;margin-top:0;width:600.1pt;height:16.7pt;z-index:251658243;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fillcolor="#de6002" stroked="f" strokeweight="1pt">
              <w10:wrap anchorx="page" anchory="page"/>
              <w10:anchorlock/>
            </v:rect>
          </w:pict>
        </mc:Fallback>
      </mc:AlternateContent>
    </w:r>
    <w:r w:rsidRPr="0019233C">
      <w:t>Annex</w:t>
    </w:r>
    <w:r>
      <w:rPr>
        <w:rFonts w:ascii="Calibri" w:hAnsi="Calibri" w:cs="Calibri"/>
      </w:rPr>
      <w:t> </w:t>
    </w:r>
    <w:r>
      <w:t>1</w:t>
    </w:r>
    <w:r>
      <w:rPr>
        <w:rFonts w:ascii="Calibri" w:hAnsi="Calibri" w:cs="Calibri"/>
      </w:rPr>
      <w:t> </w:t>
    </w:r>
    <w:r w:rsidRPr="0019233C">
      <w:t>–</w:t>
    </w:r>
    <w:r w:rsidRPr="003E7A05">
      <w:t xml:space="preserve"> </w:t>
    </w:r>
    <w:r w:rsidR="00EA0320" w:rsidRPr="00EA0320">
      <w:t>Performance of the EU budget in 2025</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FA0BD" w14:textId="77777777" w:rsidR="00941AA3" w:rsidRDefault="00941A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A0CD38"/>
    <w:lvl w:ilvl="0">
      <w:start w:val="1"/>
      <w:numFmt w:val="decimal"/>
      <w:pStyle w:val="ListNumber5"/>
      <w:lvlText w:val="%1."/>
      <w:lvlJc w:val="left"/>
      <w:pPr>
        <w:tabs>
          <w:tab w:val="num" w:pos="696"/>
        </w:tabs>
        <w:ind w:left="696" w:hanging="360"/>
      </w:pPr>
    </w:lvl>
  </w:abstractNum>
  <w:abstractNum w:abstractNumId="1" w15:restartNumberingAfterBreak="0">
    <w:nsid w:val="FFFFFF7D"/>
    <w:multiLevelType w:val="singleLevel"/>
    <w:tmpl w:val="A4CC91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BBCB8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65B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AC9F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88C0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D448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0009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9687F6E"/>
    <w:multiLevelType w:val="multilevel"/>
    <w:tmpl w:val="1B9A6BE2"/>
    <w:name w:val="ListNumberNumbering"/>
    <w:lvl w:ilvl="0">
      <w:start w:val="1"/>
      <w:numFmt w:val="decimal"/>
      <w:pStyle w:val="ListNumber"/>
      <w:lvlText w:val="%1."/>
      <w:lvlJc w:val="left"/>
      <w:pPr>
        <w:ind w:left="794" w:hanging="397"/>
      </w:pPr>
      <w:rPr>
        <w:rFonts w:hint="default"/>
      </w:rPr>
    </w:lvl>
    <w:lvl w:ilvl="1">
      <w:start w:val="1"/>
      <w:numFmt w:val="decimal"/>
      <w:pStyle w:val="ListNumberLevel2"/>
      <w:lvlText w:val="%1.%2."/>
      <w:lvlJc w:val="left"/>
      <w:pPr>
        <w:ind w:left="1587" w:hanging="510"/>
      </w:pPr>
      <w:rPr>
        <w:rFonts w:hint="default"/>
      </w:rPr>
    </w:lvl>
    <w:lvl w:ilvl="2">
      <w:start w:val="1"/>
      <w:numFmt w:val="decimal"/>
      <w:pStyle w:val="ListNumberLevel3"/>
      <w:lvlText w:val="%1.%2.%3."/>
      <w:lvlJc w:val="left"/>
      <w:pPr>
        <w:ind w:left="2381" w:hanging="680"/>
      </w:pPr>
      <w:rPr>
        <w:rFonts w:hint="default"/>
      </w:rPr>
    </w:lvl>
    <w:lvl w:ilvl="3">
      <w:start w:val="1"/>
      <w:numFmt w:val="decimal"/>
      <w:pStyle w:val="ListNumberLevel4"/>
      <w:lvlText w:val="%1.%2.%3.%4."/>
      <w:lvlJc w:val="left"/>
      <w:pPr>
        <w:ind w:left="3175" w:hanging="794"/>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0A9F180B"/>
    <w:multiLevelType w:val="multilevel"/>
    <w:tmpl w:val="567660E0"/>
    <w:name w:val="List_abc_LIST2"/>
    <w:lvl w:ilvl="0">
      <w:start w:val="1"/>
      <w:numFmt w:val="lowerLetter"/>
      <w:pStyle w:val="Listabc"/>
      <w:lvlText w:val="(%1)"/>
      <w:lvlJc w:val="left"/>
      <w:pPr>
        <w:tabs>
          <w:tab w:val="num" w:pos="1440"/>
        </w:tabs>
        <w:ind w:left="794" w:hanging="397"/>
      </w:pPr>
      <w:rPr>
        <w:rFonts w:hint="default"/>
      </w:rPr>
    </w:lvl>
    <w:lvl w:ilvl="1">
      <w:start w:val="1"/>
      <w:numFmt w:val="lowerRoman"/>
      <w:pStyle w:val="ListabcLevel2"/>
      <w:lvlText w:val="(%2)"/>
      <w:lvlJc w:val="left"/>
      <w:pPr>
        <w:tabs>
          <w:tab w:val="num" w:pos="11340"/>
        </w:tabs>
        <w:ind w:left="1588" w:hanging="397"/>
      </w:pPr>
      <w:rPr>
        <w:rFonts w:hint="default"/>
      </w:rPr>
    </w:lvl>
    <w:lvl w:ilvl="2">
      <w:start w:val="1"/>
      <w:numFmt w:val="decimal"/>
      <w:pStyle w:val="ListabcLevel3"/>
      <w:lvlText w:val="(%3)"/>
      <w:lvlJc w:val="left"/>
      <w:pPr>
        <w:tabs>
          <w:tab w:val="num" w:pos="3027"/>
        </w:tabs>
        <w:ind w:left="2381" w:hanging="396"/>
      </w:pPr>
      <w:rPr>
        <w:rFonts w:asciiTheme="minorHAnsi" w:hAnsiTheme="minorHAnsi" w:hint="default"/>
      </w:rPr>
    </w:lvl>
    <w:lvl w:ilvl="3">
      <w:numFmt w:val="bullet"/>
      <w:lvlText w:val="—"/>
      <w:lvlJc w:val="left"/>
      <w:pPr>
        <w:tabs>
          <w:tab w:val="num" w:pos="2665"/>
        </w:tabs>
        <w:ind w:left="3005" w:hanging="340"/>
      </w:pPr>
      <w:rPr>
        <w:rFonts w:ascii="EC Square Sans Pro" w:hAnsi="EC Square Sans Pro"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10" w15:restartNumberingAfterBreak="0">
    <w:nsid w:val="11153D01"/>
    <w:multiLevelType w:val="multilevel"/>
    <w:tmpl w:val="1D4C4A96"/>
    <w:name w:val="HeadingNumbering"/>
    <w:lvl w:ilvl="0">
      <w:start w:val="1"/>
      <w:numFmt w:val="decimal"/>
      <w:pStyle w:val="HeadingNumbered1"/>
      <w:lvlText w:val="%1."/>
      <w:lvlJc w:val="left"/>
      <w:pPr>
        <w:ind w:left="850" w:hanging="850"/>
      </w:pPr>
      <w:rPr>
        <w:rFonts w:hint="default"/>
      </w:rPr>
    </w:lvl>
    <w:lvl w:ilvl="1">
      <w:start w:val="1"/>
      <w:numFmt w:val="decimal"/>
      <w:pStyle w:val="HeadingNumbered2"/>
      <w:lvlText w:val="%1.%2."/>
      <w:lvlJc w:val="left"/>
      <w:pPr>
        <w:ind w:left="850" w:hanging="850"/>
      </w:pPr>
      <w:rPr>
        <w:rFonts w:hint="default"/>
      </w:rPr>
    </w:lvl>
    <w:lvl w:ilvl="2">
      <w:start w:val="1"/>
      <w:numFmt w:val="decimal"/>
      <w:pStyle w:val="HeadingNumbered3"/>
      <w:lvlText w:val="%1.%2.%3."/>
      <w:lvlJc w:val="left"/>
      <w:pPr>
        <w:ind w:left="850" w:hanging="850"/>
      </w:pPr>
      <w:rPr>
        <w:rFonts w:ascii="Calibri" w:hAnsi="Calibri" w:hint="default"/>
      </w:rPr>
    </w:lvl>
    <w:lvl w:ilvl="3">
      <w:start w:val="1"/>
      <w:numFmt w:val="decimal"/>
      <w:pStyle w:val="HeadingNumbered4"/>
      <w:lvlText w:val="%4)"/>
      <w:lvlJc w:val="left"/>
      <w:pPr>
        <w:ind w:left="850" w:hanging="340"/>
      </w:pPr>
      <w:rPr>
        <w:rFonts w:ascii="Calibri" w:hAnsi="Calibri" w:hint="default"/>
      </w:rPr>
    </w:lvl>
    <w:lvl w:ilvl="4">
      <w:start w:val="1"/>
      <w:numFmt w:val="lowerLetter"/>
      <w:pStyle w:val="HeadingNumbered5"/>
      <w:lvlText w:val="%5)"/>
      <w:lvlJc w:val="left"/>
      <w:pPr>
        <w:ind w:left="1191" w:hanging="341"/>
      </w:pPr>
      <w:rPr>
        <w:rFonts w:ascii="Calibri" w:hAnsi="Calibri" w:hint="default"/>
      </w:rPr>
    </w:lvl>
    <w:lvl w:ilvl="5">
      <w:start w:val="1"/>
      <w:numFmt w:val="lowerRoman"/>
      <w:pStyle w:val="HeadingNumbered6"/>
      <w:lvlText w:val="(%6)"/>
      <w:lvlJc w:val="left"/>
      <w:pPr>
        <w:ind w:left="1531" w:hanging="340"/>
      </w:pPr>
      <w:rPr>
        <w:rFonts w:ascii="Calibri" w:hAnsi="Calibri" w:hint="default"/>
      </w:rPr>
    </w:lvl>
    <w:lvl w:ilvl="6">
      <w:numFmt w:val="none"/>
      <w:pStyle w:val="HeadingNumbered7"/>
      <w:lvlText w:val=""/>
      <w:lvlJc w:val="left"/>
    </w:lvl>
    <w:lvl w:ilvl="7">
      <w:numFmt w:val="none"/>
      <w:pStyle w:val="HeadingNumbered8"/>
      <w:lvlText w:val=""/>
      <w:lvlJc w:val="left"/>
    </w:lvl>
    <w:lvl w:ilvl="8">
      <w:numFmt w:val="none"/>
      <w:pStyle w:val="HeadingNumbered9"/>
      <w:lvlText w:val=""/>
      <w:lvlJc w:val="left"/>
    </w:lvl>
  </w:abstractNum>
  <w:abstractNum w:abstractNumId="11" w15:restartNumberingAfterBreak="0">
    <w:nsid w:val="11153D02"/>
    <w:multiLevelType w:val="multilevel"/>
    <w:tmpl w:val="1E0CFBE8"/>
    <w:name w:val="ListNumberNonindentedNumbering"/>
    <w:lvl w:ilvl="0">
      <w:start w:val="1"/>
      <w:numFmt w:val="decimal"/>
      <w:lvlText w:val="%1."/>
      <w:lvlJc w:val="left"/>
      <w:pPr>
        <w:ind w:left="397" w:hanging="397"/>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1153D03"/>
    <w:multiLevelType w:val="multilevel"/>
    <w:tmpl w:val="111E0B03"/>
    <w:name w:val="ListMixedNumbering3"/>
    <w:lvl w:ilvl="0">
      <w:start w:val="1"/>
      <w:numFmt w:val="decimal"/>
      <w:pStyle w:val="ListMixed"/>
      <w:lvlText w:val="%1."/>
      <w:lvlJc w:val="left"/>
      <w:pPr>
        <w:ind w:left="794" w:hanging="397"/>
      </w:pPr>
      <w:rPr>
        <w:rFonts w:hint="default"/>
      </w:rPr>
    </w:lvl>
    <w:lvl w:ilvl="1">
      <w:start w:val="1"/>
      <w:numFmt w:val="lowerLetter"/>
      <w:pStyle w:val="ListMixedLevel2"/>
      <w:lvlText w:val="%2."/>
      <w:lvlJc w:val="left"/>
      <w:pPr>
        <w:tabs>
          <w:tab w:val="num" w:pos="1191"/>
        </w:tabs>
        <w:ind w:left="1587" w:hanging="396"/>
      </w:pPr>
      <w:rPr>
        <w:rFonts w:hint="default"/>
      </w:rPr>
    </w:lvl>
    <w:lvl w:ilvl="2">
      <w:start w:val="1"/>
      <w:numFmt w:val="lowerRoman"/>
      <w:pStyle w:val="ListMixedLevel3"/>
      <w:lvlText w:val="(%3)"/>
      <w:lvlJc w:val="left"/>
      <w:pPr>
        <w:tabs>
          <w:tab w:val="num" w:pos="1984"/>
        </w:tabs>
        <w:ind w:left="2381" w:hanging="39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1183D01"/>
    <w:multiLevelType w:val="multilevel"/>
    <w:tmpl w:val="123E0601"/>
    <w:name w:val="LabelledNumberHeadingNumbering"/>
    <w:lvl w:ilvl="0">
      <w:start w:val="1"/>
      <w:numFmt w:val="decimal"/>
      <w:lvlText w:val="%1)"/>
      <w:lvlJc w:val="left"/>
      <w:pPr>
        <w:ind w:left="357" w:hanging="357"/>
      </w:pPr>
      <w:rPr>
        <w:rFonts w:hint="default"/>
      </w:rPr>
    </w:lvl>
    <w:lvl w:ilvl="1">
      <w:start w:val="1"/>
      <w:numFmt w:val="decimal"/>
      <w:lvlText w:val="%1)"/>
      <w:lvlJc w:val="left"/>
      <w:pPr>
        <w:ind w:left="357" w:hanging="357"/>
      </w:pPr>
      <w:rPr>
        <w:rFonts w:hint="default"/>
      </w:rPr>
    </w:lvl>
    <w:lvl w:ilvl="2">
      <w:start w:val="1"/>
      <w:numFmt w:val="decimal"/>
      <w:lvlText w:val="%1)"/>
      <w:lvlJc w:val="left"/>
      <w:pPr>
        <w:ind w:left="357" w:hanging="357"/>
      </w:pPr>
      <w:rPr>
        <w:rFonts w:hint="default"/>
      </w:rPr>
    </w:lvl>
    <w:lvl w:ilvl="3">
      <w:start w:val="1"/>
      <w:numFmt w:val="decimal"/>
      <w:lvlText w:val="%1)"/>
      <w:lvlJc w:val="left"/>
      <w:pPr>
        <w:ind w:left="357" w:hanging="357"/>
      </w:pPr>
      <w:rPr>
        <w:rFonts w:hint="default"/>
      </w:rPr>
    </w:lvl>
    <w:lvl w:ilvl="4">
      <w:start w:val="1"/>
      <w:numFmt w:val="decimal"/>
      <w:lvlText w:val="%1)"/>
      <w:lvlJc w:val="left"/>
      <w:pPr>
        <w:ind w:left="357" w:hanging="357"/>
      </w:pPr>
      <w:rPr>
        <w:rFonts w:hint="default"/>
      </w:rPr>
    </w:lvl>
    <w:lvl w:ilvl="5">
      <w:start w:val="1"/>
      <w:numFmt w:val="decimal"/>
      <w:lvlText w:val="%1)"/>
      <w:lvlJc w:val="left"/>
      <w:pPr>
        <w:ind w:left="357" w:hanging="357"/>
      </w:pPr>
      <w:rPr>
        <w:rFonts w:hint="default"/>
      </w:rPr>
    </w:lvl>
    <w:lvl w:ilvl="6">
      <w:start w:val="1"/>
      <w:numFmt w:val="decimal"/>
      <w:lvlText w:val="%1)"/>
      <w:lvlJc w:val="left"/>
      <w:pPr>
        <w:ind w:left="357" w:hanging="357"/>
      </w:pPr>
      <w:rPr>
        <w:rFonts w:hint="default"/>
      </w:rPr>
    </w:lvl>
    <w:lvl w:ilvl="7">
      <w:start w:val="1"/>
      <w:numFmt w:val="decimal"/>
      <w:lvlText w:val="%1)"/>
      <w:lvlJc w:val="left"/>
      <w:pPr>
        <w:ind w:left="357" w:hanging="357"/>
      </w:pPr>
      <w:rPr>
        <w:rFonts w:hint="default"/>
      </w:rPr>
    </w:lvl>
    <w:lvl w:ilvl="8">
      <w:start w:val="1"/>
      <w:numFmt w:val="decimal"/>
      <w:lvlText w:val="%1)"/>
      <w:lvlJc w:val="left"/>
      <w:pPr>
        <w:ind w:left="357" w:hanging="357"/>
      </w:pPr>
      <w:rPr>
        <w:rFonts w:hint="default"/>
      </w:rPr>
    </w:lvl>
  </w:abstractNum>
  <w:abstractNum w:abstractNumId="14" w15:restartNumberingAfterBreak="0">
    <w:nsid w:val="11183D02"/>
    <w:multiLevelType w:val="multilevel"/>
    <w:tmpl w:val="123E0602"/>
    <w:name w:val="LabelledLetterHeadingNumbering"/>
    <w:lvl w:ilvl="0">
      <w:start w:val="1"/>
      <w:numFmt w:val="upper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15" w15:restartNumberingAfterBreak="0">
    <w:nsid w:val="14053B26"/>
    <w:multiLevelType w:val="hybridMultilevel"/>
    <w:tmpl w:val="9CF61B0C"/>
    <w:styleLink w:val="1ai"/>
    <w:lvl w:ilvl="0" w:tplc="8CB80734">
      <w:start w:val="1"/>
      <w:numFmt w:val="bullet"/>
      <w:lvlText w:val=""/>
      <w:lvlJc w:val="left"/>
      <w:pPr>
        <w:ind w:left="720" w:hanging="360"/>
      </w:pPr>
      <w:rPr>
        <w:rFonts w:ascii="Symbol" w:hAnsi="Symbol" w:hint="default"/>
      </w:rPr>
    </w:lvl>
    <w:lvl w:ilvl="1" w:tplc="D90E9A08" w:tentative="1">
      <w:start w:val="1"/>
      <w:numFmt w:val="bullet"/>
      <w:lvlText w:val="o"/>
      <w:lvlJc w:val="left"/>
      <w:pPr>
        <w:ind w:left="1440" w:hanging="360"/>
      </w:pPr>
      <w:rPr>
        <w:rFonts w:ascii="Courier New" w:hAnsi="Courier New" w:cs="Courier New" w:hint="default"/>
      </w:rPr>
    </w:lvl>
    <w:lvl w:ilvl="2" w:tplc="9DAC74D4" w:tentative="1">
      <w:start w:val="1"/>
      <w:numFmt w:val="bullet"/>
      <w:lvlText w:val=""/>
      <w:lvlJc w:val="left"/>
      <w:pPr>
        <w:ind w:left="2160" w:hanging="360"/>
      </w:pPr>
      <w:rPr>
        <w:rFonts w:ascii="Wingdings" w:hAnsi="Wingdings" w:hint="default"/>
      </w:rPr>
    </w:lvl>
    <w:lvl w:ilvl="3" w:tplc="67687D06" w:tentative="1">
      <w:start w:val="1"/>
      <w:numFmt w:val="bullet"/>
      <w:lvlText w:val=""/>
      <w:lvlJc w:val="left"/>
      <w:pPr>
        <w:ind w:left="2880" w:hanging="360"/>
      </w:pPr>
      <w:rPr>
        <w:rFonts w:ascii="Symbol" w:hAnsi="Symbol" w:hint="default"/>
      </w:rPr>
    </w:lvl>
    <w:lvl w:ilvl="4" w:tplc="CA5823FE" w:tentative="1">
      <w:start w:val="1"/>
      <w:numFmt w:val="bullet"/>
      <w:lvlText w:val="o"/>
      <w:lvlJc w:val="left"/>
      <w:pPr>
        <w:ind w:left="3600" w:hanging="360"/>
      </w:pPr>
      <w:rPr>
        <w:rFonts w:ascii="Courier New" w:hAnsi="Courier New" w:cs="Courier New" w:hint="default"/>
      </w:rPr>
    </w:lvl>
    <w:lvl w:ilvl="5" w:tplc="49D01CF0" w:tentative="1">
      <w:start w:val="1"/>
      <w:numFmt w:val="bullet"/>
      <w:lvlText w:val=""/>
      <w:lvlJc w:val="left"/>
      <w:pPr>
        <w:ind w:left="4320" w:hanging="360"/>
      </w:pPr>
      <w:rPr>
        <w:rFonts w:ascii="Wingdings" w:hAnsi="Wingdings" w:hint="default"/>
      </w:rPr>
    </w:lvl>
    <w:lvl w:ilvl="6" w:tplc="6CC09C64" w:tentative="1">
      <w:start w:val="1"/>
      <w:numFmt w:val="bullet"/>
      <w:lvlText w:val=""/>
      <w:lvlJc w:val="left"/>
      <w:pPr>
        <w:ind w:left="5040" w:hanging="360"/>
      </w:pPr>
      <w:rPr>
        <w:rFonts w:ascii="Symbol" w:hAnsi="Symbol" w:hint="default"/>
      </w:rPr>
    </w:lvl>
    <w:lvl w:ilvl="7" w:tplc="100C2216" w:tentative="1">
      <w:start w:val="1"/>
      <w:numFmt w:val="bullet"/>
      <w:lvlText w:val="o"/>
      <w:lvlJc w:val="left"/>
      <w:pPr>
        <w:ind w:left="5760" w:hanging="360"/>
      </w:pPr>
      <w:rPr>
        <w:rFonts w:ascii="Courier New" w:hAnsi="Courier New" w:cs="Courier New" w:hint="default"/>
      </w:rPr>
    </w:lvl>
    <w:lvl w:ilvl="8" w:tplc="04661882" w:tentative="1">
      <w:start w:val="1"/>
      <w:numFmt w:val="bullet"/>
      <w:lvlText w:val=""/>
      <w:lvlJc w:val="left"/>
      <w:pPr>
        <w:ind w:left="6480" w:hanging="360"/>
      </w:pPr>
      <w:rPr>
        <w:rFonts w:ascii="Wingdings" w:hAnsi="Wingdings" w:hint="default"/>
      </w:rPr>
    </w:lvl>
  </w:abstractNum>
  <w:abstractNum w:abstractNumId="16" w15:restartNumberingAfterBreak="0">
    <w:nsid w:val="170F5D36"/>
    <w:multiLevelType w:val="multilevel"/>
    <w:tmpl w:val="B4C8DC34"/>
    <w:lvl w:ilvl="0">
      <w:start w:val="1"/>
      <w:numFmt w:val="bullet"/>
      <w:lvlText w:val="•"/>
      <w:lvlJc w:val="left"/>
      <w:pPr>
        <w:ind w:left="360" w:hanging="59"/>
      </w:pPr>
      <w:rPr>
        <w:rFonts w:ascii="Arial" w:hAnsi="Arial"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9767F01"/>
    <w:multiLevelType w:val="multilevel"/>
    <w:tmpl w:val="2F9485CA"/>
    <w:name w:val="List_Number_Nonindented_LIST"/>
    <w:styleLink w:val="ListNumberNonindentedLIST"/>
    <w:lvl w:ilvl="0">
      <w:start w:val="1"/>
      <w:numFmt w:val="decimal"/>
      <w:pStyle w:val="ListNumberNonindented"/>
      <w:lvlText w:val="%1."/>
      <w:lvlJc w:val="left"/>
      <w:pPr>
        <w:ind w:left="397" w:hanging="397"/>
      </w:pPr>
      <w:rPr>
        <w:rFonts w:hint="default"/>
      </w:rPr>
    </w:lvl>
    <w:lvl w:ilvl="1">
      <w:start w:val="1"/>
      <w:numFmt w:val="decimal"/>
      <w:pStyle w:val="ListNumberNonindentedLevel2"/>
      <w:lvlText w:val="%1.%2."/>
      <w:lvlJc w:val="left"/>
      <w:pPr>
        <w:ind w:left="624" w:hanging="624"/>
      </w:pPr>
      <w:rPr>
        <w:rFonts w:hint="default"/>
      </w:rPr>
    </w:lvl>
    <w:lvl w:ilvl="2">
      <w:start w:val="1"/>
      <w:numFmt w:val="decimal"/>
      <w:pStyle w:val="ListNumberNonindentedLevel3"/>
      <w:lvlText w:val="%1.%2.%3."/>
      <w:lvlJc w:val="left"/>
      <w:pPr>
        <w:ind w:left="850" w:hanging="850"/>
      </w:pPr>
      <w:rPr>
        <w:rFonts w:hint="default"/>
      </w:rPr>
    </w:lvl>
    <w:lvl w:ilvl="3">
      <w:start w:val="1"/>
      <w:numFmt w:val="decimal"/>
      <w:pStyle w:val="ListNumberNonindentedLevel4"/>
      <w:lvlText w:val="%1.%2.%3.%4."/>
      <w:lvlJc w:val="left"/>
      <w:pPr>
        <w:ind w:left="1077" w:hanging="1077"/>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18" w15:restartNumberingAfterBreak="0">
    <w:nsid w:val="1BA53D75"/>
    <w:multiLevelType w:val="multilevel"/>
    <w:tmpl w:val="B4C8DC34"/>
    <w:name w:val="[ampr box]_bullet_list_LIST"/>
    <w:lvl w:ilvl="0">
      <w:start w:val="1"/>
      <w:numFmt w:val="bullet"/>
      <w:lvlText w:val="•"/>
      <w:lvlJc w:val="left"/>
      <w:pPr>
        <w:ind w:left="360" w:hanging="59"/>
      </w:pPr>
      <w:rPr>
        <w:rFonts w:ascii="Arial" w:hAnsi="Arial"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C47181D"/>
    <w:multiLevelType w:val="multilevel"/>
    <w:tmpl w:val="BC3AB3F4"/>
    <w:styleLink w:val="amprLISTblackbullets"/>
    <w:lvl w:ilvl="0">
      <w:start w:val="1"/>
      <w:numFmt w:val="upper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20" w15:restartNumberingAfterBreak="0">
    <w:nsid w:val="1E51520C"/>
    <w:multiLevelType w:val="multilevel"/>
    <w:tmpl w:val="78D271A4"/>
    <w:name w:val="[ampr box]_bullet_list_orange_LIST2"/>
    <w:numStyleLink w:val="amprboxbulletlistorangeLIST"/>
  </w:abstractNum>
  <w:abstractNum w:abstractNumId="21" w15:restartNumberingAfterBreak="0">
    <w:nsid w:val="1F6B0B1D"/>
    <w:multiLevelType w:val="multilevel"/>
    <w:tmpl w:val="567660E0"/>
    <w:name w:val="List_abc_LIST"/>
    <w:styleLink w:val="ListabcLIST"/>
    <w:lvl w:ilvl="0">
      <w:start w:val="1"/>
      <w:numFmt w:val="lowerLetter"/>
      <w:lvlText w:val="(%1)"/>
      <w:lvlJc w:val="left"/>
      <w:pPr>
        <w:tabs>
          <w:tab w:val="num" w:pos="1440"/>
        </w:tabs>
        <w:ind w:left="794" w:hanging="397"/>
      </w:pPr>
      <w:rPr>
        <w:rFonts w:hint="default"/>
      </w:rPr>
    </w:lvl>
    <w:lvl w:ilvl="1">
      <w:start w:val="1"/>
      <w:numFmt w:val="lowerRoman"/>
      <w:lvlText w:val="(%2)"/>
      <w:lvlJc w:val="left"/>
      <w:pPr>
        <w:tabs>
          <w:tab w:val="num" w:pos="11340"/>
        </w:tabs>
        <w:ind w:left="1588" w:hanging="397"/>
      </w:pPr>
      <w:rPr>
        <w:rFonts w:hint="default"/>
      </w:rPr>
    </w:lvl>
    <w:lvl w:ilvl="2">
      <w:start w:val="1"/>
      <w:numFmt w:val="decimal"/>
      <w:lvlText w:val="(%3)"/>
      <w:lvlJc w:val="left"/>
      <w:pPr>
        <w:tabs>
          <w:tab w:val="num" w:pos="3027"/>
        </w:tabs>
        <w:ind w:left="2381" w:hanging="396"/>
      </w:pPr>
      <w:rPr>
        <w:rFonts w:asciiTheme="minorHAnsi" w:hAnsiTheme="minorHAnsi" w:hint="default"/>
      </w:rPr>
    </w:lvl>
    <w:lvl w:ilvl="3">
      <w:numFmt w:val="bullet"/>
      <w:lvlText w:val="—"/>
      <w:lvlJc w:val="left"/>
      <w:pPr>
        <w:tabs>
          <w:tab w:val="num" w:pos="2665"/>
        </w:tabs>
        <w:ind w:left="3005" w:hanging="340"/>
      </w:pPr>
      <w:rPr>
        <w:rFonts w:ascii="EC Square Sans Pro" w:hAnsi="EC Square Sans Pro"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2" w15:restartNumberingAfterBreak="0">
    <w:nsid w:val="258649B9"/>
    <w:multiLevelType w:val="multilevel"/>
    <w:tmpl w:val="0EA2D634"/>
    <w:name w:val="ListBulletNumbering"/>
    <w:lvl w:ilvl="0">
      <w:start w:val="1"/>
      <w:numFmt w:val="bullet"/>
      <w:lvlText w:val="•"/>
      <w:lvlJc w:val="left"/>
      <w:pPr>
        <w:tabs>
          <w:tab w:val="num" w:pos="397"/>
        </w:tabs>
        <w:ind w:left="794" w:hanging="397"/>
      </w:pPr>
      <w:rPr>
        <w:rFonts w:asciiTheme="minorHAnsi" w:hAnsiTheme="minorHAnsi" w:hint="default"/>
        <w:color w:val="DE6002" w:themeColor="accent2"/>
      </w:rPr>
    </w:lvl>
    <w:lvl w:ilvl="1">
      <w:start w:val="1"/>
      <w:numFmt w:val="bullet"/>
      <w:lvlText w:val="—"/>
      <w:lvlJc w:val="left"/>
      <w:pPr>
        <w:tabs>
          <w:tab w:val="num" w:pos="1191"/>
        </w:tabs>
        <w:ind w:left="1587" w:hanging="396"/>
      </w:pPr>
      <w:rPr>
        <w:rFonts w:ascii="Times New Roman" w:hAnsi="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26A70B39"/>
    <w:multiLevelType w:val="multilevel"/>
    <w:tmpl w:val="0809001F"/>
    <w:name w:val="ListNumberNonindentedNumbering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6B40D2D"/>
    <w:multiLevelType w:val="multilevel"/>
    <w:tmpl w:val="6DF61380"/>
    <w:styleLink w:val="ListBulletLIST"/>
    <w:lvl w:ilvl="0">
      <w:start w:val="1"/>
      <w:numFmt w:val="bullet"/>
      <w:pStyle w:val="ListBullet"/>
      <w:lvlText w:val="•"/>
      <w:lvlJc w:val="left"/>
      <w:pPr>
        <w:tabs>
          <w:tab w:val="num" w:pos="397"/>
        </w:tabs>
        <w:ind w:left="794" w:hanging="397"/>
      </w:pPr>
      <w:rPr>
        <w:rFonts w:ascii="Calibri" w:hAnsi="Calibri" w:hint="default"/>
        <w:color w:val="DC3903"/>
      </w:rPr>
    </w:lvl>
    <w:lvl w:ilvl="1">
      <w:start w:val="1"/>
      <w:numFmt w:val="bullet"/>
      <w:pStyle w:val="ListBulletLevel2"/>
      <w:lvlText w:val="—"/>
      <w:lvlJc w:val="left"/>
      <w:pPr>
        <w:tabs>
          <w:tab w:val="num" w:pos="1361"/>
        </w:tabs>
        <w:ind w:left="1361" w:hanging="397"/>
      </w:pPr>
      <w:rPr>
        <w:rFonts w:ascii="Times New Roman" w:hAnsi="Times New Roman" w:cs="Times New Roman" w:hint="default"/>
        <w:color w:val="DC3903"/>
        <w:sz w:val="20"/>
      </w:rPr>
    </w:lvl>
    <w:lvl w:ilvl="2">
      <w:start w:val="1"/>
      <w:numFmt w:val="bullet"/>
      <w:pStyle w:val="ListBulletLevel3"/>
      <w:lvlText w:val=""/>
      <w:lvlJc w:val="left"/>
      <w:pPr>
        <w:tabs>
          <w:tab w:val="num" w:pos="1928"/>
        </w:tabs>
        <w:ind w:left="1928" w:hanging="397"/>
      </w:pPr>
      <w:rPr>
        <w:rFonts w:ascii="Wingdings" w:hAnsi="Wingdings" w:hint="default"/>
        <w:color w:val="DC3903"/>
      </w:rPr>
    </w:lvl>
    <w:lvl w:ilvl="3">
      <w:start w:val="1"/>
      <w:numFmt w:val="bullet"/>
      <w:pStyle w:val="ListBulletLevel4"/>
      <w:lvlText w:val=""/>
      <w:lvlJc w:val="left"/>
      <w:pPr>
        <w:tabs>
          <w:tab w:val="num" w:pos="2495"/>
        </w:tabs>
        <w:ind w:left="2495" w:hanging="397"/>
      </w:pPr>
      <w:rPr>
        <w:rFonts w:ascii="Wingdings 3" w:hAnsi="Wingdings 3" w:hint="default"/>
        <w:color w:val="DC3903"/>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5" w15:restartNumberingAfterBreak="0">
    <w:nsid w:val="28237A96"/>
    <w:multiLevelType w:val="multilevel"/>
    <w:tmpl w:val="58FAC8C0"/>
    <w:styleLink w:val="amprLISTpurplebullets"/>
    <w:lvl w:ilvl="0">
      <w:start w:val="1"/>
      <w:numFmt w:val="bullet"/>
      <w:lvlText w:val=""/>
      <w:lvlJc w:val="left"/>
      <w:pPr>
        <w:ind w:left="714" w:hanging="357"/>
      </w:pPr>
      <w:rPr>
        <w:rFonts w:ascii="Symbol" w:hAnsi="Symbol" w:hint="default"/>
        <w:color w:val="008139" w:themeColor="accent1"/>
      </w:rPr>
    </w:lvl>
    <w:lvl w:ilvl="1">
      <w:start w:val="1"/>
      <w:numFmt w:val="bullet"/>
      <w:lvlText w:val="—"/>
      <w:lvlJc w:val="left"/>
      <w:pPr>
        <w:ind w:left="1435" w:hanging="358"/>
      </w:pPr>
      <w:rPr>
        <w:rFonts w:ascii="EC Square Sans Pro" w:hAnsi="EC Square Sans Pro" w:hint="default"/>
        <w:color w:val="008139" w:themeColor="accent1"/>
      </w:rPr>
    </w:lvl>
    <w:lvl w:ilvl="2">
      <w:start w:val="1"/>
      <w:numFmt w:val="bullet"/>
      <w:lvlText w:val=""/>
      <w:lvlJc w:val="left"/>
      <w:pPr>
        <w:ind w:left="2155" w:hanging="358"/>
      </w:pPr>
      <w:rPr>
        <w:rFonts w:ascii="Wingdings" w:hAnsi="Wingdings" w:hint="default"/>
      </w:rPr>
    </w:lvl>
    <w:lvl w:ilvl="3">
      <w:start w:val="1"/>
      <w:numFmt w:val="bullet"/>
      <w:lvlText w:val=""/>
      <w:lvlJc w:val="left"/>
      <w:pPr>
        <w:ind w:left="2875" w:hanging="358"/>
      </w:pPr>
      <w:rPr>
        <w:rFonts w:ascii="Symbol" w:hAnsi="Symbol" w:hint="default"/>
      </w:rPr>
    </w:lvl>
    <w:lvl w:ilvl="4">
      <w:start w:val="1"/>
      <w:numFmt w:val="bullet"/>
      <w:lvlText w:val="o"/>
      <w:lvlJc w:val="left"/>
      <w:pPr>
        <w:ind w:left="3595" w:hanging="357"/>
      </w:pPr>
      <w:rPr>
        <w:rFonts w:ascii="Courier New" w:hAnsi="Courier New" w:hint="default"/>
      </w:rPr>
    </w:lvl>
    <w:lvl w:ilvl="5">
      <w:start w:val="1"/>
      <w:numFmt w:val="bullet"/>
      <w:lvlText w:val=""/>
      <w:lvlJc w:val="left"/>
      <w:pPr>
        <w:ind w:left="4093" w:hanging="360"/>
      </w:pPr>
      <w:rPr>
        <w:rFonts w:ascii="Wingdings" w:hAnsi="Wingdings" w:hint="default"/>
      </w:rPr>
    </w:lvl>
    <w:lvl w:ilvl="6">
      <w:start w:val="1"/>
      <w:numFmt w:val="bullet"/>
      <w:lvlText w:val=""/>
      <w:lvlJc w:val="left"/>
      <w:pPr>
        <w:ind w:left="4813" w:hanging="360"/>
      </w:pPr>
      <w:rPr>
        <w:rFonts w:ascii="Symbol" w:hAnsi="Symbol" w:hint="default"/>
      </w:rPr>
    </w:lvl>
    <w:lvl w:ilvl="7">
      <w:start w:val="1"/>
      <w:numFmt w:val="bullet"/>
      <w:lvlText w:val="o"/>
      <w:lvlJc w:val="left"/>
      <w:pPr>
        <w:ind w:left="5533" w:hanging="360"/>
      </w:pPr>
      <w:rPr>
        <w:rFonts w:ascii="Courier New" w:hAnsi="Courier New" w:cs="Courier New" w:hint="default"/>
      </w:rPr>
    </w:lvl>
    <w:lvl w:ilvl="8">
      <w:start w:val="1"/>
      <w:numFmt w:val="bullet"/>
      <w:lvlText w:val=""/>
      <w:lvlJc w:val="left"/>
      <w:pPr>
        <w:ind w:left="6253" w:hanging="360"/>
      </w:pPr>
      <w:rPr>
        <w:rFonts w:ascii="Wingdings" w:hAnsi="Wingdings" w:hint="default"/>
      </w:rPr>
    </w:lvl>
  </w:abstractNum>
  <w:abstractNum w:abstractNumId="26" w15:restartNumberingAfterBreak="0">
    <w:nsid w:val="296001D8"/>
    <w:multiLevelType w:val="multilevel"/>
    <w:tmpl w:val="26A00CA6"/>
    <w:name w:val="ampr_box_BLUE_bullet_list"/>
    <w:lvl w:ilvl="0">
      <w:start w:val="1"/>
      <w:numFmt w:val="bullet"/>
      <w:lvlText w:val=""/>
      <w:lvlJc w:val="left"/>
      <w:pPr>
        <w:ind w:left="661" w:hanging="360"/>
      </w:pPr>
      <w:rPr>
        <w:rFonts w:ascii="Symbol" w:hAnsi="Symbol" w:hint="default"/>
        <w:color w:val="DC3903"/>
        <w:sz w:val="16"/>
      </w:rPr>
    </w:lvl>
    <w:lvl w:ilvl="1">
      <w:start w:val="1"/>
      <w:numFmt w:val="bullet"/>
      <w:lvlText w:val="o"/>
      <w:lvlJc w:val="left"/>
      <w:pPr>
        <w:ind w:left="1682" w:hanging="360"/>
      </w:pPr>
      <w:rPr>
        <w:rFonts w:ascii="Courier New" w:hAnsi="Courier New" w:hint="default"/>
      </w:rPr>
    </w:lvl>
    <w:lvl w:ilvl="2">
      <w:start w:val="1"/>
      <w:numFmt w:val="bullet"/>
      <w:lvlText w:val=""/>
      <w:lvlJc w:val="left"/>
      <w:pPr>
        <w:ind w:left="2402" w:hanging="360"/>
      </w:pPr>
      <w:rPr>
        <w:rFonts w:ascii="Wingdings" w:hAnsi="Wingdings" w:hint="default"/>
      </w:rPr>
    </w:lvl>
    <w:lvl w:ilvl="3">
      <w:start w:val="1"/>
      <w:numFmt w:val="bullet"/>
      <w:lvlText w:val=""/>
      <w:lvlJc w:val="left"/>
      <w:pPr>
        <w:ind w:left="3122" w:hanging="360"/>
      </w:pPr>
      <w:rPr>
        <w:rFonts w:ascii="Symbol" w:hAnsi="Symbol" w:hint="default"/>
      </w:rPr>
    </w:lvl>
    <w:lvl w:ilvl="4">
      <w:start w:val="1"/>
      <w:numFmt w:val="bullet"/>
      <w:lvlText w:val="o"/>
      <w:lvlJc w:val="left"/>
      <w:pPr>
        <w:ind w:left="3842" w:hanging="360"/>
      </w:pPr>
      <w:rPr>
        <w:rFonts w:ascii="Courier New" w:hAnsi="Courier New" w:hint="default"/>
      </w:rPr>
    </w:lvl>
    <w:lvl w:ilvl="5">
      <w:start w:val="1"/>
      <w:numFmt w:val="bullet"/>
      <w:lvlText w:val=""/>
      <w:lvlJc w:val="left"/>
      <w:pPr>
        <w:ind w:left="4562" w:hanging="360"/>
      </w:pPr>
      <w:rPr>
        <w:rFonts w:ascii="Wingdings" w:hAnsi="Wingdings" w:hint="default"/>
      </w:rPr>
    </w:lvl>
    <w:lvl w:ilvl="6">
      <w:start w:val="1"/>
      <w:numFmt w:val="bullet"/>
      <w:lvlText w:val=""/>
      <w:lvlJc w:val="left"/>
      <w:pPr>
        <w:ind w:left="5282" w:hanging="360"/>
      </w:pPr>
      <w:rPr>
        <w:rFonts w:ascii="Symbol" w:hAnsi="Symbol" w:hint="default"/>
      </w:rPr>
    </w:lvl>
    <w:lvl w:ilvl="7">
      <w:start w:val="1"/>
      <w:numFmt w:val="bullet"/>
      <w:lvlText w:val="o"/>
      <w:lvlJc w:val="left"/>
      <w:pPr>
        <w:ind w:left="6002" w:hanging="360"/>
      </w:pPr>
      <w:rPr>
        <w:rFonts w:ascii="Courier New" w:hAnsi="Courier New" w:hint="default"/>
      </w:rPr>
    </w:lvl>
    <w:lvl w:ilvl="8">
      <w:start w:val="1"/>
      <w:numFmt w:val="bullet"/>
      <w:lvlText w:val=""/>
      <w:lvlJc w:val="left"/>
      <w:pPr>
        <w:ind w:left="6722" w:hanging="360"/>
      </w:pPr>
      <w:rPr>
        <w:rFonts w:ascii="Wingdings" w:hAnsi="Wingdings" w:hint="default"/>
      </w:rPr>
    </w:lvl>
  </w:abstractNum>
  <w:abstractNum w:abstractNumId="27" w15:restartNumberingAfterBreak="0">
    <w:nsid w:val="2F9772C9"/>
    <w:multiLevelType w:val="multilevel"/>
    <w:tmpl w:val="6C0208F0"/>
    <w:styleLink w:val="amprLISTbluebullets"/>
    <w:lvl w:ilvl="0">
      <w:start w:val="1"/>
      <w:numFmt w:val="bullet"/>
      <w:lvlText w:val="•"/>
      <w:lvlJc w:val="left"/>
      <w:pPr>
        <w:ind w:left="794" w:hanging="397"/>
      </w:pPr>
      <w:rPr>
        <w:rFonts w:ascii="Calibri" w:hAnsi="Calibri" w:hint="default"/>
        <w:color w:val="003399" w:themeColor="text2"/>
      </w:rPr>
    </w:lvl>
    <w:lvl w:ilvl="1">
      <w:start w:val="1"/>
      <w:numFmt w:val="bullet"/>
      <w:lvlText w:val="—"/>
      <w:lvlJc w:val="left"/>
      <w:pPr>
        <w:ind w:left="1588" w:hanging="397"/>
      </w:pPr>
      <w:rPr>
        <w:rFonts w:ascii="Times New Roman" w:hAnsi="Times New Roman" w:cs="Times New Roman" w:hint="default"/>
        <w:color w:val="003399" w:themeColor="text2"/>
      </w:rPr>
    </w:lvl>
    <w:lvl w:ilvl="2">
      <w:start w:val="1"/>
      <w:numFmt w:val="bullet"/>
      <w:lvlText w:val=""/>
      <w:lvlJc w:val="left"/>
      <w:pPr>
        <w:ind w:left="2155" w:hanging="355"/>
      </w:pPr>
      <w:rPr>
        <w:rFonts w:ascii="Wingdings" w:hAnsi="Wingdings" w:hint="default"/>
      </w:rPr>
    </w:lvl>
    <w:lvl w:ilvl="3">
      <w:start w:val="1"/>
      <w:numFmt w:val="bullet"/>
      <w:lvlText w:val=""/>
      <w:lvlJc w:val="left"/>
      <w:pPr>
        <w:ind w:left="2875" w:hanging="355"/>
      </w:pPr>
      <w:rPr>
        <w:rFonts w:ascii="Symbol" w:hAnsi="Symbol" w:hint="default"/>
      </w:rPr>
    </w:lvl>
    <w:lvl w:ilvl="4">
      <w:start w:val="1"/>
      <w:numFmt w:val="bullet"/>
      <w:lvlText w:val="o"/>
      <w:lvlJc w:val="left"/>
      <w:pPr>
        <w:ind w:left="3595" w:hanging="355"/>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0B25453"/>
    <w:multiLevelType w:val="multilevel"/>
    <w:tmpl w:val="C694B9AC"/>
    <w:name w:val="List_Bullet_AMPR"/>
    <w:lvl w:ilvl="0">
      <w:start w:val="1"/>
      <w:numFmt w:val="bullet"/>
      <w:lvlText w:val="•"/>
      <w:lvlJc w:val="left"/>
      <w:pPr>
        <w:tabs>
          <w:tab w:val="num" w:pos="397"/>
        </w:tabs>
        <w:ind w:left="397" w:hanging="397"/>
      </w:pPr>
      <w:rPr>
        <w:rFonts w:ascii="Calibri" w:hAnsi="Calibri" w:hint="default"/>
        <w:color w:val="003399" w:themeColor="text2"/>
      </w:rPr>
    </w:lvl>
    <w:lvl w:ilvl="1">
      <w:start w:val="1"/>
      <w:numFmt w:val="bullet"/>
      <w:lvlText w:val="—"/>
      <w:lvlJc w:val="left"/>
      <w:pPr>
        <w:tabs>
          <w:tab w:val="num" w:pos="1361"/>
        </w:tabs>
        <w:ind w:left="964" w:hanging="397"/>
      </w:pPr>
      <w:rPr>
        <w:rFonts w:ascii="Times New Roman" w:hAnsi="Times New Roman" w:cs="Times New Roman" w:hint="default"/>
        <w:color w:val="003399" w:themeColor="text2"/>
        <w:sz w:val="20"/>
      </w:rPr>
    </w:lvl>
    <w:lvl w:ilvl="2">
      <w:start w:val="1"/>
      <w:numFmt w:val="bullet"/>
      <w:lvlText w:val=""/>
      <w:lvlJc w:val="left"/>
      <w:pPr>
        <w:tabs>
          <w:tab w:val="num" w:pos="1928"/>
        </w:tabs>
        <w:ind w:left="1531" w:hanging="397"/>
      </w:pPr>
      <w:rPr>
        <w:rFonts w:ascii="Wingdings" w:hAnsi="Wingdings" w:hint="default"/>
        <w:color w:val="003399" w:themeColor="text2"/>
      </w:rPr>
    </w:lvl>
    <w:lvl w:ilvl="3">
      <w:start w:val="1"/>
      <w:numFmt w:val="bullet"/>
      <w:lvlText w:val=""/>
      <w:lvlJc w:val="left"/>
      <w:pPr>
        <w:tabs>
          <w:tab w:val="num" w:pos="2495"/>
        </w:tabs>
        <w:ind w:left="2098" w:hanging="397"/>
      </w:pPr>
      <w:rPr>
        <w:rFonts w:ascii="Wingdings 3" w:hAnsi="Wingdings 3" w:hint="default"/>
        <w:color w:val="003399" w:themeColor="tex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9" w15:restartNumberingAfterBreak="0">
    <w:nsid w:val="3F915386"/>
    <w:multiLevelType w:val="hybridMultilevel"/>
    <w:tmpl w:val="9580FAA8"/>
    <w:lvl w:ilvl="0" w:tplc="1876B4E0">
      <w:start w:val="1"/>
      <w:numFmt w:val="bullet"/>
      <w:pStyle w:val="amprboxBLUEbulletlist"/>
      <w:lvlText w:val="·"/>
      <w:lvlJc w:val="left"/>
      <w:pPr>
        <w:ind w:left="661" w:hanging="360"/>
      </w:pPr>
      <w:rPr>
        <w:rFonts w:ascii="Symbol" w:hAnsi="Symbol" w:hint="default"/>
        <w:color w:val="DC3903"/>
        <w:sz w:val="16"/>
      </w:rPr>
    </w:lvl>
    <w:lvl w:ilvl="1" w:tplc="07F0D404">
      <w:start w:val="1"/>
      <w:numFmt w:val="bullet"/>
      <w:lvlText w:val="o"/>
      <w:lvlJc w:val="left"/>
      <w:pPr>
        <w:ind w:left="1682" w:hanging="360"/>
      </w:pPr>
      <w:rPr>
        <w:rFonts w:ascii="Courier New" w:hAnsi="Courier New" w:hint="default"/>
      </w:rPr>
    </w:lvl>
    <w:lvl w:ilvl="2" w:tplc="3224E5FC">
      <w:start w:val="1"/>
      <w:numFmt w:val="bullet"/>
      <w:lvlText w:val=""/>
      <w:lvlJc w:val="left"/>
      <w:pPr>
        <w:ind w:left="2402" w:hanging="360"/>
      </w:pPr>
      <w:rPr>
        <w:rFonts w:ascii="Wingdings" w:hAnsi="Wingdings" w:hint="default"/>
      </w:rPr>
    </w:lvl>
    <w:lvl w:ilvl="3" w:tplc="9418E254">
      <w:start w:val="1"/>
      <w:numFmt w:val="bullet"/>
      <w:lvlText w:val=""/>
      <w:lvlJc w:val="left"/>
      <w:pPr>
        <w:ind w:left="3122" w:hanging="360"/>
      </w:pPr>
      <w:rPr>
        <w:rFonts w:ascii="Symbol" w:hAnsi="Symbol" w:hint="default"/>
      </w:rPr>
    </w:lvl>
    <w:lvl w:ilvl="4" w:tplc="2EC47462">
      <w:start w:val="1"/>
      <w:numFmt w:val="bullet"/>
      <w:lvlText w:val="o"/>
      <w:lvlJc w:val="left"/>
      <w:pPr>
        <w:ind w:left="3842" w:hanging="360"/>
      </w:pPr>
      <w:rPr>
        <w:rFonts w:ascii="Courier New" w:hAnsi="Courier New" w:hint="default"/>
      </w:rPr>
    </w:lvl>
    <w:lvl w:ilvl="5" w:tplc="430ECF8E">
      <w:start w:val="1"/>
      <w:numFmt w:val="bullet"/>
      <w:lvlText w:val=""/>
      <w:lvlJc w:val="left"/>
      <w:pPr>
        <w:ind w:left="4562" w:hanging="360"/>
      </w:pPr>
      <w:rPr>
        <w:rFonts w:ascii="Wingdings" w:hAnsi="Wingdings" w:hint="default"/>
      </w:rPr>
    </w:lvl>
    <w:lvl w:ilvl="6" w:tplc="128CE28E">
      <w:start w:val="1"/>
      <w:numFmt w:val="bullet"/>
      <w:lvlText w:val=""/>
      <w:lvlJc w:val="left"/>
      <w:pPr>
        <w:ind w:left="5282" w:hanging="360"/>
      </w:pPr>
      <w:rPr>
        <w:rFonts w:ascii="Symbol" w:hAnsi="Symbol" w:hint="default"/>
      </w:rPr>
    </w:lvl>
    <w:lvl w:ilvl="7" w:tplc="203A964A">
      <w:start w:val="1"/>
      <w:numFmt w:val="bullet"/>
      <w:lvlText w:val="o"/>
      <w:lvlJc w:val="left"/>
      <w:pPr>
        <w:ind w:left="6002" w:hanging="360"/>
      </w:pPr>
      <w:rPr>
        <w:rFonts w:ascii="Courier New" w:hAnsi="Courier New" w:hint="default"/>
      </w:rPr>
    </w:lvl>
    <w:lvl w:ilvl="8" w:tplc="FF027D66">
      <w:start w:val="1"/>
      <w:numFmt w:val="bullet"/>
      <w:lvlText w:val=""/>
      <w:lvlJc w:val="left"/>
      <w:pPr>
        <w:ind w:left="6722" w:hanging="360"/>
      </w:pPr>
      <w:rPr>
        <w:rFonts w:ascii="Wingdings" w:hAnsi="Wingdings" w:hint="default"/>
      </w:rPr>
    </w:lvl>
  </w:abstractNum>
  <w:abstractNum w:abstractNumId="30" w15:restartNumberingAfterBreak="0">
    <w:nsid w:val="409434DB"/>
    <w:multiLevelType w:val="multilevel"/>
    <w:tmpl w:val="A17E0B58"/>
    <w:name w:val="ListAbcNumbering2"/>
    <w:lvl w:ilvl="0">
      <w:start w:val="1"/>
      <w:numFmt w:val="lowerLetter"/>
      <w:lvlText w:val="%1)"/>
      <w:lvlJc w:val="left"/>
      <w:pPr>
        <w:tabs>
          <w:tab w:val="num" w:pos="397"/>
        </w:tabs>
        <w:ind w:left="794" w:hanging="397"/>
      </w:pPr>
      <w:rPr>
        <w:rFonts w:hint="default"/>
      </w:rPr>
    </w:lvl>
    <w:lvl w:ilvl="1">
      <w:start w:val="1"/>
      <w:numFmt w:val="bullet"/>
      <w:lvlText w:val="—"/>
      <w:lvlJc w:val="left"/>
      <w:pPr>
        <w:tabs>
          <w:tab w:val="num" w:pos="1191"/>
        </w:tabs>
        <w:ind w:left="1587" w:hanging="396"/>
      </w:pPr>
      <w:rPr>
        <w:rFonts w:hint="default"/>
      </w:rPr>
    </w:lvl>
    <w:lvl w:ilvl="2">
      <w:start w:val="1"/>
      <w:numFmt w:val="lowerRoman"/>
      <w:lvlText w:val="%3)"/>
      <w:lvlJc w:val="left"/>
      <w:pPr>
        <w:tabs>
          <w:tab w:val="num" w:pos="1984"/>
        </w:tabs>
        <w:ind w:left="2381" w:hanging="397"/>
      </w:pPr>
      <w:rPr>
        <w:rFonts w:asciiTheme="minorHAnsi" w:hAnsiTheme="minorHAnsi"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119108F"/>
    <w:multiLevelType w:val="multilevel"/>
    <w:tmpl w:val="78D271A4"/>
    <w:name w:val="[ampr box]_bullet_list_orange_LIST"/>
    <w:styleLink w:val="amprboxbulletlistorangeLIST"/>
    <w:lvl w:ilvl="0">
      <w:start w:val="1"/>
      <w:numFmt w:val="bullet"/>
      <w:pStyle w:val="amprboxbulletlistorange"/>
      <w:lvlText w:val="•"/>
      <w:lvlJc w:val="left"/>
      <w:pPr>
        <w:ind w:left="360" w:hanging="59"/>
      </w:pPr>
      <w:rPr>
        <w:rFonts w:ascii="Calibri" w:hAnsi="Calibri" w:hint="default"/>
        <w:color w:val="DC3903"/>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3682017"/>
    <w:multiLevelType w:val="multilevel"/>
    <w:tmpl w:val="1A3CB24E"/>
    <w:name w:val="Numbered_with_indent_LIST"/>
    <w:styleLink w:val="NumberedwithindentLIST"/>
    <w:lvl w:ilvl="0">
      <w:start w:val="1"/>
      <w:numFmt w:val="decimal"/>
      <w:lvlText w:val="%1."/>
      <w:lvlJc w:val="left"/>
      <w:pPr>
        <w:ind w:left="794" w:hanging="397"/>
      </w:pPr>
      <w:rPr>
        <w:rFonts w:hint="default"/>
      </w:rPr>
    </w:lvl>
    <w:lvl w:ilvl="1">
      <w:start w:val="1"/>
      <w:numFmt w:val="decimal"/>
      <w:lvlText w:val="%1.%2."/>
      <w:lvlJc w:val="left"/>
      <w:pPr>
        <w:ind w:left="1587" w:hanging="510"/>
      </w:pPr>
      <w:rPr>
        <w:rFonts w:hint="default"/>
      </w:rPr>
    </w:lvl>
    <w:lvl w:ilvl="2">
      <w:start w:val="1"/>
      <w:numFmt w:val="decimal"/>
      <w:lvlText w:val="%1.%2.%3."/>
      <w:lvlJc w:val="left"/>
      <w:pPr>
        <w:ind w:left="2381" w:hanging="680"/>
      </w:pPr>
      <w:rPr>
        <w:rFonts w:hint="default"/>
      </w:rPr>
    </w:lvl>
    <w:lvl w:ilvl="3">
      <w:start w:val="1"/>
      <w:numFmt w:val="decimal"/>
      <w:lvlText w:val="%1.%2.%3.%4."/>
      <w:lvlJc w:val="left"/>
      <w:pPr>
        <w:ind w:left="3175" w:hanging="794"/>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33" w15:restartNumberingAfterBreak="0">
    <w:nsid w:val="45BD1E4A"/>
    <w:multiLevelType w:val="hybridMultilevel"/>
    <w:tmpl w:val="7AB86658"/>
    <w:name w:val="ListNumberNonindentedNumbering2"/>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7554950"/>
    <w:multiLevelType w:val="multilevel"/>
    <w:tmpl w:val="CB7E4932"/>
    <w:name w:val="ListBulletIndentedLIST"/>
    <w:styleLink w:val="ListBulletIndentedLIST"/>
    <w:lvl w:ilvl="0">
      <w:start w:val="1"/>
      <w:numFmt w:val="bullet"/>
      <w:pStyle w:val="ListBulletIndentedLevel1"/>
      <w:lvlText w:val="•"/>
      <w:lvlJc w:val="left"/>
      <w:pPr>
        <w:tabs>
          <w:tab w:val="num" w:pos="1191"/>
        </w:tabs>
        <w:ind w:left="1191" w:hanging="397"/>
      </w:pPr>
      <w:rPr>
        <w:rFonts w:ascii="Calibri" w:hAnsi="Calibri" w:hint="default"/>
        <w:color w:val="DC3903"/>
      </w:rPr>
    </w:lvl>
    <w:lvl w:ilvl="1">
      <w:start w:val="1"/>
      <w:numFmt w:val="bullet"/>
      <w:pStyle w:val="ListBulletIndentedLevel2"/>
      <w:lvlText w:val="—"/>
      <w:lvlJc w:val="left"/>
      <w:pPr>
        <w:tabs>
          <w:tab w:val="num" w:pos="1758"/>
        </w:tabs>
        <w:ind w:left="1758" w:hanging="397"/>
      </w:pPr>
      <w:rPr>
        <w:rFonts w:ascii="Times New Roman" w:hAnsi="Times New Roman" w:cs="Times New Roman" w:hint="default"/>
        <w:color w:val="DC3903"/>
        <w:sz w:val="20"/>
      </w:rPr>
    </w:lvl>
    <w:lvl w:ilvl="2">
      <w:start w:val="1"/>
      <w:numFmt w:val="bullet"/>
      <w:pStyle w:val="ListBulletIndentedLevel3"/>
      <w:lvlText w:val=""/>
      <w:lvlJc w:val="left"/>
      <w:pPr>
        <w:tabs>
          <w:tab w:val="num" w:pos="2325"/>
        </w:tabs>
        <w:ind w:left="2325" w:hanging="397"/>
      </w:pPr>
      <w:rPr>
        <w:rFonts w:ascii="Wingdings" w:hAnsi="Wingdings" w:hint="default"/>
        <w:color w:val="DC3903"/>
      </w:rPr>
    </w:lvl>
    <w:lvl w:ilvl="3">
      <w:start w:val="1"/>
      <w:numFmt w:val="bullet"/>
      <w:pStyle w:val="ListBulletIndentedLevel4"/>
      <w:lvlText w:val=""/>
      <w:lvlJc w:val="left"/>
      <w:pPr>
        <w:tabs>
          <w:tab w:val="num" w:pos="2892"/>
        </w:tabs>
        <w:ind w:left="2892" w:hanging="397"/>
      </w:pPr>
      <w:rPr>
        <w:rFonts w:ascii="Wingdings 3" w:hAnsi="Wingdings 3" w:hint="default"/>
        <w:color w:val="DC3903"/>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35" w15:restartNumberingAfterBreak="0">
    <w:nsid w:val="4E58592F"/>
    <w:multiLevelType w:val="multilevel"/>
    <w:tmpl w:val="83DAEB82"/>
    <w:styleLink w:val="LISTAboutEUpage"/>
    <w:lvl w:ilvl="0">
      <w:start w:val="1"/>
      <w:numFmt w:val="bullet"/>
      <w:lvlText w:val="—"/>
      <w:lvlJc w:val="left"/>
      <w:pPr>
        <w:tabs>
          <w:tab w:val="num" w:pos="397"/>
        </w:tabs>
        <w:ind w:left="357" w:hanging="357"/>
      </w:pPr>
      <w:rPr>
        <w:rFonts w:ascii="Arial" w:hAnsi="Arial" w:hint="default"/>
        <w:color w:val="auto"/>
      </w:rPr>
    </w:lvl>
    <w:lvl w:ilvl="1">
      <w:start w:val="1"/>
      <w:numFmt w:val="none"/>
      <w:lvlText w:val=""/>
      <w:lvlJc w:val="left"/>
      <w:pPr>
        <w:tabs>
          <w:tab w:val="num" w:pos="397"/>
        </w:tabs>
        <w:ind w:left="357" w:hanging="357"/>
      </w:pPr>
      <w:rPr>
        <w:rFonts w:hint="default"/>
        <w:color w:val="auto"/>
        <w:sz w:val="20"/>
      </w:rPr>
    </w:lvl>
    <w:lvl w:ilvl="2">
      <w:start w:val="1"/>
      <w:numFmt w:val="none"/>
      <w:lvlText w:val=""/>
      <w:lvlJc w:val="left"/>
      <w:pPr>
        <w:tabs>
          <w:tab w:val="num" w:pos="397"/>
        </w:tabs>
        <w:ind w:left="357" w:hanging="357"/>
      </w:pPr>
      <w:rPr>
        <w:rFonts w:hint="default"/>
        <w:color w:val="auto"/>
      </w:rPr>
    </w:lvl>
    <w:lvl w:ilvl="3">
      <w:start w:val="1"/>
      <w:numFmt w:val="none"/>
      <w:lvlText w:val=""/>
      <w:lvlJc w:val="left"/>
      <w:pPr>
        <w:tabs>
          <w:tab w:val="num" w:pos="397"/>
        </w:tabs>
        <w:ind w:left="357" w:hanging="357"/>
      </w:pPr>
      <w:rPr>
        <w:rFonts w:hint="default"/>
        <w:color w:val="DE6002" w:themeColor="accent2"/>
      </w:rPr>
    </w:lvl>
    <w:lvl w:ilvl="4">
      <w:numFmt w:val="none"/>
      <w:lvlText w:val=""/>
      <w:lvlJc w:val="left"/>
      <w:pPr>
        <w:tabs>
          <w:tab w:val="num" w:pos="397"/>
        </w:tabs>
        <w:ind w:left="357" w:hanging="357"/>
      </w:pPr>
      <w:rPr>
        <w:rFonts w:hint="default"/>
      </w:rPr>
    </w:lvl>
    <w:lvl w:ilvl="5">
      <w:numFmt w:val="none"/>
      <w:lvlText w:val=""/>
      <w:lvlJc w:val="left"/>
      <w:pPr>
        <w:tabs>
          <w:tab w:val="num" w:pos="397"/>
        </w:tabs>
        <w:ind w:left="357" w:hanging="357"/>
      </w:pPr>
      <w:rPr>
        <w:rFonts w:hint="default"/>
      </w:rPr>
    </w:lvl>
    <w:lvl w:ilvl="6">
      <w:numFmt w:val="none"/>
      <w:lvlText w:val=""/>
      <w:lvlJc w:val="left"/>
      <w:pPr>
        <w:tabs>
          <w:tab w:val="num" w:pos="397"/>
        </w:tabs>
        <w:ind w:left="357" w:hanging="357"/>
      </w:pPr>
      <w:rPr>
        <w:rFonts w:hint="default"/>
      </w:rPr>
    </w:lvl>
    <w:lvl w:ilvl="7">
      <w:numFmt w:val="none"/>
      <w:lvlText w:val=""/>
      <w:lvlJc w:val="left"/>
      <w:pPr>
        <w:tabs>
          <w:tab w:val="num" w:pos="397"/>
        </w:tabs>
        <w:ind w:left="357" w:hanging="357"/>
      </w:pPr>
      <w:rPr>
        <w:rFonts w:hint="default"/>
      </w:rPr>
    </w:lvl>
    <w:lvl w:ilvl="8">
      <w:numFmt w:val="none"/>
      <w:lvlText w:val=""/>
      <w:lvlJc w:val="left"/>
      <w:pPr>
        <w:tabs>
          <w:tab w:val="num" w:pos="397"/>
        </w:tabs>
        <w:ind w:left="357" w:hanging="357"/>
      </w:pPr>
      <w:rPr>
        <w:rFonts w:hint="default"/>
      </w:rPr>
    </w:lvl>
  </w:abstractNum>
  <w:abstractNum w:abstractNumId="36" w15:restartNumberingAfterBreak="0">
    <w:nsid w:val="4EB000F4"/>
    <w:multiLevelType w:val="multilevel"/>
    <w:tmpl w:val="4876269E"/>
    <w:styleLink w:val="PPOLISTHyphened"/>
    <w:lvl w:ilvl="0">
      <w:start w:val="1"/>
      <w:numFmt w:val="bullet"/>
      <w:lvlText w:val="–"/>
      <w:lvlJc w:val="left"/>
      <w:pPr>
        <w:ind w:left="357" w:hanging="357"/>
      </w:pPr>
      <w:rPr>
        <w:rFonts w:ascii="Arial" w:hAnsi="Arial" w:hint="default"/>
      </w:rPr>
    </w:lvl>
    <w:lvl w:ilvl="1">
      <w:numFmt w:val="bullet"/>
      <w:lvlText w:val=""/>
      <w:lvlJc w:val="left"/>
      <w:pPr>
        <w:ind w:left="1435" w:hanging="358"/>
      </w:pPr>
      <w:rPr>
        <w:rFonts w:ascii="Wingdings" w:hAnsi="Wingdings" w:hint="default"/>
      </w:rPr>
    </w:lvl>
    <w:lvl w:ilvl="2">
      <w:start w:val="1"/>
      <w:numFmt w:val="bullet"/>
      <w:lvlText w:val="◊"/>
      <w:lvlJc w:val="left"/>
      <w:pPr>
        <w:ind w:left="2512" w:hanging="357"/>
      </w:pPr>
      <w:rPr>
        <w:rFonts w:ascii="EC Square Sans Pro" w:hAnsi="EC Square Sans Pro"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4EF1417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4F412EEC"/>
    <w:multiLevelType w:val="multilevel"/>
    <w:tmpl w:val="111E0B02"/>
    <w:name w:val="ListNumberNonindentedNumbering52"/>
    <w:lvl w:ilvl="0">
      <w:start w:val="1"/>
      <w:numFmt w:val="decimal"/>
      <w:lvlText w:val="%1."/>
      <w:lvlJc w:val="left"/>
      <w:pPr>
        <w:ind w:left="397" w:hanging="397"/>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9" w15:restartNumberingAfterBreak="0">
    <w:nsid w:val="55C64896"/>
    <w:multiLevelType w:val="multilevel"/>
    <w:tmpl w:val="D61EF4EC"/>
    <w:styleLink w:val="amprboxbulletlistLIST"/>
    <w:lvl w:ilvl="0">
      <w:start w:val="1"/>
      <w:numFmt w:val="bullet"/>
      <w:pStyle w:val="amprboxbulletlist"/>
      <w:lvlText w:val="•"/>
      <w:lvlJc w:val="left"/>
      <w:pPr>
        <w:ind w:left="360" w:hanging="59"/>
      </w:pPr>
      <w:rPr>
        <w:rFonts w:ascii="Calibri" w:hAnsi="Calibri"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BB2205"/>
    <w:multiLevelType w:val="multilevel"/>
    <w:tmpl w:val="977052E4"/>
    <w:styleLink w:val="amprLISTgreenbullets"/>
    <w:lvl w:ilvl="0">
      <w:start w:val="1"/>
      <w:numFmt w:val="decimal"/>
      <w:lvlText w:val="%1)"/>
      <w:lvlJc w:val="left"/>
      <w:pPr>
        <w:ind w:left="357" w:hanging="357"/>
      </w:pPr>
      <w:rPr>
        <w:rFonts w:hint="default"/>
      </w:rPr>
    </w:lvl>
    <w:lvl w:ilvl="1">
      <w:start w:val="1"/>
      <w:numFmt w:val="decimal"/>
      <w:lvlText w:val="%1)"/>
      <w:lvlJc w:val="left"/>
      <w:pPr>
        <w:ind w:left="357" w:hanging="357"/>
      </w:pPr>
      <w:rPr>
        <w:rFonts w:hint="default"/>
      </w:rPr>
    </w:lvl>
    <w:lvl w:ilvl="2">
      <w:start w:val="1"/>
      <w:numFmt w:val="decimal"/>
      <w:lvlText w:val="%1)"/>
      <w:lvlJc w:val="left"/>
      <w:pPr>
        <w:ind w:left="357" w:hanging="357"/>
      </w:pPr>
      <w:rPr>
        <w:rFonts w:hint="default"/>
      </w:rPr>
    </w:lvl>
    <w:lvl w:ilvl="3">
      <w:start w:val="1"/>
      <w:numFmt w:val="decimal"/>
      <w:lvlText w:val="%1)"/>
      <w:lvlJc w:val="left"/>
      <w:pPr>
        <w:ind w:left="357" w:hanging="357"/>
      </w:pPr>
      <w:rPr>
        <w:rFonts w:hint="default"/>
      </w:rPr>
    </w:lvl>
    <w:lvl w:ilvl="4">
      <w:start w:val="1"/>
      <w:numFmt w:val="decimal"/>
      <w:lvlText w:val="%1)"/>
      <w:lvlJc w:val="left"/>
      <w:pPr>
        <w:ind w:left="357" w:hanging="357"/>
      </w:pPr>
      <w:rPr>
        <w:rFonts w:hint="default"/>
      </w:rPr>
    </w:lvl>
    <w:lvl w:ilvl="5">
      <w:start w:val="1"/>
      <w:numFmt w:val="decimal"/>
      <w:lvlText w:val="%1)"/>
      <w:lvlJc w:val="left"/>
      <w:pPr>
        <w:ind w:left="357" w:hanging="357"/>
      </w:pPr>
      <w:rPr>
        <w:rFonts w:hint="default"/>
      </w:rPr>
    </w:lvl>
    <w:lvl w:ilvl="6">
      <w:start w:val="1"/>
      <w:numFmt w:val="decimal"/>
      <w:lvlText w:val="%1)"/>
      <w:lvlJc w:val="left"/>
      <w:pPr>
        <w:ind w:left="357" w:hanging="357"/>
      </w:pPr>
      <w:rPr>
        <w:rFonts w:hint="default"/>
      </w:rPr>
    </w:lvl>
    <w:lvl w:ilvl="7">
      <w:start w:val="1"/>
      <w:numFmt w:val="decimal"/>
      <w:lvlText w:val="%1)"/>
      <w:lvlJc w:val="left"/>
      <w:pPr>
        <w:ind w:left="357" w:hanging="357"/>
      </w:pPr>
      <w:rPr>
        <w:rFonts w:hint="default"/>
      </w:rPr>
    </w:lvl>
    <w:lvl w:ilvl="8">
      <w:start w:val="1"/>
      <w:numFmt w:val="decimal"/>
      <w:lvlText w:val="%1)"/>
      <w:lvlJc w:val="left"/>
      <w:pPr>
        <w:ind w:left="357" w:hanging="357"/>
      </w:pPr>
      <w:rPr>
        <w:rFonts w:hint="default"/>
      </w:rPr>
    </w:lvl>
  </w:abstractNum>
  <w:abstractNum w:abstractNumId="41" w15:restartNumberingAfterBreak="0">
    <w:nsid w:val="5FF50817"/>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12E70B1"/>
    <w:multiLevelType w:val="multilevel"/>
    <w:tmpl w:val="E036345E"/>
    <w:name w:val="H_Num_from_H2"/>
    <w:styleLink w:val="HNum-fromh2LIST"/>
    <w:lvl w:ilvl="0">
      <w:start w:val="1"/>
      <w:numFmt w:val="decimal"/>
      <w:pStyle w:val="HNum-fromh2Heading2-1"/>
      <w:lvlText w:val="%1."/>
      <w:lvlJc w:val="left"/>
      <w:pPr>
        <w:ind w:left="907" w:hanging="907"/>
      </w:pPr>
      <w:rPr>
        <w:rFonts w:hint="default"/>
      </w:rPr>
    </w:lvl>
    <w:lvl w:ilvl="1">
      <w:start w:val="1"/>
      <w:numFmt w:val="decimal"/>
      <w:pStyle w:val="HNum-fromh2Heading3-11"/>
      <w:lvlText w:val="%1.%2."/>
      <w:lvlJc w:val="left"/>
      <w:pPr>
        <w:ind w:left="907" w:hanging="907"/>
      </w:pPr>
      <w:rPr>
        <w:rFonts w:hint="default"/>
      </w:rPr>
    </w:lvl>
    <w:lvl w:ilvl="2">
      <w:start w:val="1"/>
      <w:numFmt w:val="decimal"/>
      <w:pStyle w:val="HNum-fromh2Heading4-111"/>
      <w:lvlText w:val="%1.%2.%3."/>
      <w:lvlJc w:val="left"/>
      <w:pPr>
        <w:ind w:left="1616" w:hanging="907"/>
      </w:pPr>
      <w:rPr>
        <w:rFonts w:hint="default"/>
      </w:rPr>
    </w:lvl>
    <w:lvl w:ilvl="3">
      <w:start w:val="1"/>
      <w:numFmt w:val="none"/>
      <w:lvlText w:val=""/>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32C54AF"/>
    <w:multiLevelType w:val="multilevel"/>
    <w:tmpl w:val="26A00CA6"/>
    <w:styleLink w:val="amprboxBLUEbulletlistLIST"/>
    <w:lvl w:ilvl="0">
      <w:start w:val="1"/>
      <w:numFmt w:val="bullet"/>
      <w:lvlText w:val=""/>
      <w:lvlJc w:val="left"/>
      <w:pPr>
        <w:ind w:left="661" w:hanging="360"/>
      </w:pPr>
      <w:rPr>
        <w:rFonts w:ascii="Symbol" w:hAnsi="Symbol" w:hint="default"/>
        <w:color w:val="DC3903"/>
        <w:sz w:val="16"/>
      </w:rPr>
    </w:lvl>
    <w:lvl w:ilvl="1">
      <w:start w:val="1"/>
      <w:numFmt w:val="bullet"/>
      <w:lvlText w:val="o"/>
      <w:lvlJc w:val="left"/>
      <w:pPr>
        <w:ind w:left="1682" w:hanging="360"/>
      </w:pPr>
      <w:rPr>
        <w:rFonts w:ascii="Courier New" w:hAnsi="Courier New" w:hint="default"/>
      </w:rPr>
    </w:lvl>
    <w:lvl w:ilvl="2">
      <w:start w:val="1"/>
      <w:numFmt w:val="bullet"/>
      <w:lvlText w:val=""/>
      <w:lvlJc w:val="left"/>
      <w:pPr>
        <w:ind w:left="2402" w:hanging="360"/>
      </w:pPr>
      <w:rPr>
        <w:rFonts w:ascii="Wingdings" w:hAnsi="Wingdings" w:hint="default"/>
      </w:rPr>
    </w:lvl>
    <w:lvl w:ilvl="3">
      <w:start w:val="1"/>
      <w:numFmt w:val="bullet"/>
      <w:lvlText w:val=""/>
      <w:lvlJc w:val="left"/>
      <w:pPr>
        <w:ind w:left="3122" w:hanging="360"/>
      </w:pPr>
      <w:rPr>
        <w:rFonts w:ascii="Symbol" w:hAnsi="Symbol" w:hint="default"/>
      </w:rPr>
    </w:lvl>
    <w:lvl w:ilvl="4">
      <w:start w:val="1"/>
      <w:numFmt w:val="bullet"/>
      <w:lvlText w:val="o"/>
      <w:lvlJc w:val="left"/>
      <w:pPr>
        <w:ind w:left="3842" w:hanging="360"/>
      </w:pPr>
      <w:rPr>
        <w:rFonts w:ascii="Courier New" w:hAnsi="Courier New" w:hint="default"/>
      </w:rPr>
    </w:lvl>
    <w:lvl w:ilvl="5">
      <w:start w:val="1"/>
      <w:numFmt w:val="bullet"/>
      <w:lvlText w:val=""/>
      <w:lvlJc w:val="left"/>
      <w:pPr>
        <w:ind w:left="4562" w:hanging="360"/>
      </w:pPr>
      <w:rPr>
        <w:rFonts w:ascii="Wingdings" w:hAnsi="Wingdings" w:hint="default"/>
      </w:rPr>
    </w:lvl>
    <w:lvl w:ilvl="6">
      <w:start w:val="1"/>
      <w:numFmt w:val="bullet"/>
      <w:lvlText w:val=""/>
      <w:lvlJc w:val="left"/>
      <w:pPr>
        <w:ind w:left="5282" w:hanging="360"/>
      </w:pPr>
      <w:rPr>
        <w:rFonts w:ascii="Symbol" w:hAnsi="Symbol" w:hint="default"/>
      </w:rPr>
    </w:lvl>
    <w:lvl w:ilvl="7">
      <w:start w:val="1"/>
      <w:numFmt w:val="bullet"/>
      <w:lvlText w:val="o"/>
      <w:lvlJc w:val="left"/>
      <w:pPr>
        <w:ind w:left="6002" w:hanging="360"/>
      </w:pPr>
      <w:rPr>
        <w:rFonts w:ascii="Courier New" w:hAnsi="Courier New" w:hint="default"/>
      </w:rPr>
    </w:lvl>
    <w:lvl w:ilvl="8">
      <w:start w:val="1"/>
      <w:numFmt w:val="bullet"/>
      <w:lvlText w:val=""/>
      <w:lvlJc w:val="left"/>
      <w:pPr>
        <w:ind w:left="6722" w:hanging="360"/>
      </w:pPr>
      <w:rPr>
        <w:rFonts w:ascii="Wingdings" w:hAnsi="Wingdings" w:hint="default"/>
      </w:rPr>
    </w:lvl>
  </w:abstractNum>
  <w:abstractNum w:abstractNumId="44" w15:restartNumberingAfterBreak="0">
    <w:nsid w:val="6DE653BB"/>
    <w:multiLevelType w:val="multilevel"/>
    <w:tmpl w:val="02EC5CF6"/>
    <w:styleLink w:val="ListBulletorangeLIST"/>
    <w:lvl w:ilvl="0">
      <w:start w:val="1"/>
      <w:numFmt w:val="bullet"/>
      <w:pStyle w:val="ListBulletorangeLevel1"/>
      <w:lvlText w:val="•"/>
      <w:lvlJc w:val="left"/>
      <w:pPr>
        <w:tabs>
          <w:tab w:val="num" w:pos="397"/>
        </w:tabs>
        <w:ind w:left="397" w:hanging="397"/>
      </w:pPr>
      <w:rPr>
        <w:rFonts w:ascii="Calibri" w:hAnsi="Calibri" w:hint="default"/>
        <w:color w:val="DC3903"/>
      </w:rPr>
    </w:lvl>
    <w:lvl w:ilvl="1">
      <w:start w:val="1"/>
      <w:numFmt w:val="bullet"/>
      <w:lvlText w:val="—"/>
      <w:lvlJc w:val="left"/>
      <w:pPr>
        <w:tabs>
          <w:tab w:val="num" w:pos="1361"/>
        </w:tabs>
        <w:ind w:left="964" w:hanging="397"/>
      </w:pPr>
      <w:rPr>
        <w:rFonts w:ascii="Times New Roman" w:hAnsi="Times New Roman" w:cs="Times New Roman" w:hint="default"/>
        <w:color w:val="003399"/>
        <w:sz w:val="20"/>
      </w:rPr>
    </w:lvl>
    <w:lvl w:ilvl="2">
      <w:start w:val="1"/>
      <w:numFmt w:val="bullet"/>
      <w:lvlText w:val=""/>
      <w:lvlJc w:val="left"/>
      <w:pPr>
        <w:tabs>
          <w:tab w:val="num" w:pos="1928"/>
        </w:tabs>
        <w:ind w:left="1531" w:hanging="397"/>
      </w:pPr>
      <w:rPr>
        <w:rFonts w:ascii="Wingdings" w:hAnsi="Wingdings" w:hint="default"/>
        <w:color w:val="003399"/>
      </w:rPr>
    </w:lvl>
    <w:lvl w:ilvl="3">
      <w:start w:val="1"/>
      <w:numFmt w:val="bullet"/>
      <w:lvlText w:val=""/>
      <w:lvlJc w:val="left"/>
      <w:pPr>
        <w:tabs>
          <w:tab w:val="num" w:pos="2495"/>
        </w:tabs>
        <w:ind w:left="2098" w:hanging="397"/>
      </w:pPr>
      <w:rPr>
        <w:rFonts w:ascii="Wingdings 3" w:hAnsi="Wingdings 3" w:hint="default"/>
        <w:color w:val="003399"/>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5" w15:restartNumberingAfterBreak="0">
    <w:nsid w:val="721A26B8"/>
    <w:multiLevelType w:val="multilevel"/>
    <w:tmpl w:val="64546AD2"/>
    <w:styleLink w:val="LISTBulletforinfographic"/>
    <w:lvl w:ilvl="0">
      <w:start w:val="1"/>
      <w:numFmt w:val="bullet"/>
      <w:pStyle w:val="Bulletforinfographic"/>
      <w:lvlText w:val="•"/>
      <w:lvlJc w:val="left"/>
      <w:pPr>
        <w:tabs>
          <w:tab w:val="num" w:pos="170"/>
        </w:tabs>
        <w:ind w:left="170" w:hanging="170"/>
      </w:pPr>
      <w:rPr>
        <w:rFonts w:ascii="Calibri" w:hAnsi="Calibri" w:hint="default"/>
        <w:color w:val="DC3903"/>
      </w:rPr>
    </w:lvl>
    <w:lvl w:ilvl="1">
      <w:start w:val="1"/>
      <w:numFmt w:val="bullet"/>
      <w:lvlText w:val="—"/>
      <w:lvlJc w:val="left"/>
      <w:pPr>
        <w:tabs>
          <w:tab w:val="num" w:pos="1191"/>
        </w:tabs>
        <w:ind w:left="1587" w:hanging="396"/>
      </w:pPr>
      <w:rPr>
        <w:rFonts w:ascii="Times New Roman" w:hAnsi="Times New Roman" w:cs="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6" w15:restartNumberingAfterBreak="0">
    <w:nsid w:val="728A6571"/>
    <w:multiLevelType w:val="multilevel"/>
    <w:tmpl w:val="DF4C249E"/>
    <w:styleLink w:val="FootnotetextbulletLIST"/>
    <w:lvl w:ilvl="0">
      <w:start w:val="1"/>
      <w:numFmt w:val="bullet"/>
      <w:pStyle w:val="Footnotetextbullet"/>
      <w:lvlText w:val="•"/>
      <w:lvlJc w:val="left"/>
      <w:pPr>
        <w:ind w:left="964" w:hanging="250"/>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82788733">
    <w:abstractNumId w:val="19"/>
  </w:num>
  <w:num w:numId="2" w16cid:durableId="1342707571">
    <w:abstractNumId w:val="27"/>
  </w:num>
  <w:num w:numId="3" w16cid:durableId="1572428094">
    <w:abstractNumId w:val="40"/>
  </w:num>
  <w:num w:numId="4" w16cid:durableId="1725788660">
    <w:abstractNumId w:val="25"/>
  </w:num>
  <w:num w:numId="5" w16cid:durableId="481505277">
    <w:abstractNumId w:val="36"/>
  </w:num>
  <w:num w:numId="6" w16cid:durableId="1678730609">
    <w:abstractNumId w:val="41"/>
  </w:num>
  <w:num w:numId="7" w16cid:durableId="1322151357">
    <w:abstractNumId w:val="15"/>
  </w:num>
  <w:num w:numId="8" w16cid:durableId="782958810">
    <w:abstractNumId w:val="37"/>
  </w:num>
  <w:num w:numId="9" w16cid:durableId="597441929">
    <w:abstractNumId w:val="42"/>
  </w:num>
  <w:num w:numId="10" w16cid:durableId="1849052365">
    <w:abstractNumId w:val="35"/>
  </w:num>
  <w:num w:numId="11" w16cid:durableId="489832511">
    <w:abstractNumId w:val="24"/>
  </w:num>
  <w:num w:numId="12" w16cid:durableId="1896775453">
    <w:abstractNumId w:val="28"/>
  </w:num>
  <w:num w:numId="13" w16cid:durableId="148909116">
    <w:abstractNumId w:val="10"/>
  </w:num>
  <w:num w:numId="14" w16cid:durableId="1657033510">
    <w:abstractNumId w:val="7"/>
  </w:num>
  <w:num w:numId="15" w16cid:durableId="420831657">
    <w:abstractNumId w:val="6"/>
  </w:num>
  <w:num w:numId="16" w16cid:durableId="1429277874">
    <w:abstractNumId w:val="5"/>
  </w:num>
  <w:num w:numId="17" w16cid:durableId="1141994030">
    <w:abstractNumId w:val="4"/>
  </w:num>
  <w:num w:numId="18" w16cid:durableId="1772626594">
    <w:abstractNumId w:val="3"/>
  </w:num>
  <w:num w:numId="19" w16cid:durableId="1784953354">
    <w:abstractNumId w:val="2"/>
  </w:num>
  <w:num w:numId="20" w16cid:durableId="1198931850">
    <w:abstractNumId w:val="1"/>
  </w:num>
  <w:num w:numId="21" w16cid:durableId="1624385898">
    <w:abstractNumId w:val="0"/>
  </w:num>
  <w:num w:numId="22" w16cid:durableId="194466698">
    <w:abstractNumId w:val="39"/>
  </w:num>
  <w:num w:numId="23" w16cid:durableId="571934972">
    <w:abstractNumId w:val="16"/>
  </w:num>
  <w:num w:numId="24" w16cid:durableId="1795437790">
    <w:abstractNumId w:val="12"/>
  </w:num>
  <w:num w:numId="25" w16cid:durableId="819005142">
    <w:abstractNumId w:val="43"/>
  </w:num>
  <w:num w:numId="26" w16cid:durableId="793984703">
    <w:abstractNumId w:val="46"/>
  </w:num>
  <w:num w:numId="27" w16cid:durableId="1301112148">
    <w:abstractNumId w:val="32"/>
  </w:num>
  <w:num w:numId="28" w16cid:durableId="2043019583">
    <w:abstractNumId w:val="29"/>
  </w:num>
  <w:num w:numId="29" w16cid:durableId="920138090">
    <w:abstractNumId w:val="44"/>
  </w:num>
  <w:num w:numId="30" w16cid:durableId="1705016954">
    <w:abstractNumId w:val="45"/>
  </w:num>
  <w:num w:numId="31" w16cid:durableId="1722095425">
    <w:abstractNumId w:val="34"/>
  </w:num>
  <w:num w:numId="32" w16cid:durableId="295066405">
    <w:abstractNumId w:val="8"/>
  </w:num>
  <w:num w:numId="33" w16cid:durableId="860627664">
    <w:abstractNumId w:val="17"/>
  </w:num>
  <w:num w:numId="34" w16cid:durableId="1505903353">
    <w:abstractNumId w:val="31"/>
  </w:num>
  <w:num w:numId="35" w16cid:durableId="222252572">
    <w:abstractNumId w:val="9"/>
  </w:num>
  <w:num w:numId="36" w16cid:durableId="1105733208">
    <w:abstractNumId w:val="9"/>
  </w:num>
  <w:num w:numId="37" w16cid:durableId="1162695772">
    <w:abstractNumId w:val="9"/>
  </w:num>
  <w:num w:numId="38" w16cid:durableId="403333571">
    <w:abstractNumId w:val="9"/>
  </w:num>
  <w:num w:numId="39" w16cid:durableId="1000546655">
    <w:abstractNumId w:val="21"/>
  </w:num>
  <w:num w:numId="40" w16cid:durableId="828864775">
    <w:abstractNumId w:val="42"/>
  </w:num>
  <w:num w:numId="41" w16cid:durableId="1306473373">
    <w:abstractNumId w:val="42"/>
  </w:num>
  <w:num w:numId="42" w16cid:durableId="974523773">
    <w:abstractNumId w:val="42"/>
  </w:num>
  <w:num w:numId="43" w16cid:durableId="443692542">
    <w:abstractNumId w:val="4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trackedChanges" w:enforcement="0"/>
  <w:defaultTabStop w:val="720"/>
  <w:hyphenationZone w:val="425"/>
  <w:defaultTableStyle w:val="BodyTable"/>
  <w:drawingGridHorizontalSpacing w:val="245"/>
  <w:drawingGridVerticalSpacing w:val="163"/>
  <w:displayVerticalDrawingGridEvery w:val="2"/>
  <w:characterSpacingControl w:val="doNotCompress"/>
  <w:hdrShapeDefaults>
    <o:shapedefaults v:ext="edit" spidmax="2051"/>
  </w:hdrShapeDefaults>
  <w:footnotePr>
    <w:footnote w:id="-1"/>
    <w:footnote w:id="0"/>
  </w:footnotePr>
  <w:endnotePr>
    <w:pos w:val="sectEnd"/>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EPKit_DocumentHasBeenSaved" w:val="true"/>
    <w:docVar w:name="LW_ACCOMPAGNANT.CP" w:val="to the "/>
    <w:docVar w:name="LW_ANNEX_NBR_FIRST" w:val="1"/>
    <w:docVar w:name="LW_ANNEX_NBR_LAST" w:val="1"/>
    <w:docVar w:name="LW_ANNEX_UNIQUE" w:val="0"/>
    <w:docVar w:name="LW_CORRIGENDUM" w:val="&lt;UNUSED&gt;"/>
    <w:docVar w:name="LW_COVERPAGE_EXISTS" w:val="True"/>
    <w:docVar w:name="LW_COVERPAGE_GUID" w:val="CF821629-2698-4127-AF52-07C5B05C9D47"/>
    <w:docVar w:name="LW_COVERPAGE_TYPE" w:val="1"/>
    <w:docVar w:name="LW_CROSSREFERENCE" w:val="&lt;UNUSED&gt;"/>
    <w:docVar w:name="LW_DocType" w:val="EUROLOOK"/>
    <w:docVar w:name="LW_EMISSION" w:val="16.6.2026"/>
    <w:docVar w:name="LW_EMISSION_ISODATE" w:val="2026-06-16"/>
    <w:docVar w:name="LW_EMISSION_LOCATION" w:val="STR"/>
    <w:docVar w:name="LW_EMISSION_PREFIX" w:val="Strasbourg,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Annual Management and Performance Report for the EU Budget \u8211? 2025 financial year"/>
    <w:docVar w:name="LW_PART_NBR" w:val="1"/>
    <w:docVar w:name="LW_PART_NBR_TOTAL" w:val="1"/>
    <w:docVar w:name="LW_REF.INST.NEW" w:val="COM"/>
    <w:docVar w:name="LW_REF.INST.NEW_ADOPTED" w:val="final"/>
    <w:docVar w:name="LW_REF.INST.NEW_TEXT" w:val="(2026) 82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REPORT FROM THE COMMISSION TO THE EUROPEAN PARLIAMENT, THE COUNCIL AND THE COURT OF AUDITORS "/>
  </w:docVars>
  <w:rsids>
    <w:rsidRoot w:val="00F34391"/>
    <w:rsid w:val="0000008A"/>
    <w:rsid w:val="00000304"/>
    <w:rsid w:val="00000B6F"/>
    <w:rsid w:val="00000BCD"/>
    <w:rsid w:val="00000DC3"/>
    <w:rsid w:val="00000EF5"/>
    <w:rsid w:val="00001216"/>
    <w:rsid w:val="00001275"/>
    <w:rsid w:val="00001705"/>
    <w:rsid w:val="00001725"/>
    <w:rsid w:val="000018C6"/>
    <w:rsid w:val="0000192B"/>
    <w:rsid w:val="000019A9"/>
    <w:rsid w:val="000019E0"/>
    <w:rsid w:val="00001A82"/>
    <w:rsid w:val="00001BC5"/>
    <w:rsid w:val="00001CF4"/>
    <w:rsid w:val="00001EA3"/>
    <w:rsid w:val="0000204B"/>
    <w:rsid w:val="000020D2"/>
    <w:rsid w:val="000021C0"/>
    <w:rsid w:val="000021CD"/>
    <w:rsid w:val="00002283"/>
    <w:rsid w:val="00002351"/>
    <w:rsid w:val="000024B3"/>
    <w:rsid w:val="00002B21"/>
    <w:rsid w:val="00002B22"/>
    <w:rsid w:val="000034BE"/>
    <w:rsid w:val="000034DE"/>
    <w:rsid w:val="0000351A"/>
    <w:rsid w:val="00003572"/>
    <w:rsid w:val="000037A0"/>
    <w:rsid w:val="00003836"/>
    <w:rsid w:val="00003857"/>
    <w:rsid w:val="00003AAB"/>
    <w:rsid w:val="00003B11"/>
    <w:rsid w:val="00003B25"/>
    <w:rsid w:val="00003B68"/>
    <w:rsid w:val="00003C48"/>
    <w:rsid w:val="00003CEC"/>
    <w:rsid w:val="00003D56"/>
    <w:rsid w:val="00003D99"/>
    <w:rsid w:val="00003E4E"/>
    <w:rsid w:val="00003F25"/>
    <w:rsid w:val="00004042"/>
    <w:rsid w:val="0000405C"/>
    <w:rsid w:val="0000414D"/>
    <w:rsid w:val="000041A9"/>
    <w:rsid w:val="000042AA"/>
    <w:rsid w:val="00004411"/>
    <w:rsid w:val="0000482C"/>
    <w:rsid w:val="00004897"/>
    <w:rsid w:val="00004A08"/>
    <w:rsid w:val="00004D57"/>
    <w:rsid w:val="00004DDA"/>
    <w:rsid w:val="0000525E"/>
    <w:rsid w:val="000053FB"/>
    <w:rsid w:val="00005488"/>
    <w:rsid w:val="0000578E"/>
    <w:rsid w:val="0000585C"/>
    <w:rsid w:val="0000593E"/>
    <w:rsid w:val="00005973"/>
    <w:rsid w:val="000059DF"/>
    <w:rsid w:val="00005AA8"/>
    <w:rsid w:val="00005AE6"/>
    <w:rsid w:val="00005BEE"/>
    <w:rsid w:val="00005C78"/>
    <w:rsid w:val="00006057"/>
    <w:rsid w:val="00006095"/>
    <w:rsid w:val="00006196"/>
    <w:rsid w:val="0000619A"/>
    <w:rsid w:val="0000627E"/>
    <w:rsid w:val="0000634C"/>
    <w:rsid w:val="00006373"/>
    <w:rsid w:val="000064DC"/>
    <w:rsid w:val="00006500"/>
    <w:rsid w:val="00006A4F"/>
    <w:rsid w:val="00006BB9"/>
    <w:rsid w:val="00006BE3"/>
    <w:rsid w:val="00006EA7"/>
    <w:rsid w:val="00006F4C"/>
    <w:rsid w:val="00007029"/>
    <w:rsid w:val="00007231"/>
    <w:rsid w:val="000076EE"/>
    <w:rsid w:val="00007824"/>
    <w:rsid w:val="00007D19"/>
    <w:rsid w:val="00007DBB"/>
    <w:rsid w:val="00007EBF"/>
    <w:rsid w:val="0001003B"/>
    <w:rsid w:val="0001007F"/>
    <w:rsid w:val="00010087"/>
    <w:rsid w:val="000100AD"/>
    <w:rsid w:val="00010113"/>
    <w:rsid w:val="000102FB"/>
    <w:rsid w:val="00010344"/>
    <w:rsid w:val="00010354"/>
    <w:rsid w:val="0001037D"/>
    <w:rsid w:val="00010484"/>
    <w:rsid w:val="0001087E"/>
    <w:rsid w:val="0001092A"/>
    <w:rsid w:val="00010987"/>
    <w:rsid w:val="00010B6E"/>
    <w:rsid w:val="00010C33"/>
    <w:rsid w:val="00010D01"/>
    <w:rsid w:val="00011054"/>
    <w:rsid w:val="000110A5"/>
    <w:rsid w:val="00011176"/>
    <w:rsid w:val="0001118D"/>
    <w:rsid w:val="000113F4"/>
    <w:rsid w:val="00011437"/>
    <w:rsid w:val="0001168A"/>
    <w:rsid w:val="00011841"/>
    <w:rsid w:val="000118A3"/>
    <w:rsid w:val="000119C2"/>
    <w:rsid w:val="00011D06"/>
    <w:rsid w:val="00011DD6"/>
    <w:rsid w:val="00011E0C"/>
    <w:rsid w:val="000120DB"/>
    <w:rsid w:val="00012292"/>
    <w:rsid w:val="00012767"/>
    <w:rsid w:val="0001280D"/>
    <w:rsid w:val="000128B1"/>
    <w:rsid w:val="000128E9"/>
    <w:rsid w:val="0001294B"/>
    <w:rsid w:val="0001298F"/>
    <w:rsid w:val="000129A8"/>
    <w:rsid w:val="00012AFE"/>
    <w:rsid w:val="00012D79"/>
    <w:rsid w:val="00012E65"/>
    <w:rsid w:val="000130AD"/>
    <w:rsid w:val="000132B8"/>
    <w:rsid w:val="00013420"/>
    <w:rsid w:val="0001352D"/>
    <w:rsid w:val="00013760"/>
    <w:rsid w:val="0001391B"/>
    <w:rsid w:val="0001396F"/>
    <w:rsid w:val="00013B0F"/>
    <w:rsid w:val="00013C24"/>
    <w:rsid w:val="00013C90"/>
    <w:rsid w:val="00013EE5"/>
    <w:rsid w:val="0001428D"/>
    <w:rsid w:val="000142EB"/>
    <w:rsid w:val="000143F7"/>
    <w:rsid w:val="000145C6"/>
    <w:rsid w:val="000145C7"/>
    <w:rsid w:val="000145EF"/>
    <w:rsid w:val="00014688"/>
    <w:rsid w:val="0001470F"/>
    <w:rsid w:val="0001476D"/>
    <w:rsid w:val="000147ED"/>
    <w:rsid w:val="000148BE"/>
    <w:rsid w:val="00014D1F"/>
    <w:rsid w:val="00014D4E"/>
    <w:rsid w:val="0001500F"/>
    <w:rsid w:val="00015023"/>
    <w:rsid w:val="000150BC"/>
    <w:rsid w:val="0001514B"/>
    <w:rsid w:val="000152AD"/>
    <w:rsid w:val="00015344"/>
    <w:rsid w:val="000156B9"/>
    <w:rsid w:val="0001589E"/>
    <w:rsid w:val="000159D2"/>
    <w:rsid w:val="00015C32"/>
    <w:rsid w:val="00015D43"/>
    <w:rsid w:val="00015F9C"/>
    <w:rsid w:val="0001603A"/>
    <w:rsid w:val="0001607A"/>
    <w:rsid w:val="000160F2"/>
    <w:rsid w:val="000161A4"/>
    <w:rsid w:val="0001622B"/>
    <w:rsid w:val="0001638B"/>
    <w:rsid w:val="000166C7"/>
    <w:rsid w:val="000169A5"/>
    <w:rsid w:val="00016A1D"/>
    <w:rsid w:val="00016BA4"/>
    <w:rsid w:val="00016BAA"/>
    <w:rsid w:val="00016BDB"/>
    <w:rsid w:val="00016C44"/>
    <w:rsid w:val="00016D79"/>
    <w:rsid w:val="00016EB3"/>
    <w:rsid w:val="000174A8"/>
    <w:rsid w:val="00017737"/>
    <w:rsid w:val="00017A65"/>
    <w:rsid w:val="00017E13"/>
    <w:rsid w:val="00020013"/>
    <w:rsid w:val="00020589"/>
    <w:rsid w:val="00020634"/>
    <w:rsid w:val="00020721"/>
    <w:rsid w:val="000207C2"/>
    <w:rsid w:val="00020809"/>
    <w:rsid w:val="0002095E"/>
    <w:rsid w:val="000209BB"/>
    <w:rsid w:val="000209BD"/>
    <w:rsid w:val="00020B42"/>
    <w:rsid w:val="00020BCF"/>
    <w:rsid w:val="00020BEF"/>
    <w:rsid w:val="00020C0C"/>
    <w:rsid w:val="00020C55"/>
    <w:rsid w:val="00020D82"/>
    <w:rsid w:val="00020F96"/>
    <w:rsid w:val="00021046"/>
    <w:rsid w:val="00021299"/>
    <w:rsid w:val="000212F9"/>
    <w:rsid w:val="0002132A"/>
    <w:rsid w:val="00021359"/>
    <w:rsid w:val="00021405"/>
    <w:rsid w:val="00021829"/>
    <w:rsid w:val="000218A8"/>
    <w:rsid w:val="00021A6F"/>
    <w:rsid w:val="00021E7A"/>
    <w:rsid w:val="00021E8A"/>
    <w:rsid w:val="00021EBD"/>
    <w:rsid w:val="000220CD"/>
    <w:rsid w:val="000221B3"/>
    <w:rsid w:val="00022398"/>
    <w:rsid w:val="000224AB"/>
    <w:rsid w:val="000224DD"/>
    <w:rsid w:val="00022673"/>
    <w:rsid w:val="00022818"/>
    <w:rsid w:val="000228D7"/>
    <w:rsid w:val="0002297A"/>
    <w:rsid w:val="00022B1F"/>
    <w:rsid w:val="00022BA9"/>
    <w:rsid w:val="00022E3A"/>
    <w:rsid w:val="00023148"/>
    <w:rsid w:val="000232A8"/>
    <w:rsid w:val="000232F2"/>
    <w:rsid w:val="0002336B"/>
    <w:rsid w:val="00023626"/>
    <w:rsid w:val="000236D2"/>
    <w:rsid w:val="0002378E"/>
    <w:rsid w:val="00023CEF"/>
    <w:rsid w:val="00023D48"/>
    <w:rsid w:val="00023FF0"/>
    <w:rsid w:val="00024004"/>
    <w:rsid w:val="0002425B"/>
    <w:rsid w:val="000246BD"/>
    <w:rsid w:val="000247EA"/>
    <w:rsid w:val="00024809"/>
    <w:rsid w:val="00024914"/>
    <w:rsid w:val="00024920"/>
    <w:rsid w:val="00024ADD"/>
    <w:rsid w:val="00024BC8"/>
    <w:rsid w:val="00024BE9"/>
    <w:rsid w:val="00024D53"/>
    <w:rsid w:val="00024F60"/>
    <w:rsid w:val="00024FB2"/>
    <w:rsid w:val="00024FB5"/>
    <w:rsid w:val="000250A5"/>
    <w:rsid w:val="00025206"/>
    <w:rsid w:val="00025A43"/>
    <w:rsid w:val="00025B4E"/>
    <w:rsid w:val="00025E83"/>
    <w:rsid w:val="000263D5"/>
    <w:rsid w:val="000263E9"/>
    <w:rsid w:val="000265A2"/>
    <w:rsid w:val="00026652"/>
    <w:rsid w:val="00026672"/>
    <w:rsid w:val="0002675C"/>
    <w:rsid w:val="000267A7"/>
    <w:rsid w:val="000267C4"/>
    <w:rsid w:val="00026848"/>
    <w:rsid w:val="00026CFA"/>
    <w:rsid w:val="00026D2D"/>
    <w:rsid w:val="00026DE1"/>
    <w:rsid w:val="0002712A"/>
    <w:rsid w:val="000271FC"/>
    <w:rsid w:val="000275A2"/>
    <w:rsid w:val="0002765E"/>
    <w:rsid w:val="000276F3"/>
    <w:rsid w:val="00027B8F"/>
    <w:rsid w:val="00027C5A"/>
    <w:rsid w:val="00027EFD"/>
    <w:rsid w:val="0003007A"/>
    <w:rsid w:val="000302C5"/>
    <w:rsid w:val="000305F1"/>
    <w:rsid w:val="000307D1"/>
    <w:rsid w:val="00030809"/>
    <w:rsid w:val="00030B5F"/>
    <w:rsid w:val="00030B7F"/>
    <w:rsid w:val="00030F73"/>
    <w:rsid w:val="00030F7D"/>
    <w:rsid w:val="00030F9E"/>
    <w:rsid w:val="0003122F"/>
    <w:rsid w:val="000312C8"/>
    <w:rsid w:val="0003142C"/>
    <w:rsid w:val="00031612"/>
    <w:rsid w:val="00031678"/>
    <w:rsid w:val="000316EF"/>
    <w:rsid w:val="0003185D"/>
    <w:rsid w:val="0003192B"/>
    <w:rsid w:val="00031959"/>
    <w:rsid w:val="00031AFD"/>
    <w:rsid w:val="00031D48"/>
    <w:rsid w:val="00031D55"/>
    <w:rsid w:val="00031DDB"/>
    <w:rsid w:val="00031F33"/>
    <w:rsid w:val="00031FBC"/>
    <w:rsid w:val="00031FF2"/>
    <w:rsid w:val="00032101"/>
    <w:rsid w:val="0003243B"/>
    <w:rsid w:val="000325A6"/>
    <w:rsid w:val="000325BA"/>
    <w:rsid w:val="00032743"/>
    <w:rsid w:val="00032765"/>
    <w:rsid w:val="000327CA"/>
    <w:rsid w:val="0003298F"/>
    <w:rsid w:val="00032A50"/>
    <w:rsid w:val="00032FB8"/>
    <w:rsid w:val="000330AF"/>
    <w:rsid w:val="00033366"/>
    <w:rsid w:val="000334B9"/>
    <w:rsid w:val="00033533"/>
    <w:rsid w:val="000336C7"/>
    <w:rsid w:val="00033769"/>
    <w:rsid w:val="00033813"/>
    <w:rsid w:val="00033966"/>
    <w:rsid w:val="000339BE"/>
    <w:rsid w:val="00033CAE"/>
    <w:rsid w:val="00033CB5"/>
    <w:rsid w:val="00033CE7"/>
    <w:rsid w:val="00033E7F"/>
    <w:rsid w:val="00033FA0"/>
    <w:rsid w:val="00034207"/>
    <w:rsid w:val="000344CB"/>
    <w:rsid w:val="0003453D"/>
    <w:rsid w:val="0003465B"/>
    <w:rsid w:val="00034917"/>
    <w:rsid w:val="00034919"/>
    <w:rsid w:val="00034B32"/>
    <w:rsid w:val="00034C42"/>
    <w:rsid w:val="00034D22"/>
    <w:rsid w:val="00034FE2"/>
    <w:rsid w:val="0003508A"/>
    <w:rsid w:val="00035366"/>
    <w:rsid w:val="000353FD"/>
    <w:rsid w:val="0003552F"/>
    <w:rsid w:val="00035795"/>
    <w:rsid w:val="00035AF4"/>
    <w:rsid w:val="00035B0E"/>
    <w:rsid w:val="00035B32"/>
    <w:rsid w:val="00035BA2"/>
    <w:rsid w:val="00035BC0"/>
    <w:rsid w:val="00035BD1"/>
    <w:rsid w:val="00035CD8"/>
    <w:rsid w:val="00035D5C"/>
    <w:rsid w:val="00035E29"/>
    <w:rsid w:val="00035F51"/>
    <w:rsid w:val="00035FED"/>
    <w:rsid w:val="00036119"/>
    <w:rsid w:val="000361F3"/>
    <w:rsid w:val="00036332"/>
    <w:rsid w:val="0003679E"/>
    <w:rsid w:val="0003687C"/>
    <w:rsid w:val="00036889"/>
    <w:rsid w:val="000369AF"/>
    <w:rsid w:val="000369BF"/>
    <w:rsid w:val="00036A2F"/>
    <w:rsid w:val="00036A81"/>
    <w:rsid w:val="00036B2F"/>
    <w:rsid w:val="00036FA9"/>
    <w:rsid w:val="0003704D"/>
    <w:rsid w:val="0003708C"/>
    <w:rsid w:val="000370ED"/>
    <w:rsid w:val="00037162"/>
    <w:rsid w:val="000372E2"/>
    <w:rsid w:val="0003735D"/>
    <w:rsid w:val="000373C2"/>
    <w:rsid w:val="00037473"/>
    <w:rsid w:val="0003786A"/>
    <w:rsid w:val="000378C4"/>
    <w:rsid w:val="0003793D"/>
    <w:rsid w:val="00037A35"/>
    <w:rsid w:val="00037A5C"/>
    <w:rsid w:val="00037EAF"/>
    <w:rsid w:val="0004004F"/>
    <w:rsid w:val="00040293"/>
    <w:rsid w:val="000402DF"/>
    <w:rsid w:val="000403AE"/>
    <w:rsid w:val="000403B5"/>
    <w:rsid w:val="000406D5"/>
    <w:rsid w:val="000407D8"/>
    <w:rsid w:val="000409CF"/>
    <w:rsid w:val="000409FC"/>
    <w:rsid w:val="00040C3B"/>
    <w:rsid w:val="00040C6B"/>
    <w:rsid w:val="00040D67"/>
    <w:rsid w:val="00040E5F"/>
    <w:rsid w:val="00040EF0"/>
    <w:rsid w:val="00040F6E"/>
    <w:rsid w:val="000411FE"/>
    <w:rsid w:val="0004135C"/>
    <w:rsid w:val="000417E8"/>
    <w:rsid w:val="000419C0"/>
    <w:rsid w:val="00041AB2"/>
    <w:rsid w:val="00041AD6"/>
    <w:rsid w:val="00041D29"/>
    <w:rsid w:val="00041E80"/>
    <w:rsid w:val="00041F5F"/>
    <w:rsid w:val="00041FDC"/>
    <w:rsid w:val="00042015"/>
    <w:rsid w:val="00042062"/>
    <w:rsid w:val="00042134"/>
    <w:rsid w:val="000421BE"/>
    <w:rsid w:val="000421FE"/>
    <w:rsid w:val="000423B4"/>
    <w:rsid w:val="00042717"/>
    <w:rsid w:val="000428F1"/>
    <w:rsid w:val="00042C72"/>
    <w:rsid w:val="00042CEA"/>
    <w:rsid w:val="00042D2C"/>
    <w:rsid w:val="00042D55"/>
    <w:rsid w:val="00042DB4"/>
    <w:rsid w:val="00043097"/>
    <w:rsid w:val="00043155"/>
    <w:rsid w:val="000431CB"/>
    <w:rsid w:val="00043304"/>
    <w:rsid w:val="000433C1"/>
    <w:rsid w:val="00043543"/>
    <w:rsid w:val="0004362B"/>
    <w:rsid w:val="00043C33"/>
    <w:rsid w:val="00043C6E"/>
    <w:rsid w:val="00043D82"/>
    <w:rsid w:val="00043EC8"/>
    <w:rsid w:val="00043EEC"/>
    <w:rsid w:val="00044107"/>
    <w:rsid w:val="00044173"/>
    <w:rsid w:val="0004418C"/>
    <w:rsid w:val="000441F2"/>
    <w:rsid w:val="00044241"/>
    <w:rsid w:val="0004426B"/>
    <w:rsid w:val="0004436F"/>
    <w:rsid w:val="000444EF"/>
    <w:rsid w:val="00044612"/>
    <w:rsid w:val="0004477A"/>
    <w:rsid w:val="00044ED7"/>
    <w:rsid w:val="00044FC7"/>
    <w:rsid w:val="000452DC"/>
    <w:rsid w:val="00045639"/>
    <w:rsid w:val="0004576D"/>
    <w:rsid w:val="00045846"/>
    <w:rsid w:val="000458FF"/>
    <w:rsid w:val="000459AB"/>
    <w:rsid w:val="000459DC"/>
    <w:rsid w:val="00045ACD"/>
    <w:rsid w:val="00045D1C"/>
    <w:rsid w:val="00045E17"/>
    <w:rsid w:val="00045EDE"/>
    <w:rsid w:val="00045F22"/>
    <w:rsid w:val="000462C6"/>
    <w:rsid w:val="00046356"/>
    <w:rsid w:val="000463FC"/>
    <w:rsid w:val="000465B8"/>
    <w:rsid w:val="000465D6"/>
    <w:rsid w:val="0004665A"/>
    <w:rsid w:val="000466BD"/>
    <w:rsid w:val="00046923"/>
    <w:rsid w:val="00046A76"/>
    <w:rsid w:val="00046AAE"/>
    <w:rsid w:val="00046AFE"/>
    <w:rsid w:val="00046B2D"/>
    <w:rsid w:val="00046D08"/>
    <w:rsid w:val="00046EF0"/>
    <w:rsid w:val="000472BC"/>
    <w:rsid w:val="00047352"/>
    <w:rsid w:val="00047426"/>
    <w:rsid w:val="000474C9"/>
    <w:rsid w:val="00047583"/>
    <w:rsid w:val="00047807"/>
    <w:rsid w:val="0004788D"/>
    <w:rsid w:val="000479BA"/>
    <w:rsid w:val="000479CD"/>
    <w:rsid w:val="00047A72"/>
    <w:rsid w:val="00047ACF"/>
    <w:rsid w:val="00047D82"/>
    <w:rsid w:val="00047DD3"/>
    <w:rsid w:val="00047DE0"/>
    <w:rsid w:val="00050089"/>
    <w:rsid w:val="0005013E"/>
    <w:rsid w:val="000501B5"/>
    <w:rsid w:val="00050252"/>
    <w:rsid w:val="0005033C"/>
    <w:rsid w:val="00050467"/>
    <w:rsid w:val="000504C0"/>
    <w:rsid w:val="00050543"/>
    <w:rsid w:val="000505DA"/>
    <w:rsid w:val="000508EF"/>
    <w:rsid w:val="00050914"/>
    <w:rsid w:val="00050A20"/>
    <w:rsid w:val="00050A29"/>
    <w:rsid w:val="00050C6B"/>
    <w:rsid w:val="00050FD1"/>
    <w:rsid w:val="00051708"/>
    <w:rsid w:val="0005171F"/>
    <w:rsid w:val="000517D6"/>
    <w:rsid w:val="0005180A"/>
    <w:rsid w:val="00051862"/>
    <w:rsid w:val="0005198F"/>
    <w:rsid w:val="00051A8A"/>
    <w:rsid w:val="00051C5B"/>
    <w:rsid w:val="00051CED"/>
    <w:rsid w:val="00052075"/>
    <w:rsid w:val="0005241C"/>
    <w:rsid w:val="00052673"/>
    <w:rsid w:val="00052709"/>
    <w:rsid w:val="000528D5"/>
    <w:rsid w:val="00052D9C"/>
    <w:rsid w:val="00052E93"/>
    <w:rsid w:val="00052F40"/>
    <w:rsid w:val="00052FE3"/>
    <w:rsid w:val="00053561"/>
    <w:rsid w:val="000535D2"/>
    <w:rsid w:val="000535E3"/>
    <w:rsid w:val="00053674"/>
    <w:rsid w:val="000538C7"/>
    <w:rsid w:val="00053B9F"/>
    <w:rsid w:val="00053CDC"/>
    <w:rsid w:val="00053E1B"/>
    <w:rsid w:val="00053FC7"/>
    <w:rsid w:val="0005409C"/>
    <w:rsid w:val="000540EE"/>
    <w:rsid w:val="0005419C"/>
    <w:rsid w:val="0005435E"/>
    <w:rsid w:val="00054433"/>
    <w:rsid w:val="0005446E"/>
    <w:rsid w:val="000546B1"/>
    <w:rsid w:val="00054E2B"/>
    <w:rsid w:val="00054E4C"/>
    <w:rsid w:val="00054E88"/>
    <w:rsid w:val="00055041"/>
    <w:rsid w:val="0005507F"/>
    <w:rsid w:val="0005542E"/>
    <w:rsid w:val="00055461"/>
    <w:rsid w:val="00055485"/>
    <w:rsid w:val="00055AD8"/>
    <w:rsid w:val="00055BB9"/>
    <w:rsid w:val="00055C85"/>
    <w:rsid w:val="00055CBC"/>
    <w:rsid w:val="00055FAA"/>
    <w:rsid w:val="00056281"/>
    <w:rsid w:val="000562ED"/>
    <w:rsid w:val="000564D2"/>
    <w:rsid w:val="000565D6"/>
    <w:rsid w:val="000566A4"/>
    <w:rsid w:val="0005684E"/>
    <w:rsid w:val="00056B60"/>
    <w:rsid w:val="00056C16"/>
    <w:rsid w:val="00056DBE"/>
    <w:rsid w:val="00056F54"/>
    <w:rsid w:val="00057036"/>
    <w:rsid w:val="000571DD"/>
    <w:rsid w:val="00057421"/>
    <w:rsid w:val="0005783D"/>
    <w:rsid w:val="000579B3"/>
    <w:rsid w:val="000579B6"/>
    <w:rsid w:val="00057A06"/>
    <w:rsid w:val="00057B70"/>
    <w:rsid w:val="00057C03"/>
    <w:rsid w:val="00057CED"/>
    <w:rsid w:val="00057E38"/>
    <w:rsid w:val="00057FF9"/>
    <w:rsid w:val="000601B3"/>
    <w:rsid w:val="0006031E"/>
    <w:rsid w:val="000604A9"/>
    <w:rsid w:val="0006063A"/>
    <w:rsid w:val="00060718"/>
    <w:rsid w:val="0006084B"/>
    <w:rsid w:val="000608E3"/>
    <w:rsid w:val="00060934"/>
    <w:rsid w:val="0006098D"/>
    <w:rsid w:val="000609E8"/>
    <w:rsid w:val="00060B28"/>
    <w:rsid w:val="00060D7A"/>
    <w:rsid w:val="00060FBF"/>
    <w:rsid w:val="00061371"/>
    <w:rsid w:val="000613C1"/>
    <w:rsid w:val="0006183A"/>
    <w:rsid w:val="00062110"/>
    <w:rsid w:val="000621E4"/>
    <w:rsid w:val="00062470"/>
    <w:rsid w:val="00062542"/>
    <w:rsid w:val="000625D6"/>
    <w:rsid w:val="00062608"/>
    <w:rsid w:val="000626C9"/>
    <w:rsid w:val="00062C50"/>
    <w:rsid w:val="00062F19"/>
    <w:rsid w:val="00063126"/>
    <w:rsid w:val="000632F4"/>
    <w:rsid w:val="00063616"/>
    <w:rsid w:val="0006366A"/>
    <w:rsid w:val="00063A0A"/>
    <w:rsid w:val="00063B72"/>
    <w:rsid w:val="00063E41"/>
    <w:rsid w:val="00063F51"/>
    <w:rsid w:val="00064083"/>
    <w:rsid w:val="000640E6"/>
    <w:rsid w:val="000641FF"/>
    <w:rsid w:val="000642FA"/>
    <w:rsid w:val="0006449A"/>
    <w:rsid w:val="00064507"/>
    <w:rsid w:val="00064559"/>
    <w:rsid w:val="0006480D"/>
    <w:rsid w:val="00064892"/>
    <w:rsid w:val="000648AE"/>
    <w:rsid w:val="00064914"/>
    <w:rsid w:val="00064CC7"/>
    <w:rsid w:val="00064E07"/>
    <w:rsid w:val="00064E29"/>
    <w:rsid w:val="00064E4E"/>
    <w:rsid w:val="00064E69"/>
    <w:rsid w:val="00064EA6"/>
    <w:rsid w:val="00064F40"/>
    <w:rsid w:val="000655C9"/>
    <w:rsid w:val="000655EA"/>
    <w:rsid w:val="00065894"/>
    <w:rsid w:val="000658C8"/>
    <w:rsid w:val="00065B40"/>
    <w:rsid w:val="00065CB6"/>
    <w:rsid w:val="00065E58"/>
    <w:rsid w:val="000662F7"/>
    <w:rsid w:val="000663DA"/>
    <w:rsid w:val="000666BD"/>
    <w:rsid w:val="0006671F"/>
    <w:rsid w:val="00066775"/>
    <w:rsid w:val="00066869"/>
    <w:rsid w:val="000668A6"/>
    <w:rsid w:val="000669E5"/>
    <w:rsid w:val="00066A71"/>
    <w:rsid w:val="00066A7E"/>
    <w:rsid w:val="00066AFB"/>
    <w:rsid w:val="00066D54"/>
    <w:rsid w:val="00066E8C"/>
    <w:rsid w:val="00066EFD"/>
    <w:rsid w:val="00066F23"/>
    <w:rsid w:val="00066F71"/>
    <w:rsid w:val="00067186"/>
    <w:rsid w:val="0006724B"/>
    <w:rsid w:val="00067370"/>
    <w:rsid w:val="000673A3"/>
    <w:rsid w:val="000677D1"/>
    <w:rsid w:val="000679D2"/>
    <w:rsid w:val="00067D25"/>
    <w:rsid w:val="00067D4C"/>
    <w:rsid w:val="0007003E"/>
    <w:rsid w:val="00070177"/>
    <w:rsid w:val="0007037E"/>
    <w:rsid w:val="00070610"/>
    <w:rsid w:val="00070810"/>
    <w:rsid w:val="0007095C"/>
    <w:rsid w:val="00070A7A"/>
    <w:rsid w:val="00070B1D"/>
    <w:rsid w:val="00070CD6"/>
    <w:rsid w:val="00070DAC"/>
    <w:rsid w:val="00070EB9"/>
    <w:rsid w:val="000711FF"/>
    <w:rsid w:val="00071560"/>
    <w:rsid w:val="000715A8"/>
    <w:rsid w:val="000718A3"/>
    <w:rsid w:val="000718CD"/>
    <w:rsid w:val="00071993"/>
    <w:rsid w:val="00071C3E"/>
    <w:rsid w:val="00071CB3"/>
    <w:rsid w:val="00071E4C"/>
    <w:rsid w:val="0007202F"/>
    <w:rsid w:val="000722C7"/>
    <w:rsid w:val="0007232B"/>
    <w:rsid w:val="00072465"/>
    <w:rsid w:val="000726FC"/>
    <w:rsid w:val="0007276E"/>
    <w:rsid w:val="00072862"/>
    <w:rsid w:val="00072988"/>
    <w:rsid w:val="00072A7A"/>
    <w:rsid w:val="00072AC5"/>
    <w:rsid w:val="00072AE8"/>
    <w:rsid w:val="00072D7B"/>
    <w:rsid w:val="00072DA1"/>
    <w:rsid w:val="00072EDB"/>
    <w:rsid w:val="00072F61"/>
    <w:rsid w:val="00073055"/>
    <w:rsid w:val="00073147"/>
    <w:rsid w:val="00073198"/>
    <w:rsid w:val="00073369"/>
    <w:rsid w:val="000734B3"/>
    <w:rsid w:val="000734CE"/>
    <w:rsid w:val="00073510"/>
    <w:rsid w:val="0007374D"/>
    <w:rsid w:val="00073779"/>
    <w:rsid w:val="000737BC"/>
    <w:rsid w:val="00073918"/>
    <w:rsid w:val="00073A30"/>
    <w:rsid w:val="00073D41"/>
    <w:rsid w:val="00073FEE"/>
    <w:rsid w:val="00074199"/>
    <w:rsid w:val="000742D9"/>
    <w:rsid w:val="00074351"/>
    <w:rsid w:val="00074358"/>
    <w:rsid w:val="0007437F"/>
    <w:rsid w:val="000743A3"/>
    <w:rsid w:val="00074465"/>
    <w:rsid w:val="000746FE"/>
    <w:rsid w:val="00074763"/>
    <w:rsid w:val="00074830"/>
    <w:rsid w:val="000749C6"/>
    <w:rsid w:val="00074AFD"/>
    <w:rsid w:val="00074BC6"/>
    <w:rsid w:val="00074D87"/>
    <w:rsid w:val="00075073"/>
    <w:rsid w:val="000753B0"/>
    <w:rsid w:val="000753C5"/>
    <w:rsid w:val="000754FE"/>
    <w:rsid w:val="000757C7"/>
    <w:rsid w:val="00075896"/>
    <w:rsid w:val="0007589F"/>
    <w:rsid w:val="00075984"/>
    <w:rsid w:val="00075AD3"/>
    <w:rsid w:val="00075B10"/>
    <w:rsid w:val="00075E1E"/>
    <w:rsid w:val="00076033"/>
    <w:rsid w:val="00076251"/>
    <w:rsid w:val="00076354"/>
    <w:rsid w:val="000765D5"/>
    <w:rsid w:val="000766EF"/>
    <w:rsid w:val="000766F1"/>
    <w:rsid w:val="00076A33"/>
    <w:rsid w:val="00076A40"/>
    <w:rsid w:val="00076BF6"/>
    <w:rsid w:val="00076CE1"/>
    <w:rsid w:val="00076E9C"/>
    <w:rsid w:val="00076FD1"/>
    <w:rsid w:val="000770BB"/>
    <w:rsid w:val="0007710E"/>
    <w:rsid w:val="000771B3"/>
    <w:rsid w:val="000775A8"/>
    <w:rsid w:val="000775E5"/>
    <w:rsid w:val="00077679"/>
    <w:rsid w:val="000776A6"/>
    <w:rsid w:val="000776FC"/>
    <w:rsid w:val="000777E4"/>
    <w:rsid w:val="000778C8"/>
    <w:rsid w:val="00077932"/>
    <w:rsid w:val="00077A13"/>
    <w:rsid w:val="00077A33"/>
    <w:rsid w:val="00077ABB"/>
    <w:rsid w:val="00077B92"/>
    <w:rsid w:val="00077C78"/>
    <w:rsid w:val="0008019B"/>
    <w:rsid w:val="000801CF"/>
    <w:rsid w:val="0008034E"/>
    <w:rsid w:val="00080490"/>
    <w:rsid w:val="000804B8"/>
    <w:rsid w:val="0008056F"/>
    <w:rsid w:val="000806DF"/>
    <w:rsid w:val="000809A5"/>
    <w:rsid w:val="00080B76"/>
    <w:rsid w:val="00080C46"/>
    <w:rsid w:val="00080C71"/>
    <w:rsid w:val="00080D70"/>
    <w:rsid w:val="00080FCB"/>
    <w:rsid w:val="00081312"/>
    <w:rsid w:val="000815C3"/>
    <w:rsid w:val="00081A17"/>
    <w:rsid w:val="00081AAB"/>
    <w:rsid w:val="00081B24"/>
    <w:rsid w:val="00081C50"/>
    <w:rsid w:val="00081FC2"/>
    <w:rsid w:val="000820D7"/>
    <w:rsid w:val="00082148"/>
    <w:rsid w:val="000823FA"/>
    <w:rsid w:val="000824B3"/>
    <w:rsid w:val="0008260A"/>
    <w:rsid w:val="00082753"/>
    <w:rsid w:val="00082795"/>
    <w:rsid w:val="0008283A"/>
    <w:rsid w:val="00082A13"/>
    <w:rsid w:val="00082A8C"/>
    <w:rsid w:val="00082C04"/>
    <w:rsid w:val="00082C5E"/>
    <w:rsid w:val="00082E0A"/>
    <w:rsid w:val="00083097"/>
    <w:rsid w:val="00083358"/>
    <w:rsid w:val="000834A7"/>
    <w:rsid w:val="0008363A"/>
    <w:rsid w:val="00083655"/>
    <w:rsid w:val="00083863"/>
    <w:rsid w:val="00083B96"/>
    <w:rsid w:val="00083C76"/>
    <w:rsid w:val="00083D9E"/>
    <w:rsid w:val="0008408B"/>
    <w:rsid w:val="00084121"/>
    <w:rsid w:val="0008425A"/>
    <w:rsid w:val="000842A3"/>
    <w:rsid w:val="00084441"/>
    <w:rsid w:val="00084447"/>
    <w:rsid w:val="000844C3"/>
    <w:rsid w:val="0008481B"/>
    <w:rsid w:val="00084853"/>
    <w:rsid w:val="000849E2"/>
    <w:rsid w:val="00084A68"/>
    <w:rsid w:val="00084BF0"/>
    <w:rsid w:val="00084C0A"/>
    <w:rsid w:val="00084DDE"/>
    <w:rsid w:val="00084DE5"/>
    <w:rsid w:val="00084E11"/>
    <w:rsid w:val="0008505F"/>
    <w:rsid w:val="00085133"/>
    <w:rsid w:val="00085242"/>
    <w:rsid w:val="00085253"/>
    <w:rsid w:val="000858E5"/>
    <w:rsid w:val="00085D6D"/>
    <w:rsid w:val="00085EB0"/>
    <w:rsid w:val="00085EC0"/>
    <w:rsid w:val="0008605F"/>
    <w:rsid w:val="00086194"/>
    <w:rsid w:val="0008620A"/>
    <w:rsid w:val="00086412"/>
    <w:rsid w:val="000865DA"/>
    <w:rsid w:val="00086799"/>
    <w:rsid w:val="00086831"/>
    <w:rsid w:val="00086BC6"/>
    <w:rsid w:val="00086C43"/>
    <w:rsid w:val="00086CBC"/>
    <w:rsid w:val="00086DA4"/>
    <w:rsid w:val="00087319"/>
    <w:rsid w:val="000876A2"/>
    <w:rsid w:val="00087B83"/>
    <w:rsid w:val="00087BB2"/>
    <w:rsid w:val="00087C7E"/>
    <w:rsid w:val="000901D9"/>
    <w:rsid w:val="0009025F"/>
    <w:rsid w:val="0009031A"/>
    <w:rsid w:val="00090402"/>
    <w:rsid w:val="00090453"/>
    <w:rsid w:val="00090599"/>
    <w:rsid w:val="000907ED"/>
    <w:rsid w:val="000908E4"/>
    <w:rsid w:val="000909E3"/>
    <w:rsid w:val="00090BD9"/>
    <w:rsid w:val="00090D14"/>
    <w:rsid w:val="00091100"/>
    <w:rsid w:val="00091143"/>
    <w:rsid w:val="000912D2"/>
    <w:rsid w:val="000913AB"/>
    <w:rsid w:val="0009142E"/>
    <w:rsid w:val="00091662"/>
    <w:rsid w:val="000919A7"/>
    <w:rsid w:val="00091A8E"/>
    <w:rsid w:val="00091C45"/>
    <w:rsid w:val="00091EE7"/>
    <w:rsid w:val="00092086"/>
    <w:rsid w:val="00092094"/>
    <w:rsid w:val="000920CB"/>
    <w:rsid w:val="0009214D"/>
    <w:rsid w:val="0009216B"/>
    <w:rsid w:val="000921D7"/>
    <w:rsid w:val="000921DF"/>
    <w:rsid w:val="0009225B"/>
    <w:rsid w:val="000923C4"/>
    <w:rsid w:val="0009244B"/>
    <w:rsid w:val="000926B7"/>
    <w:rsid w:val="00092894"/>
    <w:rsid w:val="000929E0"/>
    <w:rsid w:val="00092AE9"/>
    <w:rsid w:val="00092C93"/>
    <w:rsid w:val="00092C96"/>
    <w:rsid w:val="00092CA1"/>
    <w:rsid w:val="00093003"/>
    <w:rsid w:val="00093249"/>
    <w:rsid w:val="000932E0"/>
    <w:rsid w:val="000935D0"/>
    <w:rsid w:val="000936C7"/>
    <w:rsid w:val="000936F2"/>
    <w:rsid w:val="000938FB"/>
    <w:rsid w:val="00093917"/>
    <w:rsid w:val="00093973"/>
    <w:rsid w:val="0009399C"/>
    <w:rsid w:val="00093A4F"/>
    <w:rsid w:val="00093C03"/>
    <w:rsid w:val="00093C57"/>
    <w:rsid w:val="00093C81"/>
    <w:rsid w:val="00094019"/>
    <w:rsid w:val="00094148"/>
    <w:rsid w:val="0009414B"/>
    <w:rsid w:val="000943C6"/>
    <w:rsid w:val="00094520"/>
    <w:rsid w:val="00094590"/>
    <w:rsid w:val="00094597"/>
    <w:rsid w:val="000946C3"/>
    <w:rsid w:val="00094AA1"/>
    <w:rsid w:val="00094BB6"/>
    <w:rsid w:val="00094BC7"/>
    <w:rsid w:val="00094CAC"/>
    <w:rsid w:val="00094D9C"/>
    <w:rsid w:val="00094ECF"/>
    <w:rsid w:val="00095012"/>
    <w:rsid w:val="000950FA"/>
    <w:rsid w:val="00095208"/>
    <w:rsid w:val="0009531F"/>
    <w:rsid w:val="00095684"/>
    <w:rsid w:val="00095753"/>
    <w:rsid w:val="00095830"/>
    <w:rsid w:val="000958A5"/>
    <w:rsid w:val="00095985"/>
    <w:rsid w:val="00095A5A"/>
    <w:rsid w:val="00095A68"/>
    <w:rsid w:val="00095D41"/>
    <w:rsid w:val="00095FB6"/>
    <w:rsid w:val="00095FEF"/>
    <w:rsid w:val="000960C9"/>
    <w:rsid w:val="000961B1"/>
    <w:rsid w:val="00096306"/>
    <w:rsid w:val="00096440"/>
    <w:rsid w:val="00096550"/>
    <w:rsid w:val="00096617"/>
    <w:rsid w:val="000966F4"/>
    <w:rsid w:val="00096742"/>
    <w:rsid w:val="00096924"/>
    <w:rsid w:val="00096952"/>
    <w:rsid w:val="00096A8A"/>
    <w:rsid w:val="00096E23"/>
    <w:rsid w:val="00096F70"/>
    <w:rsid w:val="0009703C"/>
    <w:rsid w:val="000971A2"/>
    <w:rsid w:val="00097395"/>
    <w:rsid w:val="000973F0"/>
    <w:rsid w:val="00097437"/>
    <w:rsid w:val="000975F5"/>
    <w:rsid w:val="00097612"/>
    <w:rsid w:val="0009785E"/>
    <w:rsid w:val="00097873"/>
    <w:rsid w:val="00097880"/>
    <w:rsid w:val="0009788B"/>
    <w:rsid w:val="00097973"/>
    <w:rsid w:val="00097A0A"/>
    <w:rsid w:val="00097B79"/>
    <w:rsid w:val="00097D30"/>
    <w:rsid w:val="00097DF1"/>
    <w:rsid w:val="00097F52"/>
    <w:rsid w:val="000A0515"/>
    <w:rsid w:val="000A0542"/>
    <w:rsid w:val="000A06B8"/>
    <w:rsid w:val="000A07CF"/>
    <w:rsid w:val="000A0B55"/>
    <w:rsid w:val="000A0B57"/>
    <w:rsid w:val="000A0C4D"/>
    <w:rsid w:val="000A0EC3"/>
    <w:rsid w:val="000A0FA8"/>
    <w:rsid w:val="000A106C"/>
    <w:rsid w:val="000A127C"/>
    <w:rsid w:val="000A13FE"/>
    <w:rsid w:val="000A147F"/>
    <w:rsid w:val="000A15D2"/>
    <w:rsid w:val="000A16E8"/>
    <w:rsid w:val="000A19A7"/>
    <w:rsid w:val="000A1B84"/>
    <w:rsid w:val="000A1BF2"/>
    <w:rsid w:val="000A1E0A"/>
    <w:rsid w:val="000A1EF6"/>
    <w:rsid w:val="000A1F98"/>
    <w:rsid w:val="000A1F9D"/>
    <w:rsid w:val="000A2013"/>
    <w:rsid w:val="000A20A5"/>
    <w:rsid w:val="000A23A6"/>
    <w:rsid w:val="000A23F8"/>
    <w:rsid w:val="000A2472"/>
    <w:rsid w:val="000A24CD"/>
    <w:rsid w:val="000A26AD"/>
    <w:rsid w:val="000A26C0"/>
    <w:rsid w:val="000A26ED"/>
    <w:rsid w:val="000A279B"/>
    <w:rsid w:val="000A2826"/>
    <w:rsid w:val="000A2991"/>
    <w:rsid w:val="000A299A"/>
    <w:rsid w:val="000A2A23"/>
    <w:rsid w:val="000A2A68"/>
    <w:rsid w:val="000A2C83"/>
    <w:rsid w:val="000A2CA4"/>
    <w:rsid w:val="000A2CC5"/>
    <w:rsid w:val="000A2D31"/>
    <w:rsid w:val="000A2DAF"/>
    <w:rsid w:val="000A3021"/>
    <w:rsid w:val="000A3144"/>
    <w:rsid w:val="000A3374"/>
    <w:rsid w:val="000A3401"/>
    <w:rsid w:val="000A3435"/>
    <w:rsid w:val="000A34BC"/>
    <w:rsid w:val="000A34D2"/>
    <w:rsid w:val="000A35E4"/>
    <w:rsid w:val="000A3DD2"/>
    <w:rsid w:val="000A40FE"/>
    <w:rsid w:val="000A44EF"/>
    <w:rsid w:val="000A45A4"/>
    <w:rsid w:val="000A4608"/>
    <w:rsid w:val="000A4717"/>
    <w:rsid w:val="000A47E8"/>
    <w:rsid w:val="000A4BA0"/>
    <w:rsid w:val="000A4CB3"/>
    <w:rsid w:val="000A4DD2"/>
    <w:rsid w:val="000A4DE3"/>
    <w:rsid w:val="000A4F56"/>
    <w:rsid w:val="000A5379"/>
    <w:rsid w:val="000A53E1"/>
    <w:rsid w:val="000A5461"/>
    <w:rsid w:val="000A5520"/>
    <w:rsid w:val="000A577F"/>
    <w:rsid w:val="000A578D"/>
    <w:rsid w:val="000A57C8"/>
    <w:rsid w:val="000A58F9"/>
    <w:rsid w:val="000A59E6"/>
    <w:rsid w:val="000A5C9D"/>
    <w:rsid w:val="000A5CAE"/>
    <w:rsid w:val="000A5D13"/>
    <w:rsid w:val="000A62A5"/>
    <w:rsid w:val="000A6516"/>
    <w:rsid w:val="000A6719"/>
    <w:rsid w:val="000A682C"/>
    <w:rsid w:val="000A6922"/>
    <w:rsid w:val="000A6AFC"/>
    <w:rsid w:val="000A6B57"/>
    <w:rsid w:val="000A6DED"/>
    <w:rsid w:val="000A7224"/>
    <w:rsid w:val="000A7231"/>
    <w:rsid w:val="000A72C7"/>
    <w:rsid w:val="000A7693"/>
    <w:rsid w:val="000A76A5"/>
    <w:rsid w:val="000A77C2"/>
    <w:rsid w:val="000A78DE"/>
    <w:rsid w:val="000A7C9A"/>
    <w:rsid w:val="000A7E26"/>
    <w:rsid w:val="000A7E66"/>
    <w:rsid w:val="000A7F65"/>
    <w:rsid w:val="000A7F71"/>
    <w:rsid w:val="000B01A0"/>
    <w:rsid w:val="000B02BF"/>
    <w:rsid w:val="000B03D3"/>
    <w:rsid w:val="000B06B8"/>
    <w:rsid w:val="000B08CA"/>
    <w:rsid w:val="000B0978"/>
    <w:rsid w:val="000B0B97"/>
    <w:rsid w:val="000B0CAC"/>
    <w:rsid w:val="000B0DBB"/>
    <w:rsid w:val="000B11D5"/>
    <w:rsid w:val="000B1368"/>
    <w:rsid w:val="000B15D4"/>
    <w:rsid w:val="000B192C"/>
    <w:rsid w:val="000B2152"/>
    <w:rsid w:val="000B2184"/>
    <w:rsid w:val="000B226E"/>
    <w:rsid w:val="000B22E4"/>
    <w:rsid w:val="000B2337"/>
    <w:rsid w:val="000B2370"/>
    <w:rsid w:val="000B23E4"/>
    <w:rsid w:val="000B2408"/>
    <w:rsid w:val="000B247F"/>
    <w:rsid w:val="000B27F4"/>
    <w:rsid w:val="000B28B3"/>
    <w:rsid w:val="000B290D"/>
    <w:rsid w:val="000B2AB4"/>
    <w:rsid w:val="000B2B06"/>
    <w:rsid w:val="000B2C17"/>
    <w:rsid w:val="000B2C92"/>
    <w:rsid w:val="000B2E9B"/>
    <w:rsid w:val="000B2FE9"/>
    <w:rsid w:val="000B3084"/>
    <w:rsid w:val="000B3246"/>
    <w:rsid w:val="000B326B"/>
    <w:rsid w:val="000B35F2"/>
    <w:rsid w:val="000B368E"/>
    <w:rsid w:val="000B37A3"/>
    <w:rsid w:val="000B3ABB"/>
    <w:rsid w:val="000B3D3A"/>
    <w:rsid w:val="000B3D8D"/>
    <w:rsid w:val="000B3ED4"/>
    <w:rsid w:val="000B3FFB"/>
    <w:rsid w:val="000B408B"/>
    <w:rsid w:val="000B4161"/>
    <w:rsid w:val="000B4268"/>
    <w:rsid w:val="000B426D"/>
    <w:rsid w:val="000B42E2"/>
    <w:rsid w:val="000B434F"/>
    <w:rsid w:val="000B44C1"/>
    <w:rsid w:val="000B46DF"/>
    <w:rsid w:val="000B486D"/>
    <w:rsid w:val="000B49DA"/>
    <w:rsid w:val="000B4A86"/>
    <w:rsid w:val="000B4B41"/>
    <w:rsid w:val="000B4B63"/>
    <w:rsid w:val="000B4DE9"/>
    <w:rsid w:val="000B54C9"/>
    <w:rsid w:val="000B54D4"/>
    <w:rsid w:val="000B55A0"/>
    <w:rsid w:val="000B5912"/>
    <w:rsid w:val="000B5983"/>
    <w:rsid w:val="000B5A2B"/>
    <w:rsid w:val="000B5CA8"/>
    <w:rsid w:val="000B5CB2"/>
    <w:rsid w:val="000B5CC1"/>
    <w:rsid w:val="000B5E34"/>
    <w:rsid w:val="000B5F35"/>
    <w:rsid w:val="000B5F81"/>
    <w:rsid w:val="000B5FB5"/>
    <w:rsid w:val="000B64C0"/>
    <w:rsid w:val="000B6791"/>
    <w:rsid w:val="000B67B8"/>
    <w:rsid w:val="000B6D42"/>
    <w:rsid w:val="000B6FBC"/>
    <w:rsid w:val="000B705E"/>
    <w:rsid w:val="000B7085"/>
    <w:rsid w:val="000B73C4"/>
    <w:rsid w:val="000B75AF"/>
    <w:rsid w:val="000B75F9"/>
    <w:rsid w:val="000B78D4"/>
    <w:rsid w:val="000B7A57"/>
    <w:rsid w:val="000B7B1A"/>
    <w:rsid w:val="000B7E85"/>
    <w:rsid w:val="000B7EBA"/>
    <w:rsid w:val="000B7ECF"/>
    <w:rsid w:val="000C00A1"/>
    <w:rsid w:val="000C00F0"/>
    <w:rsid w:val="000C0371"/>
    <w:rsid w:val="000C03C8"/>
    <w:rsid w:val="000C03DD"/>
    <w:rsid w:val="000C06A9"/>
    <w:rsid w:val="000C0717"/>
    <w:rsid w:val="000C098E"/>
    <w:rsid w:val="000C0A9C"/>
    <w:rsid w:val="000C0C18"/>
    <w:rsid w:val="000C0C4B"/>
    <w:rsid w:val="000C0C58"/>
    <w:rsid w:val="000C0C64"/>
    <w:rsid w:val="000C0D2C"/>
    <w:rsid w:val="000C0F07"/>
    <w:rsid w:val="000C0FCD"/>
    <w:rsid w:val="000C0FE5"/>
    <w:rsid w:val="000C1167"/>
    <w:rsid w:val="000C187C"/>
    <w:rsid w:val="000C1B9D"/>
    <w:rsid w:val="000C1D66"/>
    <w:rsid w:val="000C2181"/>
    <w:rsid w:val="000C23CE"/>
    <w:rsid w:val="000C25A2"/>
    <w:rsid w:val="000C2866"/>
    <w:rsid w:val="000C29CA"/>
    <w:rsid w:val="000C2B94"/>
    <w:rsid w:val="000C2BA8"/>
    <w:rsid w:val="000C2F17"/>
    <w:rsid w:val="000C3013"/>
    <w:rsid w:val="000C307D"/>
    <w:rsid w:val="000C360B"/>
    <w:rsid w:val="000C36C4"/>
    <w:rsid w:val="000C3905"/>
    <w:rsid w:val="000C39E0"/>
    <w:rsid w:val="000C3BD0"/>
    <w:rsid w:val="000C3C23"/>
    <w:rsid w:val="000C3D42"/>
    <w:rsid w:val="000C3DBA"/>
    <w:rsid w:val="000C40D0"/>
    <w:rsid w:val="000C4132"/>
    <w:rsid w:val="000C425F"/>
    <w:rsid w:val="000C42D1"/>
    <w:rsid w:val="000C4435"/>
    <w:rsid w:val="000C44BA"/>
    <w:rsid w:val="000C4509"/>
    <w:rsid w:val="000C4785"/>
    <w:rsid w:val="000C4792"/>
    <w:rsid w:val="000C4877"/>
    <w:rsid w:val="000C48A8"/>
    <w:rsid w:val="000C4B7C"/>
    <w:rsid w:val="000C4C5B"/>
    <w:rsid w:val="000C4C73"/>
    <w:rsid w:val="000C4E22"/>
    <w:rsid w:val="000C53EE"/>
    <w:rsid w:val="000C54DC"/>
    <w:rsid w:val="000C54F8"/>
    <w:rsid w:val="000C5686"/>
    <w:rsid w:val="000C5866"/>
    <w:rsid w:val="000C597D"/>
    <w:rsid w:val="000C5A75"/>
    <w:rsid w:val="000C5AD5"/>
    <w:rsid w:val="000C5D95"/>
    <w:rsid w:val="000C6063"/>
    <w:rsid w:val="000C60AE"/>
    <w:rsid w:val="000C6656"/>
    <w:rsid w:val="000C6773"/>
    <w:rsid w:val="000C6809"/>
    <w:rsid w:val="000C6B03"/>
    <w:rsid w:val="000C6DF1"/>
    <w:rsid w:val="000C7043"/>
    <w:rsid w:val="000C73EE"/>
    <w:rsid w:val="000C7498"/>
    <w:rsid w:val="000C77BF"/>
    <w:rsid w:val="000C7920"/>
    <w:rsid w:val="000C7943"/>
    <w:rsid w:val="000C7B1A"/>
    <w:rsid w:val="000C7CF2"/>
    <w:rsid w:val="000C7CF8"/>
    <w:rsid w:val="000C7D6F"/>
    <w:rsid w:val="000C7E2D"/>
    <w:rsid w:val="000C7F16"/>
    <w:rsid w:val="000D029F"/>
    <w:rsid w:val="000D033E"/>
    <w:rsid w:val="000D0417"/>
    <w:rsid w:val="000D047D"/>
    <w:rsid w:val="000D069D"/>
    <w:rsid w:val="000D07A0"/>
    <w:rsid w:val="000D09B1"/>
    <w:rsid w:val="000D0AFB"/>
    <w:rsid w:val="000D0CA3"/>
    <w:rsid w:val="000D0D6A"/>
    <w:rsid w:val="000D1092"/>
    <w:rsid w:val="000D10B9"/>
    <w:rsid w:val="000D112C"/>
    <w:rsid w:val="000D12CA"/>
    <w:rsid w:val="000D147E"/>
    <w:rsid w:val="000D14A0"/>
    <w:rsid w:val="000D15B4"/>
    <w:rsid w:val="000D1760"/>
    <w:rsid w:val="000D1825"/>
    <w:rsid w:val="000D1980"/>
    <w:rsid w:val="000D1A5B"/>
    <w:rsid w:val="000D1B77"/>
    <w:rsid w:val="000D1C69"/>
    <w:rsid w:val="000D1E00"/>
    <w:rsid w:val="000D1F9F"/>
    <w:rsid w:val="000D2511"/>
    <w:rsid w:val="000D2604"/>
    <w:rsid w:val="000D2613"/>
    <w:rsid w:val="000D2637"/>
    <w:rsid w:val="000D2785"/>
    <w:rsid w:val="000D2844"/>
    <w:rsid w:val="000D2918"/>
    <w:rsid w:val="000D2967"/>
    <w:rsid w:val="000D2A61"/>
    <w:rsid w:val="000D2A6B"/>
    <w:rsid w:val="000D2C54"/>
    <w:rsid w:val="000D2E90"/>
    <w:rsid w:val="000D30AB"/>
    <w:rsid w:val="000D30DB"/>
    <w:rsid w:val="000D327D"/>
    <w:rsid w:val="000D32E0"/>
    <w:rsid w:val="000D3317"/>
    <w:rsid w:val="000D3581"/>
    <w:rsid w:val="000D37C1"/>
    <w:rsid w:val="000D3A98"/>
    <w:rsid w:val="000D3B6F"/>
    <w:rsid w:val="000D3B96"/>
    <w:rsid w:val="000D3B9F"/>
    <w:rsid w:val="000D3BE4"/>
    <w:rsid w:val="000D3DB6"/>
    <w:rsid w:val="000D3E4C"/>
    <w:rsid w:val="000D42CF"/>
    <w:rsid w:val="000D440A"/>
    <w:rsid w:val="000D4481"/>
    <w:rsid w:val="000D4863"/>
    <w:rsid w:val="000D48E9"/>
    <w:rsid w:val="000D4C0C"/>
    <w:rsid w:val="000D519C"/>
    <w:rsid w:val="000D51AC"/>
    <w:rsid w:val="000D53E6"/>
    <w:rsid w:val="000D54AC"/>
    <w:rsid w:val="000D54C5"/>
    <w:rsid w:val="000D554C"/>
    <w:rsid w:val="000D55B6"/>
    <w:rsid w:val="000D5676"/>
    <w:rsid w:val="000D58DF"/>
    <w:rsid w:val="000D5985"/>
    <w:rsid w:val="000D599A"/>
    <w:rsid w:val="000D5AA4"/>
    <w:rsid w:val="000D5C42"/>
    <w:rsid w:val="000D5FB9"/>
    <w:rsid w:val="000D60AA"/>
    <w:rsid w:val="000D61F1"/>
    <w:rsid w:val="000D627B"/>
    <w:rsid w:val="000D63D9"/>
    <w:rsid w:val="000D65B2"/>
    <w:rsid w:val="000D65E2"/>
    <w:rsid w:val="000D6639"/>
    <w:rsid w:val="000D69EF"/>
    <w:rsid w:val="000D6ACB"/>
    <w:rsid w:val="000D6D09"/>
    <w:rsid w:val="000D6E1F"/>
    <w:rsid w:val="000D6E25"/>
    <w:rsid w:val="000D738C"/>
    <w:rsid w:val="000D73FC"/>
    <w:rsid w:val="000D7416"/>
    <w:rsid w:val="000D745F"/>
    <w:rsid w:val="000D74F8"/>
    <w:rsid w:val="000D75B3"/>
    <w:rsid w:val="000D7661"/>
    <w:rsid w:val="000D76AC"/>
    <w:rsid w:val="000D7749"/>
    <w:rsid w:val="000D775C"/>
    <w:rsid w:val="000D7B45"/>
    <w:rsid w:val="000D7C5A"/>
    <w:rsid w:val="000D7CB4"/>
    <w:rsid w:val="000D7D93"/>
    <w:rsid w:val="000D7D9F"/>
    <w:rsid w:val="000E000F"/>
    <w:rsid w:val="000E0016"/>
    <w:rsid w:val="000E0254"/>
    <w:rsid w:val="000E03B3"/>
    <w:rsid w:val="000E04B4"/>
    <w:rsid w:val="000E0917"/>
    <w:rsid w:val="000E0B09"/>
    <w:rsid w:val="000E0CE2"/>
    <w:rsid w:val="000E0E03"/>
    <w:rsid w:val="000E1066"/>
    <w:rsid w:val="000E10EF"/>
    <w:rsid w:val="000E1176"/>
    <w:rsid w:val="000E1AA9"/>
    <w:rsid w:val="000E1D68"/>
    <w:rsid w:val="000E226F"/>
    <w:rsid w:val="000E264F"/>
    <w:rsid w:val="000E267A"/>
    <w:rsid w:val="000E2961"/>
    <w:rsid w:val="000E2B10"/>
    <w:rsid w:val="000E2C05"/>
    <w:rsid w:val="000E2C3E"/>
    <w:rsid w:val="000E2CB6"/>
    <w:rsid w:val="000E2CF6"/>
    <w:rsid w:val="000E2DB9"/>
    <w:rsid w:val="000E3077"/>
    <w:rsid w:val="000E317C"/>
    <w:rsid w:val="000E323C"/>
    <w:rsid w:val="000E3398"/>
    <w:rsid w:val="000E33A6"/>
    <w:rsid w:val="000E33BC"/>
    <w:rsid w:val="000E34C3"/>
    <w:rsid w:val="000E3600"/>
    <w:rsid w:val="000E3684"/>
    <w:rsid w:val="000E376B"/>
    <w:rsid w:val="000E37D3"/>
    <w:rsid w:val="000E37FC"/>
    <w:rsid w:val="000E3820"/>
    <w:rsid w:val="000E3AC3"/>
    <w:rsid w:val="000E3BA4"/>
    <w:rsid w:val="000E3DDE"/>
    <w:rsid w:val="000E3E72"/>
    <w:rsid w:val="000E3E9D"/>
    <w:rsid w:val="000E401F"/>
    <w:rsid w:val="000E4036"/>
    <w:rsid w:val="000E40A5"/>
    <w:rsid w:val="000E41B2"/>
    <w:rsid w:val="000E429C"/>
    <w:rsid w:val="000E42A6"/>
    <w:rsid w:val="000E43A0"/>
    <w:rsid w:val="000E452D"/>
    <w:rsid w:val="000E4555"/>
    <w:rsid w:val="000E4605"/>
    <w:rsid w:val="000E48F8"/>
    <w:rsid w:val="000E49CA"/>
    <w:rsid w:val="000E4A44"/>
    <w:rsid w:val="000E4B12"/>
    <w:rsid w:val="000E4B53"/>
    <w:rsid w:val="000E4BA9"/>
    <w:rsid w:val="000E4C89"/>
    <w:rsid w:val="000E4D9A"/>
    <w:rsid w:val="000E51BD"/>
    <w:rsid w:val="000E5386"/>
    <w:rsid w:val="000E5468"/>
    <w:rsid w:val="000E5516"/>
    <w:rsid w:val="000E5DC5"/>
    <w:rsid w:val="000E5E45"/>
    <w:rsid w:val="000E61B5"/>
    <w:rsid w:val="000E6359"/>
    <w:rsid w:val="000E6723"/>
    <w:rsid w:val="000E680A"/>
    <w:rsid w:val="000E6BF5"/>
    <w:rsid w:val="000E6CDC"/>
    <w:rsid w:val="000E6D5E"/>
    <w:rsid w:val="000E6DE2"/>
    <w:rsid w:val="000E7257"/>
    <w:rsid w:val="000E7338"/>
    <w:rsid w:val="000E73E0"/>
    <w:rsid w:val="000E73EF"/>
    <w:rsid w:val="000E780D"/>
    <w:rsid w:val="000E78A3"/>
    <w:rsid w:val="000E78A7"/>
    <w:rsid w:val="000E794D"/>
    <w:rsid w:val="000E7A74"/>
    <w:rsid w:val="000E7AA8"/>
    <w:rsid w:val="000E7BD1"/>
    <w:rsid w:val="000E7C8E"/>
    <w:rsid w:val="000E7D1C"/>
    <w:rsid w:val="000E7F49"/>
    <w:rsid w:val="000F00C9"/>
    <w:rsid w:val="000F00EC"/>
    <w:rsid w:val="000F01E4"/>
    <w:rsid w:val="000F0272"/>
    <w:rsid w:val="000F027D"/>
    <w:rsid w:val="000F0376"/>
    <w:rsid w:val="000F038D"/>
    <w:rsid w:val="000F0799"/>
    <w:rsid w:val="000F0934"/>
    <w:rsid w:val="000F0ABE"/>
    <w:rsid w:val="000F0B12"/>
    <w:rsid w:val="000F0B8B"/>
    <w:rsid w:val="000F0BAF"/>
    <w:rsid w:val="000F0CCE"/>
    <w:rsid w:val="000F0F55"/>
    <w:rsid w:val="000F1037"/>
    <w:rsid w:val="000F1057"/>
    <w:rsid w:val="000F107D"/>
    <w:rsid w:val="000F10B6"/>
    <w:rsid w:val="000F12CF"/>
    <w:rsid w:val="000F12F8"/>
    <w:rsid w:val="000F1543"/>
    <w:rsid w:val="000F17E2"/>
    <w:rsid w:val="000F1A39"/>
    <w:rsid w:val="000F1CBE"/>
    <w:rsid w:val="000F1E6B"/>
    <w:rsid w:val="000F1E76"/>
    <w:rsid w:val="000F1EE2"/>
    <w:rsid w:val="000F1F4C"/>
    <w:rsid w:val="000F1F9C"/>
    <w:rsid w:val="000F1FE1"/>
    <w:rsid w:val="000F210F"/>
    <w:rsid w:val="000F21F5"/>
    <w:rsid w:val="000F2232"/>
    <w:rsid w:val="000F25F6"/>
    <w:rsid w:val="000F281C"/>
    <w:rsid w:val="000F285C"/>
    <w:rsid w:val="000F293A"/>
    <w:rsid w:val="000F2A37"/>
    <w:rsid w:val="000F2BFB"/>
    <w:rsid w:val="000F2C0A"/>
    <w:rsid w:val="000F2C7C"/>
    <w:rsid w:val="000F2D5F"/>
    <w:rsid w:val="000F2ECA"/>
    <w:rsid w:val="000F2EDB"/>
    <w:rsid w:val="000F306E"/>
    <w:rsid w:val="000F33F2"/>
    <w:rsid w:val="000F3592"/>
    <w:rsid w:val="000F3824"/>
    <w:rsid w:val="000F397C"/>
    <w:rsid w:val="000F3C9A"/>
    <w:rsid w:val="000F3F33"/>
    <w:rsid w:val="000F41CD"/>
    <w:rsid w:val="000F4418"/>
    <w:rsid w:val="000F44F7"/>
    <w:rsid w:val="000F453E"/>
    <w:rsid w:val="000F47DB"/>
    <w:rsid w:val="000F49D3"/>
    <w:rsid w:val="000F4B1A"/>
    <w:rsid w:val="000F4C31"/>
    <w:rsid w:val="000F4C39"/>
    <w:rsid w:val="000F4C5F"/>
    <w:rsid w:val="000F4CB1"/>
    <w:rsid w:val="000F4CE3"/>
    <w:rsid w:val="000F4D68"/>
    <w:rsid w:val="000F500A"/>
    <w:rsid w:val="000F5069"/>
    <w:rsid w:val="000F50E1"/>
    <w:rsid w:val="000F5113"/>
    <w:rsid w:val="000F523C"/>
    <w:rsid w:val="000F52D2"/>
    <w:rsid w:val="000F5716"/>
    <w:rsid w:val="000F5877"/>
    <w:rsid w:val="000F59C8"/>
    <w:rsid w:val="000F5A9C"/>
    <w:rsid w:val="000F5C6D"/>
    <w:rsid w:val="000F5FB4"/>
    <w:rsid w:val="000F6120"/>
    <w:rsid w:val="000F6187"/>
    <w:rsid w:val="000F6384"/>
    <w:rsid w:val="000F6463"/>
    <w:rsid w:val="000F64E3"/>
    <w:rsid w:val="000F656A"/>
    <w:rsid w:val="000F657A"/>
    <w:rsid w:val="000F66C4"/>
    <w:rsid w:val="000F6861"/>
    <w:rsid w:val="000F6872"/>
    <w:rsid w:val="000F6A13"/>
    <w:rsid w:val="000F6A16"/>
    <w:rsid w:val="000F6AF7"/>
    <w:rsid w:val="000F6B46"/>
    <w:rsid w:val="000F6E60"/>
    <w:rsid w:val="000F6F54"/>
    <w:rsid w:val="000F6F8F"/>
    <w:rsid w:val="000F6FF5"/>
    <w:rsid w:val="000F72BF"/>
    <w:rsid w:val="000F7592"/>
    <w:rsid w:val="000F76EA"/>
    <w:rsid w:val="000F77A0"/>
    <w:rsid w:val="000F7A93"/>
    <w:rsid w:val="000F7CD6"/>
    <w:rsid w:val="000F7FDE"/>
    <w:rsid w:val="00100148"/>
    <w:rsid w:val="00100448"/>
    <w:rsid w:val="00100746"/>
    <w:rsid w:val="001008B5"/>
    <w:rsid w:val="00100D8E"/>
    <w:rsid w:val="00100E07"/>
    <w:rsid w:val="00100F10"/>
    <w:rsid w:val="00100F38"/>
    <w:rsid w:val="00100F40"/>
    <w:rsid w:val="0010105F"/>
    <w:rsid w:val="00101071"/>
    <w:rsid w:val="001010AF"/>
    <w:rsid w:val="001010CA"/>
    <w:rsid w:val="00101100"/>
    <w:rsid w:val="00101128"/>
    <w:rsid w:val="0010119F"/>
    <w:rsid w:val="00101285"/>
    <w:rsid w:val="00101399"/>
    <w:rsid w:val="00101441"/>
    <w:rsid w:val="001014CC"/>
    <w:rsid w:val="00101577"/>
    <w:rsid w:val="0010158F"/>
    <w:rsid w:val="00101A9E"/>
    <w:rsid w:val="00101B24"/>
    <w:rsid w:val="00101F99"/>
    <w:rsid w:val="00102258"/>
    <w:rsid w:val="001023B9"/>
    <w:rsid w:val="00102408"/>
    <w:rsid w:val="0010258A"/>
    <w:rsid w:val="00102601"/>
    <w:rsid w:val="0010283A"/>
    <w:rsid w:val="001029F2"/>
    <w:rsid w:val="00102BF6"/>
    <w:rsid w:val="00102C5D"/>
    <w:rsid w:val="00102C77"/>
    <w:rsid w:val="00102CE5"/>
    <w:rsid w:val="00102F93"/>
    <w:rsid w:val="00103316"/>
    <w:rsid w:val="0010343C"/>
    <w:rsid w:val="0010345C"/>
    <w:rsid w:val="0010357D"/>
    <w:rsid w:val="00103638"/>
    <w:rsid w:val="001036E0"/>
    <w:rsid w:val="0010387C"/>
    <w:rsid w:val="00103940"/>
    <w:rsid w:val="00103B23"/>
    <w:rsid w:val="00103B69"/>
    <w:rsid w:val="00103BCE"/>
    <w:rsid w:val="00103C22"/>
    <w:rsid w:val="00103D55"/>
    <w:rsid w:val="00103FBC"/>
    <w:rsid w:val="0010409A"/>
    <w:rsid w:val="001042FC"/>
    <w:rsid w:val="0010479D"/>
    <w:rsid w:val="001047DC"/>
    <w:rsid w:val="001048B6"/>
    <w:rsid w:val="00104B59"/>
    <w:rsid w:val="00104BE9"/>
    <w:rsid w:val="00104C22"/>
    <w:rsid w:val="00104E9D"/>
    <w:rsid w:val="00105000"/>
    <w:rsid w:val="00105219"/>
    <w:rsid w:val="0010541C"/>
    <w:rsid w:val="001054D3"/>
    <w:rsid w:val="00105745"/>
    <w:rsid w:val="001057DD"/>
    <w:rsid w:val="00105862"/>
    <w:rsid w:val="00105B47"/>
    <w:rsid w:val="00105BF4"/>
    <w:rsid w:val="001060CB"/>
    <w:rsid w:val="001063BF"/>
    <w:rsid w:val="00106427"/>
    <w:rsid w:val="001066BC"/>
    <w:rsid w:val="00106A18"/>
    <w:rsid w:val="00106B75"/>
    <w:rsid w:val="00106CA7"/>
    <w:rsid w:val="00106CDA"/>
    <w:rsid w:val="00107056"/>
    <w:rsid w:val="001070A7"/>
    <w:rsid w:val="00107188"/>
    <w:rsid w:val="001072BB"/>
    <w:rsid w:val="001072DF"/>
    <w:rsid w:val="001073CE"/>
    <w:rsid w:val="00107527"/>
    <w:rsid w:val="0010767E"/>
    <w:rsid w:val="00107861"/>
    <w:rsid w:val="001078E1"/>
    <w:rsid w:val="00107920"/>
    <w:rsid w:val="00107A08"/>
    <w:rsid w:val="00107A4B"/>
    <w:rsid w:val="00107ACD"/>
    <w:rsid w:val="00107BC2"/>
    <w:rsid w:val="0011019A"/>
    <w:rsid w:val="001101E5"/>
    <w:rsid w:val="001103FD"/>
    <w:rsid w:val="0011060E"/>
    <w:rsid w:val="00110900"/>
    <w:rsid w:val="00110A07"/>
    <w:rsid w:val="00110B34"/>
    <w:rsid w:val="00110B6A"/>
    <w:rsid w:val="00110BC2"/>
    <w:rsid w:val="00111084"/>
    <w:rsid w:val="001111DF"/>
    <w:rsid w:val="0011122B"/>
    <w:rsid w:val="00111312"/>
    <w:rsid w:val="00111638"/>
    <w:rsid w:val="00111783"/>
    <w:rsid w:val="001117EA"/>
    <w:rsid w:val="00111843"/>
    <w:rsid w:val="001118B2"/>
    <w:rsid w:val="00111949"/>
    <w:rsid w:val="001119C2"/>
    <w:rsid w:val="00111A5C"/>
    <w:rsid w:val="00111B3E"/>
    <w:rsid w:val="00111C16"/>
    <w:rsid w:val="00111C18"/>
    <w:rsid w:val="00111D4C"/>
    <w:rsid w:val="00111D77"/>
    <w:rsid w:val="00111E76"/>
    <w:rsid w:val="00111FDD"/>
    <w:rsid w:val="00112238"/>
    <w:rsid w:val="001122AA"/>
    <w:rsid w:val="00112386"/>
    <w:rsid w:val="001128D8"/>
    <w:rsid w:val="00112B82"/>
    <w:rsid w:val="00112C50"/>
    <w:rsid w:val="00112DFF"/>
    <w:rsid w:val="00113299"/>
    <w:rsid w:val="001133A3"/>
    <w:rsid w:val="00113415"/>
    <w:rsid w:val="00113581"/>
    <w:rsid w:val="00113743"/>
    <w:rsid w:val="00113A94"/>
    <w:rsid w:val="00113B25"/>
    <w:rsid w:val="00113D2B"/>
    <w:rsid w:val="00114052"/>
    <w:rsid w:val="00114106"/>
    <w:rsid w:val="0011419A"/>
    <w:rsid w:val="00114667"/>
    <w:rsid w:val="0011475C"/>
    <w:rsid w:val="00114772"/>
    <w:rsid w:val="001147C4"/>
    <w:rsid w:val="001147D3"/>
    <w:rsid w:val="00114C10"/>
    <w:rsid w:val="001152E3"/>
    <w:rsid w:val="001152EE"/>
    <w:rsid w:val="00115363"/>
    <w:rsid w:val="001154FB"/>
    <w:rsid w:val="001154FE"/>
    <w:rsid w:val="00115543"/>
    <w:rsid w:val="001155C0"/>
    <w:rsid w:val="001155C7"/>
    <w:rsid w:val="001157B9"/>
    <w:rsid w:val="001157D4"/>
    <w:rsid w:val="00115BB0"/>
    <w:rsid w:val="00115F74"/>
    <w:rsid w:val="00115FDB"/>
    <w:rsid w:val="00116405"/>
    <w:rsid w:val="00116412"/>
    <w:rsid w:val="00116416"/>
    <w:rsid w:val="001164B4"/>
    <w:rsid w:val="00116843"/>
    <w:rsid w:val="00116A67"/>
    <w:rsid w:val="00116AD5"/>
    <w:rsid w:val="00116C57"/>
    <w:rsid w:val="00116D66"/>
    <w:rsid w:val="00116F45"/>
    <w:rsid w:val="00116FA3"/>
    <w:rsid w:val="00117135"/>
    <w:rsid w:val="0011732B"/>
    <w:rsid w:val="001173B0"/>
    <w:rsid w:val="001173D1"/>
    <w:rsid w:val="001173E1"/>
    <w:rsid w:val="001175A5"/>
    <w:rsid w:val="00117658"/>
    <w:rsid w:val="0011767E"/>
    <w:rsid w:val="00117762"/>
    <w:rsid w:val="00117990"/>
    <w:rsid w:val="00117B16"/>
    <w:rsid w:val="00117BDC"/>
    <w:rsid w:val="00117DED"/>
    <w:rsid w:val="00117E3D"/>
    <w:rsid w:val="00117E64"/>
    <w:rsid w:val="00117E8B"/>
    <w:rsid w:val="00117F69"/>
    <w:rsid w:val="00120045"/>
    <w:rsid w:val="00120106"/>
    <w:rsid w:val="00120201"/>
    <w:rsid w:val="0012027B"/>
    <w:rsid w:val="00120587"/>
    <w:rsid w:val="0012087B"/>
    <w:rsid w:val="001209B4"/>
    <w:rsid w:val="00120A3F"/>
    <w:rsid w:val="00120A86"/>
    <w:rsid w:val="00120BDA"/>
    <w:rsid w:val="00120BDB"/>
    <w:rsid w:val="00120BE9"/>
    <w:rsid w:val="00120EF5"/>
    <w:rsid w:val="00120F81"/>
    <w:rsid w:val="00121167"/>
    <w:rsid w:val="001211A5"/>
    <w:rsid w:val="0012134E"/>
    <w:rsid w:val="00121457"/>
    <w:rsid w:val="00121458"/>
    <w:rsid w:val="00121669"/>
    <w:rsid w:val="001217D5"/>
    <w:rsid w:val="00121856"/>
    <w:rsid w:val="00121B2E"/>
    <w:rsid w:val="00121C25"/>
    <w:rsid w:val="00121D10"/>
    <w:rsid w:val="00121DE1"/>
    <w:rsid w:val="00121EA6"/>
    <w:rsid w:val="001220F7"/>
    <w:rsid w:val="0012236D"/>
    <w:rsid w:val="00122417"/>
    <w:rsid w:val="0012252E"/>
    <w:rsid w:val="00122725"/>
    <w:rsid w:val="00122788"/>
    <w:rsid w:val="00122F1F"/>
    <w:rsid w:val="00123159"/>
    <w:rsid w:val="00123386"/>
    <w:rsid w:val="001235A0"/>
    <w:rsid w:val="0012369E"/>
    <w:rsid w:val="00123855"/>
    <w:rsid w:val="0012396D"/>
    <w:rsid w:val="00123A48"/>
    <w:rsid w:val="00123C2D"/>
    <w:rsid w:val="00123CCE"/>
    <w:rsid w:val="00123DB5"/>
    <w:rsid w:val="00123F6A"/>
    <w:rsid w:val="00123FB7"/>
    <w:rsid w:val="00124008"/>
    <w:rsid w:val="001242F9"/>
    <w:rsid w:val="00124441"/>
    <w:rsid w:val="001244AB"/>
    <w:rsid w:val="001246CC"/>
    <w:rsid w:val="00124750"/>
    <w:rsid w:val="0012481F"/>
    <w:rsid w:val="00124832"/>
    <w:rsid w:val="001248CB"/>
    <w:rsid w:val="00124912"/>
    <w:rsid w:val="001249D0"/>
    <w:rsid w:val="00124AC1"/>
    <w:rsid w:val="00124B1B"/>
    <w:rsid w:val="00124B39"/>
    <w:rsid w:val="00124CFB"/>
    <w:rsid w:val="00124E00"/>
    <w:rsid w:val="00124FC7"/>
    <w:rsid w:val="001250DB"/>
    <w:rsid w:val="00125288"/>
    <w:rsid w:val="001252BE"/>
    <w:rsid w:val="001252DB"/>
    <w:rsid w:val="001253EF"/>
    <w:rsid w:val="001253FE"/>
    <w:rsid w:val="001254C6"/>
    <w:rsid w:val="001255A7"/>
    <w:rsid w:val="00125934"/>
    <w:rsid w:val="0012597B"/>
    <w:rsid w:val="001259B8"/>
    <w:rsid w:val="00125BAF"/>
    <w:rsid w:val="00125C32"/>
    <w:rsid w:val="00126095"/>
    <w:rsid w:val="00126236"/>
    <w:rsid w:val="00126311"/>
    <w:rsid w:val="0012635B"/>
    <w:rsid w:val="0012668B"/>
    <w:rsid w:val="00126734"/>
    <w:rsid w:val="001267A0"/>
    <w:rsid w:val="001268BC"/>
    <w:rsid w:val="001269A8"/>
    <w:rsid w:val="00126B81"/>
    <w:rsid w:val="00126F25"/>
    <w:rsid w:val="0012708D"/>
    <w:rsid w:val="001270C8"/>
    <w:rsid w:val="001272F2"/>
    <w:rsid w:val="00127370"/>
    <w:rsid w:val="0012754F"/>
    <w:rsid w:val="00127771"/>
    <w:rsid w:val="001277B1"/>
    <w:rsid w:val="001277E0"/>
    <w:rsid w:val="001277F9"/>
    <w:rsid w:val="0012786B"/>
    <w:rsid w:val="001278B7"/>
    <w:rsid w:val="001279B2"/>
    <w:rsid w:val="001279CA"/>
    <w:rsid w:val="00127A0A"/>
    <w:rsid w:val="00127A83"/>
    <w:rsid w:val="00127BDE"/>
    <w:rsid w:val="00127D0A"/>
    <w:rsid w:val="00127E83"/>
    <w:rsid w:val="001300E3"/>
    <w:rsid w:val="001304BE"/>
    <w:rsid w:val="001309F1"/>
    <w:rsid w:val="00130A5C"/>
    <w:rsid w:val="00130B9D"/>
    <w:rsid w:val="00130E34"/>
    <w:rsid w:val="001312FE"/>
    <w:rsid w:val="0013130A"/>
    <w:rsid w:val="00131613"/>
    <w:rsid w:val="0013172E"/>
    <w:rsid w:val="00131730"/>
    <w:rsid w:val="001317F9"/>
    <w:rsid w:val="00131950"/>
    <w:rsid w:val="00131954"/>
    <w:rsid w:val="00131AB6"/>
    <w:rsid w:val="00131ABB"/>
    <w:rsid w:val="00131C42"/>
    <w:rsid w:val="00131D08"/>
    <w:rsid w:val="00131DA4"/>
    <w:rsid w:val="00131E3C"/>
    <w:rsid w:val="00131F01"/>
    <w:rsid w:val="00131F2C"/>
    <w:rsid w:val="00131F48"/>
    <w:rsid w:val="00132055"/>
    <w:rsid w:val="001320A3"/>
    <w:rsid w:val="001320BB"/>
    <w:rsid w:val="001320C0"/>
    <w:rsid w:val="00132486"/>
    <w:rsid w:val="00132776"/>
    <w:rsid w:val="00132965"/>
    <w:rsid w:val="001329D5"/>
    <w:rsid w:val="001329F2"/>
    <w:rsid w:val="00132AA4"/>
    <w:rsid w:val="00132B6B"/>
    <w:rsid w:val="00132B91"/>
    <w:rsid w:val="00132BCE"/>
    <w:rsid w:val="00132D01"/>
    <w:rsid w:val="00132D6C"/>
    <w:rsid w:val="0013320C"/>
    <w:rsid w:val="001333D5"/>
    <w:rsid w:val="001335BF"/>
    <w:rsid w:val="001336BC"/>
    <w:rsid w:val="001337AF"/>
    <w:rsid w:val="00133914"/>
    <w:rsid w:val="001339C5"/>
    <w:rsid w:val="001339DE"/>
    <w:rsid w:val="00133A64"/>
    <w:rsid w:val="00133BDA"/>
    <w:rsid w:val="00133C1E"/>
    <w:rsid w:val="00133EE6"/>
    <w:rsid w:val="00134021"/>
    <w:rsid w:val="00134180"/>
    <w:rsid w:val="001341E2"/>
    <w:rsid w:val="00134289"/>
    <w:rsid w:val="001345F3"/>
    <w:rsid w:val="001346F5"/>
    <w:rsid w:val="0013484B"/>
    <w:rsid w:val="0013490B"/>
    <w:rsid w:val="00134B5E"/>
    <w:rsid w:val="00134CD5"/>
    <w:rsid w:val="00134CF0"/>
    <w:rsid w:val="00134D13"/>
    <w:rsid w:val="00134F14"/>
    <w:rsid w:val="0013504A"/>
    <w:rsid w:val="001350C9"/>
    <w:rsid w:val="001350FA"/>
    <w:rsid w:val="001354B2"/>
    <w:rsid w:val="0013556A"/>
    <w:rsid w:val="00135594"/>
    <w:rsid w:val="00135871"/>
    <w:rsid w:val="00135A1E"/>
    <w:rsid w:val="00135A59"/>
    <w:rsid w:val="00135AB1"/>
    <w:rsid w:val="00135E57"/>
    <w:rsid w:val="00135E8C"/>
    <w:rsid w:val="00135EE9"/>
    <w:rsid w:val="00135FBD"/>
    <w:rsid w:val="001360BC"/>
    <w:rsid w:val="00136372"/>
    <w:rsid w:val="00136400"/>
    <w:rsid w:val="001365D7"/>
    <w:rsid w:val="001365E4"/>
    <w:rsid w:val="00136657"/>
    <w:rsid w:val="001368D7"/>
    <w:rsid w:val="00136C2F"/>
    <w:rsid w:val="00136C99"/>
    <w:rsid w:val="00136FDC"/>
    <w:rsid w:val="00137263"/>
    <w:rsid w:val="0013756A"/>
    <w:rsid w:val="00137645"/>
    <w:rsid w:val="0013769F"/>
    <w:rsid w:val="00137702"/>
    <w:rsid w:val="00137760"/>
    <w:rsid w:val="00137855"/>
    <w:rsid w:val="00137BB0"/>
    <w:rsid w:val="00137BF1"/>
    <w:rsid w:val="00137C0F"/>
    <w:rsid w:val="00137C80"/>
    <w:rsid w:val="00137CED"/>
    <w:rsid w:val="00137D57"/>
    <w:rsid w:val="00137DA9"/>
    <w:rsid w:val="0014013F"/>
    <w:rsid w:val="0014014E"/>
    <w:rsid w:val="0014018E"/>
    <w:rsid w:val="001402A9"/>
    <w:rsid w:val="001402B8"/>
    <w:rsid w:val="001402F1"/>
    <w:rsid w:val="0014049F"/>
    <w:rsid w:val="00140522"/>
    <w:rsid w:val="00140637"/>
    <w:rsid w:val="001407DF"/>
    <w:rsid w:val="00140810"/>
    <w:rsid w:val="0014083F"/>
    <w:rsid w:val="00140A7D"/>
    <w:rsid w:val="00140B05"/>
    <w:rsid w:val="00140B49"/>
    <w:rsid w:val="00140DD9"/>
    <w:rsid w:val="00140F68"/>
    <w:rsid w:val="00141672"/>
    <w:rsid w:val="0014168E"/>
    <w:rsid w:val="00141720"/>
    <w:rsid w:val="0014175F"/>
    <w:rsid w:val="00141772"/>
    <w:rsid w:val="001419FD"/>
    <w:rsid w:val="00141A41"/>
    <w:rsid w:val="00141B0F"/>
    <w:rsid w:val="00141DA2"/>
    <w:rsid w:val="00142007"/>
    <w:rsid w:val="00142181"/>
    <w:rsid w:val="00142253"/>
    <w:rsid w:val="00142328"/>
    <w:rsid w:val="0014239D"/>
    <w:rsid w:val="0014239F"/>
    <w:rsid w:val="001423F8"/>
    <w:rsid w:val="00142480"/>
    <w:rsid w:val="001425CF"/>
    <w:rsid w:val="001425FE"/>
    <w:rsid w:val="0014263B"/>
    <w:rsid w:val="001426A5"/>
    <w:rsid w:val="001426A7"/>
    <w:rsid w:val="00142766"/>
    <w:rsid w:val="00142854"/>
    <w:rsid w:val="001428A1"/>
    <w:rsid w:val="00142935"/>
    <w:rsid w:val="001429E0"/>
    <w:rsid w:val="001429E3"/>
    <w:rsid w:val="00142E49"/>
    <w:rsid w:val="00143028"/>
    <w:rsid w:val="001431C4"/>
    <w:rsid w:val="00143747"/>
    <w:rsid w:val="0014378F"/>
    <w:rsid w:val="00143B9F"/>
    <w:rsid w:val="00143C20"/>
    <w:rsid w:val="001440AE"/>
    <w:rsid w:val="00144254"/>
    <w:rsid w:val="00144598"/>
    <w:rsid w:val="0014463A"/>
    <w:rsid w:val="00144656"/>
    <w:rsid w:val="0014466B"/>
    <w:rsid w:val="0014469D"/>
    <w:rsid w:val="001449A6"/>
    <w:rsid w:val="001449EB"/>
    <w:rsid w:val="00144D6B"/>
    <w:rsid w:val="00144EA9"/>
    <w:rsid w:val="00144F16"/>
    <w:rsid w:val="00145254"/>
    <w:rsid w:val="00145330"/>
    <w:rsid w:val="001453A2"/>
    <w:rsid w:val="00145413"/>
    <w:rsid w:val="0014545E"/>
    <w:rsid w:val="0014553F"/>
    <w:rsid w:val="001455EA"/>
    <w:rsid w:val="0014565F"/>
    <w:rsid w:val="001457D9"/>
    <w:rsid w:val="00145887"/>
    <w:rsid w:val="00145A2E"/>
    <w:rsid w:val="00145B4C"/>
    <w:rsid w:val="001462CE"/>
    <w:rsid w:val="001464B7"/>
    <w:rsid w:val="0014677B"/>
    <w:rsid w:val="00146C20"/>
    <w:rsid w:val="00146D69"/>
    <w:rsid w:val="00146D6E"/>
    <w:rsid w:val="00146E63"/>
    <w:rsid w:val="00146ED5"/>
    <w:rsid w:val="00147021"/>
    <w:rsid w:val="00147344"/>
    <w:rsid w:val="001477E1"/>
    <w:rsid w:val="00147933"/>
    <w:rsid w:val="00147C2C"/>
    <w:rsid w:val="00147D59"/>
    <w:rsid w:val="001500ED"/>
    <w:rsid w:val="00150485"/>
    <w:rsid w:val="001507E5"/>
    <w:rsid w:val="001507F9"/>
    <w:rsid w:val="00150935"/>
    <w:rsid w:val="0015095A"/>
    <w:rsid w:val="00150AF2"/>
    <w:rsid w:val="00150C79"/>
    <w:rsid w:val="00150D86"/>
    <w:rsid w:val="00150DB1"/>
    <w:rsid w:val="00150DD9"/>
    <w:rsid w:val="00150EF9"/>
    <w:rsid w:val="00150F55"/>
    <w:rsid w:val="001510F1"/>
    <w:rsid w:val="0015126B"/>
    <w:rsid w:val="0015129F"/>
    <w:rsid w:val="001512FB"/>
    <w:rsid w:val="00151552"/>
    <w:rsid w:val="00151575"/>
    <w:rsid w:val="00151619"/>
    <w:rsid w:val="00151714"/>
    <w:rsid w:val="00151922"/>
    <w:rsid w:val="001519CC"/>
    <w:rsid w:val="00151E99"/>
    <w:rsid w:val="00151EBC"/>
    <w:rsid w:val="001522A3"/>
    <w:rsid w:val="0015242E"/>
    <w:rsid w:val="001526C5"/>
    <w:rsid w:val="001527B8"/>
    <w:rsid w:val="00152980"/>
    <w:rsid w:val="00152B0C"/>
    <w:rsid w:val="00152B43"/>
    <w:rsid w:val="00152BB6"/>
    <w:rsid w:val="00152C9F"/>
    <w:rsid w:val="00152CE4"/>
    <w:rsid w:val="00152DE4"/>
    <w:rsid w:val="00153236"/>
    <w:rsid w:val="00153266"/>
    <w:rsid w:val="001534CF"/>
    <w:rsid w:val="001535F5"/>
    <w:rsid w:val="00153712"/>
    <w:rsid w:val="00153758"/>
    <w:rsid w:val="00153856"/>
    <w:rsid w:val="00153A0B"/>
    <w:rsid w:val="00153C2D"/>
    <w:rsid w:val="00153CCF"/>
    <w:rsid w:val="00153DAB"/>
    <w:rsid w:val="0015408B"/>
    <w:rsid w:val="0015410F"/>
    <w:rsid w:val="00154132"/>
    <w:rsid w:val="0015445A"/>
    <w:rsid w:val="001544B7"/>
    <w:rsid w:val="001544CC"/>
    <w:rsid w:val="0015464D"/>
    <w:rsid w:val="001548D9"/>
    <w:rsid w:val="001549CE"/>
    <w:rsid w:val="00154A32"/>
    <w:rsid w:val="00154B25"/>
    <w:rsid w:val="00154B4C"/>
    <w:rsid w:val="00154B65"/>
    <w:rsid w:val="00155323"/>
    <w:rsid w:val="00155841"/>
    <w:rsid w:val="00155851"/>
    <w:rsid w:val="00155982"/>
    <w:rsid w:val="001560F0"/>
    <w:rsid w:val="001561EF"/>
    <w:rsid w:val="001562E8"/>
    <w:rsid w:val="00156533"/>
    <w:rsid w:val="001565BB"/>
    <w:rsid w:val="00156629"/>
    <w:rsid w:val="001566BA"/>
    <w:rsid w:val="00156722"/>
    <w:rsid w:val="00156758"/>
    <w:rsid w:val="0015679B"/>
    <w:rsid w:val="00156A43"/>
    <w:rsid w:val="00156B43"/>
    <w:rsid w:val="00156B8B"/>
    <w:rsid w:val="00156D93"/>
    <w:rsid w:val="001570D4"/>
    <w:rsid w:val="001571C1"/>
    <w:rsid w:val="00157267"/>
    <w:rsid w:val="001573C1"/>
    <w:rsid w:val="001573E9"/>
    <w:rsid w:val="0015753A"/>
    <w:rsid w:val="00157558"/>
    <w:rsid w:val="00157819"/>
    <w:rsid w:val="00157859"/>
    <w:rsid w:val="001578A5"/>
    <w:rsid w:val="00157C6D"/>
    <w:rsid w:val="00157D2A"/>
    <w:rsid w:val="00157DAF"/>
    <w:rsid w:val="00157E79"/>
    <w:rsid w:val="00157E8F"/>
    <w:rsid w:val="00157EB5"/>
    <w:rsid w:val="00160032"/>
    <w:rsid w:val="0016067E"/>
    <w:rsid w:val="0016085B"/>
    <w:rsid w:val="001609DF"/>
    <w:rsid w:val="001609E8"/>
    <w:rsid w:val="00160B6F"/>
    <w:rsid w:val="00160CF2"/>
    <w:rsid w:val="00160D86"/>
    <w:rsid w:val="00160E8F"/>
    <w:rsid w:val="00160F8E"/>
    <w:rsid w:val="00161078"/>
    <w:rsid w:val="00161085"/>
    <w:rsid w:val="00161208"/>
    <w:rsid w:val="001612FE"/>
    <w:rsid w:val="00161398"/>
    <w:rsid w:val="001613F3"/>
    <w:rsid w:val="001613F4"/>
    <w:rsid w:val="001614FB"/>
    <w:rsid w:val="001615A1"/>
    <w:rsid w:val="00161A2B"/>
    <w:rsid w:val="00161BEF"/>
    <w:rsid w:val="00161BFF"/>
    <w:rsid w:val="00161E81"/>
    <w:rsid w:val="00162024"/>
    <w:rsid w:val="0016209B"/>
    <w:rsid w:val="0016216D"/>
    <w:rsid w:val="0016226C"/>
    <w:rsid w:val="0016226D"/>
    <w:rsid w:val="001622C2"/>
    <w:rsid w:val="0016231B"/>
    <w:rsid w:val="0016236A"/>
    <w:rsid w:val="001623B6"/>
    <w:rsid w:val="0016240B"/>
    <w:rsid w:val="001624BC"/>
    <w:rsid w:val="001624F1"/>
    <w:rsid w:val="0016250A"/>
    <w:rsid w:val="0016258F"/>
    <w:rsid w:val="001625DD"/>
    <w:rsid w:val="001629B0"/>
    <w:rsid w:val="00162A37"/>
    <w:rsid w:val="00162A51"/>
    <w:rsid w:val="00162BA8"/>
    <w:rsid w:val="00162C34"/>
    <w:rsid w:val="00162E68"/>
    <w:rsid w:val="00162F4A"/>
    <w:rsid w:val="0016319C"/>
    <w:rsid w:val="0016319D"/>
    <w:rsid w:val="001631D4"/>
    <w:rsid w:val="00163376"/>
    <w:rsid w:val="001634E2"/>
    <w:rsid w:val="00163526"/>
    <w:rsid w:val="00163545"/>
    <w:rsid w:val="00163691"/>
    <w:rsid w:val="0016380B"/>
    <w:rsid w:val="00163A20"/>
    <w:rsid w:val="00163B1C"/>
    <w:rsid w:val="00163B27"/>
    <w:rsid w:val="00163CC8"/>
    <w:rsid w:val="00163DA9"/>
    <w:rsid w:val="00163FDC"/>
    <w:rsid w:val="00164065"/>
    <w:rsid w:val="00164176"/>
    <w:rsid w:val="00164427"/>
    <w:rsid w:val="0016444C"/>
    <w:rsid w:val="00164577"/>
    <w:rsid w:val="001646AC"/>
    <w:rsid w:val="001648BB"/>
    <w:rsid w:val="00164D2E"/>
    <w:rsid w:val="00164E4F"/>
    <w:rsid w:val="00164E5B"/>
    <w:rsid w:val="00164F3C"/>
    <w:rsid w:val="00164F8D"/>
    <w:rsid w:val="00164FD3"/>
    <w:rsid w:val="0016521F"/>
    <w:rsid w:val="0016525A"/>
    <w:rsid w:val="0016526F"/>
    <w:rsid w:val="001653D7"/>
    <w:rsid w:val="00165557"/>
    <w:rsid w:val="00165582"/>
    <w:rsid w:val="00165622"/>
    <w:rsid w:val="0016566F"/>
    <w:rsid w:val="001658B0"/>
    <w:rsid w:val="00165AC4"/>
    <w:rsid w:val="00165C1E"/>
    <w:rsid w:val="00165C94"/>
    <w:rsid w:val="00165C96"/>
    <w:rsid w:val="00165E2C"/>
    <w:rsid w:val="00165E4F"/>
    <w:rsid w:val="00165E55"/>
    <w:rsid w:val="00165F8B"/>
    <w:rsid w:val="00166018"/>
    <w:rsid w:val="001661AC"/>
    <w:rsid w:val="00166346"/>
    <w:rsid w:val="00166389"/>
    <w:rsid w:val="0016666E"/>
    <w:rsid w:val="0016668F"/>
    <w:rsid w:val="00166B43"/>
    <w:rsid w:val="00166C86"/>
    <w:rsid w:val="00166CC5"/>
    <w:rsid w:val="00166CC7"/>
    <w:rsid w:val="00166CE7"/>
    <w:rsid w:val="00166E2C"/>
    <w:rsid w:val="00166E64"/>
    <w:rsid w:val="0016704C"/>
    <w:rsid w:val="001671D2"/>
    <w:rsid w:val="001672D7"/>
    <w:rsid w:val="0016732C"/>
    <w:rsid w:val="0016756C"/>
    <w:rsid w:val="00167770"/>
    <w:rsid w:val="001677DA"/>
    <w:rsid w:val="00167B6D"/>
    <w:rsid w:val="00167D88"/>
    <w:rsid w:val="00167E3A"/>
    <w:rsid w:val="00167FAF"/>
    <w:rsid w:val="00170160"/>
    <w:rsid w:val="001702D0"/>
    <w:rsid w:val="00170389"/>
    <w:rsid w:val="00170449"/>
    <w:rsid w:val="00170468"/>
    <w:rsid w:val="00170687"/>
    <w:rsid w:val="001709D9"/>
    <w:rsid w:val="00170A9E"/>
    <w:rsid w:val="00170B0A"/>
    <w:rsid w:val="00170C8C"/>
    <w:rsid w:val="00170EFF"/>
    <w:rsid w:val="001710DE"/>
    <w:rsid w:val="00171192"/>
    <w:rsid w:val="001712FE"/>
    <w:rsid w:val="0017141D"/>
    <w:rsid w:val="0017146C"/>
    <w:rsid w:val="00171498"/>
    <w:rsid w:val="00171552"/>
    <w:rsid w:val="00171589"/>
    <w:rsid w:val="00171600"/>
    <w:rsid w:val="001716B8"/>
    <w:rsid w:val="00171785"/>
    <w:rsid w:val="00171A6F"/>
    <w:rsid w:val="00171DDF"/>
    <w:rsid w:val="00171DE8"/>
    <w:rsid w:val="00171EF2"/>
    <w:rsid w:val="00171FDC"/>
    <w:rsid w:val="00172088"/>
    <w:rsid w:val="00172470"/>
    <w:rsid w:val="001724C8"/>
    <w:rsid w:val="001725BC"/>
    <w:rsid w:val="001725BF"/>
    <w:rsid w:val="001727CB"/>
    <w:rsid w:val="00172846"/>
    <w:rsid w:val="00172FCD"/>
    <w:rsid w:val="00172FE5"/>
    <w:rsid w:val="001730EA"/>
    <w:rsid w:val="001732FE"/>
    <w:rsid w:val="00173393"/>
    <w:rsid w:val="001734D9"/>
    <w:rsid w:val="00173737"/>
    <w:rsid w:val="00173A1E"/>
    <w:rsid w:val="00173B01"/>
    <w:rsid w:val="00173B0D"/>
    <w:rsid w:val="00173B18"/>
    <w:rsid w:val="00173D8A"/>
    <w:rsid w:val="00173DC0"/>
    <w:rsid w:val="00173EA1"/>
    <w:rsid w:val="00173EAD"/>
    <w:rsid w:val="00174247"/>
    <w:rsid w:val="00174333"/>
    <w:rsid w:val="001744AE"/>
    <w:rsid w:val="001746A9"/>
    <w:rsid w:val="0017476E"/>
    <w:rsid w:val="00174786"/>
    <w:rsid w:val="00174D7F"/>
    <w:rsid w:val="00174DB9"/>
    <w:rsid w:val="001752B5"/>
    <w:rsid w:val="00175496"/>
    <w:rsid w:val="0017564E"/>
    <w:rsid w:val="00175738"/>
    <w:rsid w:val="0017578E"/>
    <w:rsid w:val="001758F8"/>
    <w:rsid w:val="001759EF"/>
    <w:rsid w:val="00175A73"/>
    <w:rsid w:val="00175A86"/>
    <w:rsid w:val="00175B37"/>
    <w:rsid w:val="00175C3D"/>
    <w:rsid w:val="00175C50"/>
    <w:rsid w:val="00175E77"/>
    <w:rsid w:val="00176038"/>
    <w:rsid w:val="00176221"/>
    <w:rsid w:val="00176223"/>
    <w:rsid w:val="0017676E"/>
    <w:rsid w:val="001767F0"/>
    <w:rsid w:val="0017683C"/>
    <w:rsid w:val="00176A57"/>
    <w:rsid w:val="00176C33"/>
    <w:rsid w:val="00176E21"/>
    <w:rsid w:val="00176EA6"/>
    <w:rsid w:val="00176F36"/>
    <w:rsid w:val="00176F42"/>
    <w:rsid w:val="00176F79"/>
    <w:rsid w:val="00176F92"/>
    <w:rsid w:val="001770B1"/>
    <w:rsid w:val="001770D3"/>
    <w:rsid w:val="00177184"/>
    <w:rsid w:val="0017720D"/>
    <w:rsid w:val="0017722D"/>
    <w:rsid w:val="001772A5"/>
    <w:rsid w:val="00177455"/>
    <w:rsid w:val="00177497"/>
    <w:rsid w:val="00177499"/>
    <w:rsid w:val="001779B3"/>
    <w:rsid w:val="00177BA7"/>
    <w:rsid w:val="00177C03"/>
    <w:rsid w:val="00177DDA"/>
    <w:rsid w:val="00180530"/>
    <w:rsid w:val="00180531"/>
    <w:rsid w:val="0018060C"/>
    <w:rsid w:val="0018076B"/>
    <w:rsid w:val="00180AB9"/>
    <w:rsid w:val="00180C79"/>
    <w:rsid w:val="00180D67"/>
    <w:rsid w:val="00180DE7"/>
    <w:rsid w:val="00180ED0"/>
    <w:rsid w:val="00180F77"/>
    <w:rsid w:val="001810A0"/>
    <w:rsid w:val="001812D4"/>
    <w:rsid w:val="001814AF"/>
    <w:rsid w:val="00181529"/>
    <w:rsid w:val="00181544"/>
    <w:rsid w:val="001816F0"/>
    <w:rsid w:val="00181703"/>
    <w:rsid w:val="00181704"/>
    <w:rsid w:val="0018198B"/>
    <w:rsid w:val="001819D9"/>
    <w:rsid w:val="00181AF2"/>
    <w:rsid w:val="00181BD8"/>
    <w:rsid w:val="00181C44"/>
    <w:rsid w:val="00181DAC"/>
    <w:rsid w:val="00181E8E"/>
    <w:rsid w:val="0018200B"/>
    <w:rsid w:val="00182404"/>
    <w:rsid w:val="001828AE"/>
    <w:rsid w:val="00182B6B"/>
    <w:rsid w:val="00182EA0"/>
    <w:rsid w:val="00183137"/>
    <w:rsid w:val="0018332A"/>
    <w:rsid w:val="00183452"/>
    <w:rsid w:val="00183474"/>
    <w:rsid w:val="0018351A"/>
    <w:rsid w:val="00183B67"/>
    <w:rsid w:val="00183B9A"/>
    <w:rsid w:val="00183CDC"/>
    <w:rsid w:val="00183D9C"/>
    <w:rsid w:val="00184020"/>
    <w:rsid w:val="00184324"/>
    <w:rsid w:val="001846E4"/>
    <w:rsid w:val="0018487F"/>
    <w:rsid w:val="001848EF"/>
    <w:rsid w:val="00184991"/>
    <w:rsid w:val="00184A15"/>
    <w:rsid w:val="00184B7B"/>
    <w:rsid w:val="00184BBE"/>
    <w:rsid w:val="00184EFB"/>
    <w:rsid w:val="00185205"/>
    <w:rsid w:val="0018546C"/>
    <w:rsid w:val="0018546D"/>
    <w:rsid w:val="0018549E"/>
    <w:rsid w:val="001855FA"/>
    <w:rsid w:val="00185ADE"/>
    <w:rsid w:val="00185E35"/>
    <w:rsid w:val="00185F41"/>
    <w:rsid w:val="001860FA"/>
    <w:rsid w:val="00186311"/>
    <w:rsid w:val="001864C8"/>
    <w:rsid w:val="001868E6"/>
    <w:rsid w:val="00186904"/>
    <w:rsid w:val="00186A48"/>
    <w:rsid w:val="00186B6B"/>
    <w:rsid w:val="00186D24"/>
    <w:rsid w:val="00186DA0"/>
    <w:rsid w:val="001872DF"/>
    <w:rsid w:val="0018753F"/>
    <w:rsid w:val="00187774"/>
    <w:rsid w:val="00187839"/>
    <w:rsid w:val="0018783F"/>
    <w:rsid w:val="0018794E"/>
    <w:rsid w:val="00187996"/>
    <w:rsid w:val="001879A6"/>
    <w:rsid w:val="00187AC9"/>
    <w:rsid w:val="00187BCD"/>
    <w:rsid w:val="00187BD6"/>
    <w:rsid w:val="00187D0A"/>
    <w:rsid w:val="00187E89"/>
    <w:rsid w:val="00187FD0"/>
    <w:rsid w:val="00190216"/>
    <w:rsid w:val="0019022D"/>
    <w:rsid w:val="001902EB"/>
    <w:rsid w:val="00190330"/>
    <w:rsid w:val="00190444"/>
    <w:rsid w:val="001904C2"/>
    <w:rsid w:val="00190506"/>
    <w:rsid w:val="001907EE"/>
    <w:rsid w:val="00190970"/>
    <w:rsid w:val="00190A4F"/>
    <w:rsid w:val="00190C36"/>
    <w:rsid w:val="00190CF2"/>
    <w:rsid w:val="00190EAD"/>
    <w:rsid w:val="00190F00"/>
    <w:rsid w:val="001915A4"/>
    <w:rsid w:val="001916A1"/>
    <w:rsid w:val="0019174B"/>
    <w:rsid w:val="00191C18"/>
    <w:rsid w:val="00191D4D"/>
    <w:rsid w:val="001920E7"/>
    <w:rsid w:val="001920F2"/>
    <w:rsid w:val="0019213B"/>
    <w:rsid w:val="00192188"/>
    <w:rsid w:val="00192304"/>
    <w:rsid w:val="00192308"/>
    <w:rsid w:val="001924CE"/>
    <w:rsid w:val="00192631"/>
    <w:rsid w:val="001927C0"/>
    <w:rsid w:val="001927F0"/>
    <w:rsid w:val="001928EA"/>
    <w:rsid w:val="00192909"/>
    <w:rsid w:val="00193133"/>
    <w:rsid w:val="00193151"/>
    <w:rsid w:val="0019318F"/>
    <w:rsid w:val="00193254"/>
    <w:rsid w:val="001932F8"/>
    <w:rsid w:val="00193328"/>
    <w:rsid w:val="001933CC"/>
    <w:rsid w:val="0019340C"/>
    <w:rsid w:val="001934F4"/>
    <w:rsid w:val="001936B8"/>
    <w:rsid w:val="001936E4"/>
    <w:rsid w:val="001937C3"/>
    <w:rsid w:val="00193A33"/>
    <w:rsid w:val="00193C8D"/>
    <w:rsid w:val="00193D2B"/>
    <w:rsid w:val="00194051"/>
    <w:rsid w:val="001941C7"/>
    <w:rsid w:val="00194431"/>
    <w:rsid w:val="001945A0"/>
    <w:rsid w:val="001945F1"/>
    <w:rsid w:val="0019464D"/>
    <w:rsid w:val="001946CE"/>
    <w:rsid w:val="001947BB"/>
    <w:rsid w:val="0019497B"/>
    <w:rsid w:val="00194AAB"/>
    <w:rsid w:val="00194C45"/>
    <w:rsid w:val="00194C8D"/>
    <w:rsid w:val="00194CA4"/>
    <w:rsid w:val="00194CB6"/>
    <w:rsid w:val="00194D54"/>
    <w:rsid w:val="00194DF6"/>
    <w:rsid w:val="00194EEE"/>
    <w:rsid w:val="0019510B"/>
    <w:rsid w:val="0019511E"/>
    <w:rsid w:val="00195121"/>
    <w:rsid w:val="00195A61"/>
    <w:rsid w:val="00195BE2"/>
    <w:rsid w:val="00195C08"/>
    <w:rsid w:val="00195D16"/>
    <w:rsid w:val="00195D68"/>
    <w:rsid w:val="00195DEE"/>
    <w:rsid w:val="00195E09"/>
    <w:rsid w:val="0019602A"/>
    <w:rsid w:val="00196199"/>
    <w:rsid w:val="001962B7"/>
    <w:rsid w:val="001965C8"/>
    <w:rsid w:val="00196655"/>
    <w:rsid w:val="001966E6"/>
    <w:rsid w:val="00196829"/>
    <w:rsid w:val="001969D1"/>
    <w:rsid w:val="001969F3"/>
    <w:rsid w:val="00196B2E"/>
    <w:rsid w:val="00196B6F"/>
    <w:rsid w:val="00196C9D"/>
    <w:rsid w:val="00196D6B"/>
    <w:rsid w:val="00196F9F"/>
    <w:rsid w:val="0019708E"/>
    <w:rsid w:val="001971D9"/>
    <w:rsid w:val="00197237"/>
    <w:rsid w:val="00197285"/>
    <w:rsid w:val="001972AC"/>
    <w:rsid w:val="00197463"/>
    <w:rsid w:val="0019761D"/>
    <w:rsid w:val="001978B7"/>
    <w:rsid w:val="001978EF"/>
    <w:rsid w:val="00197917"/>
    <w:rsid w:val="00197959"/>
    <w:rsid w:val="00197B4C"/>
    <w:rsid w:val="00197B95"/>
    <w:rsid w:val="001A0050"/>
    <w:rsid w:val="001A02B0"/>
    <w:rsid w:val="001A0369"/>
    <w:rsid w:val="001A04C6"/>
    <w:rsid w:val="001A06C6"/>
    <w:rsid w:val="001A0736"/>
    <w:rsid w:val="001A0798"/>
    <w:rsid w:val="001A097A"/>
    <w:rsid w:val="001A0AF4"/>
    <w:rsid w:val="001A0B73"/>
    <w:rsid w:val="001A0C03"/>
    <w:rsid w:val="001A1403"/>
    <w:rsid w:val="001A1896"/>
    <w:rsid w:val="001A18EF"/>
    <w:rsid w:val="001A19DF"/>
    <w:rsid w:val="001A1A84"/>
    <w:rsid w:val="001A1B0E"/>
    <w:rsid w:val="001A1DF1"/>
    <w:rsid w:val="001A1E61"/>
    <w:rsid w:val="001A1EF1"/>
    <w:rsid w:val="001A1F90"/>
    <w:rsid w:val="001A2029"/>
    <w:rsid w:val="001A2083"/>
    <w:rsid w:val="001A2139"/>
    <w:rsid w:val="001A2313"/>
    <w:rsid w:val="001A2332"/>
    <w:rsid w:val="001A234C"/>
    <w:rsid w:val="001A23AE"/>
    <w:rsid w:val="001A28B5"/>
    <w:rsid w:val="001A2969"/>
    <w:rsid w:val="001A2998"/>
    <w:rsid w:val="001A2AE6"/>
    <w:rsid w:val="001A2B1D"/>
    <w:rsid w:val="001A2B39"/>
    <w:rsid w:val="001A2C4C"/>
    <w:rsid w:val="001A2D56"/>
    <w:rsid w:val="001A2DA4"/>
    <w:rsid w:val="001A2ECA"/>
    <w:rsid w:val="001A30BA"/>
    <w:rsid w:val="001A30D4"/>
    <w:rsid w:val="001A312A"/>
    <w:rsid w:val="001A3270"/>
    <w:rsid w:val="001A33A8"/>
    <w:rsid w:val="001A341C"/>
    <w:rsid w:val="001A34AD"/>
    <w:rsid w:val="001A36D8"/>
    <w:rsid w:val="001A390D"/>
    <w:rsid w:val="001A39B9"/>
    <w:rsid w:val="001A39C1"/>
    <w:rsid w:val="001A3E7D"/>
    <w:rsid w:val="001A3FA2"/>
    <w:rsid w:val="001A4255"/>
    <w:rsid w:val="001A431D"/>
    <w:rsid w:val="001A464F"/>
    <w:rsid w:val="001A475E"/>
    <w:rsid w:val="001A4780"/>
    <w:rsid w:val="001A47EE"/>
    <w:rsid w:val="001A4820"/>
    <w:rsid w:val="001A4A33"/>
    <w:rsid w:val="001A4B22"/>
    <w:rsid w:val="001A4B95"/>
    <w:rsid w:val="001A4CAE"/>
    <w:rsid w:val="001A51D4"/>
    <w:rsid w:val="001A52D1"/>
    <w:rsid w:val="001A53D4"/>
    <w:rsid w:val="001A549A"/>
    <w:rsid w:val="001A5612"/>
    <w:rsid w:val="001A568A"/>
    <w:rsid w:val="001A5753"/>
    <w:rsid w:val="001A575A"/>
    <w:rsid w:val="001A57C5"/>
    <w:rsid w:val="001A5981"/>
    <w:rsid w:val="001A59DC"/>
    <w:rsid w:val="001A5AFE"/>
    <w:rsid w:val="001A6021"/>
    <w:rsid w:val="001A604A"/>
    <w:rsid w:val="001A614C"/>
    <w:rsid w:val="001A629C"/>
    <w:rsid w:val="001A631F"/>
    <w:rsid w:val="001A68A4"/>
    <w:rsid w:val="001A6E06"/>
    <w:rsid w:val="001A70E7"/>
    <w:rsid w:val="001A7132"/>
    <w:rsid w:val="001A719B"/>
    <w:rsid w:val="001A72AD"/>
    <w:rsid w:val="001A732B"/>
    <w:rsid w:val="001A7375"/>
    <w:rsid w:val="001A75DE"/>
    <w:rsid w:val="001A7935"/>
    <w:rsid w:val="001A7C67"/>
    <w:rsid w:val="001A7CA9"/>
    <w:rsid w:val="001A7DF8"/>
    <w:rsid w:val="001A7FA1"/>
    <w:rsid w:val="001A7FA2"/>
    <w:rsid w:val="001A7FE0"/>
    <w:rsid w:val="001B01F0"/>
    <w:rsid w:val="001B029D"/>
    <w:rsid w:val="001B02FD"/>
    <w:rsid w:val="001B04A5"/>
    <w:rsid w:val="001B0946"/>
    <w:rsid w:val="001B0965"/>
    <w:rsid w:val="001B0AC7"/>
    <w:rsid w:val="001B0B17"/>
    <w:rsid w:val="001B0F71"/>
    <w:rsid w:val="001B1238"/>
    <w:rsid w:val="001B13B1"/>
    <w:rsid w:val="001B151C"/>
    <w:rsid w:val="001B1642"/>
    <w:rsid w:val="001B167B"/>
    <w:rsid w:val="001B1863"/>
    <w:rsid w:val="001B18C5"/>
    <w:rsid w:val="001B1951"/>
    <w:rsid w:val="001B1ADF"/>
    <w:rsid w:val="001B1D80"/>
    <w:rsid w:val="001B1D99"/>
    <w:rsid w:val="001B1E4F"/>
    <w:rsid w:val="001B1EB9"/>
    <w:rsid w:val="001B1F10"/>
    <w:rsid w:val="001B2182"/>
    <w:rsid w:val="001B2329"/>
    <w:rsid w:val="001B2555"/>
    <w:rsid w:val="001B25D5"/>
    <w:rsid w:val="001B2683"/>
    <w:rsid w:val="001B2761"/>
    <w:rsid w:val="001B29D3"/>
    <w:rsid w:val="001B2C8A"/>
    <w:rsid w:val="001B2D04"/>
    <w:rsid w:val="001B2D52"/>
    <w:rsid w:val="001B2D6D"/>
    <w:rsid w:val="001B2DB9"/>
    <w:rsid w:val="001B2DBB"/>
    <w:rsid w:val="001B30D9"/>
    <w:rsid w:val="001B30FC"/>
    <w:rsid w:val="001B321C"/>
    <w:rsid w:val="001B330A"/>
    <w:rsid w:val="001B3601"/>
    <w:rsid w:val="001B361C"/>
    <w:rsid w:val="001B3650"/>
    <w:rsid w:val="001B37A7"/>
    <w:rsid w:val="001B382B"/>
    <w:rsid w:val="001B391A"/>
    <w:rsid w:val="001B39A8"/>
    <w:rsid w:val="001B3AB5"/>
    <w:rsid w:val="001B3AD0"/>
    <w:rsid w:val="001B3B50"/>
    <w:rsid w:val="001B3C98"/>
    <w:rsid w:val="001B40E6"/>
    <w:rsid w:val="001B4119"/>
    <w:rsid w:val="001B42AD"/>
    <w:rsid w:val="001B4599"/>
    <w:rsid w:val="001B460F"/>
    <w:rsid w:val="001B4BC9"/>
    <w:rsid w:val="001B4BD7"/>
    <w:rsid w:val="001B4CB6"/>
    <w:rsid w:val="001B4D9A"/>
    <w:rsid w:val="001B4EDE"/>
    <w:rsid w:val="001B52B2"/>
    <w:rsid w:val="001B5378"/>
    <w:rsid w:val="001B548A"/>
    <w:rsid w:val="001B54CD"/>
    <w:rsid w:val="001B5802"/>
    <w:rsid w:val="001B59B2"/>
    <w:rsid w:val="001B5ACC"/>
    <w:rsid w:val="001B5BDA"/>
    <w:rsid w:val="001B608B"/>
    <w:rsid w:val="001B62BF"/>
    <w:rsid w:val="001B62D9"/>
    <w:rsid w:val="001B62E3"/>
    <w:rsid w:val="001B631D"/>
    <w:rsid w:val="001B69BC"/>
    <w:rsid w:val="001B6C66"/>
    <w:rsid w:val="001B6DBB"/>
    <w:rsid w:val="001B6FA6"/>
    <w:rsid w:val="001B6FDC"/>
    <w:rsid w:val="001B6FFA"/>
    <w:rsid w:val="001B70CF"/>
    <w:rsid w:val="001B712A"/>
    <w:rsid w:val="001B745E"/>
    <w:rsid w:val="001B7510"/>
    <w:rsid w:val="001B762D"/>
    <w:rsid w:val="001B7635"/>
    <w:rsid w:val="001B786D"/>
    <w:rsid w:val="001B78F3"/>
    <w:rsid w:val="001B79CB"/>
    <w:rsid w:val="001B7A13"/>
    <w:rsid w:val="001B7A18"/>
    <w:rsid w:val="001B7A28"/>
    <w:rsid w:val="001B7CF7"/>
    <w:rsid w:val="001B7D68"/>
    <w:rsid w:val="001B7DB4"/>
    <w:rsid w:val="001B7DEF"/>
    <w:rsid w:val="001C0001"/>
    <w:rsid w:val="001C00B9"/>
    <w:rsid w:val="001C03A6"/>
    <w:rsid w:val="001C054E"/>
    <w:rsid w:val="001C0771"/>
    <w:rsid w:val="001C07DC"/>
    <w:rsid w:val="001C095D"/>
    <w:rsid w:val="001C09AB"/>
    <w:rsid w:val="001C0ABC"/>
    <w:rsid w:val="001C0D72"/>
    <w:rsid w:val="001C1182"/>
    <w:rsid w:val="001C1369"/>
    <w:rsid w:val="001C13F9"/>
    <w:rsid w:val="001C1446"/>
    <w:rsid w:val="001C147E"/>
    <w:rsid w:val="001C14B2"/>
    <w:rsid w:val="001C14DA"/>
    <w:rsid w:val="001C1549"/>
    <w:rsid w:val="001C1697"/>
    <w:rsid w:val="001C194C"/>
    <w:rsid w:val="001C1B26"/>
    <w:rsid w:val="001C1B4A"/>
    <w:rsid w:val="001C1B7D"/>
    <w:rsid w:val="001C1C18"/>
    <w:rsid w:val="001C1CA7"/>
    <w:rsid w:val="001C1CEE"/>
    <w:rsid w:val="001C1D21"/>
    <w:rsid w:val="001C1D57"/>
    <w:rsid w:val="001C1DC0"/>
    <w:rsid w:val="001C1EAF"/>
    <w:rsid w:val="001C2564"/>
    <w:rsid w:val="001C27DE"/>
    <w:rsid w:val="001C2AF8"/>
    <w:rsid w:val="001C2D05"/>
    <w:rsid w:val="001C2EE8"/>
    <w:rsid w:val="001C2F27"/>
    <w:rsid w:val="001C2F5D"/>
    <w:rsid w:val="001C3106"/>
    <w:rsid w:val="001C330A"/>
    <w:rsid w:val="001C34A5"/>
    <w:rsid w:val="001C35FC"/>
    <w:rsid w:val="001C37D4"/>
    <w:rsid w:val="001C39FF"/>
    <w:rsid w:val="001C3A52"/>
    <w:rsid w:val="001C3CEB"/>
    <w:rsid w:val="001C3F79"/>
    <w:rsid w:val="001C4369"/>
    <w:rsid w:val="001C44D4"/>
    <w:rsid w:val="001C462C"/>
    <w:rsid w:val="001C4970"/>
    <w:rsid w:val="001C49B9"/>
    <w:rsid w:val="001C4A49"/>
    <w:rsid w:val="001C4BD7"/>
    <w:rsid w:val="001C4C6E"/>
    <w:rsid w:val="001C4EB3"/>
    <w:rsid w:val="001C4EBB"/>
    <w:rsid w:val="001C4EE9"/>
    <w:rsid w:val="001C5033"/>
    <w:rsid w:val="001C55DF"/>
    <w:rsid w:val="001C582E"/>
    <w:rsid w:val="001C5915"/>
    <w:rsid w:val="001C592E"/>
    <w:rsid w:val="001C5A14"/>
    <w:rsid w:val="001C5BB2"/>
    <w:rsid w:val="001C5D9B"/>
    <w:rsid w:val="001C6015"/>
    <w:rsid w:val="001C64BE"/>
    <w:rsid w:val="001C64CF"/>
    <w:rsid w:val="001C66CD"/>
    <w:rsid w:val="001C6A13"/>
    <w:rsid w:val="001C6A3B"/>
    <w:rsid w:val="001C6FC5"/>
    <w:rsid w:val="001C6FEB"/>
    <w:rsid w:val="001C7186"/>
    <w:rsid w:val="001C7576"/>
    <w:rsid w:val="001C77B4"/>
    <w:rsid w:val="001C7852"/>
    <w:rsid w:val="001C7A53"/>
    <w:rsid w:val="001C7BEC"/>
    <w:rsid w:val="001C7F4D"/>
    <w:rsid w:val="001D009B"/>
    <w:rsid w:val="001D00D0"/>
    <w:rsid w:val="001D01DA"/>
    <w:rsid w:val="001D0541"/>
    <w:rsid w:val="001D063F"/>
    <w:rsid w:val="001D0BEA"/>
    <w:rsid w:val="001D0CFC"/>
    <w:rsid w:val="001D0DF4"/>
    <w:rsid w:val="001D0E01"/>
    <w:rsid w:val="001D103F"/>
    <w:rsid w:val="001D114A"/>
    <w:rsid w:val="001D11AE"/>
    <w:rsid w:val="001D11C7"/>
    <w:rsid w:val="001D11D6"/>
    <w:rsid w:val="001D1304"/>
    <w:rsid w:val="001D130E"/>
    <w:rsid w:val="001D136E"/>
    <w:rsid w:val="001D18E1"/>
    <w:rsid w:val="001D19AF"/>
    <w:rsid w:val="001D19CA"/>
    <w:rsid w:val="001D19E8"/>
    <w:rsid w:val="001D1ADF"/>
    <w:rsid w:val="001D1B71"/>
    <w:rsid w:val="001D1BAC"/>
    <w:rsid w:val="001D1D25"/>
    <w:rsid w:val="001D1D98"/>
    <w:rsid w:val="001D1E32"/>
    <w:rsid w:val="001D1EA4"/>
    <w:rsid w:val="001D2164"/>
    <w:rsid w:val="001D236C"/>
    <w:rsid w:val="001D2590"/>
    <w:rsid w:val="001D2615"/>
    <w:rsid w:val="001D264E"/>
    <w:rsid w:val="001D2A68"/>
    <w:rsid w:val="001D2A88"/>
    <w:rsid w:val="001D2DEF"/>
    <w:rsid w:val="001D2F11"/>
    <w:rsid w:val="001D354A"/>
    <w:rsid w:val="001D35AC"/>
    <w:rsid w:val="001D3816"/>
    <w:rsid w:val="001D39FB"/>
    <w:rsid w:val="001D3AEA"/>
    <w:rsid w:val="001D3D5F"/>
    <w:rsid w:val="001D3DCE"/>
    <w:rsid w:val="001D3ED0"/>
    <w:rsid w:val="001D4142"/>
    <w:rsid w:val="001D4322"/>
    <w:rsid w:val="001D4395"/>
    <w:rsid w:val="001D44FA"/>
    <w:rsid w:val="001D49AB"/>
    <w:rsid w:val="001D49CE"/>
    <w:rsid w:val="001D4A47"/>
    <w:rsid w:val="001D4B22"/>
    <w:rsid w:val="001D4CC7"/>
    <w:rsid w:val="001D4CCA"/>
    <w:rsid w:val="001D4D3E"/>
    <w:rsid w:val="001D4D5A"/>
    <w:rsid w:val="001D4E75"/>
    <w:rsid w:val="001D4EF4"/>
    <w:rsid w:val="001D50FF"/>
    <w:rsid w:val="001D51D6"/>
    <w:rsid w:val="001D5353"/>
    <w:rsid w:val="001D53A0"/>
    <w:rsid w:val="001D5414"/>
    <w:rsid w:val="001D55C1"/>
    <w:rsid w:val="001D55E6"/>
    <w:rsid w:val="001D55FB"/>
    <w:rsid w:val="001D57DC"/>
    <w:rsid w:val="001D59F2"/>
    <w:rsid w:val="001D5AC5"/>
    <w:rsid w:val="001D5B6E"/>
    <w:rsid w:val="001D5D05"/>
    <w:rsid w:val="001D5D6E"/>
    <w:rsid w:val="001D613E"/>
    <w:rsid w:val="001D61E5"/>
    <w:rsid w:val="001D6284"/>
    <w:rsid w:val="001D62FC"/>
    <w:rsid w:val="001D636A"/>
    <w:rsid w:val="001D6561"/>
    <w:rsid w:val="001D65F1"/>
    <w:rsid w:val="001D66F7"/>
    <w:rsid w:val="001D6891"/>
    <w:rsid w:val="001D697D"/>
    <w:rsid w:val="001D6AED"/>
    <w:rsid w:val="001D6C6F"/>
    <w:rsid w:val="001D6CA1"/>
    <w:rsid w:val="001D6ECA"/>
    <w:rsid w:val="001D6EF4"/>
    <w:rsid w:val="001D6F36"/>
    <w:rsid w:val="001D7109"/>
    <w:rsid w:val="001D7529"/>
    <w:rsid w:val="001D75CD"/>
    <w:rsid w:val="001D77F9"/>
    <w:rsid w:val="001D79D8"/>
    <w:rsid w:val="001D7AF0"/>
    <w:rsid w:val="001D7B77"/>
    <w:rsid w:val="001D7B88"/>
    <w:rsid w:val="001D7DF0"/>
    <w:rsid w:val="001D7F03"/>
    <w:rsid w:val="001D7FF4"/>
    <w:rsid w:val="001E000B"/>
    <w:rsid w:val="001E0032"/>
    <w:rsid w:val="001E02A0"/>
    <w:rsid w:val="001E0499"/>
    <w:rsid w:val="001E0596"/>
    <w:rsid w:val="001E06C1"/>
    <w:rsid w:val="001E0739"/>
    <w:rsid w:val="001E074F"/>
    <w:rsid w:val="001E087D"/>
    <w:rsid w:val="001E0B13"/>
    <w:rsid w:val="001E0C34"/>
    <w:rsid w:val="001E0D2C"/>
    <w:rsid w:val="001E0FDF"/>
    <w:rsid w:val="001E1135"/>
    <w:rsid w:val="001E11D8"/>
    <w:rsid w:val="001E11E1"/>
    <w:rsid w:val="001E129D"/>
    <w:rsid w:val="001E13DF"/>
    <w:rsid w:val="001E1644"/>
    <w:rsid w:val="001E1793"/>
    <w:rsid w:val="001E17DB"/>
    <w:rsid w:val="001E1973"/>
    <w:rsid w:val="001E19DB"/>
    <w:rsid w:val="001E1A12"/>
    <w:rsid w:val="001E1B30"/>
    <w:rsid w:val="001E1BF9"/>
    <w:rsid w:val="001E1D3B"/>
    <w:rsid w:val="001E21F0"/>
    <w:rsid w:val="001E22D7"/>
    <w:rsid w:val="001E2581"/>
    <w:rsid w:val="001E26C8"/>
    <w:rsid w:val="001E2896"/>
    <w:rsid w:val="001E2A6B"/>
    <w:rsid w:val="001E2F78"/>
    <w:rsid w:val="001E3050"/>
    <w:rsid w:val="001E325D"/>
    <w:rsid w:val="001E3279"/>
    <w:rsid w:val="001E32E5"/>
    <w:rsid w:val="001E3316"/>
    <w:rsid w:val="001E3450"/>
    <w:rsid w:val="001E34C4"/>
    <w:rsid w:val="001E354F"/>
    <w:rsid w:val="001E3657"/>
    <w:rsid w:val="001E3708"/>
    <w:rsid w:val="001E3931"/>
    <w:rsid w:val="001E3B51"/>
    <w:rsid w:val="001E3D19"/>
    <w:rsid w:val="001E3D64"/>
    <w:rsid w:val="001E3E38"/>
    <w:rsid w:val="001E3F14"/>
    <w:rsid w:val="001E4284"/>
    <w:rsid w:val="001E4397"/>
    <w:rsid w:val="001E43A5"/>
    <w:rsid w:val="001E4533"/>
    <w:rsid w:val="001E46C0"/>
    <w:rsid w:val="001E4A22"/>
    <w:rsid w:val="001E4BAD"/>
    <w:rsid w:val="001E4FD0"/>
    <w:rsid w:val="001E4FFE"/>
    <w:rsid w:val="001E5147"/>
    <w:rsid w:val="001E51D5"/>
    <w:rsid w:val="001E5399"/>
    <w:rsid w:val="001E54AA"/>
    <w:rsid w:val="001E556D"/>
    <w:rsid w:val="001E55FF"/>
    <w:rsid w:val="001E563C"/>
    <w:rsid w:val="001E5817"/>
    <w:rsid w:val="001E5ADD"/>
    <w:rsid w:val="001E5AEA"/>
    <w:rsid w:val="001E5EE9"/>
    <w:rsid w:val="001E600B"/>
    <w:rsid w:val="001E6263"/>
    <w:rsid w:val="001E65FC"/>
    <w:rsid w:val="001E66B0"/>
    <w:rsid w:val="001E6792"/>
    <w:rsid w:val="001E6813"/>
    <w:rsid w:val="001E6859"/>
    <w:rsid w:val="001E69B7"/>
    <w:rsid w:val="001E6AFA"/>
    <w:rsid w:val="001E6C28"/>
    <w:rsid w:val="001E6CC2"/>
    <w:rsid w:val="001E6E36"/>
    <w:rsid w:val="001E70D9"/>
    <w:rsid w:val="001E712C"/>
    <w:rsid w:val="001E71CA"/>
    <w:rsid w:val="001E72CF"/>
    <w:rsid w:val="001E732D"/>
    <w:rsid w:val="001E734A"/>
    <w:rsid w:val="001E7683"/>
    <w:rsid w:val="001E76B2"/>
    <w:rsid w:val="001E77C5"/>
    <w:rsid w:val="001E79D2"/>
    <w:rsid w:val="001E7C2A"/>
    <w:rsid w:val="001E7C4F"/>
    <w:rsid w:val="001E7CB8"/>
    <w:rsid w:val="001E7FBF"/>
    <w:rsid w:val="001E7FD9"/>
    <w:rsid w:val="001F0020"/>
    <w:rsid w:val="001F0040"/>
    <w:rsid w:val="001F00E5"/>
    <w:rsid w:val="001F00FC"/>
    <w:rsid w:val="001F013F"/>
    <w:rsid w:val="001F039A"/>
    <w:rsid w:val="001F05F4"/>
    <w:rsid w:val="001F084D"/>
    <w:rsid w:val="001F0959"/>
    <w:rsid w:val="001F09EF"/>
    <w:rsid w:val="001F0C7A"/>
    <w:rsid w:val="001F0DB9"/>
    <w:rsid w:val="001F0E1D"/>
    <w:rsid w:val="001F1258"/>
    <w:rsid w:val="001F12E5"/>
    <w:rsid w:val="001F14D5"/>
    <w:rsid w:val="001F1517"/>
    <w:rsid w:val="001F15A6"/>
    <w:rsid w:val="001F1656"/>
    <w:rsid w:val="001F16B9"/>
    <w:rsid w:val="001F1742"/>
    <w:rsid w:val="001F1772"/>
    <w:rsid w:val="001F1906"/>
    <w:rsid w:val="001F199B"/>
    <w:rsid w:val="001F1D3D"/>
    <w:rsid w:val="001F1DA0"/>
    <w:rsid w:val="001F1EBC"/>
    <w:rsid w:val="001F1F73"/>
    <w:rsid w:val="001F20A9"/>
    <w:rsid w:val="001F21C0"/>
    <w:rsid w:val="001F256F"/>
    <w:rsid w:val="001F272D"/>
    <w:rsid w:val="001F2767"/>
    <w:rsid w:val="001F2AF0"/>
    <w:rsid w:val="001F2B0B"/>
    <w:rsid w:val="001F2B58"/>
    <w:rsid w:val="001F2CB4"/>
    <w:rsid w:val="001F2E1B"/>
    <w:rsid w:val="001F2E78"/>
    <w:rsid w:val="001F2ED1"/>
    <w:rsid w:val="001F314C"/>
    <w:rsid w:val="001F31CB"/>
    <w:rsid w:val="001F31E9"/>
    <w:rsid w:val="001F331E"/>
    <w:rsid w:val="001F334F"/>
    <w:rsid w:val="001F3355"/>
    <w:rsid w:val="001F3518"/>
    <w:rsid w:val="001F359F"/>
    <w:rsid w:val="001F3613"/>
    <w:rsid w:val="001F38BC"/>
    <w:rsid w:val="001F3940"/>
    <w:rsid w:val="001F3DA8"/>
    <w:rsid w:val="001F3E9C"/>
    <w:rsid w:val="001F3EFA"/>
    <w:rsid w:val="001F3F6F"/>
    <w:rsid w:val="001F4082"/>
    <w:rsid w:val="001F409A"/>
    <w:rsid w:val="001F40D4"/>
    <w:rsid w:val="001F43F5"/>
    <w:rsid w:val="001F444E"/>
    <w:rsid w:val="001F4C97"/>
    <w:rsid w:val="001F4D9A"/>
    <w:rsid w:val="001F4E54"/>
    <w:rsid w:val="001F4F54"/>
    <w:rsid w:val="001F4FBE"/>
    <w:rsid w:val="001F507D"/>
    <w:rsid w:val="001F5164"/>
    <w:rsid w:val="001F556A"/>
    <w:rsid w:val="001F5632"/>
    <w:rsid w:val="001F5668"/>
    <w:rsid w:val="001F567D"/>
    <w:rsid w:val="001F567E"/>
    <w:rsid w:val="001F56D2"/>
    <w:rsid w:val="001F5755"/>
    <w:rsid w:val="001F5830"/>
    <w:rsid w:val="001F5B1D"/>
    <w:rsid w:val="001F5B6B"/>
    <w:rsid w:val="001F6042"/>
    <w:rsid w:val="001F605E"/>
    <w:rsid w:val="001F60CE"/>
    <w:rsid w:val="001F6299"/>
    <w:rsid w:val="001F639C"/>
    <w:rsid w:val="001F6499"/>
    <w:rsid w:val="001F6591"/>
    <w:rsid w:val="001F6611"/>
    <w:rsid w:val="001F67CB"/>
    <w:rsid w:val="001F6A37"/>
    <w:rsid w:val="001F6AC0"/>
    <w:rsid w:val="001F6E8B"/>
    <w:rsid w:val="001F705E"/>
    <w:rsid w:val="001F71DE"/>
    <w:rsid w:val="001F73F3"/>
    <w:rsid w:val="001F742E"/>
    <w:rsid w:val="001F76A7"/>
    <w:rsid w:val="001F7787"/>
    <w:rsid w:val="001F7884"/>
    <w:rsid w:val="001F7D45"/>
    <w:rsid w:val="001F7D5E"/>
    <w:rsid w:val="001F7FAB"/>
    <w:rsid w:val="001F7FE6"/>
    <w:rsid w:val="00200131"/>
    <w:rsid w:val="002001A2"/>
    <w:rsid w:val="00200203"/>
    <w:rsid w:val="002002D7"/>
    <w:rsid w:val="00200463"/>
    <w:rsid w:val="0020068D"/>
    <w:rsid w:val="002006A4"/>
    <w:rsid w:val="00200845"/>
    <w:rsid w:val="00200B0A"/>
    <w:rsid w:val="002012A2"/>
    <w:rsid w:val="002012FA"/>
    <w:rsid w:val="00201584"/>
    <w:rsid w:val="00201767"/>
    <w:rsid w:val="00201A1B"/>
    <w:rsid w:val="00201DCA"/>
    <w:rsid w:val="00201E6D"/>
    <w:rsid w:val="002020DA"/>
    <w:rsid w:val="002021E2"/>
    <w:rsid w:val="00202567"/>
    <w:rsid w:val="0020268A"/>
    <w:rsid w:val="00202947"/>
    <w:rsid w:val="00202A3C"/>
    <w:rsid w:val="00202CE7"/>
    <w:rsid w:val="00202E1C"/>
    <w:rsid w:val="00202FB8"/>
    <w:rsid w:val="00202FF8"/>
    <w:rsid w:val="00203016"/>
    <w:rsid w:val="00203028"/>
    <w:rsid w:val="00203423"/>
    <w:rsid w:val="002034A5"/>
    <w:rsid w:val="00203A2B"/>
    <w:rsid w:val="00203A33"/>
    <w:rsid w:val="00203A52"/>
    <w:rsid w:val="00203A5E"/>
    <w:rsid w:val="00203AD5"/>
    <w:rsid w:val="00203C84"/>
    <w:rsid w:val="00204063"/>
    <w:rsid w:val="002041BD"/>
    <w:rsid w:val="0020456E"/>
    <w:rsid w:val="002046B8"/>
    <w:rsid w:val="002046E5"/>
    <w:rsid w:val="002046FA"/>
    <w:rsid w:val="00204750"/>
    <w:rsid w:val="0020487E"/>
    <w:rsid w:val="00204AA0"/>
    <w:rsid w:val="00204DB3"/>
    <w:rsid w:val="00204EE8"/>
    <w:rsid w:val="00204F65"/>
    <w:rsid w:val="002053CC"/>
    <w:rsid w:val="002053D4"/>
    <w:rsid w:val="00205416"/>
    <w:rsid w:val="0020555D"/>
    <w:rsid w:val="002058CD"/>
    <w:rsid w:val="002059A7"/>
    <w:rsid w:val="002059D9"/>
    <w:rsid w:val="00205A09"/>
    <w:rsid w:val="00205C24"/>
    <w:rsid w:val="00205C63"/>
    <w:rsid w:val="00205FB0"/>
    <w:rsid w:val="00206194"/>
    <w:rsid w:val="002061CA"/>
    <w:rsid w:val="0020638E"/>
    <w:rsid w:val="002065AA"/>
    <w:rsid w:val="00206694"/>
    <w:rsid w:val="002067B1"/>
    <w:rsid w:val="002067CF"/>
    <w:rsid w:val="0020682C"/>
    <w:rsid w:val="002068B5"/>
    <w:rsid w:val="00206934"/>
    <w:rsid w:val="002069B3"/>
    <w:rsid w:val="00206A3F"/>
    <w:rsid w:val="00206AB5"/>
    <w:rsid w:val="00206BA0"/>
    <w:rsid w:val="00206BE9"/>
    <w:rsid w:val="00206D8E"/>
    <w:rsid w:val="00206EE3"/>
    <w:rsid w:val="00206FB8"/>
    <w:rsid w:val="002070E1"/>
    <w:rsid w:val="0020725C"/>
    <w:rsid w:val="0020728E"/>
    <w:rsid w:val="002072AD"/>
    <w:rsid w:val="002072C1"/>
    <w:rsid w:val="002073D8"/>
    <w:rsid w:val="00207491"/>
    <w:rsid w:val="002074C6"/>
    <w:rsid w:val="00207605"/>
    <w:rsid w:val="002076EC"/>
    <w:rsid w:val="00207778"/>
    <w:rsid w:val="00207828"/>
    <w:rsid w:val="00207880"/>
    <w:rsid w:val="00207CC8"/>
    <w:rsid w:val="00207D13"/>
    <w:rsid w:val="00210064"/>
    <w:rsid w:val="00210073"/>
    <w:rsid w:val="00210089"/>
    <w:rsid w:val="0021019A"/>
    <w:rsid w:val="002101C8"/>
    <w:rsid w:val="002101DC"/>
    <w:rsid w:val="00210222"/>
    <w:rsid w:val="002102F4"/>
    <w:rsid w:val="002103FF"/>
    <w:rsid w:val="00210403"/>
    <w:rsid w:val="002104E2"/>
    <w:rsid w:val="002106B3"/>
    <w:rsid w:val="002107CB"/>
    <w:rsid w:val="00210A0F"/>
    <w:rsid w:val="00210B54"/>
    <w:rsid w:val="00210D6C"/>
    <w:rsid w:val="0021121A"/>
    <w:rsid w:val="00211247"/>
    <w:rsid w:val="00211271"/>
    <w:rsid w:val="0021139F"/>
    <w:rsid w:val="002114CA"/>
    <w:rsid w:val="0021152A"/>
    <w:rsid w:val="00211583"/>
    <w:rsid w:val="0021158B"/>
    <w:rsid w:val="002115C5"/>
    <w:rsid w:val="0021161B"/>
    <w:rsid w:val="00211640"/>
    <w:rsid w:val="00211666"/>
    <w:rsid w:val="00211761"/>
    <w:rsid w:val="0021176D"/>
    <w:rsid w:val="002119C5"/>
    <w:rsid w:val="00211BE9"/>
    <w:rsid w:val="00211D76"/>
    <w:rsid w:val="00211DF0"/>
    <w:rsid w:val="0021223E"/>
    <w:rsid w:val="0021226D"/>
    <w:rsid w:val="00212541"/>
    <w:rsid w:val="00212922"/>
    <w:rsid w:val="0021292A"/>
    <w:rsid w:val="00212B6F"/>
    <w:rsid w:val="00212BB7"/>
    <w:rsid w:val="00212D57"/>
    <w:rsid w:val="00212D63"/>
    <w:rsid w:val="00212E15"/>
    <w:rsid w:val="00212E29"/>
    <w:rsid w:val="002131BB"/>
    <w:rsid w:val="0021325A"/>
    <w:rsid w:val="002135C9"/>
    <w:rsid w:val="002137BB"/>
    <w:rsid w:val="00213D46"/>
    <w:rsid w:val="00213D4E"/>
    <w:rsid w:val="00213F44"/>
    <w:rsid w:val="00213F47"/>
    <w:rsid w:val="00213F5D"/>
    <w:rsid w:val="00213F7F"/>
    <w:rsid w:val="0021431E"/>
    <w:rsid w:val="0021435F"/>
    <w:rsid w:val="00214443"/>
    <w:rsid w:val="002146A8"/>
    <w:rsid w:val="0021494D"/>
    <w:rsid w:val="00214A8F"/>
    <w:rsid w:val="00214B01"/>
    <w:rsid w:val="00214B57"/>
    <w:rsid w:val="00214B97"/>
    <w:rsid w:val="00214BC1"/>
    <w:rsid w:val="00214C24"/>
    <w:rsid w:val="00214C4D"/>
    <w:rsid w:val="00214C70"/>
    <w:rsid w:val="00214F89"/>
    <w:rsid w:val="00214FE6"/>
    <w:rsid w:val="0021503F"/>
    <w:rsid w:val="002154A5"/>
    <w:rsid w:val="00215805"/>
    <w:rsid w:val="00215B35"/>
    <w:rsid w:val="00215CDE"/>
    <w:rsid w:val="00215D02"/>
    <w:rsid w:val="00215D58"/>
    <w:rsid w:val="00215D92"/>
    <w:rsid w:val="00215EF7"/>
    <w:rsid w:val="0021646D"/>
    <w:rsid w:val="0021660B"/>
    <w:rsid w:val="00216923"/>
    <w:rsid w:val="00216A27"/>
    <w:rsid w:val="00216BA7"/>
    <w:rsid w:val="00216C02"/>
    <w:rsid w:val="00216C36"/>
    <w:rsid w:val="00216C52"/>
    <w:rsid w:val="00216C9B"/>
    <w:rsid w:val="00216F22"/>
    <w:rsid w:val="002171E8"/>
    <w:rsid w:val="002172D2"/>
    <w:rsid w:val="002172F5"/>
    <w:rsid w:val="00217493"/>
    <w:rsid w:val="002174E9"/>
    <w:rsid w:val="0021761E"/>
    <w:rsid w:val="00217671"/>
    <w:rsid w:val="00217681"/>
    <w:rsid w:val="00217B18"/>
    <w:rsid w:val="00217B53"/>
    <w:rsid w:val="00217B7B"/>
    <w:rsid w:val="00217BE7"/>
    <w:rsid w:val="00217D0E"/>
    <w:rsid w:val="00217EBE"/>
    <w:rsid w:val="002203EA"/>
    <w:rsid w:val="00220554"/>
    <w:rsid w:val="00220849"/>
    <w:rsid w:val="00220AA2"/>
    <w:rsid w:val="00220B1D"/>
    <w:rsid w:val="00220B79"/>
    <w:rsid w:val="00220BB7"/>
    <w:rsid w:val="00220FD4"/>
    <w:rsid w:val="0022109C"/>
    <w:rsid w:val="0022133C"/>
    <w:rsid w:val="00221606"/>
    <w:rsid w:val="00221762"/>
    <w:rsid w:val="002217C9"/>
    <w:rsid w:val="00221864"/>
    <w:rsid w:val="00221B30"/>
    <w:rsid w:val="00221F63"/>
    <w:rsid w:val="00221FA9"/>
    <w:rsid w:val="0022211A"/>
    <w:rsid w:val="00222458"/>
    <w:rsid w:val="002224DA"/>
    <w:rsid w:val="002224F7"/>
    <w:rsid w:val="0022257E"/>
    <w:rsid w:val="00222779"/>
    <w:rsid w:val="002227DA"/>
    <w:rsid w:val="00222846"/>
    <w:rsid w:val="00222B50"/>
    <w:rsid w:val="00222C3F"/>
    <w:rsid w:val="00222C7F"/>
    <w:rsid w:val="00222CD7"/>
    <w:rsid w:val="00222F52"/>
    <w:rsid w:val="002230B2"/>
    <w:rsid w:val="00223252"/>
    <w:rsid w:val="00223391"/>
    <w:rsid w:val="00223466"/>
    <w:rsid w:val="002234CC"/>
    <w:rsid w:val="00223637"/>
    <w:rsid w:val="0022375C"/>
    <w:rsid w:val="00223838"/>
    <w:rsid w:val="00223919"/>
    <w:rsid w:val="00223A6B"/>
    <w:rsid w:val="00223BDD"/>
    <w:rsid w:val="00223BEF"/>
    <w:rsid w:val="00223CDD"/>
    <w:rsid w:val="00223DD9"/>
    <w:rsid w:val="00223E15"/>
    <w:rsid w:val="00223F4A"/>
    <w:rsid w:val="00224007"/>
    <w:rsid w:val="002240D4"/>
    <w:rsid w:val="0022413B"/>
    <w:rsid w:val="002242F6"/>
    <w:rsid w:val="00224343"/>
    <w:rsid w:val="00224548"/>
    <w:rsid w:val="00224654"/>
    <w:rsid w:val="00224773"/>
    <w:rsid w:val="002248D3"/>
    <w:rsid w:val="00224948"/>
    <w:rsid w:val="00224C75"/>
    <w:rsid w:val="00224EBB"/>
    <w:rsid w:val="0022505C"/>
    <w:rsid w:val="00225113"/>
    <w:rsid w:val="002251BF"/>
    <w:rsid w:val="002252F2"/>
    <w:rsid w:val="00225580"/>
    <w:rsid w:val="00225633"/>
    <w:rsid w:val="00225897"/>
    <w:rsid w:val="002259A8"/>
    <w:rsid w:val="00225A0C"/>
    <w:rsid w:val="00225ADB"/>
    <w:rsid w:val="00225B35"/>
    <w:rsid w:val="00225D81"/>
    <w:rsid w:val="00225E40"/>
    <w:rsid w:val="00225E9F"/>
    <w:rsid w:val="002260C6"/>
    <w:rsid w:val="00226104"/>
    <w:rsid w:val="002261D6"/>
    <w:rsid w:val="00226298"/>
    <w:rsid w:val="00226384"/>
    <w:rsid w:val="00226756"/>
    <w:rsid w:val="00226834"/>
    <w:rsid w:val="00226984"/>
    <w:rsid w:val="00226AA8"/>
    <w:rsid w:val="00226CE5"/>
    <w:rsid w:val="00226CF2"/>
    <w:rsid w:val="00226F02"/>
    <w:rsid w:val="00226F8B"/>
    <w:rsid w:val="00226FFF"/>
    <w:rsid w:val="0022708A"/>
    <w:rsid w:val="00227115"/>
    <w:rsid w:val="002271B6"/>
    <w:rsid w:val="00227292"/>
    <w:rsid w:val="002273B6"/>
    <w:rsid w:val="00227413"/>
    <w:rsid w:val="00227650"/>
    <w:rsid w:val="002276D7"/>
    <w:rsid w:val="002277BC"/>
    <w:rsid w:val="00227E06"/>
    <w:rsid w:val="00227FF5"/>
    <w:rsid w:val="002301DC"/>
    <w:rsid w:val="0023031B"/>
    <w:rsid w:val="002303CF"/>
    <w:rsid w:val="00230410"/>
    <w:rsid w:val="00230772"/>
    <w:rsid w:val="002307F3"/>
    <w:rsid w:val="002309FE"/>
    <w:rsid w:val="00230A40"/>
    <w:rsid w:val="00230ABC"/>
    <w:rsid w:val="00230B23"/>
    <w:rsid w:val="00230C7B"/>
    <w:rsid w:val="00230F39"/>
    <w:rsid w:val="00231111"/>
    <w:rsid w:val="002311FB"/>
    <w:rsid w:val="002312E5"/>
    <w:rsid w:val="00231379"/>
    <w:rsid w:val="002313DD"/>
    <w:rsid w:val="00231555"/>
    <w:rsid w:val="0023167A"/>
    <w:rsid w:val="00231713"/>
    <w:rsid w:val="00231817"/>
    <w:rsid w:val="00231822"/>
    <w:rsid w:val="002318A4"/>
    <w:rsid w:val="00231A3B"/>
    <w:rsid w:val="00231A9C"/>
    <w:rsid w:val="00231ACC"/>
    <w:rsid w:val="00231D4A"/>
    <w:rsid w:val="00232108"/>
    <w:rsid w:val="00232159"/>
    <w:rsid w:val="00232560"/>
    <w:rsid w:val="0023277B"/>
    <w:rsid w:val="00232823"/>
    <w:rsid w:val="00232875"/>
    <w:rsid w:val="002328BD"/>
    <w:rsid w:val="00232915"/>
    <w:rsid w:val="00232942"/>
    <w:rsid w:val="00232B93"/>
    <w:rsid w:val="00232C07"/>
    <w:rsid w:val="00232C47"/>
    <w:rsid w:val="00232C95"/>
    <w:rsid w:val="00232E7A"/>
    <w:rsid w:val="00232F17"/>
    <w:rsid w:val="00233032"/>
    <w:rsid w:val="002331C7"/>
    <w:rsid w:val="0023332F"/>
    <w:rsid w:val="002333FE"/>
    <w:rsid w:val="00233451"/>
    <w:rsid w:val="002334DA"/>
    <w:rsid w:val="0023357F"/>
    <w:rsid w:val="00233647"/>
    <w:rsid w:val="002336A8"/>
    <w:rsid w:val="002337B7"/>
    <w:rsid w:val="002339E0"/>
    <w:rsid w:val="00233E10"/>
    <w:rsid w:val="00233F24"/>
    <w:rsid w:val="00234217"/>
    <w:rsid w:val="0023422B"/>
    <w:rsid w:val="00234305"/>
    <w:rsid w:val="00234329"/>
    <w:rsid w:val="00234383"/>
    <w:rsid w:val="00234751"/>
    <w:rsid w:val="00234849"/>
    <w:rsid w:val="00234881"/>
    <w:rsid w:val="00234A93"/>
    <w:rsid w:val="00234C0E"/>
    <w:rsid w:val="00234ED1"/>
    <w:rsid w:val="002350C3"/>
    <w:rsid w:val="0023513E"/>
    <w:rsid w:val="002351D5"/>
    <w:rsid w:val="0023522A"/>
    <w:rsid w:val="002353C7"/>
    <w:rsid w:val="00235413"/>
    <w:rsid w:val="00235543"/>
    <w:rsid w:val="002356F8"/>
    <w:rsid w:val="00235790"/>
    <w:rsid w:val="00235812"/>
    <w:rsid w:val="00235896"/>
    <w:rsid w:val="002358A3"/>
    <w:rsid w:val="00235902"/>
    <w:rsid w:val="00235905"/>
    <w:rsid w:val="00235A72"/>
    <w:rsid w:val="00235C77"/>
    <w:rsid w:val="0023604A"/>
    <w:rsid w:val="0023608C"/>
    <w:rsid w:val="002360EF"/>
    <w:rsid w:val="0023625F"/>
    <w:rsid w:val="00236440"/>
    <w:rsid w:val="002364FD"/>
    <w:rsid w:val="0023652C"/>
    <w:rsid w:val="00236636"/>
    <w:rsid w:val="0023668D"/>
    <w:rsid w:val="002369BD"/>
    <w:rsid w:val="00236B0E"/>
    <w:rsid w:val="00236CA4"/>
    <w:rsid w:val="00236D17"/>
    <w:rsid w:val="00236E6E"/>
    <w:rsid w:val="00236FB4"/>
    <w:rsid w:val="002370CC"/>
    <w:rsid w:val="00237331"/>
    <w:rsid w:val="00237332"/>
    <w:rsid w:val="0023735F"/>
    <w:rsid w:val="0023736B"/>
    <w:rsid w:val="002374BB"/>
    <w:rsid w:val="0023771C"/>
    <w:rsid w:val="0023782D"/>
    <w:rsid w:val="0023789D"/>
    <w:rsid w:val="00237BC0"/>
    <w:rsid w:val="00237E21"/>
    <w:rsid w:val="00237F08"/>
    <w:rsid w:val="00237F65"/>
    <w:rsid w:val="002401E9"/>
    <w:rsid w:val="00240258"/>
    <w:rsid w:val="00240276"/>
    <w:rsid w:val="002402B9"/>
    <w:rsid w:val="00240864"/>
    <w:rsid w:val="002409EB"/>
    <w:rsid w:val="00240A79"/>
    <w:rsid w:val="00240D4B"/>
    <w:rsid w:val="00240F0F"/>
    <w:rsid w:val="00240FBD"/>
    <w:rsid w:val="002411AC"/>
    <w:rsid w:val="002411CB"/>
    <w:rsid w:val="0024121A"/>
    <w:rsid w:val="0024133C"/>
    <w:rsid w:val="00241409"/>
    <w:rsid w:val="00241512"/>
    <w:rsid w:val="0024167B"/>
    <w:rsid w:val="002416D6"/>
    <w:rsid w:val="002419AB"/>
    <w:rsid w:val="00241A1C"/>
    <w:rsid w:val="00241B72"/>
    <w:rsid w:val="00241E43"/>
    <w:rsid w:val="0024208F"/>
    <w:rsid w:val="002420D9"/>
    <w:rsid w:val="00242177"/>
    <w:rsid w:val="002421A2"/>
    <w:rsid w:val="002421FD"/>
    <w:rsid w:val="002423FC"/>
    <w:rsid w:val="00242440"/>
    <w:rsid w:val="00242585"/>
    <w:rsid w:val="002427D9"/>
    <w:rsid w:val="0024290F"/>
    <w:rsid w:val="002429EF"/>
    <w:rsid w:val="00242A2B"/>
    <w:rsid w:val="00242AF1"/>
    <w:rsid w:val="00242AFB"/>
    <w:rsid w:val="00242B28"/>
    <w:rsid w:val="00242B3C"/>
    <w:rsid w:val="00242C15"/>
    <w:rsid w:val="00242C26"/>
    <w:rsid w:val="00242C52"/>
    <w:rsid w:val="00242C9F"/>
    <w:rsid w:val="00242D5B"/>
    <w:rsid w:val="00242D8E"/>
    <w:rsid w:val="00242EFB"/>
    <w:rsid w:val="00242FB1"/>
    <w:rsid w:val="0024305F"/>
    <w:rsid w:val="002431D9"/>
    <w:rsid w:val="002434E4"/>
    <w:rsid w:val="002437DB"/>
    <w:rsid w:val="002439C3"/>
    <w:rsid w:val="00243C7F"/>
    <w:rsid w:val="00243E58"/>
    <w:rsid w:val="00243EAD"/>
    <w:rsid w:val="00243EC5"/>
    <w:rsid w:val="00244417"/>
    <w:rsid w:val="00244542"/>
    <w:rsid w:val="0024454E"/>
    <w:rsid w:val="00244982"/>
    <w:rsid w:val="00244A7F"/>
    <w:rsid w:val="00244C66"/>
    <w:rsid w:val="00244C7D"/>
    <w:rsid w:val="00244D29"/>
    <w:rsid w:val="00244FD3"/>
    <w:rsid w:val="00244FE1"/>
    <w:rsid w:val="0024522D"/>
    <w:rsid w:val="00245240"/>
    <w:rsid w:val="0024526F"/>
    <w:rsid w:val="002452A0"/>
    <w:rsid w:val="00245345"/>
    <w:rsid w:val="002453AF"/>
    <w:rsid w:val="00245478"/>
    <w:rsid w:val="002456F1"/>
    <w:rsid w:val="002458BC"/>
    <w:rsid w:val="002459ED"/>
    <w:rsid w:val="00245EE5"/>
    <w:rsid w:val="00245F09"/>
    <w:rsid w:val="00245F1B"/>
    <w:rsid w:val="00245F4A"/>
    <w:rsid w:val="00245F63"/>
    <w:rsid w:val="00245F70"/>
    <w:rsid w:val="0024617C"/>
    <w:rsid w:val="00246443"/>
    <w:rsid w:val="00246448"/>
    <w:rsid w:val="0024665B"/>
    <w:rsid w:val="002466DE"/>
    <w:rsid w:val="00246AEC"/>
    <w:rsid w:val="00246B0D"/>
    <w:rsid w:val="00246B19"/>
    <w:rsid w:val="00246D21"/>
    <w:rsid w:val="00246F0B"/>
    <w:rsid w:val="002470C2"/>
    <w:rsid w:val="002470E3"/>
    <w:rsid w:val="0024734E"/>
    <w:rsid w:val="00247383"/>
    <w:rsid w:val="002475FE"/>
    <w:rsid w:val="00247748"/>
    <w:rsid w:val="00247BCD"/>
    <w:rsid w:val="00247E80"/>
    <w:rsid w:val="00250077"/>
    <w:rsid w:val="0025008E"/>
    <w:rsid w:val="0025016C"/>
    <w:rsid w:val="0025038F"/>
    <w:rsid w:val="002504DD"/>
    <w:rsid w:val="002506EC"/>
    <w:rsid w:val="002508B0"/>
    <w:rsid w:val="002508F6"/>
    <w:rsid w:val="002509CB"/>
    <w:rsid w:val="00250BA8"/>
    <w:rsid w:val="00250BDA"/>
    <w:rsid w:val="00250C50"/>
    <w:rsid w:val="00250D71"/>
    <w:rsid w:val="00250F0E"/>
    <w:rsid w:val="00250F24"/>
    <w:rsid w:val="00251246"/>
    <w:rsid w:val="00251262"/>
    <w:rsid w:val="00251461"/>
    <w:rsid w:val="00251569"/>
    <w:rsid w:val="002515F2"/>
    <w:rsid w:val="002516A5"/>
    <w:rsid w:val="0025179B"/>
    <w:rsid w:val="002518C5"/>
    <w:rsid w:val="00251A76"/>
    <w:rsid w:val="00251C14"/>
    <w:rsid w:val="00251CF9"/>
    <w:rsid w:val="00251E62"/>
    <w:rsid w:val="00251EAD"/>
    <w:rsid w:val="00251FAE"/>
    <w:rsid w:val="00251FE2"/>
    <w:rsid w:val="00252046"/>
    <w:rsid w:val="002521A8"/>
    <w:rsid w:val="0025225B"/>
    <w:rsid w:val="00252271"/>
    <w:rsid w:val="002526A4"/>
    <w:rsid w:val="00252884"/>
    <w:rsid w:val="00252937"/>
    <w:rsid w:val="00252AEA"/>
    <w:rsid w:val="00252C84"/>
    <w:rsid w:val="00252DF0"/>
    <w:rsid w:val="00252EF3"/>
    <w:rsid w:val="002531FD"/>
    <w:rsid w:val="002533BB"/>
    <w:rsid w:val="002533C1"/>
    <w:rsid w:val="00253494"/>
    <w:rsid w:val="00253651"/>
    <w:rsid w:val="002538FD"/>
    <w:rsid w:val="0025394E"/>
    <w:rsid w:val="00253DE9"/>
    <w:rsid w:val="002542B8"/>
    <w:rsid w:val="002543C8"/>
    <w:rsid w:val="002544BE"/>
    <w:rsid w:val="002544C8"/>
    <w:rsid w:val="00254829"/>
    <w:rsid w:val="00254A85"/>
    <w:rsid w:val="00254D10"/>
    <w:rsid w:val="00254D40"/>
    <w:rsid w:val="00254F07"/>
    <w:rsid w:val="0025503A"/>
    <w:rsid w:val="002550EB"/>
    <w:rsid w:val="002553AE"/>
    <w:rsid w:val="002553B4"/>
    <w:rsid w:val="002553EF"/>
    <w:rsid w:val="002553F8"/>
    <w:rsid w:val="00255417"/>
    <w:rsid w:val="002554BB"/>
    <w:rsid w:val="002557C2"/>
    <w:rsid w:val="00255900"/>
    <w:rsid w:val="00255934"/>
    <w:rsid w:val="0025596C"/>
    <w:rsid w:val="00255A4C"/>
    <w:rsid w:val="00255ACE"/>
    <w:rsid w:val="00255D4C"/>
    <w:rsid w:val="00255DF0"/>
    <w:rsid w:val="00255E7A"/>
    <w:rsid w:val="002560E2"/>
    <w:rsid w:val="00256188"/>
    <w:rsid w:val="00256A2A"/>
    <w:rsid w:val="00256AE3"/>
    <w:rsid w:val="00256DB7"/>
    <w:rsid w:val="00256DDF"/>
    <w:rsid w:val="00256E3E"/>
    <w:rsid w:val="0025715D"/>
    <w:rsid w:val="002571A1"/>
    <w:rsid w:val="002572B9"/>
    <w:rsid w:val="00257352"/>
    <w:rsid w:val="00257448"/>
    <w:rsid w:val="002574FE"/>
    <w:rsid w:val="0025766A"/>
    <w:rsid w:val="002578A7"/>
    <w:rsid w:val="0025796E"/>
    <w:rsid w:val="002579EE"/>
    <w:rsid w:val="00257ABE"/>
    <w:rsid w:val="00257D37"/>
    <w:rsid w:val="00257D84"/>
    <w:rsid w:val="00257EBD"/>
    <w:rsid w:val="0026011D"/>
    <w:rsid w:val="00260358"/>
    <w:rsid w:val="002604E4"/>
    <w:rsid w:val="002604E7"/>
    <w:rsid w:val="00260574"/>
    <w:rsid w:val="002608E7"/>
    <w:rsid w:val="00260931"/>
    <w:rsid w:val="00260A43"/>
    <w:rsid w:val="00260D11"/>
    <w:rsid w:val="00260DC3"/>
    <w:rsid w:val="00260E92"/>
    <w:rsid w:val="00260EA5"/>
    <w:rsid w:val="00260F7A"/>
    <w:rsid w:val="00261016"/>
    <w:rsid w:val="00261045"/>
    <w:rsid w:val="002612D8"/>
    <w:rsid w:val="00261484"/>
    <w:rsid w:val="002614B9"/>
    <w:rsid w:val="00261506"/>
    <w:rsid w:val="0026151A"/>
    <w:rsid w:val="0026164C"/>
    <w:rsid w:val="00261787"/>
    <w:rsid w:val="00261788"/>
    <w:rsid w:val="00261A7C"/>
    <w:rsid w:val="00261B86"/>
    <w:rsid w:val="00261C61"/>
    <w:rsid w:val="0026236B"/>
    <w:rsid w:val="00262379"/>
    <w:rsid w:val="002624F6"/>
    <w:rsid w:val="00262777"/>
    <w:rsid w:val="002627D6"/>
    <w:rsid w:val="002628E5"/>
    <w:rsid w:val="00262A55"/>
    <w:rsid w:val="00262E80"/>
    <w:rsid w:val="00262F4E"/>
    <w:rsid w:val="002631C1"/>
    <w:rsid w:val="002632CA"/>
    <w:rsid w:val="002632D9"/>
    <w:rsid w:val="0026336D"/>
    <w:rsid w:val="00263444"/>
    <w:rsid w:val="0026351B"/>
    <w:rsid w:val="002635E6"/>
    <w:rsid w:val="00263B72"/>
    <w:rsid w:val="00263B7F"/>
    <w:rsid w:val="00263D22"/>
    <w:rsid w:val="002640C8"/>
    <w:rsid w:val="002641CE"/>
    <w:rsid w:val="00264276"/>
    <w:rsid w:val="002643AA"/>
    <w:rsid w:val="0026448B"/>
    <w:rsid w:val="00264526"/>
    <w:rsid w:val="00264578"/>
    <w:rsid w:val="0026492C"/>
    <w:rsid w:val="002649BD"/>
    <w:rsid w:val="002649E6"/>
    <w:rsid w:val="00264B70"/>
    <w:rsid w:val="00264D39"/>
    <w:rsid w:val="00264E35"/>
    <w:rsid w:val="00264EE3"/>
    <w:rsid w:val="00264FEC"/>
    <w:rsid w:val="002650C3"/>
    <w:rsid w:val="002651A7"/>
    <w:rsid w:val="00265548"/>
    <w:rsid w:val="0026555E"/>
    <w:rsid w:val="00265900"/>
    <w:rsid w:val="00265AC9"/>
    <w:rsid w:val="00265BD2"/>
    <w:rsid w:val="00265CC6"/>
    <w:rsid w:val="00265D0C"/>
    <w:rsid w:val="00265E34"/>
    <w:rsid w:val="00265EB4"/>
    <w:rsid w:val="002660A5"/>
    <w:rsid w:val="0026611E"/>
    <w:rsid w:val="00266211"/>
    <w:rsid w:val="0026621C"/>
    <w:rsid w:val="002663E2"/>
    <w:rsid w:val="002664DB"/>
    <w:rsid w:val="002665C0"/>
    <w:rsid w:val="00266625"/>
    <w:rsid w:val="00266935"/>
    <w:rsid w:val="00266943"/>
    <w:rsid w:val="00266A86"/>
    <w:rsid w:val="00266BAF"/>
    <w:rsid w:val="00266C4B"/>
    <w:rsid w:val="00266E21"/>
    <w:rsid w:val="00267043"/>
    <w:rsid w:val="0026709C"/>
    <w:rsid w:val="00267121"/>
    <w:rsid w:val="00267267"/>
    <w:rsid w:val="002672E8"/>
    <w:rsid w:val="0026749D"/>
    <w:rsid w:val="0026757D"/>
    <w:rsid w:val="0026773C"/>
    <w:rsid w:val="0026784B"/>
    <w:rsid w:val="00267985"/>
    <w:rsid w:val="002679BD"/>
    <w:rsid w:val="00267BCF"/>
    <w:rsid w:val="00267D66"/>
    <w:rsid w:val="00267E96"/>
    <w:rsid w:val="00270028"/>
    <w:rsid w:val="002700B6"/>
    <w:rsid w:val="00270341"/>
    <w:rsid w:val="0027074A"/>
    <w:rsid w:val="002707C5"/>
    <w:rsid w:val="002709E2"/>
    <w:rsid w:val="00270AED"/>
    <w:rsid w:val="00270B10"/>
    <w:rsid w:val="00270E30"/>
    <w:rsid w:val="00270E8C"/>
    <w:rsid w:val="002712A4"/>
    <w:rsid w:val="0027131D"/>
    <w:rsid w:val="00271382"/>
    <w:rsid w:val="002713C9"/>
    <w:rsid w:val="0027167D"/>
    <w:rsid w:val="002716D2"/>
    <w:rsid w:val="0027170F"/>
    <w:rsid w:val="00271979"/>
    <w:rsid w:val="00271A41"/>
    <w:rsid w:val="00272159"/>
    <w:rsid w:val="00272252"/>
    <w:rsid w:val="00272402"/>
    <w:rsid w:val="002725A6"/>
    <w:rsid w:val="00272636"/>
    <w:rsid w:val="002726A5"/>
    <w:rsid w:val="00272A59"/>
    <w:rsid w:val="00272AEC"/>
    <w:rsid w:val="00272AFA"/>
    <w:rsid w:val="00272B91"/>
    <w:rsid w:val="00272BB9"/>
    <w:rsid w:val="00272CF7"/>
    <w:rsid w:val="00272FC1"/>
    <w:rsid w:val="0027300D"/>
    <w:rsid w:val="00273015"/>
    <w:rsid w:val="0027327A"/>
    <w:rsid w:val="00273335"/>
    <w:rsid w:val="002733BA"/>
    <w:rsid w:val="002735BC"/>
    <w:rsid w:val="00273829"/>
    <w:rsid w:val="0027384B"/>
    <w:rsid w:val="002738ED"/>
    <w:rsid w:val="00273932"/>
    <w:rsid w:val="002739BF"/>
    <w:rsid w:val="00273EE1"/>
    <w:rsid w:val="00273F85"/>
    <w:rsid w:val="00274008"/>
    <w:rsid w:val="0027400C"/>
    <w:rsid w:val="002741DF"/>
    <w:rsid w:val="0027426B"/>
    <w:rsid w:val="0027430E"/>
    <w:rsid w:val="0027444F"/>
    <w:rsid w:val="00274474"/>
    <w:rsid w:val="002744A8"/>
    <w:rsid w:val="002746F6"/>
    <w:rsid w:val="002746FA"/>
    <w:rsid w:val="0027470D"/>
    <w:rsid w:val="00274844"/>
    <w:rsid w:val="00274A6F"/>
    <w:rsid w:val="00274B12"/>
    <w:rsid w:val="00274BEC"/>
    <w:rsid w:val="00274C0E"/>
    <w:rsid w:val="00275359"/>
    <w:rsid w:val="002753B8"/>
    <w:rsid w:val="002756E5"/>
    <w:rsid w:val="00275834"/>
    <w:rsid w:val="0027584D"/>
    <w:rsid w:val="00275A38"/>
    <w:rsid w:val="00275A5F"/>
    <w:rsid w:val="00275C2E"/>
    <w:rsid w:val="00275D84"/>
    <w:rsid w:val="00275DBC"/>
    <w:rsid w:val="00275DE8"/>
    <w:rsid w:val="00275E3E"/>
    <w:rsid w:val="00275F15"/>
    <w:rsid w:val="00275F81"/>
    <w:rsid w:val="00275F8C"/>
    <w:rsid w:val="00275FB9"/>
    <w:rsid w:val="0027657F"/>
    <w:rsid w:val="0027664D"/>
    <w:rsid w:val="002767B0"/>
    <w:rsid w:val="0027685F"/>
    <w:rsid w:val="00276CE8"/>
    <w:rsid w:val="00276D5C"/>
    <w:rsid w:val="00276E8F"/>
    <w:rsid w:val="00276EFE"/>
    <w:rsid w:val="00277169"/>
    <w:rsid w:val="0027733D"/>
    <w:rsid w:val="0027739D"/>
    <w:rsid w:val="002773C4"/>
    <w:rsid w:val="002773DB"/>
    <w:rsid w:val="00277510"/>
    <w:rsid w:val="00277544"/>
    <w:rsid w:val="002775F5"/>
    <w:rsid w:val="002776C6"/>
    <w:rsid w:val="00277A82"/>
    <w:rsid w:val="00277C6D"/>
    <w:rsid w:val="00277CF9"/>
    <w:rsid w:val="00277E19"/>
    <w:rsid w:val="00277ED3"/>
    <w:rsid w:val="00277F4A"/>
    <w:rsid w:val="00277F9E"/>
    <w:rsid w:val="00277FAB"/>
    <w:rsid w:val="00280078"/>
    <w:rsid w:val="00280085"/>
    <w:rsid w:val="0028026F"/>
    <w:rsid w:val="002802C6"/>
    <w:rsid w:val="0028074B"/>
    <w:rsid w:val="00280A9A"/>
    <w:rsid w:val="00280AC7"/>
    <w:rsid w:val="00280E35"/>
    <w:rsid w:val="00280E5C"/>
    <w:rsid w:val="00280EE2"/>
    <w:rsid w:val="00280FAA"/>
    <w:rsid w:val="00281318"/>
    <w:rsid w:val="00281399"/>
    <w:rsid w:val="0028143C"/>
    <w:rsid w:val="002814AA"/>
    <w:rsid w:val="00281543"/>
    <w:rsid w:val="002816B5"/>
    <w:rsid w:val="002818ED"/>
    <w:rsid w:val="00281A36"/>
    <w:rsid w:val="00281BEB"/>
    <w:rsid w:val="00281C22"/>
    <w:rsid w:val="00281C93"/>
    <w:rsid w:val="00281CAC"/>
    <w:rsid w:val="00281D9F"/>
    <w:rsid w:val="002820C0"/>
    <w:rsid w:val="0028222B"/>
    <w:rsid w:val="002822C6"/>
    <w:rsid w:val="0028243A"/>
    <w:rsid w:val="0028271E"/>
    <w:rsid w:val="00282873"/>
    <w:rsid w:val="00282928"/>
    <w:rsid w:val="002829D7"/>
    <w:rsid w:val="00282D5C"/>
    <w:rsid w:val="00282DAB"/>
    <w:rsid w:val="00282FA2"/>
    <w:rsid w:val="00282FCF"/>
    <w:rsid w:val="002831A1"/>
    <w:rsid w:val="002831A7"/>
    <w:rsid w:val="00283426"/>
    <w:rsid w:val="0028346A"/>
    <w:rsid w:val="0028369F"/>
    <w:rsid w:val="00283785"/>
    <w:rsid w:val="002837E7"/>
    <w:rsid w:val="00283823"/>
    <w:rsid w:val="00283877"/>
    <w:rsid w:val="002839C0"/>
    <w:rsid w:val="00283A36"/>
    <w:rsid w:val="00283B20"/>
    <w:rsid w:val="00283B4A"/>
    <w:rsid w:val="00283B61"/>
    <w:rsid w:val="00283CA4"/>
    <w:rsid w:val="0028426F"/>
    <w:rsid w:val="00284312"/>
    <w:rsid w:val="0028442E"/>
    <w:rsid w:val="002844F8"/>
    <w:rsid w:val="00284652"/>
    <w:rsid w:val="00284746"/>
    <w:rsid w:val="00284820"/>
    <w:rsid w:val="00284903"/>
    <w:rsid w:val="002849B2"/>
    <w:rsid w:val="00284A6C"/>
    <w:rsid w:val="00284B76"/>
    <w:rsid w:val="00284CB8"/>
    <w:rsid w:val="00284E96"/>
    <w:rsid w:val="00284FC2"/>
    <w:rsid w:val="0028507F"/>
    <w:rsid w:val="0028518E"/>
    <w:rsid w:val="00285209"/>
    <w:rsid w:val="00285444"/>
    <w:rsid w:val="002854F0"/>
    <w:rsid w:val="00285568"/>
    <w:rsid w:val="0028556E"/>
    <w:rsid w:val="00285AFB"/>
    <w:rsid w:val="00285C5C"/>
    <w:rsid w:val="00285DFE"/>
    <w:rsid w:val="00285EB8"/>
    <w:rsid w:val="002861D5"/>
    <w:rsid w:val="00286417"/>
    <w:rsid w:val="00286531"/>
    <w:rsid w:val="0028687A"/>
    <w:rsid w:val="00286903"/>
    <w:rsid w:val="00286A13"/>
    <w:rsid w:val="00286A7B"/>
    <w:rsid w:val="00286AD3"/>
    <w:rsid w:val="00286B7E"/>
    <w:rsid w:val="00286BC9"/>
    <w:rsid w:val="00286C52"/>
    <w:rsid w:val="00286D87"/>
    <w:rsid w:val="002872BB"/>
    <w:rsid w:val="00287823"/>
    <w:rsid w:val="00287A22"/>
    <w:rsid w:val="00287AFC"/>
    <w:rsid w:val="00287C99"/>
    <w:rsid w:val="00287CBC"/>
    <w:rsid w:val="00287D47"/>
    <w:rsid w:val="00287D67"/>
    <w:rsid w:val="00287FCF"/>
    <w:rsid w:val="00290062"/>
    <w:rsid w:val="0029015A"/>
    <w:rsid w:val="002902A8"/>
    <w:rsid w:val="002903F3"/>
    <w:rsid w:val="002904CE"/>
    <w:rsid w:val="00290601"/>
    <w:rsid w:val="00290660"/>
    <w:rsid w:val="00290663"/>
    <w:rsid w:val="002907B8"/>
    <w:rsid w:val="002907E5"/>
    <w:rsid w:val="00290CA8"/>
    <w:rsid w:val="00290D6C"/>
    <w:rsid w:val="00290E0C"/>
    <w:rsid w:val="00290E27"/>
    <w:rsid w:val="00290E2E"/>
    <w:rsid w:val="00290FE9"/>
    <w:rsid w:val="00291094"/>
    <w:rsid w:val="002910A6"/>
    <w:rsid w:val="002911F1"/>
    <w:rsid w:val="00291385"/>
    <w:rsid w:val="0029138C"/>
    <w:rsid w:val="0029141C"/>
    <w:rsid w:val="0029143C"/>
    <w:rsid w:val="00291510"/>
    <w:rsid w:val="002915CD"/>
    <w:rsid w:val="00291616"/>
    <w:rsid w:val="00291751"/>
    <w:rsid w:val="00291774"/>
    <w:rsid w:val="0029179F"/>
    <w:rsid w:val="002917CC"/>
    <w:rsid w:val="00291DF0"/>
    <w:rsid w:val="00291F3C"/>
    <w:rsid w:val="00291F8D"/>
    <w:rsid w:val="002920C2"/>
    <w:rsid w:val="0029214D"/>
    <w:rsid w:val="00292337"/>
    <w:rsid w:val="002924E1"/>
    <w:rsid w:val="002925EC"/>
    <w:rsid w:val="00292960"/>
    <w:rsid w:val="00292978"/>
    <w:rsid w:val="002929E6"/>
    <w:rsid w:val="00292BC1"/>
    <w:rsid w:val="00292CE7"/>
    <w:rsid w:val="00292D18"/>
    <w:rsid w:val="00292DB2"/>
    <w:rsid w:val="00292FB9"/>
    <w:rsid w:val="002932B2"/>
    <w:rsid w:val="0029333B"/>
    <w:rsid w:val="002933FC"/>
    <w:rsid w:val="002934A4"/>
    <w:rsid w:val="00293505"/>
    <w:rsid w:val="00293582"/>
    <w:rsid w:val="00293918"/>
    <w:rsid w:val="002939BE"/>
    <w:rsid w:val="00293CEA"/>
    <w:rsid w:val="00293D55"/>
    <w:rsid w:val="00293F92"/>
    <w:rsid w:val="00293FDC"/>
    <w:rsid w:val="0029415C"/>
    <w:rsid w:val="00294186"/>
    <w:rsid w:val="002941AD"/>
    <w:rsid w:val="00294316"/>
    <w:rsid w:val="0029439E"/>
    <w:rsid w:val="002944DA"/>
    <w:rsid w:val="00294753"/>
    <w:rsid w:val="00294A83"/>
    <w:rsid w:val="00294B2B"/>
    <w:rsid w:val="00294B7E"/>
    <w:rsid w:val="00294BC3"/>
    <w:rsid w:val="002951D2"/>
    <w:rsid w:val="002952B7"/>
    <w:rsid w:val="002953B9"/>
    <w:rsid w:val="0029571B"/>
    <w:rsid w:val="002958D4"/>
    <w:rsid w:val="00295A1D"/>
    <w:rsid w:val="00295A6E"/>
    <w:rsid w:val="00295B22"/>
    <w:rsid w:val="00295B98"/>
    <w:rsid w:val="00295D06"/>
    <w:rsid w:val="00295EFE"/>
    <w:rsid w:val="00296139"/>
    <w:rsid w:val="002963B2"/>
    <w:rsid w:val="002964C9"/>
    <w:rsid w:val="002968CF"/>
    <w:rsid w:val="00296983"/>
    <w:rsid w:val="00296C74"/>
    <w:rsid w:val="00296F2D"/>
    <w:rsid w:val="00296FEA"/>
    <w:rsid w:val="0029714D"/>
    <w:rsid w:val="00297315"/>
    <w:rsid w:val="002974D0"/>
    <w:rsid w:val="00297670"/>
    <w:rsid w:val="0029767D"/>
    <w:rsid w:val="0029773C"/>
    <w:rsid w:val="002979FF"/>
    <w:rsid w:val="00297A70"/>
    <w:rsid w:val="00297EFE"/>
    <w:rsid w:val="002A0035"/>
    <w:rsid w:val="002A03B5"/>
    <w:rsid w:val="002A04A9"/>
    <w:rsid w:val="002A0554"/>
    <w:rsid w:val="002A0586"/>
    <w:rsid w:val="002A066B"/>
    <w:rsid w:val="002A0991"/>
    <w:rsid w:val="002A0AA3"/>
    <w:rsid w:val="002A0AA9"/>
    <w:rsid w:val="002A0AC9"/>
    <w:rsid w:val="002A0B28"/>
    <w:rsid w:val="002A0C37"/>
    <w:rsid w:val="002A12A1"/>
    <w:rsid w:val="002A1485"/>
    <w:rsid w:val="002A174A"/>
    <w:rsid w:val="002A1B0D"/>
    <w:rsid w:val="002A1C03"/>
    <w:rsid w:val="002A1CD6"/>
    <w:rsid w:val="002A1D3A"/>
    <w:rsid w:val="002A1D52"/>
    <w:rsid w:val="002A203E"/>
    <w:rsid w:val="002A210E"/>
    <w:rsid w:val="002A2127"/>
    <w:rsid w:val="002A218F"/>
    <w:rsid w:val="002A21D5"/>
    <w:rsid w:val="002A2274"/>
    <w:rsid w:val="002A22D3"/>
    <w:rsid w:val="002A2434"/>
    <w:rsid w:val="002A2451"/>
    <w:rsid w:val="002A259D"/>
    <w:rsid w:val="002A2694"/>
    <w:rsid w:val="002A2818"/>
    <w:rsid w:val="002A2B28"/>
    <w:rsid w:val="002A2DB2"/>
    <w:rsid w:val="002A2F89"/>
    <w:rsid w:val="002A2FCB"/>
    <w:rsid w:val="002A30B3"/>
    <w:rsid w:val="002A3483"/>
    <w:rsid w:val="002A348D"/>
    <w:rsid w:val="002A34CA"/>
    <w:rsid w:val="002A3599"/>
    <w:rsid w:val="002A37A4"/>
    <w:rsid w:val="002A389C"/>
    <w:rsid w:val="002A399D"/>
    <w:rsid w:val="002A3A42"/>
    <w:rsid w:val="002A3AB4"/>
    <w:rsid w:val="002A3B00"/>
    <w:rsid w:val="002A3B45"/>
    <w:rsid w:val="002A3C33"/>
    <w:rsid w:val="002A3D51"/>
    <w:rsid w:val="002A3EFF"/>
    <w:rsid w:val="002A4370"/>
    <w:rsid w:val="002A437C"/>
    <w:rsid w:val="002A43AB"/>
    <w:rsid w:val="002A484F"/>
    <w:rsid w:val="002A4903"/>
    <w:rsid w:val="002A4A15"/>
    <w:rsid w:val="002A4B12"/>
    <w:rsid w:val="002A4B44"/>
    <w:rsid w:val="002A4BFC"/>
    <w:rsid w:val="002A4C0E"/>
    <w:rsid w:val="002A4D04"/>
    <w:rsid w:val="002A4D9D"/>
    <w:rsid w:val="002A4E5D"/>
    <w:rsid w:val="002A4FDB"/>
    <w:rsid w:val="002A52C5"/>
    <w:rsid w:val="002A539D"/>
    <w:rsid w:val="002A545A"/>
    <w:rsid w:val="002A5569"/>
    <w:rsid w:val="002A5654"/>
    <w:rsid w:val="002A5840"/>
    <w:rsid w:val="002A5BAB"/>
    <w:rsid w:val="002A5D6A"/>
    <w:rsid w:val="002A5E95"/>
    <w:rsid w:val="002A6211"/>
    <w:rsid w:val="002A6227"/>
    <w:rsid w:val="002A6582"/>
    <w:rsid w:val="002A680B"/>
    <w:rsid w:val="002A68C6"/>
    <w:rsid w:val="002A6A0C"/>
    <w:rsid w:val="002A6A61"/>
    <w:rsid w:val="002A6B34"/>
    <w:rsid w:val="002A6CD3"/>
    <w:rsid w:val="002A6FEA"/>
    <w:rsid w:val="002A72AC"/>
    <w:rsid w:val="002A7539"/>
    <w:rsid w:val="002A773A"/>
    <w:rsid w:val="002A7758"/>
    <w:rsid w:val="002A777A"/>
    <w:rsid w:val="002A784C"/>
    <w:rsid w:val="002A7AEF"/>
    <w:rsid w:val="002A7AF3"/>
    <w:rsid w:val="002A7C85"/>
    <w:rsid w:val="002A7FD2"/>
    <w:rsid w:val="002B03B7"/>
    <w:rsid w:val="002B05F1"/>
    <w:rsid w:val="002B0604"/>
    <w:rsid w:val="002B0681"/>
    <w:rsid w:val="002B097D"/>
    <w:rsid w:val="002B0C11"/>
    <w:rsid w:val="002B0C9C"/>
    <w:rsid w:val="002B0D7B"/>
    <w:rsid w:val="002B0E7C"/>
    <w:rsid w:val="002B1153"/>
    <w:rsid w:val="002B1195"/>
    <w:rsid w:val="002B11CF"/>
    <w:rsid w:val="002B14D7"/>
    <w:rsid w:val="002B154A"/>
    <w:rsid w:val="002B1670"/>
    <w:rsid w:val="002B16E5"/>
    <w:rsid w:val="002B17F8"/>
    <w:rsid w:val="002B182F"/>
    <w:rsid w:val="002B19C5"/>
    <w:rsid w:val="002B1ACA"/>
    <w:rsid w:val="002B1BCD"/>
    <w:rsid w:val="002B1BD7"/>
    <w:rsid w:val="002B1BFE"/>
    <w:rsid w:val="002B1CC8"/>
    <w:rsid w:val="002B1F74"/>
    <w:rsid w:val="002B2021"/>
    <w:rsid w:val="002B202D"/>
    <w:rsid w:val="002B2340"/>
    <w:rsid w:val="002B236F"/>
    <w:rsid w:val="002B253B"/>
    <w:rsid w:val="002B25FB"/>
    <w:rsid w:val="002B2706"/>
    <w:rsid w:val="002B2A2D"/>
    <w:rsid w:val="002B2BBB"/>
    <w:rsid w:val="002B2C9C"/>
    <w:rsid w:val="002B2D97"/>
    <w:rsid w:val="002B2E7F"/>
    <w:rsid w:val="002B3088"/>
    <w:rsid w:val="002B32E7"/>
    <w:rsid w:val="002B367A"/>
    <w:rsid w:val="002B384E"/>
    <w:rsid w:val="002B3F00"/>
    <w:rsid w:val="002B40B2"/>
    <w:rsid w:val="002B415F"/>
    <w:rsid w:val="002B42EA"/>
    <w:rsid w:val="002B43AC"/>
    <w:rsid w:val="002B4614"/>
    <w:rsid w:val="002B4681"/>
    <w:rsid w:val="002B470E"/>
    <w:rsid w:val="002B481F"/>
    <w:rsid w:val="002B489B"/>
    <w:rsid w:val="002B4961"/>
    <w:rsid w:val="002B49B9"/>
    <w:rsid w:val="002B49DE"/>
    <w:rsid w:val="002B49EF"/>
    <w:rsid w:val="002B4AA8"/>
    <w:rsid w:val="002B4B44"/>
    <w:rsid w:val="002B4B65"/>
    <w:rsid w:val="002B4C70"/>
    <w:rsid w:val="002B4EEE"/>
    <w:rsid w:val="002B4F74"/>
    <w:rsid w:val="002B4FA7"/>
    <w:rsid w:val="002B509C"/>
    <w:rsid w:val="002B5185"/>
    <w:rsid w:val="002B51C2"/>
    <w:rsid w:val="002B523A"/>
    <w:rsid w:val="002B52C7"/>
    <w:rsid w:val="002B538E"/>
    <w:rsid w:val="002B561A"/>
    <w:rsid w:val="002B5671"/>
    <w:rsid w:val="002B57F1"/>
    <w:rsid w:val="002B5912"/>
    <w:rsid w:val="002B5A85"/>
    <w:rsid w:val="002B5CEF"/>
    <w:rsid w:val="002B6137"/>
    <w:rsid w:val="002B61A9"/>
    <w:rsid w:val="002B627F"/>
    <w:rsid w:val="002B62D5"/>
    <w:rsid w:val="002B63B4"/>
    <w:rsid w:val="002B650D"/>
    <w:rsid w:val="002B66BD"/>
    <w:rsid w:val="002B67BA"/>
    <w:rsid w:val="002B6B01"/>
    <w:rsid w:val="002B6B18"/>
    <w:rsid w:val="002B6D4F"/>
    <w:rsid w:val="002B6F60"/>
    <w:rsid w:val="002B6F70"/>
    <w:rsid w:val="002B6F8C"/>
    <w:rsid w:val="002B7354"/>
    <w:rsid w:val="002B7383"/>
    <w:rsid w:val="002B73A8"/>
    <w:rsid w:val="002B73F6"/>
    <w:rsid w:val="002B74CB"/>
    <w:rsid w:val="002B7737"/>
    <w:rsid w:val="002B77D1"/>
    <w:rsid w:val="002B78D7"/>
    <w:rsid w:val="002B7AC6"/>
    <w:rsid w:val="002B7B3A"/>
    <w:rsid w:val="002B7BCD"/>
    <w:rsid w:val="002B7BEA"/>
    <w:rsid w:val="002B7D12"/>
    <w:rsid w:val="002B7F26"/>
    <w:rsid w:val="002B7F78"/>
    <w:rsid w:val="002C009D"/>
    <w:rsid w:val="002C00A4"/>
    <w:rsid w:val="002C0112"/>
    <w:rsid w:val="002C01C1"/>
    <w:rsid w:val="002C05DB"/>
    <w:rsid w:val="002C08BA"/>
    <w:rsid w:val="002C097D"/>
    <w:rsid w:val="002C0A2F"/>
    <w:rsid w:val="002C0A72"/>
    <w:rsid w:val="002C0A9F"/>
    <w:rsid w:val="002C0AC8"/>
    <w:rsid w:val="002C0C2D"/>
    <w:rsid w:val="002C0C35"/>
    <w:rsid w:val="002C112F"/>
    <w:rsid w:val="002C11DC"/>
    <w:rsid w:val="002C1204"/>
    <w:rsid w:val="002C15E9"/>
    <w:rsid w:val="002C1764"/>
    <w:rsid w:val="002C176C"/>
    <w:rsid w:val="002C1920"/>
    <w:rsid w:val="002C1C45"/>
    <w:rsid w:val="002C1E72"/>
    <w:rsid w:val="002C1EAA"/>
    <w:rsid w:val="002C21F5"/>
    <w:rsid w:val="002C2348"/>
    <w:rsid w:val="002C2462"/>
    <w:rsid w:val="002C24B3"/>
    <w:rsid w:val="002C2895"/>
    <w:rsid w:val="002C296E"/>
    <w:rsid w:val="002C29C8"/>
    <w:rsid w:val="002C2AB5"/>
    <w:rsid w:val="002C2B81"/>
    <w:rsid w:val="002C2BA3"/>
    <w:rsid w:val="002C2BF2"/>
    <w:rsid w:val="002C2C43"/>
    <w:rsid w:val="002C2C69"/>
    <w:rsid w:val="002C2DC7"/>
    <w:rsid w:val="002C2E3D"/>
    <w:rsid w:val="002C3238"/>
    <w:rsid w:val="002C32AC"/>
    <w:rsid w:val="002C3392"/>
    <w:rsid w:val="002C34AE"/>
    <w:rsid w:val="002C34D8"/>
    <w:rsid w:val="002C372E"/>
    <w:rsid w:val="002C3777"/>
    <w:rsid w:val="002C3A43"/>
    <w:rsid w:val="002C3B8E"/>
    <w:rsid w:val="002C3CF7"/>
    <w:rsid w:val="002C3DCC"/>
    <w:rsid w:val="002C3F71"/>
    <w:rsid w:val="002C42ED"/>
    <w:rsid w:val="002C4598"/>
    <w:rsid w:val="002C490F"/>
    <w:rsid w:val="002C498E"/>
    <w:rsid w:val="002C49AC"/>
    <w:rsid w:val="002C4BE7"/>
    <w:rsid w:val="002C4C04"/>
    <w:rsid w:val="002C4E32"/>
    <w:rsid w:val="002C538E"/>
    <w:rsid w:val="002C53D1"/>
    <w:rsid w:val="002C5544"/>
    <w:rsid w:val="002C572A"/>
    <w:rsid w:val="002C5F0D"/>
    <w:rsid w:val="002C5FB2"/>
    <w:rsid w:val="002C628B"/>
    <w:rsid w:val="002C6513"/>
    <w:rsid w:val="002C6730"/>
    <w:rsid w:val="002C67EF"/>
    <w:rsid w:val="002C691C"/>
    <w:rsid w:val="002C6955"/>
    <w:rsid w:val="002C69B0"/>
    <w:rsid w:val="002C6C48"/>
    <w:rsid w:val="002C6CE0"/>
    <w:rsid w:val="002C6E2A"/>
    <w:rsid w:val="002C6EED"/>
    <w:rsid w:val="002C6F5D"/>
    <w:rsid w:val="002C70A3"/>
    <w:rsid w:val="002C70F6"/>
    <w:rsid w:val="002C7113"/>
    <w:rsid w:val="002C712F"/>
    <w:rsid w:val="002C7157"/>
    <w:rsid w:val="002C71F7"/>
    <w:rsid w:val="002C7368"/>
    <w:rsid w:val="002C73F2"/>
    <w:rsid w:val="002C74EA"/>
    <w:rsid w:val="002C7524"/>
    <w:rsid w:val="002C78F3"/>
    <w:rsid w:val="002C7AA4"/>
    <w:rsid w:val="002C7CCD"/>
    <w:rsid w:val="002C7CDA"/>
    <w:rsid w:val="002C7DEC"/>
    <w:rsid w:val="002D0446"/>
    <w:rsid w:val="002D0A09"/>
    <w:rsid w:val="002D0AE3"/>
    <w:rsid w:val="002D0B1A"/>
    <w:rsid w:val="002D0BBF"/>
    <w:rsid w:val="002D1244"/>
    <w:rsid w:val="002D1259"/>
    <w:rsid w:val="002D1491"/>
    <w:rsid w:val="002D1607"/>
    <w:rsid w:val="002D168D"/>
    <w:rsid w:val="002D1915"/>
    <w:rsid w:val="002D19A3"/>
    <w:rsid w:val="002D1A88"/>
    <w:rsid w:val="002D1BC4"/>
    <w:rsid w:val="002D1BC7"/>
    <w:rsid w:val="002D1C10"/>
    <w:rsid w:val="002D1CEE"/>
    <w:rsid w:val="002D2327"/>
    <w:rsid w:val="002D254F"/>
    <w:rsid w:val="002D28DB"/>
    <w:rsid w:val="002D294B"/>
    <w:rsid w:val="002D2992"/>
    <w:rsid w:val="002D2AA5"/>
    <w:rsid w:val="002D2EEB"/>
    <w:rsid w:val="002D2EF3"/>
    <w:rsid w:val="002D3019"/>
    <w:rsid w:val="002D3086"/>
    <w:rsid w:val="002D3121"/>
    <w:rsid w:val="002D3170"/>
    <w:rsid w:val="002D33C1"/>
    <w:rsid w:val="002D360C"/>
    <w:rsid w:val="002D37E6"/>
    <w:rsid w:val="002D3B56"/>
    <w:rsid w:val="002D3C36"/>
    <w:rsid w:val="002D4137"/>
    <w:rsid w:val="002D437B"/>
    <w:rsid w:val="002D43DF"/>
    <w:rsid w:val="002D4435"/>
    <w:rsid w:val="002D476D"/>
    <w:rsid w:val="002D4894"/>
    <w:rsid w:val="002D48AD"/>
    <w:rsid w:val="002D4C3D"/>
    <w:rsid w:val="002D50AC"/>
    <w:rsid w:val="002D5114"/>
    <w:rsid w:val="002D5179"/>
    <w:rsid w:val="002D5284"/>
    <w:rsid w:val="002D5931"/>
    <w:rsid w:val="002D599E"/>
    <w:rsid w:val="002D5C99"/>
    <w:rsid w:val="002D5D8D"/>
    <w:rsid w:val="002D6396"/>
    <w:rsid w:val="002D63A0"/>
    <w:rsid w:val="002D63B8"/>
    <w:rsid w:val="002D6439"/>
    <w:rsid w:val="002D680E"/>
    <w:rsid w:val="002D6A02"/>
    <w:rsid w:val="002D6AF8"/>
    <w:rsid w:val="002D6BF3"/>
    <w:rsid w:val="002D6CE8"/>
    <w:rsid w:val="002D6D4D"/>
    <w:rsid w:val="002D6D7F"/>
    <w:rsid w:val="002D6DF4"/>
    <w:rsid w:val="002D6E16"/>
    <w:rsid w:val="002D6F86"/>
    <w:rsid w:val="002D71F5"/>
    <w:rsid w:val="002D7486"/>
    <w:rsid w:val="002D74C8"/>
    <w:rsid w:val="002D7597"/>
    <w:rsid w:val="002D7AE3"/>
    <w:rsid w:val="002D7D1B"/>
    <w:rsid w:val="002D7D8B"/>
    <w:rsid w:val="002D7F2A"/>
    <w:rsid w:val="002D7FC7"/>
    <w:rsid w:val="002E0086"/>
    <w:rsid w:val="002E023F"/>
    <w:rsid w:val="002E025E"/>
    <w:rsid w:val="002E02B2"/>
    <w:rsid w:val="002E0413"/>
    <w:rsid w:val="002E085C"/>
    <w:rsid w:val="002E0889"/>
    <w:rsid w:val="002E08D6"/>
    <w:rsid w:val="002E0A12"/>
    <w:rsid w:val="002E0A18"/>
    <w:rsid w:val="002E0BED"/>
    <w:rsid w:val="002E0EA9"/>
    <w:rsid w:val="002E0F80"/>
    <w:rsid w:val="002E1138"/>
    <w:rsid w:val="002E1146"/>
    <w:rsid w:val="002E11AA"/>
    <w:rsid w:val="002E138A"/>
    <w:rsid w:val="002E14E1"/>
    <w:rsid w:val="002E1922"/>
    <w:rsid w:val="002E1A2F"/>
    <w:rsid w:val="002E1B6C"/>
    <w:rsid w:val="002E1B6D"/>
    <w:rsid w:val="002E1BCD"/>
    <w:rsid w:val="002E2030"/>
    <w:rsid w:val="002E2047"/>
    <w:rsid w:val="002E21AC"/>
    <w:rsid w:val="002E25FB"/>
    <w:rsid w:val="002E2787"/>
    <w:rsid w:val="002E27D3"/>
    <w:rsid w:val="002E2980"/>
    <w:rsid w:val="002E2C06"/>
    <w:rsid w:val="002E2E7B"/>
    <w:rsid w:val="002E2EF5"/>
    <w:rsid w:val="002E2F11"/>
    <w:rsid w:val="002E307A"/>
    <w:rsid w:val="002E30CA"/>
    <w:rsid w:val="002E3133"/>
    <w:rsid w:val="002E31DF"/>
    <w:rsid w:val="002E333D"/>
    <w:rsid w:val="002E34BF"/>
    <w:rsid w:val="002E35EF"/>
    <w:rsid w:val="002E370D"/>
    <w:rsid w:val="002E380C"/>
    <w:rsid w:val="002E3AA9"/>
    <w:rsid w:val="002E3BFB"/>
    <w:rsid w:val="002E3C44"/>
    <w:rsid w:val="002E424B"/>
    <w:rsid w:val="002E428C"/>
    <w:rsid w:val="002E43DF"/>
    <w:rsid w:val="002E4571"/>
    <w:rsid w:val="002E47D1"/>
    <w:rsid w:val="002E4813"/>
    <w:rsid w:val="002E48F9"/>
    <w:rsid w:val="002E49B7"/>
    <w:rsid w:val="002E4A0B"/>
    <w:rsid w:val="002E4A46"/>
    <w:rsid w:val="002E4B79"/>
    <w:rsid w:val="002E4CA4"/>
    <w:rsid w:val="002E4ECD"/>
    <w:rsid w:val="002E4F52"/>
    <w:rsid w:val="002E4FBE"/>
    <w:rsid w:val="002E5001"/>
    <w:rsid w:val="002E5207"/>
    <w:rsid w:val="002E5250"/>
    <w:rsid w:val="002E5312"/>
    <w:rsid w:val="002E54AA"/>
    <w:rsid w:val="002E55EC"/>
    <w:rsid w:val="002E59B4"/>
    <w:rsid w:val="002E59C3"/>
    <w:rsid w:val="002E5A16"/>
    <w:rsid w:val="002E5A1A"/>
    <w:rsid w:val="002E5BD0"/>
    <w:rsid w:val="002E5E79"/>
    <w:rsid w:val="002E5EAD"/>
    <w:rsid w:val="002E5F39"/>
    <w:rsid w:val="002E5FAA"/>
    <w:rsid w:val="002E6066"/>
    <w:rsid w:val="002E6093"/>
    <w:rsid w:val="002E6128"/>
    <w:rsid w:val="002E61AC"/>
    <w:rsid w:val="002E6290"/>
    <w:rsid w:val="002E635B"/>
    <w:rsid w:val="002E647F"/>
    <w:rsid w:val="002E66D8"/>
    <w:rsid w:val="002E683D"/>
    <w:rsid w:val="002E6B36"/>
    <w:rsid w:val="002E6B69"/>
    <w:rsid w:val="002E6D50"/>
    <w:rsid w:val="002E6DF4"/>
    <w:rsid w:val="002E6FC5"/>
    <w:rsid w:val="002E70B7"/>
    <w:rsid w:val="002E7168"/>
    <w:rsid w:val="002E722A"/>
    <w:rsid w:val="002E729E"/>
    <w:rsid w:val="002E734A"/>
    <w:rsid w:val="002E73E8"/>
    <w:rsid w:val="002E7436"/>
    <w:rsid w:val="002E7530"/>
    <w:rsid w:val="002E7636"/>
    <w:rsid w:val="002E797C"/>
    <w:rsid w:val="002E7D15"/>
    <w:rsid w:val="002E7DE7"/>
    <w:rsid w:val="002E7E1F"/>
    <w:rsid w:val="002E7F4B"/>
    <w:rsid w:val="002E7FD8"/>
    <w:rsid w:val="002E7FFC"/>
    <w:rsid w:val="002F0789"/>
    <w:rsid w:val="002F0A9C"/>
    <w:rsid w:val="002F0EB6"/>
    <w:rsid w:val="002F0F9A"/>
    <w:rsid w:val="002F0FF6"/>
    <w:rsid w:val="002F11E5"/>
    <w:rsid w:val="002F13A0"/>
    <w:rsid w:val="002F16A1"/>
    <w:rsid w:val="002F1764"/>
    <w:rsid w:val="002F1769"/>
    <w:rsid w:val="002F1849"/>
    <w:rsid w:val="002F19B2"/>
    <w:rsid w:val="002F1B60"/>
    <w:rsid w:val="002F1CBA"/>
    <w:rsid w:val="002F1DE3"/>
    <w:rsid w:val="002F1DF3"/>
    <w:rsid w:val="002F1E9E"/>
    <w:rsid w:val="002F231C"/>
    <w:rsid w:val="002F23E8"/>
    <w:rsid w:val="002F24EC"/>
    <w:rsid w:val="002F27D5"/>
    <w:rsid w:val="002F284B"/>
    <w:rsid w:val="002F287E"/>
    <w:rsid w:val="002F2939"/>
    <w:rsid w:val="002F294A"/>
    <w:rsid w:val="002F2A54"/>
    <w:rsid w:val="002F2BB8"/>
    <w:rsid w:val="002F2BEA"/>
    <w:rsid w:val="002F2E09"/>
    <w:rsid w:val="002F2FC4"/>
    <w:rsid w:val="002F2FF3"/>
    <w:rsid w:val="002F314C"/>
    <w:rsid w:val="002F3338"/>
    <w:rsid w:val="002F33DB"/>
    <w:rsid w:val="002F34B1"/>
    <w:rsid w:val="002F370E"/>
    <w:rsid w:val="002F37F6"/>
    <w:rsid w:val="002F38FE"/>
    <w:rsid w:val="002F3AAA"/>
    <w:rsid w:val="002F3DE4"/>
    <w:rsid w:val="002F3EA5"/>
    <w:rsid w:val="002F3FC2"/>
    <w:rsid w:val="002F3FEF"/>
    <w:rsid w:val="002F4067"/>
    <w:rsid w:val="002F4106"/>
    <w:rsid w:val="002F4150"/>
    <w:rsid w:val="002F420F"/>
    <w:rsid w:val="002F4341"/>
    <w:rsid w:val="002F4621"/>
    <w:rsid w:val="002F4721"/>
    <w:rsid w:val="002F4785"/>
    <w:rsid w:val="002F487A"/>
    <w:rsid w:val="002F4888"/>
    <w:rsid w:val="002F491A"/>
    <w:rsid w:val="002F496F"/>
    <w:rsid w:val="002F49D9"/>
    <w:rsid w:val="002F4AC7"/>
    <w:rsid w:val="002F4B52"/>
    <w:rsid w:val="002F4B95"/>
    <w:rsid w:val="002F4E15"/>
    <w:rsid w:val="002F4E47"/>
    <w:rsid w:val="002F4ECA"/>
    <w:rsid w:val="002F4FED"/>
    <w:rsid w:val="002F50B8"/>
    <w:rsid w:val="002F516A"/>
    <w:rsid w:val="002F5280"/>
    <w:rsid w:val="002F54B4"/>
    <w:rsid w:val="002F56AB"/>
    <w:rsid w:val="002F56C7"/>
    <w:rsid w:val="002F5780"/>
    <w:rsid w:val="002F5820"/>
    <w:rsid w:val="002F584D"/>
    <w:rsid w:val="002F5D5A"/>
    <w:rsid w:val="002F5E95"/>
    <w:rsid w:val="002F607D"/>
    <w:rsid w:val="002F612A"/>
    <w:rsid w:val="002F631F"/>
    <w:rsid w:val="002F63D2"/>
    <w:rsid w:val="002F643B"/>
    <w:rsid w:val="002F6461"/>
    <w:rsid w:val="002F653D"/>
    <w:rsid w:val="002F657B"/>
    <w:rsid w:val="002F65A5"/>
    <w:rsid w:val="002F6634"/>
    <w:rsid w:val="002F666F"/>
    <w:rsid w:val="002F667A"/>
    <w:rsid w:val="002F686F"/>
    <w:rsid w:val="002F68F8"/>
    <w:rsid w:val="002F6AD8"/>
    <w:rsid w:val="002F6B49"/>
    <w:rsid w:val="002F6CDB"/>
    <w:rsid w:val="002F6D74"/>
    <w:rsid w:val="002F7247"/>
    <w:rsid w:val="002F726B"/>
    <w:rsid w:val="002F72B1"/>
    <w:rsid w:val="002F7390"/>
    <w:rsid w:val="002F73C5"/>
    <w:rsid w:val="002F7602"/>
    <w:rsid w:val="002F766A"/>
    <w:rsid w:val="002F771C"/>
    <w:rsid w:val="002F786A"/>
    <w:rsid w:val="002F78C6"/>
    <w:rsid w:val="002F795D"/>
    <w:rsid w:val="002F7B9A"/>
    <w:rsid w:val="002F7C99"/>
    <w:rsid w:val="002F7D20"/>
    <w:rsid w:val="002F7D54"/>
    <w:rsid w:val="002F7E4B"/>
    <w:rsid w:val="002F7E7D"/>
    <w:rsid w:val="002F7F92"/>
    <w:rsid w:val="002F7FBB"/>
    <w:rsid w:val="002F7FD6"/>
    <w:rsid w:val="00300061"/>
    <w:rsid w:val="003000D1"/>
    <w:rsid w:val="003002A3"/>
    <w:rsid w:val="003005D1"/>
    <w:rsid w:val="00300683"/>
    <w:rsid w:val="0030090A"/>
    <w:rsid w:val="0030092D"/>
    <w:rsid w:val="003009D3"/>
    <w:rsid w:val="00300A84"/>
    <w:rsid w:val="00300B3A"/>
    <w:rsid w:val="00300C65"/>
    <w:rsid w:val="00300E46"/>
    <w:rsid w:val="00300E9B"/>
    <w:rsid w:val="0030116D"/>
    <w:rsid w:val="003012EC"/>
    <w:rsid w:val="00301352"/>
    <w:rsid w:val="00301510"/>
    <w:rsid w:val="00301686"/>
    <w:rsid w:val="00301785"/>
    <w:rsid w:val="003018F6"/>
    <w:rsid w:val="00301A3C"/>
    <w:rsid w:val="00301AB3"/>
    <w:rsid w:val="00301BB7"/>
    <w:rsid w:val="00301C4C"/>
    <w:rsid w:val="00301D15"/>
    <w:rsid w:val="00301DB8"/>
    <w:rsid w:val="00301EC2"/>
    <w:rsid w:val="00301F30"/>
    <w:rsid w:val="00302126"/>
    <w:rsid w:val="00302198"/>
    <w:rsid w:val="0030242A"/>
    <w:rsid w:val="00302431"/>
    <w:rsid w:val="00302759"/>
    <w:rsid w:val="00302C80"/>
    <w:rsid w:val="00302CAA"/>
    <w:rsid w:val="00302D43"/>
    <w:rsid w:val="00302D93"/>
    <w:rsid w:val="00302DF2"/>
    <w:rsid w:val="00302EDE"/>
    <w:rsid w:val="00302F04"/>
    <w:rsid w:val="00303114"/>
    <w:rsid w:val="00303458"/>
    <w:rsid w:val="003035A0"/>
    <w:rsid w:val="003035F5"/>
    <w:rsid w:val="003036DF"/>
    <w:rsid w:val="0030372D"/>
    <w:rsid w:val="003037A1"/>
    <w:rsid w:val="00303ACE"/>
    <w:rsid w:val="00303B03"/>
    <w:rsid w:val="00303D78"/>
    <w:rsid w:val="00303E6D"/>
    <w:rsid w:val="00303F1C"/>
    <w:rsid w:val="003040B2"/>
    <w:rsid w:val="00304392"/>
    <w:rsid w:val="003043A7"/>
    <w:rsid w:val="00304627"/>
    <w:rsid w:val="003047BD"/>
    <w:rsid w:val="00304ED9"/>
    <w:rsid w:val="00305024"/>
    <w:rsid w:val="003050C6"/>
    <w:rsid w:val="0030520E"/>
    <w:rsid w:val="00305564"/>
    <w:rsid w:val="0030556A"/>
    <w:rsid w:val="00305719"/>
    <w:rsid w:val="00305890"/>
    <w:rsid w:val="00305930"/>
    <w:rsid w:val="00305A7B"/>
    <w:rsid w:val="00305D83"/>
    <w:rsid w:val="00305FED"/>
    <w:rsid w:val="0030600B"/>
    <w:rsid w:val="0030626E"/>
    <w:rsid w:val="003062BD"/>
    <w:rsid w:val="00306346"/>
    <w:rsid w:val="0030639C"/>
    <w:rsid w:val="003064FE"/>
    <w:rsid w:val="0030665E"/>
    <w:rsid w:val="00306666"/>
    <w:rsid w:val="0030674F"/>
    <w:rsid w:val="003068E2"/>
    <w:rsid w:val="003069BA"/>
    <w:rsid w:val="00306BB4"/>
    <w:rsid w:val="00306D1E"/>
    <w:rsid w:val="00306DEA"/>
    <w:rsid w:val="00306DEB"/>
    <w:rsid w:val="00306F0E"/>
    <w:rsid w:val="003072B9"/>
    <w:rsid w:val="003073F5"/>
    <w:rsid w:val="003074D2"/>
    <w:rsid w:val="0030754C"/>
    <w:rsid w:val="00307A17"/>
    <w:rsid w:val="00307A92"/>
    <w:rsid w:val="00307B2E"/>
    <w:rsid w:val="00307D6D"/>
    <w:rsid w:val="00307E88"/>
    <w:rsid w:val="00310301"/>
    <w:rsid w:val="003103F7"/>
    <w:rsid w:val="00310584"/>
    <w:rsid w:val="0031079A"/>
    <w:rsid w:val="00310895"/>
    <w:rsid w:val="003108F7"/>
    <w:rsid w:val="003109B8"/>
    <w:rsid w:val="00310B41"/>
    <w:rsid w:val="00310F0B"/>
    <w:rsid w:val="003110A2"/>
    <w:rsid w:val="00311198"/>
    <w:rsid w:val="0031134C"/>
    <w:rsid w:val="00311400"/>
    <w:rsid w:val="00311448"/>
    <w:rsid w:val="00311586"/>
    <w:rsid w:val="003116F2"/>
    <w:rsid w:val="003117A6"/>
    <w:rsid w:val="003118D2"/>
    <w:rsid w:val="003118FA"/>
    <w:rsid w:val="00311A2A"/>
    <w:rsid w:val="00311CA9"/>
    <w:rsid w:val="00311D0A"/>
    <w:rsid w:val="00311D7A"/>
    <w:rsid w:val="00311E6C"/>
    <w:rsid w:val="00311EAD"/>
    <w:rsid w:val="00312239"/>
    <w:rsid w:val="00312413"/>
    <w:rsid w:val="0031243A"/>
    <w:rsid w:val="0031244F"/>
    <w:rsid w:val="0031270E"/>
    <w:rsid w:val="0031288D"/>
    <w:rsid w:val="003129CE"/>
    <w:rsid w:val="00312A4A"/>
    <w:rsid w:val="00312DD0"/>
    <w:rsid w:val="00312DE2"/>
    <w:rsid w:val="0031311D"/>
    <w:rsid w:val="003131A4"/>
    <w:rsid w:val="003133CE"/>
    <w:rsid w:val="00313409"/>
    <w:rsid w:val="00313431"/>
    <w:rsid w:val="003136C7"/>
    <w:rsid w:val="0031374F"/>
    <w:rsid w:val="00313975"/>
    <w:rsid w:val="00313B36"/>
    <w:rsid w:val="00313B47"/>
    <w:rsid w:val="00313D9E"/>
    <w:rsid w:val="00313DB3"/>
    <w:rsid w:val="00313F5C"/>
    <w:rsid w:val="00313F5F"/>
    <w:rsid w:val="003142D3"/>
    <w:rsid w:val="00314322"/>
    <w:rsid w:val="003145A6"/>
    <w:rsid w:val="003145F4"/>
    <w:rsid w:val="003148ED"/>
    <w:rsid w:val="003148F0"/>
    <w:rsid w:val="00314A0E"/>
    <w:rsid w:val="00314C35"/>
    <w:rsid w:val="00314CB6"/>
    <w:rsid w:val="00314F35"/>
    <w:rsid w:val="00315003"/>
    <w:rsid w:val="00315024"/>
    <w:rsid w:val="0031509E"/>
    <w:rsid w:val="003151C0"/>
    <w:rsid w:val="00315294"/>
    <w:rsid w:val="0031536B"/>
    <w:rsid w:val="0031539E"/>
    <w:rsid w:val="0031563C"/>
    <w:rsid w:val="00315A6A"/>
    <w:rsid w:val="00315C86"/>
    <w:rsid w:val="00316229"/>
    <w:rsid w:val="00316990"/>
    <w:rsid w:val="003169C8"/>
    <w:rsid w:val="00316BEE"/>
    <w:rsid w:val="00316D69"/>
    <w:rsid w:val="00316FBD"/>
    <w:rsid w:val="00317117"/>
    <w:rsid w:val="00317120"/>
    <w:rsid w:val="00317143"/>
    <w:rsid w:val="0031716A"/>
    <w:rsid w:val="003171CC"/>
    <w:rsid w:val="003172C6"/>
    <w:rsid w:val="00317352"/>
    <w:rsid w:val="0031753D"/>
    <w:rsid w:val="00317717"/>
    <w:rsid w:val="003177FC"/>
    <w:rsid w:val="00317952"/>
    <w:rsid w:val="00317BDC"/>
    <w:rsid w:val="00317C5A"/>
    <w:rsid w:val="00317E2B"/>
    <w:rsid w:val="00317EAD"/>
    <w:rsid w:val="00317F3D"/>
    <w:rsid w:val="003205AC"/>
    <w:rsid w:val="003207FF"/>
    <w:rsid w:val="003209C6"/>
    <w:rsid w:val="00320DBE"/>
    <w:rsid w:val="00320DCD"/>
    <w:rsid w:val="00320DE7"/>
    <w:rsid w:val="003210FE"/>
    <w:rsid w:val="00321411"/>
    <w:rsid w:val="00321416"/>
    <w:rsid w:val="0032172D"/>
    <w:rsid w:val="0032174A"/>
    <w:rsid w:val="00321785"/>
    <w:rsid w:val="003218BB"/>
    <w:rsid w:val="00321977"/>
    <w:rsid w:val="00321998"/>
    <w:rsid w:val="00321A5A"/>
    <w:rsid w:val="00321A63"/>
    <w:rsid w:val="00321B60"/>
    <w:rsid w:val="00321B72"/>
    <w:rsid w:val="00321BA8"/>
    <w:rsid w:val="00321C01"/>
    <w:rsid w:val="00321CF9"/>
    <w:rsid w:val="00321DCA"/>
    <w:rsid w:val="00321ECB"/>
    <w:rsid w:val="003220EB"/>
    <w:rsid w:val="00322492"/>
    <w:rsid w:val="0032275B"/>
    <w:rsid w:val="00322828"/>
    <w:rsid w:val="003228B6"/>
    <w:rsid w:val="00322A7B"/>
    <w:rsid w:val="00322B3E"/>
    <w:rsid w:val="00322B75"/>
    <w:rsid w:val="00322CD5"/>
    <w:rsid w:val="00322E2C"/>
    <w:rsid w:val="00322E32"/>
    <w:rsid w:val="00322E41"/>
    <w:rsid w:val="003231E7"/>
    <w:rsid w:val="00323249"/>
    <w:rsid w:val="00323270"/>
    <w:rsid w:val="00323375"/>
    <w:rsid w:val="00323450"/>
    <w:rsid w:val="0032350B"/>
    <w:rsid w:val="003235DE"/>
    <w:rsid w:val="00323647"/>
    <w:rsid w:val="00323779"/>
    <w:rsid w:val="00323786"/>
    <w:rsid w:val="00323AD4"/>
    <w:rsid w:val="00323B04"/>
    <w:rsid w:val="00323C92"/>
    <w:rsid w:val="00323E4E"/>
    <w:rsid w:val="00323FC2"/>
    <w:rsid w:val="003241CB"/>
    <w:rsid w:val="00324310"/>
    <w:rsid w:val="003243B6"/>
    <w:rsid w:val="003243F5"/>
    <w:rsid w:val="003244DA"/>
    <w:rsid w:val="00324501"/>
    <w:rsid w:val="00324591"/>
    <w:rsid w:val="003245D7"/>
    <w:rsid w:val="003245E2"/>
    <w:rsid w:val="0032479A"/>
    <w:rsid w:val="0032486C"/>
    <w:rsid w:val="00324900"/>
    <w:rsid w:val="00324A64"/>
    <w:rsid w:val="00324BD0"/>
    <w:rsid w:val="00324C41"/>
    <w:rsid w:val="00324EBB"/>
    <w:rsid w:val="003250AE"/>
    <w:rsid w:val="00325261"/>
    <w:rsid w:val="003252D3"/>
    <w:rsid w:val="00325318"/>
    <w:rsid w:val="00325357"/>
    <w:rsid w:val="003255E9"/>
    <w:rsid w:val="003256A3"/>
    <w:rsid w:val="00325775"/>
    <w:rsid w:val="00325829"/>
    <w:rsid w:val="0032588D"/>
    <w:rsid w:val="00325983"/>
    <w:rsid w:val="003259BE"/>
    <w:rsid w:val="00325ADF"/>
    <w:rsid w:val="00325F25"/>
    <w:rsid w:val="00325F5E"/>
    <w:rsid w:val="00325FBD"/>
    <w:rsid w:val="00326012"/>
    <w:rsid w:val="0032641E"/>
    <w:rsid w:val="0032647A"/>
    <w:rsid w:val="003268CB"/>
    <w:rsid w:val="00326A37"/>
    <w:rsid w:val="00326A5E"/>
    <w:rsid w:val="00326BB8"/>
    <w:rsid w:val="00326D2F"/>
    <w:rsid w:val="00327082"/>
    <w:rsid w:val="003270D5"/>
    <w:rsid w:val="00327141"/>
    <w:rsid w:val="0032720C"/>
    <w:rsid w:val="003273F6"/>
    <w:rsid w:val="00327532"/>
    <w:rsid w:val="003277FE"/>
    <w:rsid w:val="0032789D"/>
    <w:rsid w:val="00327926"/>
    <w:rsid w:val="003279FC"/>
    <w:rsid w:val="00327B71"/>
    <w:rsid w:val="00330022"/>
    <w:rsid w:val="00330269"/>
    <w:rsid w:val="0033047C"/>
    <w:rsid w:val="003307CB"/>
    <w:rsid w:val="0033098D"/>
    <w:rsid w:val="003309B6"/>
    <w:rsid w:val="00330B6F"/>
    <w:rsid w:val="0033115D"/>
    <w:rsid w:val="00331168"/>
    <w:rsid w:val="003311B2"/>
    <w:rsid w:val="00331340"/>
    <w:rsid w:val="003313AA"/>
    <w:rsid w:val="00331486"/>
    <w:rsid w:val="003314B8"/>
    <w:rsid w:val="003315BB"/>
    <w:rsid w:val="003315C2"/>
    <w:rsid w:val="003318A9"/>
    <w:rsid w:val="00331C49"/>
    <w:rsid w:val="003321D5"/>
    <w:rsid w:val="0033228B"/>
    <w:rsid w:val="0033237F"/>
    <w:rsid w:val="00332505"/>
    <w:rsid w:val="003326A3"/>
    <w:rsid w:val="0033277F"/>
    <w:rsid w:val="003329EB"/>
    <w:rsid w:val="00332B2D"/>
    <w:rsid w:val="00332CAE"/>
    <w:rsid w:val="00332EE7"/>
    <w:rsid w:val="00332EF5"/>
    <w:rsid w:val="0033343B"/>
    <w:rsid w:val="003334EE"/>
    <w:rsid w:val="0033351C"/>
    <w:rsid w:val="0033361B"/>
    <w:rsid w:val="003336BC"/>
    <w:rsid w:val="00333A43"/>
    <w:rsid w:val="00333D04"/>
    <w:rsid w:val="00333D49"/>
    <w:rsid w:val="00333D67"/>
    <w:rsid w:val="00333EE6"/>
    <w:rsid w:val="00334000"/>
    <w:rsid w:val="0033417F"/>
    <w:rsid w:val="0033435A"/>
    <w:rsid w:val="00334593"/>
    <w:rsid w:val="00334642"/>
    <w:rsid w:val="00334790"/>
    <w:rsid w:val="00334870"/>
    <w:rsid w:val="00334D01"/>
    <w:rsid w:val="00334D9F"/>
    <w:rsid w:val="00335076"/>
    <w:rsid w:val="00335086"/>
    <w:rsid w:val="0033579A"/>
    <w:rsid w:val="0033586F"/>
    <w:rsid w:val="00335A9D"/>
    <w:rsid w:val="00335E26"/>
    <w:rsid w:val="00335E7C"/>
    <w:rsid w:val="00335E9D"/>
    <w:rsid w:val="00336018"/>
    <w:rsid w:val="003360D0"/>
    <w:rsid w:val="00336176"/>
    <w:rsid w:val="0033628C"/>
    <w:rsid w:val="0033632E"/>
    <w:rsid w:val="00336423"/>
    <w:rsid w:val="00336453"/>
    <w:rsid w:val="00336931"/>
    <w:rsid w:val="00336A36"/>
    <w:rsid w:val="00336A85"/>
    <w:rsid w:val="00336C86"/>
    <w:rsid w:val="00336DBD"/>
    <w:rsid w:val="00336E4C"/>
    <w:rsid w:val="00336FB0"/>
    <w:rsid w:val="003371C6"/>
    <w:rsid w:val="0033737C"/>
    <w:rsid w:val="00337497"/>
    <w:rsid w:val="0033767D"/>
    <w:rsid w:val="0033769D"/>
    <w:rsid w:val="003377D4"/>
    <w:rsid w:val="0033791A"/>
    <w:rsid w:val="003379BD"/>
    <w:rsid w:val="00337A07"/>
    <w:rsid w:val="00337A3D"/>
    <w:rsid w:val="00337A8C"/>
    <w:rsid w:val="00337B03"/>
    <w:rsid w:val="00337B06"/>
    <w:rsid w:val="00337E46"/>
    <w:rsid w:val="00337E4A"/>
    <w:rsid w:val="003400AA"/>
    <w:rsid w:val="00340186"/>
    <w:rsid w:val="0034023C"/>
    <w:rsid w:val="00340282"/>
    <w:rsid w:val="00340339"/>
    <w:rsid w:val="003409A1"/>
    <w:rsid w:val="00340AD7"/>
    <w:rsid w:val="00340DBD"/>
    <w:rsid w:val="00340EA7"/>
    <w:rsid w:val="00340FD5"/>
    <w:rsid w:val="003411C0"/>
    <w:rsid w:val="00341313"/>
    <w:rsid w:val="00341492"/>
    <w:rsid w:val="003414D4"/>
    <w:rsid w:val="003414DB"/>
    <w:rsid w:val="0034178C"/>
    <w:rsid w:val="00341797"/>
    <w:rsid w:val="00341875"/>
    <w:rsid w:val="003419BC"/>
    <w:rsid w:val="00341AAC"/>
    <w:rsid w:val="00341AFC"/>
    <w:rsid w:val="00341B34"/>
    <w:rsid w:val="00341E60"/>
    <w:rsid w:val="003420DA"/>
    <w:rsid w:val="00342306"/>
    <w:rsid w:val="0034234C"/>
    <w:rsid w:val="00342609"/>
    <w:rsid w:val="003426F8"/>
    <w:rsid w:val="003428CA"/>
    <w:rsid w:val="003429B3"/>
    <w:rsid w:val="00342B17"/>
    <w:rsid w:val="00342B1E"/>
    <w:rsid w:val="00342B77"/>
    <w:rsid w:val="00342BFF"/>
    <w:rsid w:val="00342D2C"/>
    <w:rsid w:val="00342F7C"/>
    <w:rsid w:val="003432CB"/>
    <w:rsid w:val="0034340F"/>
    <w:rsid w:val="0034363B"/>
    <w:rsid w:val="0034370B"/>
    <w:rsid w:val="00343852"/>
    <w:rsid w:val="00343886"/>
    <w:rsid w:val="003438C1"/>
    <w:rsid w:val="00343981"/>
    <w:rsid w:val="003439AF"/>
    <w:rsid w:val="00343FA1"/>
    <w:rsid w:val="0034426E"/>
    <w:rsid w:val="003442F7"/>
    <w:rsid w:val="003444CE"/>
    <w:rsid w:val="003448A3"/>
    <w:rsid w:val="00344A85"/>
    <w:rsid w:val="00344CA8"/>
    <w:rsid w:val="00344E51"/>
    <w:rsid w:val="00344EB8"/>
    <w:rsid w:val="00345059"/>
    <w:rsid w:val="00345123"/>
    <w:rsid w:val="00345243"/>
    <w:rsid w:val="00345271"/>
    <w:rsid w:val="0034559A"/>
    <w:rsid w:val="003457E5"/>
    <w:rsid w:val="00345857"/>
    <w:rsid w:val="0034586F"/>
    <w:rsid w:val="00345974"/>
    <w:rsid w:val="00345BCD"/>
    <w:rsid w:val="00345D26"/>
    <w:rsid w:val="00345F6C"/>
    <w:rsid w:val="00345F8E"/>
    <w:rsid w:val="0034603D"/>
    <w:rsid w:val="0034639F"/>
    <w:rsid w:val="00346447"/>
    <w:rsid w:val="0034647E"/>
    <w:rsid w:val="0034662E"/>
    <w:rsid w:val="003468EF"/>
    <w:rsid w:val="00346924"/>
    <w:rsid w:val="00346927"/>
    <w:rsid w:val="003469D1"/>
    <w:rsid w:val="00346A24"/>
    <w:rsid w:val="00346CCB"/>
    <w:rsid w:val="00346DEF"/>
    <w:rsid w:val="003472EE"/>
    <w:rsid w:val="0034732C"/>
    <w:rsid w:val="00347348"/>
    <w:rsid w:val="0034742F"/>
    <w:rsid w:val="003474D3"/>
    <w:rsid w:val="00347638"/>
    <w:rsid w:val="0034764F"/>
    <w:rsid w:val="003478C3"/>
    <w:rsid w:val="00347B04"/>
    <w:rsid w:val="00347DF6"/>
    <w:rsid w:val="00347F83"/>
    <w:rsid w:val="00350109"/>
    <w:rsid w:val="00350269"/>
    <w:rsid w:val="00350433"/>
    <w:rsid w:val="00350467"/>
    <w:rsid w:val="00350499"/>
    <w:rsid w:val="00350AF9"/>
    <w:rsid w:val="00350C06"/>
    <w:rsid w:val="00350DA4"/>
    <w:rsid w:val="003510B5"/>
    <w:rsid w:val="00351283"/>
    <w:rsid w:val="00351329"/>
    <w:rsid w:val="00351386"/>
    <w:rsid w:val="003513A0"/>
    <w:rsid w:val="00351589"/>
    <w:rsid w:val="0035163D"/>
    <w:rsid w:val="003518B6"/>
    <w:rsid w:val="00351925"/>
    <w:rsid w:val="00351B8E"/>
    <w:rsid w:val="00351F51"/>
    <w:rsid w:val="0035214E"/>
    <w:rsid w:val="00352312"/>
    <w:rsid w:val="003523C8"/>
    <w:rsid w:val="003525A5"/>
    <w:rsid w:val="00352629"/>
    <w:rsid w:val="003526EC"/>
    <w:rsid w:val="003528B1"/>
    <w:rsid w:val="0035294F"/>
    <w:rsid w:val="0035296D"/>
    <w:rsid w:val="003529D0"/>
    <w:rsid w:val="00352D55"/>
    <w:rsid w:val="00352D87"/>
    <w:rsid w:val="00352ECF"/>
    <w:rsid w:val="00352F35"/>
    <w:rsid w:val="003530B9"/>
    <w:rsid w:val="00353255"/>
    <w:rsid w:val="00353314"/>
    <w:rsid w:val="0035331C"/>
    <w:rsid w:val="0035345D"/>
    <w:rsid w:val="00353472"/>
    <w:rsid w:val="003535D3"/>
    <w:rsid w:val="0035372E"/>
    <w:rsid w:val="003538B3"/>
    <w:rsid w:val="003538C3"/>
    <w:rsid w:val="003538E3"/>
    <w:rsid w:val="00353A8D"/>
    <w:rsid w:val="00353AD6"/>
    <w:rsid w:val="00353C64"/>
    <w:rsid w:val="00353EE6"/>
    <w:rsid w:val="00353FFB"/>
    <w:rsid w:val="003540D3"/>
    <w:rsid w:val="0035430D"/>
    <w:rsid w:val="00354358"/>
    <w:rsid w:val="00354552"/>
    <w:rsid w:val="003546D8"/>
    <w:rsid w:val="003546F2"/>
    <w:rsid w:val="003549CF"/>
    <w:rsid w:val="003549F9"/>
    <w:rsid w:val="00354AAD"/>
    <w:rsid w:val="00354BB7"/>
    <w:rsid w:val="00354FC6"/>
    <w:rsid w:val="003552E1"/>
    <w:rsid w:val="0035549F"/>
    <w:rsid w:val="0035552C"/>
    <w:rsid w:val="00355535"/>
    <w:rsid w:val="003558BD"/>
    <w:rsid w:val="00355CAB"/>
    <w:rsid w:val="00355E13"/>
    <w:rsid w:val="00355E8B"/>
    <w:rsid w:val="00356243"/>
    <w:rsid w:val="0035626E"/>
    <w:rsid w:val="003562BC"/>
    <w:rsid w:val="003562EB"/>
    <w:rsid w:val="00356374"/>
    <w:rsid w:val="003565FB"/>
    <w:rsid w:val="00356753"/>
    <w:rsid w:val="003567E9"/>
    <w:rsid w:val="003569A7"/>
    <w:rsid w:val="003569C9"/>
    <w:rsid w:val="00356AAD"/>
    <w:rsid w:val="003575D8"/>
    <w:rsid w:val="00357655"/>
    <w:rsid w:val="00357C3F"/>
    <w:rsid w:val="00360277"/>
    <w:rsid w:val="003605ED"/>
    <w:rsid w:val="0036063A"/>
    <w:rsid w:val="00360C60"/>
    <w:rsid w:val="00360C92"/>
    <w:rsid w:val="00360CE5"/>
    <w:rsid w:val="00360D3A"/>
    <w:rsid w:val="00360E3A"/>
    <w:rsid w:val="003610D3"/>
    <w:rsid w:val="00361553"/>
    <w:rsid w:val="003616BA"/>
    <w:rsid w:val="00361777"/>
    <w:rsid w:val="003618D5"/>
    <w:rsid w:val="003618F8"/>
    <w:rsid w:val="00361957"/>
    <w:rsid w:val="00361B11"/>
    <w:rsid w:val="00361C89"/>
    <w:rsid w:val="00361E7E"/>
    <w:rsid w:val="00361EA2"/>
    <w:rsid w:val="00361EAC"/>
    <w:rsid w:val="00361FC7"/>
    <w:rsid w:val="003620CD"/>
    <w:rsid w:val="0036213E"/>
    <w:rsid w:val="0036228A"/>
    <w:rsid w:val="003622B6"/>
    <w:rsid w:val="00362331"/>
    <w:rsid w:val="00362647"/>
    <w:rsid w:val="003627F7"/>
    <w:rsid w:val="00362A09"/>
    <w:rsid w:val="00362A66"/>
    <w:rsid w:val="00362AB4"/>
    <w:rsid w:val="00362C25"/>
    <w:rsid w:val="00362C86"/>
    <w:rsid w:val="00362FCE"/>
    <w:rsid w:val="00363004"/>
    <w:rsid w:val="003630B0"/>
    <w:rsid w:val="003630C2"/>
    <w:rsid w:val="003630F6"/>
    <w:rsid w:val="00363569"/>
    <w:rsid w:val="0036379E"/>
    <w:rsid w:val="003638FA"/>
    <w:rsid w:val="00363A50"/>
    <w:rsid w:val="00363BB6"/>
    <w:rsid w:val="00363C94"/>
    <w:rsid w:val="00363D66"/>
    <w:rsid w:val="00363E5D"/>
    <w:rsid w:val="00363F09"/>
    <w:rsid w:val="00364179"/>
    <w:rsid w:val="0036435B"/>
    <w:rsid w:val="003643AA"/>
    <w:rsid w:val="003644E0"/>
    <w:rsid w:val="003647F6"/>
    <w:rsid w:val="0036485B"/>
    <w:rsid w:val="00364B45"/>
    <w:rsid w:val="00364E75"/>
    <w:rsid w:val="00365040"/>
    <w:rsid w:val="0036511C"/>
    <w:rsid w:val="00365292"/>
    <w:rsid w:val="0036534E"/>
    <w:rsid w:val="00365566"/>
    <w:rsid w:val="0036567E"/>
    <w:rsid w:val="003658DB"/>
    <w:rsid w:val="00365A1B"/>
    <w:rsid w:val="00365AE3"/>
    <w:rsid w:val="00365D1D"/>
    <w:rsid w:val="00365D35"/>
    <w:rsid w:val="00365E99"/>
    <w:rsid w:val="003661E6"/>
    <w:rsid w:val="00366666"/>
    <w:rsid w:val="0036671D"/>
    <w:rsid w:val="0036677D"/>
    <w:rsid w:val="003667A3"/>
    <w:rsid w:val="00366868"/>
    <w:rsid w:val="00366911"/>
    <w:rsid w:val="00366C4F"/>
    <w:rsid w:val="00366EA8"/>
    <w:rsid w:val="0036749A"/>
    <w:rsid w:val="00367513"/>
    <w:rsid w:val="0036752D"/>
    <w:rsid w:val="003675A8"/>
    <w:rsid w:val="00367651"/>
    <w:rsid w:val="003676C3"/>
    <w:rsid w:val="003676E7"/>
    <w:rsid w:val="00367718"/>
    <w:rsid w:val="0036795F"/>
    <w:rsid w:val="00367A8A"/>
    <w:rsid w:val="00367ACF"/>
    <w:rsid w:val="00367B0D"/>
    <w:rsid w:val="00367BB9"/>
    <w:rsid w:val="00367F27"/>
    <w:rsid w:val="00370007"/>
    <w:rsid w:val="003700DD"/>
    <w:rsid w:val="00370108"/>
    <w:rsid w:val="00370112"/>
    <w:rsid w:val="0037028F"/>
    <w:rsid w:val="003705E6"/>
    <w:rsid w:val="00370697"/>
    <w:rsid w:val="003706A2"/>
    <w:rsid w:val="00370818"/>
    <w:rsid w:val="0037097E"/>
    <w:rsid w:val="00370F41"/>
    <w:rsid w:val="00370FF1"/>
    <w:rsid w:val="0037100E"/>
    <w:rsid w:val="0037101E"/>
    <w:rsid w:val="00371212"/>
    <w:rsid w:val="003712BA"/>
    <w:rsid w:val="003712D9"/>
    <w:rsid w:val="003712E7"/>
    <w:rsid w:val="00371421"/>
    <w:rsid w:val="00371467"/>
    <w:rsid w:val="00371701"/>
    <w:rsid w:val="0037170B"/>
    <w:rsid w:val="00371755"/>
    <w:rsid w:val="00371780"/>
    <w:rsid w:val="00371AD1"/>
    <w:rsid w:val="00371BB8"/>
    <w:rsid w:val="00371D72"/>
    <w:rsid w:val="00371E02"/>
    <w:rsid w:val="003721D1"/>
    <w:rsid w:val="00372436"/>
    <w:rsid w:val="003724B2"/>
    <w:rsid w:val="00372682"/>
    <w:rsid w:val="00372A22"/>
    <w:rsid w:val="00372BC8"/>
    <w:rsid w:val="00372BD1"/>
    <w:rsid w:val="00372D40"/>
    <w:rsid w:val="00372DC8"/>
    <w:rsid w:val="0037320D"/>
    <w:rsid w:val="0037344D"/>
    <w:rsid w:val="00373558"/>
    <w:rsid w:val="00373893"/>
    <w:rsid w:val="00373973"/>
    <w:rsid w:val="003739B9"/>
    <w:rsid w:val="00373A6F"/>
    <w:rsid w:val="00373BEA"/>
    <w:rsid w:val="00373ECD"/>
    <w:rsid w:val="00374046"/>
    <w:rsid w:val="003744FE"/>
    <w:rsid w:val="0037478B"/>
    <w:rsid w:val="003748C7"/>
    <w:rsid w:val="00374D68"/>
    <w:rsid w:val="00374E01"/>
    <w:rsid w:val="00374EE9"/>
    <w:rsid w:val="003751CC"/>
    <w:rsid w:val="0037522B"/>
    <w:rsid w:val="003756CE"/>
    <w:rsid w:val="0037584B"/>
    <w:rsid w:val="003758D6"/>
    <w:rsid w:val="00375AEA"/>
    <w:rsid w:val="00375B77"/>
    <w:rsid w:val="00375D12"/>
    <w:rsid w:val="00375D6B"/>
    <w:rsid w:val="00375DB8"/>
    <w:rsid w:val="00375E0F"/>
    <w:rsid w:val="00375F10"/>
    <w:rsid w:val="00375F60"/>
    <w:rsid w:val="0037607E"/>
    <w:rsid w:val="0037629D"/>
    <w:rsid w:val="003762B7"/>
    <w:rsid w:val="00376339"/>
    <w:rsid w:val="00376462"/>
    <w:rsid w:val="00376679"/>
    <w:rsid w:val="003766AA"/>
    <w:rsid w:val="003768C6"/>
    <w:rsid w:val="003769BC"/>
    <w:rsid w:val="00376DDB"/>
    <w:rsid w:val="00376F33"/>
    <w:rsid w:val="00376F67"/>
    <w:rsid w:val="00377362"/>
    <w:rsid w:val="00377371"/>
    <w:rsid w:val="003774BC"/>
    <w:rsid w:val="0037751B"/>
    <w:rsid w:val="00377540"/>
    <w:rsid w:val="003775A4"/>
    <w:rsid w:val="003776AE"/>
    <w:rsid w:val="00377792"/>
    <w:rsid w:val="00377914"/>
    <w:rsid w:val="00377BBD"/>
    <w:rsid w:val="00377BE7"/>
    <w:rsid w:val="00377F1B"/>
    <w:rsid w:val="00377F8D"/>
    <w:rsid w:val="003800EA"/>
    <w:rsid w:val="003801D6"/>
    <w:rsid w:val="00380213"/>
    <w:rsid w:val="003802A4"/>
    <w:rsid w:val="0038036C"/>
    <w:rsid w:val="003803F7"/>
    <w:rsid w:val="0038046D"/>
    <w:rsid w:val="00380549"/>
    <w:rsid w:val="00380699"/>
    <w:rsid w:val="0038085F"/>
    <w:rsid w:val="00380AE0"/>
    <w:rsid w:val="00380AE6"/>
    <w:rsid w:val="00380B05"/>
    <w:rsid w:val="00380BC4"/>
    <w:rsid w:val="00380C5D"/>
    <w:rsid w:val="00380CA8"/>
    <w:rsid w:val="00380D55"/>
    <w:rsid w:val="0038144F"/>
    <w:rsid w:val="003815ED"/>
    <w:rsid w:val="0038166E"/>
    <w:rsid w:val="003816C1"/>
    <w:rsid w:val="00381949"/>
    <w:rsid w:val="00381C7D"/>
    <w:rsid w:val="00381CA6"/>
    <w:rsid w:val="00381D1B"/>
    <w:rsid w:val="00381D91"/>
    <w:rsid w:val="00381DBA"/>
    <w:rsid w:val="00381FD7"/>
    <w:rsid w:val="0038203B"/>
    <w:rsid w:val="003821FE"/>
    <w:rsid w:val="003823C5"/>
    <w:rsid w:val="00382633"/>
    <w:rsid w:val="0038273C"/>
    <w:rsid w:val="003829BF"/>
    <w:rsid w:val="00382ABD"/>
    <w:rsid w:val="00382C35"/>
    <w:rsid w:val="00382CAA"/>
    <w:rsid w:val="00382D49"/>
    <w:rsid w:val="003833F4"/>
    <w:rsid w:val="00383503"/>
    <w:rsid w:val="003835C8"/>
    <w:rsid w:val="0038367C"/>
    <w:rsid w:val="003836E1"/>
    <w:rsid w:val="003836ED"/>
    <w:rsid w:val="00383956"/>
    <w:rsid w:val="00383AE6"/>
    <w:rsid w:val="00383C1E"/>
    <w:rsid w:val="00383EFF"/>
    <w:rsid w:val="00383F6D"/>
    <w:rsid w:val="0038402B"/>
    <w:rsid w:val="0038415A"/>
    <w:rsid w:val="00384223"/>
    <w:rsid w:val="00384481"/>
    <w:rsid w:val="00384700"/>
    <w:rsid w:val="00384850"/>
    <w:rsid w:val="00384AB4"/>
    <w:rsid w:val="00384CBD"/>
    <w:rsid w:val="00384D7E"/>
    <w:rsid w:val="00384DDB"/>
    <w:rsid w:val="00384F40"/>
    <w:rsid w:val="00385242"/>
    <w:rsid w:val="003852E9"/>
    <w:rsid w:val="00385312"/>
    <w:rsid w:val="00385398"/>
    <w:rsid w:val="003854EB"/>
    <w:rsid w:val="0038554F"/>
    <w:rsid w:val="003857B5"/>
    <w:rsid w:val="003857DB"/>
    <w:rsid w:val="00385AB5"/>
    <w:rsid w:val="00385AC6"/>
    <w:rsid w:val="00385BC1"/>
    <w:rsid w:val="00385C2A"/>
    <w:rsid w:val="00385CC9"/>
    <w:rsid w:val="00385E78"/>
    <w:rsid w:val="00385F3A"/>
    <w:rsid w:val="00386014"/>
    <w:rsid w:val="003861E5"/>
    <w:rsid w:val="00386327"/>
    <w:rsid w:val="00386708"/>
    <w:rsid w:val="0038681D"/>
    <w:rsid w:val="00386943"/>
    <w:rsid w:val="00386990"/>
    <w:rsid w:val="003869F2"/>
    <w:rsid w:val="003869FB"/>
    <w:rsid w:val="00386E96"/>
    <w:rsid w:val="00386F7E"/>
    <w:rsid w:val="003870C2"/>
    <w:rsid w:val="003871CC"/>
    <w:rsid w:val="00387261"/>
    <w:rsid w:val="003873BE"/>
    <w:rsid w:val="0038760C"/>
    <w:rsid w:val="00387A3D"/>
    <w:rsid w:val="00387A44"/>
    <w:rsid w:val="00387BDF"/>
    <w:rsid w:val="00387D64"/>
    <w:rsid w:val="00387DE0"/>
    <w:rsid w:val="00387E35"/>
    <w:rsid w:val="00387EE2"/>
    <w:rsid w:val="00387F7D"/>
    <w:rsid w:val="00387FB9"/>
    <w:rsid w:val="003900F6"/>
    <w:rsid w:val="00390192"/>
    <w:rsid w:val="00390267"/>
    <w:rsid w:val="00390420"/>
    <w:rsid w:val="00390563"/>
    <w:rsid w:val="00390722"/>
    <w:rsid w:val="0039076A"/>
    <w:rsid w:val="00390826"/>
    <w:rsid w:val="00390A05"/>
    <w:rsid w:val="00390DA6"/>
    <w:rsid w:val="00390E20"/>
    <w:rsid w:val="00390E7C"/>
    <w:rsid w:val="00390F32"/>
    <w:rsid w:val="0039118E"/>
    <w:rsid w:val="003912B2"/>
    <w:rsid w:val="0039139F"/>
    <w:rsid w:val="003913D3"/>
    <w:rsid w:val="00391599"/>
    <w:rsid w:val="003916FC"/>
    <w:rsid w:val="00391774"/>
    <w:rsid w:val="003917F9"/>
    <w:rsid w:val="00391B12"/>
    <w:rsid w:val="00391E94"/>
    <w:rsid w:val="00391FE7"/>
    <w:rsid w:val="003920FB"/>
    <w:rsid w:val="00392105"/>
    <w:rsid w:val="00392238"/>
    <w:rsid w:val="0039231A"/>
    <w:rsid w:val="003923EF"/>
    <w:rsid w:val="003926B5"/>
    <w:rsid w:val="0039271A"/>
    <w:rsid w:val="00392A7A"/>
    <w:rsid w:val="00392BBE"/>
    <w:rsid w:val="00392C01"/>
    <w:rsid w:val="00392C12"/>
    <w:rsid w:val="0039303B"/>
    <w:rsid w:val="00393069"/>
    <w:rsid w:val="003934DF"/>
    <w:rsid w:val="003935A9"/>
    <w:rsid w:val="0039363C"/>
    <w:rsid w:val="00393683"/>
    <w:rsid w:val="003936A4"/>
    <w:rsid w:val="00393A88"/>
    <w:rsid w:val="00393DBC"/>
    <w:rsid w:val="00393F9A"/>
    <w:rsid w:val="003943C6"/>
    <w:rsid w:val="0039449B"/>
    <w:rsid w:val="003946C5"/>
    <w:rsid w:val="0039487F"/>
    <w:rsid w:val="00394ACE"/>
    <w:rsid w:val="00394B26"/>
    <w:rsid w:val="00394B9A"/>
    <w:rsid w:val="00394C84"/>
    <w:rsid w:val="00394DA8"/>
    <w:rsid w:val="00394E7F"/>
    <w:rsid w:val="00395052"/>
    <w:rsid w:val="003950C3"/>
    <w:rsid w:val="00395629"/>
    <w:rsid w:val="00395856"/>
    <w:rsid w:val="003958D9"/>
    <w:rsid w:val="0039597C"/>
    <w:rsid w:val="003959AC"/>
    <w:rsid w:val="00395F93"/>
    <w:rsid w:val="0039609C"/>
    <w:rsid w:val="003964F0"/>
    <w:rsid w:val="00396912"/>
    <w:rsid w:val="00396996"/>
    <w:rsid w:val="003969C7"/>
    <w:rsid w:val="00396A47"/>
    <w:rsid w:val="00396E87"/>
    <w:rsid w:val="00396EE6"/>
    <w:rsid w:val="00397060"/>
    <w:rsid w:val="00397204"/>
    <w:rsid w:val="00397CDE"/>
    <w:rsid w:val="00397F95"/>
    <w:rsid w:val="00397FB6"/>
    <w:rsid w:val="003A00EF"/>
    <w:rsid w:val="003A0118"/>
    <w:rsid w:val="003A0295"/>
    <w:rsid w:val="003A038F"/>
    <w:rsid w:val="003A0408"/>
    <w:rsid w:val="003A043B"/>
    <w:rsid w:val="003A0A18"/>
    <w:rsid w:val="003A0C40"/>
    <w:rsid w:val="003A0D95"/>
    <w:rsid w:val="003A0E7C"/>
    <w:rsid w:val="003A0EA6"/>
    <w:rsid w:val="003A0EF9"/>
    <w:rsid w:val="003A0F97"/>
    <w:rsid w:val="003A11D9"/>
    <w:rsid w:val="003A122D"/>
    <w:rsid w:val="003A16A9"/>
    <w:rsid w:val="003A173E"/>
    <w:rsid w:val="003A175F"/>
    <w:rsid w:val="003A1965"/>
    <w:rsid w:val="003A1A29"/>
    <w:rsid w:val="003A1AEC"/>
    <w:rsid w:val="003A221E"/>
    <w:rsid w:val="003A2282"/>
    <w:rsid w:val="003A2411"/>
    <w:rsid w:val="003A2693"/>
    <w:rsid w:val="003A2876"/>
    <w:rsid w:val="003A2D47"/>
    <w:rsid w:val="003A2EDA"/>
    <w:rsid w:val="003A3022"/>
    <w:rsid w:val="003A3024"/>
    <w:rsid w:val="003A308D"/>
    <w:rsid w:val="003A31CA"/>
    <w:rsid w:val="003A31F3"/>
    <w:rsid w:val="003A3218"/>
    <w:rsid w:val="003A3259"/>
    <w:rsid w:val="003A34EA"/>
    <w:rsid w:val="003A364B"/>
    <w:rsid w:val="003A37BF"/>
    <w:rsid w:val="003A3AA4"/>
    <w:rsid w:val="003A3C09"/>
    <w:rsid w:val="003A3DC4"/>
    <w:rsid w:val="003A3E56"/>
    <w:rsid w:val="003A3E83"/>
    <w:rsid w:val="003A3FDA"/>
    <w:rsid w:val="003A4101"/>
    <w:rsid w:val="003A415F"/>
    <w:rsid w:val="003A4241"/>
    <w:rsid w:val="003A430A"/>
    <w:rsid w:val="003A4754"/>
    <w:rsid w:val="003A4953"/>
    <w:rsid w:val="003A4A74"/>
    <w:rsid w:val="003A4CA3"/>
    <w:rsid w:val="003A4DA8"/>
    <w:rsid w:val="003A4E7F"/>
    <w:rsid w:val="003A4EE3"/>
    <w:rsid w:val="003A50BA"/>
    <w:rsid w:val="003A53F3"/>
    <w:rsid w:val="003A5514"/>
    <w:rsid w:val="003A5609"/>
    <w:rsid w:val="003A56C8"/>
    <w:rsid w:val="003A5737"/>
    <w:rsid w:val="003A57FB"/>
    <w:rsid w:val="003A5909"/>
    <w:rsid w:val="003A5A7B"/>
    <w:rsid w:val="003A5A9A"/>
    <w:rsid w:val="003A5B1A"/>
    <w:rsid w:val="003A5EE3"/>
    <w:rsid w:val="003A5F42"/>
    <w:rsid w:val="003A621C"/>
    <w:rsid w:val="003A6300"/>
    <w:rsid w:val="003A637E"/>
    <w:rsid w:val="003A6398"/>
    <w:rsid w:val="003A65DB"/>
    <w:rsid w:val="003A6805"/>
    <w:rsid w:val="003A706F"/>
    <w:rsid w:val="003A71E2"/>
    <w:rsid w:val="003A7224"/>
    <w:rsid w:val="003A7255"/>
    <w:rsid w:val="003A743D"/>
    <w:rsid w:val="003A7498"/>
    <w:rsid w:val="003A7722"/>
    <w:rsid w:val="003A77D7"/>
    <w:rsid w:val="003A7AB7"/>
    <w:rsid w:val="003A7BC5"/>
    <w:rsid w:val="003A7CEB"/>
    <w:rsid w:val="003A7CEC"/>
    <w:rsid w:val="003A7EB7"/>
    <w:rsid w:val="003A7FC0"/>
    <w:rsid w:val="003B0285"/>
    <w:rsid w:val="003B0383"/>
    <w:rsid w:val="003B05CB"/>
    <w:rsid w:val="003B0610"/>
    <w:rsid w:val="003B06C4"/>
    <w:rsid w:val="003B07BF"/>
    <w:rsid w:val="003B0854"/>
    <w:rsid w:val="003B086D"/>
    <w:rsid w:val="003B08F8"/>
    <w:rsid w:val="003B097A"/>
    <w:rsid w:val="003B0A15"/>
    <w:rsid w:val="003B0D1C"/>
    <w:rsid w:val="003B0D2D"/>
    <w:rsid w:val="003B0D89"/>
    <w:rsid w:val="003B0E08"/>
    <w:rsid w:val="003B0EBC"/>
    <w:rsid w:val="003B0F47"/>
    <w:rsid w:val="003B0F68"/>
    <w:rsid w:val="003B1241"/>
    <w:rsid w:val="003B1263"/>
    <w:rsid w:val="003B1407"/>
    <w:rsid w:val="003B145A"/>
    <w:rsid w:val="003B14B0"/>
    <w:rsid w:val="003B150A"/>
    <w:rsid w:val="003B1597"/>
    <w:rsid w:val="003B15F1"/>
    <w:rsid w:val="003B16EF"/>
    <w:rsid w:val="003B1725"/>
    <w:rsid w:val="003B1B16"/>
    <w:rsid w:val="003B1B1E"/>
    <w:rsid w:val="003B1C7B"/>
    <w:rsid w:val="003B1CAA"/>
    <w:rsid w:val="003B1D12"/>
    <w:rsid w:val="003B1DCE"/>
    <w:rsid w:val="003B1DDA"/>
    <w:rsid w:val="003B1F42"/>
    <w:rsid w:val="003B20F9"/>
    <w:rsid w:val="003B21F1"/>
    <w:rsid w:val="003B224C"/>
    <w:rsid w:val="003B23BC"/>
    <w:rsid w:val="003B245E"/>
    <w:rsid w:val="003B2548"/>
    <w:rsid w:val="003B26BF"/>
    <w:rsid w:val="003B2B4C"/>
    <w:rsid w:val="003B2BDF"/>
    <w:rsid w:val="003B2C5C"/>
    <w:rsid w:val="003B2CD0"/>
    <w:rsid w:val="003B2E0D"/>
    <w:rsid w:val="003B2E25"/>
    <w:rsid w:val="003B2EAE"/>
    <w:rsid w:val="003B2EB2"/>
    <w:rsid w:val="003B31EA"/>
    <w:rsid w:val="003B338D"/>
    <w:rsid w:val="003B3495"/>
    <w:rsid w:val="003B3722"/>
    <w:rsid w:val="003B3976"/>
    <w:rsid w:val="003B3ACC"/>
    <w:rsid w:val="003B3B60"/>
    <w:rsid w:val="003B3CBC"/>
    <w:rsid w:val="003B3E33"/>
    <w:rsid w:val="003B3E63"/>
    <w:rsid w:val="003B4014"/>
    <w:rsid w:val="003B409B"/>
    <w:rsid w:val="003B409C"/>
    <w:rsid w:val="003B4141"/>
    <w:rsid w:val="003B4214"/>
    <w:rsid w:val="003B443E"/>
    <w:rsid w:val="003B4531"/>
    <w:rsid w:val="003B46C3"/>
    <w:rsid w:val="003B4762"/>
    <w:rsid w:val="003B47A6"/>
    <w:rsid w:val="003B47C6"/>
    <w:rsid w:val="003B482F"/>
    <w:rsid w:val="003B4BB9"/>
    <w:rsid w:val="003B518A"/>
    <w:rsid w:val="003B52A1"/>
    <w:rsid w:val="003B562F"/>
    <w:rsid w:val="003B5735"/>
    <w:rsid w:val="003B57B5"/>
    <w:rsid w:val="003B5893"/>
    <w:rsid w:val="003B5B39"/>
    <w:rsid w:val="003B5D17"/>
    <w:rsid w:val="003B5D39"/>
    <w:rsid w:val="003B5E73"/>
    <w:rsid w:val="003B5EEC"/>
    <w:rsid w:val="003B5FC9"/>
    <w:rsid w:val="003B656B"/>
    <w:rsid w:val="003B66CA"/>
    <w:rsid w:val="003B6839"/>
    <w:rsid w:val="003B6893"/>
    <w:rsid w:val="003B689C"/>
    <w:rsid w:val="003B68D2"/>
    <w:rsid w:val="003B6A37"/>
    <w:rsid w:val="003B7137"/>
    <w:rsid w:val="003B71BD"/>
    <w:rsid w:val="003B71BE"/>
    <w:rsid w:val="003B7333"/>
    <w:rsid w:val="003B7514"/>
    <w:rsid w:val="003B7689"/>
    <w:rsid w:val="003B779D"/>
    <w:rsid w:val="003B7860"/>
    <w:rsid w:val="003B7936"/>
    <w:rsid w:val="003B7997"/>
    <w:rsid w:val="003B7C10"/>
    <w:rsid w:val="003B7D32"/>
    <w:rsid w:val="003C00C6"/>
    <w:rsid w:val="003C016E"/>
    <w:rsid w:val="003C01D0"/>
    <w:rsid w:val="003C0277"/>
    <w:rsid w:val="003C031A"/>
    <w:rsid w:val="003C0875"/>
    <w:rsid w:val="003C08B3"/>
    <w:rsid w:val="003C0BB8"/>
    <w:rsid w:val="003C0BDE"/>
    <w:rsid w:val="003C0E3F"/>
    <w:rsid w:val="003C0E90"/>
    <w:rsid w:val="003C119B"/>
    <w:rsid w:val="003C1278"/>
    <w:rsid w:val="003C12C6"/>
    <w:rsid w:val="003C12F4"/>
    <w:rsid w:val="003C142B"/>
    <w:rsid w:val="003C1602"/>
    <w:rsid w:val="003C16E0"/>
    <w:rsid w:val="003C182A"/>
    <w:rsid w:val="003C1AE8"/>
    <w:rsid w:val="003C1D1F"/>
    <w:rsid w:val="003C1DB3"/>
    <w:rsid w:val="003C1EE5"/>
    <w:rsid w:val="003C1F0C"/>
    <w:rsid w:val="003C1FE5"/>
    <w:rsid w:val="003C20DF"/>
    <w:rsid w:val="003C2390"/>
    <w:rsid w:val="003C2443"/>
    <w:rsid w:val="003C2565"/>
    <w:rsid w:val="003C26A0"/>
    <w:rsid w:val="003C2886"/>
    <w:rsid w:val="003C28BB"/>
    <w:rsid w:val="003C2CD7"/>
    <w:rsid w:val="003C2E3B"/>
    <w:rsid w:val="003C3004"/>
    <w:rsid w:val="003C305B"/>
    <w:rsid w:val="003C3066"/>
    <w:rsid w:val="003C327A"/>
    <w:rsid w:val="003C327C"/>
    <w:rsid w:val="003C3290"/>
    <w:rsid w:val="003C330D"/>
    <w:rsid w:val="003C376B"/>
    <w:rsid w:val="003C38DF"/>
    <w:rsid w:val="003C3982"/>
    <w:rsid w:val="003C3A3D"/>
    <w:rsid w:val="003C3BA1"/>
    <w:rsid w:val="003C3C15"/>
    <w:rsid w:val="003C3D03"/>
    <w:rsid w:val="003C3D9D"/>
    <w:rsid w:val="003C400D"/>
    <w:rsid w:val="003C40A2"/>
    <w:rsid w:val="003C413F"/>
    <w:rsid w:val="003C444E"/>
    <w:rsid w:val="003C45A1"/>
    <w:rsid w:val="003C4643"/>
    <w:rsid w:val="003C47C1"/>
    <w:rsid w:val="003C4920"/>
    <w:rsid w:val="003C4936"/>
    <w:rsid w:val="003C4AC3"/>
    <w:rsid w:val="003C4AC4"/>
    <w:rsid w:val="003C4F4D"/>
    <w:rsid w:val="003C4F92"/>
    <w:rsid w:val="003C528A"/>
    <w:rsid w:val="003C53CC"/>
    <w:rsid w:val="003C54AA"/>
    <w:rsid w:val="003C54B4"/>
    <w:rsid w:val="003C5565"/>
    <w:rsid w:val="003C56F0"/>
    <w:rsid w:val="003C57D0"/>
    <w:rsid w:val="003C5899"/>
    <w:rsid w:val="003C58B4"/>
    <w:rsid w:val="003C5B98"/>
    <w:rsid w:val="003C5BFE"/>
    <w:rsid w:val="003C5CB4"/>
    <w:rsid w:val="003C5E75"/>
    <w:rsid w:val="003C5FCA"/>
    <w:rsid w:val="003C61C2"/>
    <w:rsid w:val="003C61F6"/>
    <w:rsid w:val="003C6399"/>
    <w:rsid w:val="003C642F"/>
    <w:rsid w:val="003C6482"/>
    <w:rsid w:val="003C6582"/>
    <w:rsid w:val="003C6734"/>
    <w:rsid w:val="003C67F7"/>
    <w:rsid w:val="003C6BBE"/>
    <w:rsid w:val="003C6E1B"/>
    <w:rsid w:val="003C6E6D"/>
    <w:rsid w:val="003C7053"/>
    <w:rsid w:val="003C70DE"/>
    <w:rsid w:val="003C7225"/>
    <w:rsid w:val="003C724D"/>
    <w:rsid w:val="003C7352"/>
    <w:rsid w:val="003C7396"/>
    <w:rsid w:val="003C7493"/>
    <w:rsid w:val="003C751F"/>
    <w:rsid w:val="003C757D"/>
    <w:rsid w:val="003C76C5"/>
    <w:rsid w:val="003C7702"/>
    <w:rsid w:val="003C7824"/>
    <w:rsid w:val="003C789C"/>
    <w:rsid w:val="003C795F"/>
    <w:rsid w:val="003C7994"/>
    <w:rsid w:val="003C7C46"/>
    <w:rsid w:val="003C7DD0"/>
    <w:rsid w:val="003C7E92"/>
    <w:rsid w:val="003C7F01"/>
    <w:rsid w:val="003D0045"/>
    <w:rsid w:val="003D0060"/>
    <w:rsid w:val="003D0099"/>
    <w:rsid w:val="003D022B"/>
    <w:rsid w:val="003D030B"/>
    <w:rsid w:val="003D0340"/>
    <w:rsid w:val="003D046A"/>
    <w:rsid w:val="003D04BF"/>
    <w:rsid w:val="003D05B8"/>
    <w:rsid w:val="003D0932"/>
    <w:rsid w:val="003D0940"/>
    <w:rsid w:val="003D0F3D"/>
    <w:rsid w:val="003D0F6E"/>
    <w:rsid w:val="003D1103"/>
    <w:rsid w:val="003D1232"/>
    <w:rsid w:val="003D1432"/>
    <w:rsid w:val="003D171E"/>
    <w:rsid w:val="003D17BD"/>
    <w:rsid w:val="003D1809"/>
    <w:rsid w:val="003D18F7"/>
    <w:rsid w:val="003D18FE"/>
    <w:rsid w:val="003D1930"/>
    <w:rsid w:val="003D1B65"/>
    <w:rsid w:val="003D1BB5"/>
    <w:rsid w:val="003D1BE0"/>
    <w:rsid w:val="003D1BF5"/>
    <w:rsid w:val="003D1CA5"/>
    <w:rsid w:val="003D1D56"/>
    <w:rsid w:val="003D1DF6"/>
    <w:rsid w:val="003D1E7D"/>
    <w:rsid w:val="003D1F7E"/>
    <w:rsid w:val="003D20F7"/>
    <w:rsid w:val="003D2176"/>
    <w:rsid w:val="003D2644"/>
    <w:rsid w:val="003D2A57"/>
    <w:rsid w:val="003D2B4E"/>
    <w:rsid w:val="003D2C89"/>
    <w:rsid w:val="003D2E90"/>
    <w:rsid w:val="003D31A4"/>
    <w:rsid w:val="003D32B3"/>
    <w:rsid w:val="003D3373"/>
    <w:rsid w:val="003D33FD"/>
    <w:rsid w:val="003D341F"/>
    <w:rsid w:val="003D348E"/>
    <w:rsid w:val="003D34E6"/>
    <w:rsid w:val="003D3544"/>
    <w:rsid w:val="003D362D"/>
    <w:rsid w:val="003D3865"/>
    <w:rsid w:val="003D3886"/>
    <w:rsid w:val="003D38A5"/>
    <w:rsid w:val="003D38AE"/>
    <w:rsid w:val="003D3B35"/>
    <w:rsid w:val="003D3CF8"/>
    <w:rsid w:val="003D3CF9"/>
    <w:rsid w:val="003D3D80"/>
    <w:rsid w:val="003D3E91"/>
    <w:rsid w:val="003D3ED4"/>
    <w:rsid w:val="003D3EED"/>
    <w:rsid w:val="003D3F11"/>
    <w:rsid w:val="003D41F0"/>
    <w:rsid w:val="003D4762"/>
    <w:rsid w:val="003D49C5"/>
    <w:rsid w:val="003D4A75"/>
    <w:rsid w:val="003D4B79"/>
    <w:rsid w:val="003D4D66"/>
    <w:rsid w:val="003D4F0C"/>
    <w:rsid w:val="003D504C"/>
    <w:rsid w:val="003D50E9"/>
    <w:rsid w:val="003D5119"/>
    <w:rsid w:val="003D51C7"/>
    <w:rsid w:val="003D5270"/>
    <w:rsid w:val="003D53A2"/>
    <w:rsid w:val="003D53F3"/>
    <w:rsid w:val="003D54FA"/>
    <w:rsid w:val="003D55EA"/>
    <w:rsid w:val="003D579B"/>
    <w:rsid w:val="003D58CA"/>
    <w:rsid w:val="003D59BF"/>
    <w:rsid w:val="003D5AF3"/>
    <w:rsid w:val="003D5B0E"/>
    <w:rsid w:val="003D5B9C"/>
    <w:rsid w:val="003D5BBD"/>
    <w:rsid w:val="003D5D23"/>
    <w:rsid w:val="003D6086"/>
    <w:rsid w:val="003D6530"/>
    <w:rsid w:val="003D6531"/>
    <w:rsid w:val="003D666B"/>
    <w:rsid w:val="003D676A"/>
    <w:rsid w:val="003D681E"/>
    <w:rsid w:val="003D682F"/>
    <w:rsid w:val="003D6853"/>
    <w:rsid w:val="003D69F2"/>
    <w:rsid w:val="003D6B8E"/>
    <w:rsid w:val="003D6BD5"/>
    <w:rsid w:val="003D6C05"/>
    <w:rsid w:val="003D6C32"/>
    <w:rsid w:val="003D6D95"/>
    <w:rsid w:val="003D6FFC"/>
    <w:rsid w:val="003D7172"/>
    <w:rsid w:val="003D71B8"/>
    <w:rsid w:val="003D7259"/>
    <w:rsid w:val="003D7417"/>
    <w:rsid w:val="003D7508"/>
    <w:rsid w:val="003D7642"/>
    <w:rsid w:val="003D775A"/>
    <w:rsid w:val="003D7890"/>
    <w:rsid w:val="003D78F1"/>
    <w:rsid w:val="003D792C"/>
    <w:rsid w:val="003D7987"/>
    <w:rsid w:val="003D7B0B"/>
    <w:rsid w:val="003D7B19"/>
    <w:rsid w:val="003D7B27"/>
    <w:rsid w:val="003D7B82"/>
    <w:rsid w:val="003D7DB9"/>
    <w:rsid w:val="003D7F5D"/>
    <w:rsid w:val="003E0038"/>
    <w:rsid w:val="003E03C1"/>
    <w:rsid w:val="003E042F"/>
    <w:rsid w:val="003E0506"/>
    <w:rsid w:val="003E074C"/>
    <w:rsid w:val="003E07F1"/>
    <w:rsid w:val="003E093D"/>
    <w:rsid w:val="003E0AC6"/>
    <w:rsid w:val="003E0D6E"/>
    <w:rsid w:val="003E10A5"/>
    <w:rsid w:val="003E10E1"/>
    <w:rsid w:val="003E1122"/>
    <w:rsid w:val="003E14B3"/>
    <w:rsid w:val="003E1AAB"/>
    <w:rsid w:val="003E20A8"/>
    <w:rsid w:val="003E2210"/>
    <w:rsid w:val="003E2416"/>
    <w:rsid w:val="003E242B"/>
    <w:rsid w:val="003E25D8"/>
    <w:rsid w:val="003E290B"/>
    <w:rsid w:val="003E29CF"/>
    <w:rsid w:val="003E2A21"/>
    <w:rsid w:val="003E2D99"/>
    <w:rsid w:val="003E2E4B"/>
    <w:rsid w:val="003E2F39"/>
    <w:rsid w:val="003E318C"/>
    <w:rsid w:val="003E3328"/>
    <w:rsid w:val="003E3467"/>
    <w:rsid w:val="003E34E6"/>
    <w:rsid w:val="003E36B7"/>
    <w:rsid w:val="003E375C"/>
    <w:rsid w:val="003E3826"/>
    <w:rsid w:val="003E39AB"/>
    <w:rsid w:val="003E39B8"/>
    <w:rsid w:val="003E39DB"/>
    <w:rsid w:val="003E3AA3"/>
    <w:rsid w:val="003E3C46"/>
    <w:rsid w:val="003E3D43"/>
    <w:rsid w:val="003E3E52"/>
    <w:rsid w:val="003E3EBA"/>
    <w:rsid w:val="003E3F4E"/>
    <w:rsid w:val="003E417A"/>
    <w:rsid w:val="003E41A6"/>
    <w:rsid w:val="003E4281"/>
    <w:rsid w:val="003E42FB"/>
    <w:rsid w:val="003E432F"/>
    <w:rsid w:val="003E436F"/>
    <w:rsid w:val="003E43CE"/>
    <w:rsid w:val="003E47A6"/>
    <w:rsid w:val="003E48CA"/>
    <w:rsid w:val="003E48FE"/>
    <w:rsid w:val="003E4C1E"/>
    <w:rsid w:val="003E4F6F"/>
    <w:rsid w:val="003E4FE1"/>
    <w:rsid w:val="003E5096"/>
    <w:rsid w:val="003E51A5"/>
    <w:rsid w:val="003E535E"/>
    <w:rsid w:val="003E55B5"/>
    <w:rsid w:val="003E5669"/>
    <w:rsid w:val="003E58DC"/>
    <w:rsid w:val="003E5B31"/>
    <w:rsid w:val="003E5CBE"/>
    <w:rsid w:val="003E5E5C"/>
    <w:rsid w:val="003E5EF2"/>
    <w:rsid w:val="003E6064"/>
    <w:rsid w:val="003E611A"/>
    <w:rsid w:val="003E6126"/>
    <w:rsid w:val="003E65E9"/>
    <w:rsid w:val="003E6710"/>
    <w:rsid w:val="003E67B5"/>
    <w:rsid w:val="003E69B1"/>
    <w:rsid w:val="003E69C9"/>
    <w:rsid w:val="003E6B4A"/>
    <w:rsid w:val="003E6BAA"/>
    <w:rsid w:val="003E713A"/>
    <w:rsid w:val="003E7141"/>
    <w:rsid w:val="003E71C8"/>
    <w:rsid w:val="003E7375"/>
    <w:rsid w:val="003E74BD"/>
    <w:rsid w:val="003E7595"/>
    <w:rsid w:val="003E7A6E"/>
    <w:rsid w:val="003E7C2D"/>
    <w:rsid w:val="003E7D95"/>
    <w:rsid w:val="003E7DA5"/>
    <w:rsid w:val="003E7DD5"/>
    <w:rsid w:val="003E7F1D"/>
    <w:rsid w:val="003E7F34"/>
    <w:rsid w:val="003E7F3F"/>
    <w:rsid w:val="003E7F54"/>
    <w:rsid w:val="003F0214"/>
    <w:rsid w:val="003F03B4"/>
    <w:rsid w:val="003F0459"/>
    <w:rsid w:val="003F0487"/>
    <w:rsid w:val="003F0981"/>
    <w:rsid w:val="003F0C21"/>
    <w:rsid w:val="003F0D43"/>
    <w:rsid w:val="003F0DB4"/>
    <w:rsid w:val="003F0DF6"/>
    <w:rsid w:val="003F116D"/>
    <w:rsid w:val="003F1172"/>
    <w:rsid w:val="003F1182"/>
    <w:rsid w:val="003F11DE"/>
    <w:rsid w:val="003F126B"/>
    <w:rsid w:val="003F1537"/>
    <w:rsid w:val="003F18CC"/>
    <w:rsid w:val="003F1A5F"/>
    <w:rsid w:val="003F1E6C"/>
    <w:rsid w:val="003F1E99"/>
    <w:rsid w:val="003F1F0B"/>
    <w:rsid w:val="003F1FA2"/>
    <w:rsid w:val="003F2000"/>
    <w:rsid w:val="003F22A8"/>
    <w:rsid w:val="003F2623"/>
    <w:rsid w:val="003F274D"/>
    <w:rsid w:val="003F2783"/>
    <w:rsid w:val="003F27EC"/>
    <w:rsid w:val="003F2836"/>
    <w:rsid w:val="003F2883"/>
    <w:rsid w:val="003F2B80"/>
    <w:rsid w:val="003F2BB5"/>
    <w:rsid w:val="003F2C12"/>
    <w:rsid w:val="003F2C72"/>
    <w:rsid w:val="003F2DFB"/>
    <w:rsid w:val="003F2ECA"/>
    <w:rsid w:val="003F303C"/>
    <w:rsid w:val="003F308F"/>
    <w:rsid w:val="003F312E"/>
    <w:rsid w:val="003F328F"/>
    <w:rsid w:val="003F3374"/>
    <w:rsid w:val="003F34EC"/>
    <w:rsid w:val="003F3765"/>
    <w:rsid w:val="003F3A26"/>
    <w:rsid w:val="003F3C9B"/>
    <w:rsid w:val="003F3CB8"/>
    <w:rsid w:val="003F3CF7"/>
    <w:rsid w:val="003F3D2C"/>
    <w:rsid w:val="003F3DE7"/>
    <w:rsid w:val="003F4028"/>
    <w:rsid w:val="003F4037"/>
    <w:rsid w:val="003F4412"/>
    <w:rsid w:val="003F4439"/>
    <w:rsid w:val="003F4751"/>
    <w:rsid w:val="003F4834"/>
    <w:rsid w:val="003F48A3"/>
    <w:rsid w:val="003F48B7"/>
    <w:rsid w:val="003F49CA"/>
    <w:rsid w:val="003F4B29"/>
    <w:rsid w:val="003F4B4A"/>
    <w:rsid w:val="003F4CED"/>
    <w:rsid w:val="003F5010"/>
    <w:rsid w:val="003F5024"/>
    <w:rsid w:val="003F5228"/>
    <w:rsid w:val="003F5268"/>
    <w:rsid w:val="003F54D3"/>
    <w:rsid w:val="003F54D7"/>
    <w:rsid w:val="003F5543"/>
    <w:rsid w:val="003F55A2"/>
    <w:rsid w:val="003F582A"/>
    <w:rsid w:val="003F5A68"/>
    <w:rsid w:val="003F5B15"/>
    <w:rsid w:val="003F5CE0"/>
    <w:rsid w:val="003F5D6D"/>
    <w:rsid w:val="003F5DBB"/>
    <w:rsid w:val="003F5DE8"/>
    <w:rsid w:val="003F5EE1"/>
    <w:rsid w:val="003F5FBC"/>
    <w:rsid w:val="003F60FB"/>
    <w:rsid w:val="003F621A"/>
    <w:rsid w:val="003F64D2"/>
    <w:rsid w:val="003F67E1"/>
    <w:rsid w:val="003F6A3A"/>
    <w:rsid w:val="003F6A94"/>
    <w:rsid w:val="003F6BC7"/>
    <w:rsid w:val="003F6D19"/>
    <w:rsid w:val="003F6EA5"/>
    <w:rsid w:val="003F7050"/>
    <w:rsid w:val="003F738D"/>
    <w:rsid w:val="003F74DD"/>
    <w:rsid w:val="003F74EC"/>
    <w:rsid w:val="003F7A77"/>
    <w:rsid w:val="003F7DCC"/>
    <w:rsid w:val="003F7E20"/>
    <w:rsid w:val="003F7EEB"/>
    <w:rsid w:val="003F7F3E"/>
    <w:rsid w:val="0040009A"/>
    <w:rsid w:val="0040011A"/>
    <w:rsid w:val="0040017B"/>
    <w:rsid w:val="004001D2"/>
    <w:rsid w:val="00400325"/>
    <w:rsid w:val="004006AE"/>
    <w:rsid w:val="004006C2"/>
    <w:rsid w:val="00400772"/>
    <w:rsid w:val="00400900"/>
    <w:rsid w:val="00400C6B"/>
    <w:rsid w:val="00400CE0"/>
    <w:rsid w:val="00400F35"/>
    <w:rsid w:val="0040128A"/>
    <w:rsid w:val="00401523"/>
    <w:rsid w:val="00401527"/>
    <w:rsid w:val="0040162C"/>
    <w:rsid w:val="00401691"/>
    <w:rsid w:val="00401853"/>
    <w:rsid w:val="00401A2B"/>
    <w:rsid w:val="00402090"/>
    <w:rsid w:val="00402097"/>
    <w:rsid w:val="00402302"/>
    <w:rsid w:val="0040241F"/>
    <w:rsid w:val="004024DA"/>
    <w:rsid w:val="004025AF"/>
    <w:rsid w:val="0040261F"/>
    <w:rsid w:val="0040263D"/>
    <w:rsid w:val="00402651"/>
    <w:rsid w:val="0040279F"/>
    <w:rsid w:val="00402874"/>
    <w:rsid w:val="00402878"/>
    <w:rsid w:val="0040290D"/>
    <w:rsid w:val="004029BB"/>
    <w:rsid w:val="00402A01"/>
    <w:rsid w:val="00402A57"/>
    <w:rsid w:val="00402B6E"/>
    <w:rsid w:val="00402D54"/>
    <w:rsid w:val="00402FC2"/>
    <w:rsid w:val="0040301D"/>
    <w:rsid w:val="004031CD"/>
    <w:rsid w:val="0040391C"/>
    <w:rsid w:val="00403B08"/>
    <w:rsid w:val="00403B2A"/>
    <w:rsid w:val="00403B47"/>
    <w:rsid w:val="00403BED"/>
    <w:rsid w:val="00403CBC"/>
    <w:rsid w:val="00403F35"/>
    <w:rsid w:val="0040411E"/>
    <w:rsid w:val="0040415E"/>
    <w:rsid w:val="00404312"/>
    <w:rsid w:val="0040442F"/>
    <w:rsid w:val="00404528"/>
    <w:rsid w:val="004045FA"/>
    <w:rsid w:val="004047CD"/>
    <w:rsid w:val="0040498D"/>
    <w:rsid w:val="00404AA4"/>
    <w:rsid w:val="00404E6B"/>
    <w:rsid w:val="00404EB4"/>
    <w:rsid w:val="00404EE8"/>
    <w:rsid w:val="00405019"/>
    <w:rsid w:val="00405036"/>
    <w:rsid w:val="00405067"/>
    <w:rsid w:val="0040506A"/>
    <w:rsid w:val="0040508C"/>
    <w:rsid w:val="00405158"/>
    <w:rsid w:val="004052D4"/>
    <w:rsid w:val="004053D9"/>
    <w:rsid w:val="00405443"/>
    <w:rsid w:val="004054E5"/>
    <w:rsid w:val="0040575F"/>
    <w:rsid w:val="00405921"/>
    <w:rsid w:val="004059BE"/>
    <w:rsid w:val="004059C7"/>
    <w:rsid w:val="00405A30"/>
    <w:rsid w:val="00405C75"/>
    <w:rsid w:val="00405CFC"/>
    <w:rsid w:val="00405D33"/>
    <w:rsid w:val="00405E52"/>
    <w:rsid w:val="00405F4F"/>
    <w:rsid w:val="00405F74"/>
    <w:rsid w:val="00405FBF"/>
    <w:rsid w:val="004060AF"/>
    <w:rsid w:val="004060F9"/>
    <w:rsid w:val="004060FE"/>
    <w:rsid w:val="004062BD"/>
    <w:rsid w:val="004064CF"/>
    <w:rsid w:val="004066A7"/>
    <w:rsid w:val="004066C1"/>
    <w:rsid w:val="004067CE"/>
    <w:rsid w:val="004068BE"/>
    <w:rsid w:val="00406998"/>
    <w:rsid w:val="00406E9D"/>
    <w:rsid w:val="00406FB0"/>
    <w:rsid w:val="0040718A"/>
    <w:rsid w:val="004072E9"/>
    <w:rsid w:val="00407400"/>
    <w:rsid w:val="00407699"/>
    <w:rsid w:val="004076B6"/>
    <w:rsid w:val="0040787A"/>
    <w:rsid w:val="00407AE8"/>
    <w:rsid w:val="00407D5D"/>
    <w:rsid w:val="00410054"/>
    <w:rsid w:val="0041015D"/>
    <w:rsid w:val="004102F4"/>
    <w:rsid w:val="0041047C"/>
    <w:rsid w:val="00410824"/>
    <w:rsid w:val="00410B21"/>
    <w:rsid w:val="00410BE3"/>
    <w:rsid w:val="00410C4F"/>
    <w:rsid w:val="00410F5B"/>
    <w:rsid w:val="00410F67"/>
    <w:rsid w:val="0041114E"/>
    <w:rsid w:val="0041120A"/>
    <w:rsid w:val="00411328"/>
    <w:rsid w:val="00411437"/>
    <w:rsid w:val="00411489"/>
    <w:rsid w:val="004114FC"/>
    <w:rsid w:val="004115E0"/>
    <w:rsid w:val="00411778"/>
    <w:rsid w:val="00411872"/>
    <w:rsid w:val="004119F2"/>
    <w:rsid w:val="00411AEC"/>
    <w:rsid w:val="00411CFC"/>
    <w:rsid w:val="00412135"/>
    <w:rsid w:val="004122C7"/>
    <w:rsid w:val="00412469"/>
    <w:rsid w:val="004128FF"/>
    <w:rsid w:val="004129A1"/>
    <w:rsid w:val="00412AAF"/>
    <w:rsid w:val="00412B7B"/>
    <w:rsid w:val="00412C5A"/>
    <w:rsid w:val="00412C72"/>
    <w:rsid w:val="00412E7A"/>
    <w:rsid w:val="004131D8"/>
    <w:rsid w:val="00413251"/>
    <w:rsid w:val="00413492"/>
    <w:rsid w:val="00413609"/>
    <w:rsid w:val="00413755"/>
    <w:rsid w:val="00413A39"/>
    <w:rsid w:val="00413CD4"/>
    <w:rsid w:val="00414124"/>
    <w:rsid w:val="004143F3"/>
    <w:rsid w:val="00414407"/>
    <w:rsid w:val="00414624"/>
    <w:rsid w:val="0041468F"/>
    <w:rsid w:val="00414716"/>
    <w:rsid w:val="0041490F"/>
    <w:rsid w:val="004149E5"/>
    <w:rsid w:val="00415015"/>
    <w:rsid w:val="00415271"/>
    <w:rsid w:val="004152F8"/>
    <w:rsid w:val="00415366"/>
    <w:rsid w:val="004153AA"/>
    <w:rsid w:val="00415408"/>
    <w:rsid w:val="00415423"/>
    <w:rsid w:val="0041545A"/>
    <w:rsid w:val="0041549B"/>
    <w:rsid w:val="0041549F"/>
    <w:rsid w:val="00415642"/>
    <w:rsid w:val="0041598D"/>
    <w:rsid w:val="00415C42"/>
    <w:rsid w:val="00415EE5"/>
    <w:rsid w:val="00415F02"/>
    <w:rsid w:val="0041601F"/>
    <w:rsid w:val="00416202"/>
    <w:rsid w:val="00416487"/>
    <w:rsid w:val="00416506"/>
    <w:rsid w:val="00416586"/>
    <w:rsid w:val="00416795"/>
    <w:rsid w:val="00416860"/>
    <w:rsid w:val="004168B9"/>
    <w:rsid w:val="004169DD"/>
    <w:rsid w:val="00416A8D"/>
    <w:rsid w:val="00416B0E"/>
    <w:rsid w:val="00416FC8"/>
    <w:rsid w:val="004171B1"/>
    <w:rsid w:val="0041724E"/>
    <w:rsid w:val="0041730C"/>
    <w:rsid w:val="0041744C"/>
    <w:rsid w:val="00417454"/>
    <w:rsid w:val="004174AF"/>
    <w:rsid w:val="004175CA"/>
    <w:rsid w:val="0041762B"/>
    <w:rsid w:val="004178AA"/>
    <w:rsid w:val="00417958"/>
    <w:rsid w:val="00417994"/>
    <w:rsid w:val="00417A09"/>
    <w:rsid w:val="00417A41"/>
    <w:rsid w:val="00417ABE"/>
    <w:rsid w:val="00417D56"/>
    <w:rsid w:val="00417E53"/>
    <w:rsid w:val="00417EC3"/>
    <w:rsid w:val="00420334"/>
    <w:rsid w:val="004203F2"/>
    <w:rsid w:val="00420586"/>
    <w:rsid w:val="00420668"/>
    <w:rsid w:val="00420687"/>
    <w:rsid w:val="00420864"/>
    <w:rsid w:val="0042089C"/>
    <w:rsid w:val="00420A32"/>
    <w:rsid w:val="00420A34"/>
    <w:rsid w:val="00420B6E"/>
    <w:rsid w:val="00420C57"/>
    <w:rsid w:val="00420CAB"/>
    <w:rsid w:val="00420CDA"/>
    <w:rsid w:val="00420CF9"/>
    <w:rsid w:val="00420EDD"/>
    <w:rsid w:val="0042102F"/>
    <w:rsid w:val="00421100"/>
    <w:rsid w:val="00421184"/>
    <w:rsid w:val="00421961"/>
    <w:rsid w:val="0042196B"/>
    <w:rsid w:val="004219AB"/>
    <w:rsid w:val="00421A07"/>
    <w:rsid w:val="00421B3C"/>
    <w:rsid w:val="00421B51"/>
    <w:rsid w:val="00421CE4"/>
    <w:rsid w:val="00421E48"/>
    <w:rsid w:val="00421E8C"/>
    <w:rsid w:val="00422365"/>
    <w:rsid w:val="00422419"/>
    <w:rsid w:val="00422434"/>
    <w:rsid w:val="004224CE"/>
    <w:rsid w:val="004227F7"/>
    <w:rsid w:val="0042281A"/>
    <w:rsid w:val="0042281D"/>
    <w:rsid w:val="00422EA7"/>
    <w:rsid w:val="00422FFA"/>
    <w:rsid w:val="00423023"/>
    <w:rsid w:val="00423055"/>
    <w:rsid w:val="00423084"/>
    <w:rsid w:val="004231E1"/>
    <w:rsid w:val="00423583"/>
    <w:rsid w:val="0042390B"/>
    <w:rsid w:val="00423A98"/>
    <w:rsid w:val="00423A9A"/>
    <w:rsid w:val="00423A9D"/>
    <w:rsid w:val="00423D59"/>
    <w:rsid w:val="00423E0C"/>
    <w:rsid w:val="00423F2A"/>
    <w:rsid w:val="004241E3"/>
    <w:rsid w:val="0042423A"/>
    <w:rsid w:val="004243D7"/>
    <w:rsid w:val="0042478C"/>
    <w:rsid w:val="00424891"/>
    <w:rsid w:val="00424901"/>
    <w:rsid w:val="0042492B"/>
    <w:rsid w:val="00424939"/>
    <w:rsid w:val="0042499C"/>
    <w:rsid w:val="004249AD"/>
    <w:rsid w:val="00424CF5"/>
    <w:rsid w:val="00424D03"/>
    <w:rsid w:val="00424DA9"/>
    <w:rsid w:val="00424E24"/>
    <w:rsid w:val="00424F63"/>
    <w:rsid w:val="0042512C"/>
    <w:rsid w:val="004251FD"/>
    <w:rsid w:val="004252A8"/>
    <w:rsid w:val="00425325"/>
    <w:rsid w:val="0042543B"/>
    <w:rsid w:val="004254E5"/>
    <w:rsid w:val="0042551D"/>
    <w:rsid w:val="004256D4"/>
    <w:rsid w:val="0042573D"/>
    <w:rsid w:val="0042591A"/>
    <w:rsid w:val="00425985"/>
    <w:rsid w:val="0042598A"/>
    <w:rsid w:val="00425B13"/>
    <w:rsid w:val="00425B55"/>
    <w:rsid w:val="00425D14"/>
    <w:rsid w:val="00425D91"/>
    <w:rsid w:val="00425DE6"/>
    <w:rsid w:val="00425EC6"/>
    <w:rsid w:val="00425FC6"/>
    <w:rsid w:val="0042613B"/>
    <w:rsid w:val="00426434"/>
    <w:rsid w:val="004264E8"/>
    <w:rsid w:val="00426841"/>
    <w:rsid w:val="004268E0"/>
    <w:rsid w:val="004268EA"/>
    <w:rsid w:val="00426A93"/>
    <w:rsid w:val="00426ACF"/>
    <w:rsid w:val="00426B36"/>
    <w:rsid w:val="00426F10"/>
    <w:rsid w:val="00427061"/>
    <w:rsid w:val="004271D6"/>
    <w:rsid w:val="004273AE"/>
    <w:rsid w:val="00427430"/>
    <w:rsid w:val="00427516"/>
    <w:rsid w:val="004275D3"/>
    <w:rsid w:val="004276C0"/>
    <w:rsid w:val="00427702"/>
    <w:rsid w:val="0042788B"/>
    <w:rsid w:val="00427964"/>
    <w:rsid w:val="004279A0"/>
    <w:rsid w:val="004279AD"/>
    <w:rsid w:val="004279F5"/>
    <w:rsid w:val="00427A3E"/>
    <w:rsid w:val="00427AE4"/>
    <w:rsid w:val="00427CD5"/>
    <w:rsid w:val="00427DF9"/>
    <w:rsid w:val="00427EE4"/>
    <w:rsid w:val="00427EEA"/>
    <w:rsid w:val="00430329"/>
    <w:rsid w:val="004303AA"/>
    <w:rsid w:val="004303CC"/>
    <w:rsid w:val="0043062D"/>
    <w:rsid w:val="00430698"/>
    <w:rsid w:val="004307AB"/>
    <w:rsid w:val="004307BB"/>
    <w:rsid w:val="0043081D"/>
    <w:rsid w:val="00430A12"/>
    <w:rsid w:val="00430D7D"/>
    <w:rsid w:val="00430EA6"/>
    <w:rsid w:val="00431097"/>
    <w:rsid w:val="0043110F"/>
    <w:rsid w:val="004311D8"/>
    <w:rsid w:val="00431270"/>
    <w:rsid w:val="00431327"/>
    <w:rsid w:val="0043135B"/>
    <w:rsid w:val="00431545"/>
    <w:rsid w:val="004318FA"/>
    <w:rsid w:val="00431AE2"/>
    <w:rsid w:val="00431B81"/>
    <w:rsid w:val="00431B84"/>
    <w:rsid w:val="00431CC3"/>
    <w:rsid w:val="004321A0"/>
    <w:rsid w:val="0043235A"/>
    <w:rsid w:val="004324B8"/>
    <w:rsid w:val="00432654"/>
    <w:rsid w:val="00432725"/>
    <w:rsid w:val="004327BB"/>
    <w:rsid w:val="004328CB"/>
    <w:rsid w:val="00432921"/>
    <w:rsid w:val="00432955"/>
    <w:rsid w:val="00432C9F"/>
    <w:rsid w:val="00432CA9"/>
    <w:rsid w:val="00432E5D"/>
    <w:rsid w:val="00432ECE"/>
    <w:rsid w:val="00432EE7"/>
    <w:rsid w:val="00432F45"/>
    <w:rsid w:val="00432F4B"/>
    <w:rsid w:val="00432F7D"/>
    <w:rsid w:val="00433111"/>
    <w:rsid w:val="00433119"/>
    <w:rsid w:val="004331EB"/>
    <w:rsid w:val="00433241"/>
    <w:rsid w:val="0043329A"/>
    <w:rsid w:val="004333B4"/>
    <w:rsid w:val="004334C1"/>
    <w:rsid w:val="004335D0"/>
    <w:rsid w:val="004335EA"/>
    <w:rsid w:val="004336CC"/>
    <w:rsid w:val="00433700"/>
    <w:rsid w:val="0043376B"/>
    <w:rsid w:val="004339C7"/>
    <w:rsid w:val="00433A36"/>
    <w:rsid w:val="00433B03"/>
    <w:rsid w:val="00433BF8"/>
    <w:rsid w:val="004341CA"/>
    <w:rsid w:val="00434269"/>
    <w:rsid w:val="004343CC"/>
    <w:rsid w:val="004344EF"/>
    <w:rsid w:val="004349A5"/>
    <w:rsid w:val="00435040"/>
    <w:rsid w:val="0043524D"/>
    <w:rsid w:val="004352CB"/>
    <w:rsid w:val="0043542C"/>
    <w:rsid w:val="00435529"/>
    <w:rsid w:val="0043562A"/>
    <w:rsid w:val="00435894"/>
    <w:rsid w:val="0043599B"/>
    <w:rsid w:val="00435CBA"/>
    <w:rsid w:val="00435D3B"/>
    <w:rsid w:val="00435D55"/>
    <w:rsid w:val="00435D56"/>
    <w:rsid w:val="00435EDA"/>
    <w:rsid w:val="0043611C"/>
    <w:rsid w:val="00436484"/>
    <w:rsid w:val="004368A9"/>
    <w:rsid w:val="00436ADF"/>
    <w:rsid w:val="00436B38"/>
    <w:rsid w:val="00436BCD"/>
    <w:rsid w:val="00436DC8"/>
    <w:rsid w:val="00436FB5"/>
    <w:rsid w:val="0043707F"/>
    <w:rsid w:val="00437100"/>
    <w:rsid w:val="0043714C"/>
    <w:rsid w:val="00437510"/>
    <w:rsid w:val="0043776F"/>
    <w:rsid w:val="004377D0"/>
    <w:rsid w:val="004378B6"/>
    <w:rsid w:val="00437C9D"/>
    <w:rsid w:val="00437CE6"/>
    <w:rsid w:val="0044015D"/>
    <w:rsid w:val="004401C3"/>
    <w:rsid w:val="004401F9"/>
    <w:rsid w:val="0044020B"/>
    <w:rsid w:val="00440316"/>
    <w:rsid w:val="0044038A"/>
    <w:rsid w:val="0044041D"/>
    <w:rsid w:val="00440574"/>
    <w:rsid w:val="0044061A"/>
    <w:rsid w:val="004406F0"/>
    <w:rsid w:val="00440761"/>
    <w:rsid w:val="004409B9"/>
    <w:rsid w:val="00440A06"/>
    <w:rsid w:val="00440A45"/>
    <w:rsid w:val="00440C6E"/>
    <w:rsid w:val="00440D9F"/>
    <w:rsid w:val="00440EC4"/>
    <w:rsid w:val="00440F34"/>
    <w:rsid w:val="0044122C"/>
    <w:rsid w:val="00441254"/>
    <w:rsid w:val="004414EB"/>
    <w:rsid w:val="0044190A"/>
    <w:rsid w:val="00441AAE"/>
    <w:rsid w:val="00441C14"/>
    <w:rsid w:val="00441D8E"/>
    <w:rsid w:val="00441DF0"/>
    <w:rsid w:val="00441E0F"/>
    <w:rsid w:val="00441E61"/>
    <w:rsid w:val="00441E75"/>
    <w:rsid w:val="00441EFC"/>
    <w:rsid w:val="00441FD3"/>
    <w:rsid w:val="00442020"/>
    <w:rsid w:val="004423E3"/>
    <w:rsid w:val="004425E2"/>
    <w:rsid w:val="0044270D"/>
    <w:rsid w:val="00442902"/>
    <w:rsid w:val="00442992"/>
    <w:rsid w:val="0044299C"/>
    <w:rsid w:val="004429E7"/>
    <w:rsid w:val="00442D4E"/>
    <w:rsid w:val="00442D5C"/>
    <w:rsid w:val="00442D85"/>
    <w:rsid w:val="00442F58"/>
    <w:rsid w:val="004431D1"/>
    <w:rsid w:val="004436B0"/>
    <w:rsid w:val="004437CE"/>
    <w:rsid w:val="0044386A"/>
    <w:rsid w:val="00443929"/>
    <w:rsid w:val="00443935"/>
    <w:rsid w:val="00443C2C"/>
    <w:rsid w:val="00443F6E"/>
    <w:rsid w:val="00444050"/>
    <w:rsid w:val="0044417C"/>
    <w:rsid w:val="00444260"/>
    <w:rsid w:val="00444286"/>
    <w:rsid w:val="00444441"/>
    <w:rsid w:val="00444599"/>
    <w:rsid w:val="0044459F"/>
    <w:rsid w:val="004446DD"/>
    <w:rsid w:val="00444788"/>
    <w:rsid w:val="00444A34"/>
    <w:rsid w:val="00444B22"/>
    <w:rsid w:val="00444B65"/>
    <w:rsid w:val="00444ED8"/>
    <w:rsid w:val="00444FCC"/>
    <w:rsid w:val="004452B4"/>
    <w:rsid w:val="00445307"/>
    <w:rsid w:val="004453F0"/>
    <w:rsid w:val="00445468"/>
    <w:rsid w:val="00445505"/>
    <w:rsid w:val="00445588"/>
    <w:rsid w:val="004457F2"/>
    <w:rsid w:val="00445998"/>
    <w:rsid w:val="004459E1"/>
    <w:rsid w:val="00445C69"/>
    <w:rsid w:val="00445C6C"/>
    <w:rsid w:val="00445D3F"/>
    <w:rsid w:val="00446108"/>
    <w:rsid w:val="00446210"/>
    <w:rsid w:val="004462ED"/>
    <w:rsid w:val="00446385"/>
    <w:rsid w:val="004463B9"/>
    <w:rsid w:val="0044642E"/>
    <w:rsid w:val="004464F6"/>
    <w:rsid w:val="004465D7"/>
    <w:rsid w:val="0044680E"/>
    <w:rsid w:val="00446884"/>
    <w:rsid w:val="00446939"/>
    <w:rsid w:val="00446955"/>
    <w:rsid w:val="004469E0"/>
    <w:rsid w:val="00446A9F"/>
    <w:rsid w:val="00446D34"/>
    <w:rsid w:val="00446E5A"/>
    <w:rsid w:val="00446F13"/>
    <w:rsid w:val="00447045"/>
    <w:rsid w:val="0044721E"/>
    <w:rsid w:val="00447656"/>
    <w:rsid w:val="004477F2"/>
    <w:rsid w:val="004478D0"/>
    <w:rsid w:val="00447C7B"/>
    <w:rsid w:val="00447CD6"/>
    <w:rsid w:val="00447DBC"/>
    <w:rsid w:val="00447FFB"/>
    <w:rsid w:val="0045006F"/>
    <w:rsid w:val="004503BE"/>
    <w:rsid w:val="00450575"/>
    <w:rsid w:val="0045066F"/>
    <w:rsid w:val="00450837"/>
    <w:rsid w:val="00450889"/>
    <w:rsid w:val="004508EC"/>
    <w:rsid w:val="0045098C"/>
    <w:rsid w:val="004509BA"/>
    <w:rsid w:val="00450A2C"/>
    <w:rsid w:val="00450B08"/>
    <w:rsid w:val="00450BD2"/>
    <w:rsid w:val="00450D4F"/>
    <w:rsid w:val="00451340"/>
    <w:rsid w:val="0045137E"/>
    <w:rsid w:val="004513B0"/>
    <w:rsid w:val="0045192A"/>
    <w:rsid w:val="00451A6D"/>
    <w:rsid w:val="00451AC9"/>
    <w:rsid w:val="00452413"/>
    <w:rsid w:val="00452538"/>
    <w:rsid w:val="004526FF"/>
    <w:rsid w:val="0045292D"/>
    <w:rsid w:val="00452B46"/>
    <w:rsid w:val="00452DB2"/>
    <w:rsid w:val="00452E50"/>
    <w:rsid w:val="00452F0B"/>
    <w:rsid w:val="00452FA6"/>
    <w:rsid w:val="00453192"/>
    <w:rsid w:val="0045320A"/>
    <w:rsid w:val="0045324E"/>
    <w:rsid w:val="004532AC"/>
    <w:rsid w:val="004534D4"/>
    <w:rsid w:val="00453ABE"/>
    <w:rsid w:val="00453AD8"/>
    <w:rsid w:val="00453BD7"/>
    <w:rsid w:val="00453C46"/>
    <w:rsid w:val="00454192"/>
    <w:rsid w:val="00454258"/>
    <w:rsid w:val="004542EC"/>
    <w:rsid w:val="00454398"/>
    <w:rsid w:val="004543A6"/>
    <w:rsid w:val="004543D6"/>
    <w:rsid w:val="004543E2"/>
    <w:rsid w:val="0045442F"/>
    <w:rsid w:val="00454495"/>
    <w:rsid w:val="0045450E"/>
    <w:rsid w:val="00454724"/>
    <w:rsid w:val="00454834"/>
    <w:rsid w:val="00454988"/>
    <w:rsid w:val="004549D3"/>
    <w:rsid w:val="00454A4C"/>
    <w:rsid w:val="0045549C"/>
    <w:rsid w:val="00455529"/>
    <w:rsid w:val="0045557D"/>
    <w:rsid w:val="004555E8"/>
    <w:rsid w:val="00455814"/>
    <w:rsid w:val="00455A21"/>
    <w:rsid w:val="00455A3F"/>
    <w:rsid w:val="00455BC2"/>
    <w:rsid w:val="00455C53"/>
    <w:rsid w:val="00455C9F"/>
    <w:rsid w:val="00455D05"/>
    <w:rsid w:val="00455D30"/>
    <w:rsid w:val="00455EC3"/>
    <w:rsid w:val="00456275"/>
    <w:rsid w:val="004563B4"/>
    <w:rsid w:val="004565F6"/>
    <w:rsid w:val="004569C1"/>
    <w:rsid w:val="00456CC2"/>
    <w:rsid w:val="00456F81"/>
    <w:rsid w:val="00456FAF"/>
    <w:rsid w:val="00456FB5"/>
    <w:rsid w:val="004571E5"/>
    <w:rsid w:val="0045732D"/>
    <w:rsid w:val="004573F1"/>
    <w:rsid w:val="0045761E"/>
    <w:rsid w:val="004576C0"/>
    <w:rsid w:val="00457AAA"/>
    <w:rsid w:val="00457B6A"/>
    <w:rsid w:val="00457C0B"/>
    <w:rsid w:val="00457D12"/>
    <w:rsid w:val="00457DE4"/>
    <w:rsid w:val="00457E0C"/>
    <w:rsid w:val="00460128"/>
    <w:rsid w:val="00460132"/>
    <w:rsid w:val="0046022A"/>
    <w:rsid w:val="00460477"/>
    <w:rsid w:val="0046056B"/>
    <w:rsid w:val="004605E6"/>
    <w:rsid w:val="00460807"/>
    <w:rsid w:val="00460945"/>
    <w:rsid w:val="00460993"/>
    <w:rsid w:val="00460A97"/>
    <w:rsid w:val="00460CA0"/>
    <w:rsid w:val="00460CE3"/>
    <w:rsid w:val="00460D02"/>
    <w:rsid w:val="00460E0B"/>
    <w:rsid w:val="004611C3"/>
    <w:rsid w:val="0046121C"/>
    <w:rsid w:val="004613FF"/>
    <w:rsid w:val="0046183E"/>
    <w:rsid w:val="00461865"/>
    <w:rsid w:val="00461990"/>
    <w:rsid w:val="00461A0D"/>
    <w:rsid w:val="00461A12"/>
    <w:rsid w:val="00461A63"/>
    <w:rsid w:val="00461B65"/>
    <w:rsid w:val="00461BD4"/>
    <w:rsid w:val="00461BE8"/>
    <w:rsid w:val="00461DF3"/>
    <w:rsid w:val="00461EDD"/>
    <w:rsid w:val="00461F42"/>
    <w:rsid w:val="00461FA0"/>
    <w:rsid w:val="00461FE0"/>
    <w:rsid w:val="00462059"/>
    <w:rsid w:val="00462069"/>
    <w:rsid w:val="00462071"/>
    <w:rsid w:val="0046209E"/>
    <w:rsid w:val="004621EA"/>
    <w:rsid w:val="004622CB"/>
    <w:rsid w:val="004625AE"/>
    <w:rsid w:val="00462668"/>
    <w:rsid w:val="00462B5F"/>
    <w:rsid w:val="00462BEC"/>
    <w:rsid w:val="00462C19"/>
    <w:rsid w:val="00462C8E"/>
    <w:rsid w:val="00462EFC"/>
    <w:rsid w:val="00462FF1"/>
    <w:rsid w:val="00463284"/>
    <w:rsid w:val="00463290"/>
    <w:rsid w:val="004633A0"/>
    <w:rsid w:val="0046342E"/>
    <w:rsid w:val="00463535"/>
    <w:rsid w:val="0046356B"/>
    <w:rsid w:val="00463670"/>
    <w:rsid w:val="00463A15"/>
    <w:rsid w:val="00463E35"/>
    <w:rsid w:val="00464087"/>
    <w:rsid w:val="00464168"/>
    <w:rsid w:val="00464186"/>
    <w:rsid w:val="0046420A"/>
    <w:rsid w:val="004642AC"/>
    <w:rsid w:val="00464303"/>
    <w:rsid w:val="0046433A"/>
    <w:rsid w:val="0046446C"/>
    <w:rsid w:val="004645AC"/>
    <w:rsid w:val="00464959"/>
    <w:rsid w:val="00464A73"/>
    <w:rsid w:val="00464A87"/>
    <w:rsid w:val="00464AE0"/>
    <w:rsid w:val="00464BA4"/>
    <w:rsid w:val="00464C38"/>
    <w:rsid w:val="0046508A"/>
    <w:rsid w:val="004653A3"/>
    <w:rsid w:val="004656C1"/>
    <w:rsid w:val="0046578E"/>
    <w:rsid w:val="00465881"/>
    <w:rsid w:val="004658D7"/>
    <w:rsid w:val="00465A28"/>
    <w:rsid w:val="00465B3E"/>
    <w:rsid w:val="00465DFE"/>
    <w:rsid w:val="00466065"/>
    <w:rsid w:val="00466081"/>
    <w:rsid w:val="00466111"/>
    <w:rsid w:val="004661AC"/>
    <w:rsid w:val="0046673B"/>
    <w:rsid w:val="00466A6D"/>
    <w:rsid w:val="00466B83"/>
    <w:rsid w:val="00466C06"/>
    <w:rsid w:val="00466D0B"/>
    <w:rsid w:val="004670D8"/>
    <w:rsid w:val="004670F0"/>
    <w:rsid w:val="00467392"/>
    <w:rsid w:val="0046746E"/>
    <w:rsid w:val="004674EF"/>
    <w:rsid w:val="00467614"/>
    <w:rsid w:val="00467679"/>
    <w:rsid w:val="0046781F"/>
    <w:rsid w:val="00467A74"/>
    <w:rsid w:val="00467A81"/>
    <w:rsid w:val="00467AA8"/>
    <w:rsid w:val="00467AD1"/>
    <w:rsid w:val="00467B6F"/>
    <w:rsid w:val="00467D38"/>
    <w:rsid w:val="00467E31"/>
    <w:rsid w:val="00467ED7"/>
    <w:rsid w:val="00470000"/>
    <w:rsid w:val="00470018"/>
    <w:rsid w:val="00470182"/>
    <w:rsid w:val="0047019C"/>
    <w:rsid w:val="0047019E"/>
    <w:rsid w:val="0047030B"/>
    <w:rsid w:val="0047036D"/>
    <w:rsid w:val="00470390"/>
    <w:rsid w:val="004703E1"/>
    <w:rsid w:val="00470996"/>
    <w:rsid w:val="004709A2"/>
    <w:rsid w:val="00470A8A"/>
    <w:rsid w:val="00470AEE"/>
    <w:rsid w:val="00470AFF"/>
    <w:rsid w:val="00470BB6"/>
    <w:rsid w:val="00470F9B"/>
    <w:rsid w:val="00470FB1"/>
    <w:rsid w:val="00470FF8"/>
    <w:rsid w:val="0047101B"/>
    <w:rsid w:val="00471209"/>
    <w:rsid w:val="00471310"/>
    <w:rsid w:val="00471772"/>
    <w:rsid w:val="00471A63"/>
    <w:rsid w:val="00471AB5"/>
    <w:rsid w:val="00471B4C"/>
    <w:rsid w:val="00471C51"/>
    <w:rsid w:val="00471DF7"/>
    <w:rsid w:val="0047236E"/>
    <w:rsid w:val="0047238C"/>
    <w:rsid w:val="0047245A"/>
    <w:rsid w:val="004724E7"/>
    <w:rsid w:val="004725D9"/>
    <w:rsid w:val="0047261E"/>
    <w:rsid w:val="00472703"/>
    <w:rsid w:val="00472A1B"/>
    <w:rsid w:val="00472B65"/>
    <w:rsid w:val="00472B6E"/>
    <w:rsid w:val="00472EF7"/>
    <w:rsid w:val="0047315A"/>
    <w:rsid w:val="004732D0"/>
    <w:rsid w:val="004733E8"/>
    <w:rsid w:val="004736EF"/>
    <w:rsid w:val="004738C5"/>
    <w:rsid w:val="00473A19"/>
    <w:rsid w:val="00473A60"/>
    <w:rsid w:val="00473B6B"/>
    <w:rsid w:val="00473D0A"/>
    <w:rsid w:val="00473E5F"/>
    <w:rsid w:val="00473E69"/>
    <w:rsid w:val="00474045"/>
    <w:rsid w:val="00474116"/>
    <w:rsid w:val="00474238"/>
    <w:rsid w:val="00474369"/>
    <w:rsid w:val="004743A4"/>
    <w:rsid w:val="004746CD"/>
    <w:rsid w:val="0047473A"/>
    <w:rsid w:val="004749A4"/>
    <w:rsid w:val="00474A2D"/>
    <w:rsid w:val="00474DFE"/>
    <w:rsid w:val="0047515D"/>
    <w:rsid w:val="0047529F"/>
    <w:rsid w:val="004752B7"/>
    <w:rsid w:val="00475483"/>
    <w:rsid w:val="00475866"/>
    <w:rsid w:val="004758EF"/>
    <w:rsid w:val="00475A75"/>
    <w:rsid w:val="004760B9"/>
    <w:rsid w:val="00476226"/>
    <w:rsid w:val="00476459"/>
    <w:rsid w:val="00476808"/>
    <w:rsid w:val="004768FD"/>
    <w:rsid w:val="00476BEC"/>
    <w:rsid w:val="00476C42"/>
    <w:rsid w:val="00476D55"/>
    <w:rsid w:val="00476E62"/>
    <w:rsid w:val="00476F5B"/>
    <w:rsid w:val="00477315"/>
    <w:rsid w:val="00477321"/>
    <w:rsid w:val="004773B7"/>
    <w:rsid w:val="0047752F"/>
    <w:rsid w:val="0047762F"/>
    <w:rsid w:val="00477AC0"/>
    <w:rsid w:val="00477E6E"/>
    <w:rsid w:val="00477EEB"/>
    <w:rsid w:val="0048007E"/>
    <w:rsid w:val="00480280"/>
    <w:rsid w:val="0048067D"/>
    <w:rsid w:val="00480954"/>
    <w:rsid w:val="00480BC9"/>
    <w:rsid w:val="00480D41"/>
    <w:rsid w:val="00480D49"/>
    <w:rsid w:val="00480E52"/>
    <w:rsid w:val="00480E87"/>
    <w:rsid w:val="00480FD8"/>
    <w:rsid w:val="0048165D"/>
    <w:rsid w:val="004816C6"/>
    <w:rsid w:val="004816C9"/>
    <w:rsid w:val="004816E8"/>
    <w:rsid w:val="004817DC"/>
    <w:rsid w:val="00481AAF"/>
    <w:rsid w:val="00481C2E"/>
    <w:rsid w:val="00481C8F"/>
    <w:rsid w:val="00481F62"/>
    <w:rsid w:val="00482021"/>
    <w:rsid w:val="004823D3"/>
    <w:rsid w:val="00482568"/>
    <w:rsid w:val="004825BA"/>
    <w:rsid w:val="00482712"/>
    <w:rsid w:val="004827F8"/>
    <w:rsid w:val="00482836"/>
    <w:rsid w:val="004829AA"/>
    <w:rsid w:val="004829C2"/>
    <w:rsid w:val="00482C04"/>
    <w:rsid w:val="00482CB6"/>
    <w:rsid w:val="00482ED2"/>
    <w:rsid w:val="00483151"/>
    <w:rsid w:val="0048317E"/>
    <w:rsid w:val="0048321F"/>
    <w:rsid w:val="00483222"/>
    <w:rsid w:val="0048327C"/>
    <w:rsid w:val="004832E1"/>
    <w:rsid w:val="004833E3"/>
    <w:rsid w:val="00483460"/>
    <w:rsid w:val="004835C2"/>
    <w:rsid w:val="004836DA"/>
    <w:rsid w:val="004837D3"/>
    <w:rsid w:val="00483982"/>
    <w:rsid w:val="00483A36"/>
    <w:rsid w:val="00483E21"/>
    <w:rsid w:val="00483ECD"/>
    <w:rsid w:val="00483F19"/>
    <w:rsid w:val="004841E4"/>
    <w:rsid w:val="004842C8"/>
    <w:rsid w:val="004843D9"/>
    <w:rsid w:val="00484406"/>
    <w:rsid w:val="0048440F"/>
    <w:rsid w:val="004845D8"/>
    <w:rsid w:val="0048475E"/>
    <w:rsid w:val="00484775"/>
    <w:rsid w:val="0048497B"/>
    <w:rsid w:val="00484A35"/>
    <w:rsid w:val="00484ABD"/>
    <w:rsid w:val="00484C24"/>
    <w:rsid w:val="00484E4E"/>
    <w:rsid w:val="00484FD4"/>
    <w:rsid w:val="00485036"/>
    <w:rsid w:val="00485140"/>
    <w:rsid w:val="00485278"/>
    <w:rsid w:val="0048554D"/>
    <w:rsid w:val="004858A6"/>
    <w:rsid w:val="0048595D"/>
    <w:rsid w:val="00485CB5"/>
    <w:rsid w:val="00485D6F"/>
    <w:rsid w:val="00485DD1"/>
    <w:rsid w:val="00486035"/>
    <w:rsid w:val="00486199"/>
    <w:rsid w:val="00486617"/>
    <w:rsid w:val="00486686"/>
    <w:rsid w:val="004866DF"/>
    <w:rsid w:val="004867DD"/>
    <w:rsid w:val="00486820"/>
    <w:rsid w:val="00486853"/>
    <w:rsid w:val="00486886"/>
    <w:rsid w:val="00486A4A"/>
    <w:rsid w:val="00486ABA"/>
    <w:rsid w:val="00486BD3"/>
    <w:rsid w:val="00486C53"/>
    <w:rsid w:val="00486D77"/>
    <w:rsid w:val="004870C3"/>
    <w:rsid w:val="0048711D"/>
    <w:rsid w:val="00487312"/>
    <w:rsid w:val="0048747C"/>
    <w:rsid w:val="0048752E"/>
    <w:rsid w:val="004877FE"/>
    <w:rsid w:val="004878AF"/>
    <w:rsid w:val="00487B6C"/>
    <w:rsid w:val="00487BFD"/>
    <w:rsid w:val="00487CFF"/>
    <w:rsid w:val="00487F03"/>
    <w:rsid w:val="00490209"/>
    <w:rsid w:val="0049054E"/>
    <w:rsid w:val="004905E9"/>
    <w:rsid w:val="00490644"/>
    <w:rsid w:val="00490826"/>
    <w:rsid w:val="00490836"/>
    <w:rsid w:val="00490872"/>
    <w:rsid w:val="00490B57"/>
    <w:rsid w:val="00490C29"/>
    <w:rsid w:val="00490CAA"/>
    <w:rsid w:val="00490E49"/>
    <w:rsid w:val="00490E77"/>
    <w:rsid w:val="004913EC"/>
    <w:rsid w:val="00491491"/>
    <w:rsid w:val="004915A9"/>
    <w:rsid w:val="004915E7"/>
    <w:rsid w:val="00491A15"/>
    <w:rsid w:val="00491A45"/>
    <w:rsid w:val="00491DCB"/>
    <w:rsid w:val="00491E35"/>
    <w:rsid w:val="00491EF7"/>
    <w:rsid w:val="00491F09"/>
    <w:rsid w:val="00492308"/>
    <w:rsid w:val="00492350"/>
    <w:rsid w:val="00492411"/>
    <w:rsid w:val="00492636"/>
    <w:rsid w:val="004926EB"/>
    <w:rsid w:val="00492704"/>
    <w:rsid w:val="00492933"/>
    <w:rsid w:val="00492CA1"/>
    <w:rsid w:val="00492D9A"/>
    <w:rsid w:val="00492EAE"/>
    <w:rsid w:val="00492F76"/>
    <w:rsid w:val="00492FDB"/>
    <w:rsid w:val="00493039"/>
    <w:rsid w:val="004930B1"/>
    <w:rsid w:val="0049313E"/>
    <w:rsid w:val="0049347C"/>
    <w:rsid w:val="004937CD"/>
    <w:rsid w:val="004938B1"/>
    <w:rsid w:val="00493C49"/>
    <w:rsid w:val="00493CB8"/>
    <w:rsid w:val="00493E82"/>
    <w:rsid w:val="0049400E"/>
    <w:rsid w:val="0049402A"/>
    <w:rsid w:val="00494103"/>
    <w:rsid w:val="00494403"/>
    <w:rsid w:val="0049445E"/>
    <w:rsid w:val="0049461B"/>
    <w:rsid w:val="004946B7"/>
    <w:rsid w:val="004946D0"/>
    <w:rsid w:val="00494795"/>
    <w:rsid w:val="004947B8"/>
    <w:rsid w:val="00494ECC"/>
    <w:rsid w:val="004950E2"/>
    <w:rsid w:val="004952A5"/>
    <w:rsid w:val="00495385"/>
    <w:rsid w:val="004954E4"/>
    <w:rsid w:val="0049550C"/>
    <w:rsid w:val="004957D3"/>
    <w:rsid w:val="004959FB"/>
    <w:rsid w:val="00495A92"/>
    <w:rsid w:val="00495A9D"/>
    <w:rsid w:val="00495B06"/>
    <w:rsid w:val="00495BEC"/>
    <w:rsid w:val="00495E8E"/>
    <w:rsid w:val="00495F47"/>
    <w:rsid w:val="00495F9B"/>
    <w:rsid w:val="0049603F"/>
    <w:rsid w:val="0049608D"/>
    <w:rsid w:val="00496252"/>
    <w:rsid w:val="00496291"/>
    <w:rsid w:val="0049638D"/>
    <w:rsid w:val="004967A5"/>
    <w:rsid w:val="00496BF8"/>
    <w:rsid w:val="00496D07"/>
    <w:rsid w:val="00496DC1"/>
    <w:rsid w:val="00496E94"/>
    <w:rsid w:val="00496FCB"/>
    <w:rsid w:val="0049700F"/>
    <w:rsid w:val="00497088"/>
    <w:rsid w:val="004972E0"/>
    <w:rsid w:val="0049741E"/>
    <w:rsid w:val="0049745A"/>
    <w:rsid w:val="0049749E"/>
    <w:rsid w:val="00497685"/>
    <w:rsid w:val="00497ACC"/>
    <w:rsid w:val="00497B12"/>
    <w:rsid w:val="00497B32"/>
    <w:rsid w:val="00497C1A"/>
    <w:rsid w:val="00497C6B"/>
    <w:rsid w:val="00497CF3"/>
    <w:rsid w:val="00497D59"/>
    <w:rsid w:val="00497F38"/>
    <w:rsid w:val="004A015E"/>
    <w:rsid w:val="004A02F7"/>
    <w:rsid w:val="004A0300"/>
    <w:rsid w:val="004A03B7"/>
    <w:rsid w:val="004A043F"/>
    <w:rsid w:val="004A0742"/>
    <w:rsid w:val="004A08A5"/>
    <w:rsid w:val="004A0C35"/>
    <w:rsid w:val="004A0D2F"/>
    <w:rsid w:val="004A0FA2"/>
    <w:rsid w:val="004A0FD4"/>
    <w:rsid w:val="004A1014"/>
    <w:rsid w:val="004A13A4"/>
    <w:rsid w:val="004A183A"/>
    <w:rsid w:val="004A1BB2"/>
    <w:rsid w:val="004A1C12"/>
    <w:rsid w:val="004A1C68"/>
    <w:rsid w:val="004A1F0B"/>
    <w:rsid w:val="004A1F1C"/>
    <w:rsid w:val="004A1F2E"/>
    <w:rsid w:val="004A1F2F"/>
    <w:rsid w:val="004A225D"/>
    <w:rsid w:val="004A23F6"/>
    <w:rsid w:val="004A267C"/>
    <w:rsid w:val="004A268E"/>
    <w:rsid w:val="004A2720"/>
    <w:rsid w:val="004A27F0"/>
    <w:rsid w:val="004A2806"/>
    <w:rsid w:val="004A2987"/>
    <w:rsid w:val="004A2D66"/>
    <w:rsid w:val="004A2DC4"/>
    <w:rsid w:val="004A2E2E"/>
    <w:rsid w:val="004A2ED1"/>
    <w:rsid w:val="004A2FF2"/>
    <w:rsid w:val="004A32BA"/>
    <w:rsid w:val="004A331A"/>
    <w:rsid w:val="004A3320"/>
    <w:rsid w:val="004A33EE"/>
    <w:rsid w:val="004A3417"/>
    <w:rsid w:val="004A359B"/>
    <w:rsid w:val="004A35CD"/>
    <w:rsid w:val="004A3773"/>
    <w:rsid w:val="004A37A1"/>
    <w:rsid w:val="004A3859"/>
    <w:rsid w:val="004A3952"/>
    <w:rsid w:val="004A3A0D"/>
    <w:rsid w:val="004A3CE8"/>
    <w:rsid w:val="004A3EB8"/>
    <w:rsid w:val="004A3EE6"/>
    <w:rsid w:val="004A3EF6"/>
    <w:rsid w:val="004A403B"/>
    <w:rsid w:val="004A4292"/>
    <w:rsid w:val="004A4358"/>
    <w:rsid w:val="004A44DC"/>
    <w:rsid w:val="004A495E"/>
    <w:rsid w:val="004A4B4A"/>
    <w:rsid w:val="004A4BF2"/>
    <w:rsid w:val="004A4C80"/>
    <w:rsid w:val="004A4DA0"/>
    <w:rsid w:val="004A512F"/>
    <w:rsid w:val="004A5239"/>
    <w:rsid w:val="004A54AE"/>
    <w:rsid w:val="004A571B"/>
    <w:rsid w:val="004A571F"/>
    <w:rsid w:val="004A5946"/>
    <w:rsid w:val="004A5BAB"/>
    <w:rsid w:val="004A619E"/>
    <w:rsid w:val="004A6225"/>
    <w:rsid w:val="004A622B"/>
    <w:rsid w:val="004A628B"/>
    <w:rsid w:val="004A62B2"/>
    <w:rsid w:val="004A6753"/>
    <w:rsid w:val="004A67A1"/>
    <w:rsid w:val="004A690E"/>
    <w:rsid w:val="004A6AFB"/>
    <w:rsid w:val="004A6BC7"/>
    <w:rsid w:val="004A6DDF"/>
    <w:rsid w:val="004A6E07"/>
    <w:rsid w:val="004A6F3E"/>
    <w:rsid w:val="004A6F3F"/>
    <w:rsid w:val="004A6F87"/>
    <w:rsid w:val="004A7050"/>
    <w:rsid w:val="004A7234"/>
    <w:rsid w:val="004A7247"/>
    <w:rsid w:val="004A73A1"/>
    <w:rsid w:val="004A76FD"/>
    <w:rsid w:val="004A77ED"/>
    <w:rsid w:val="004A7811"/>
    <w:rsid w:val="004A7BFD"/>
    <w:rsid w:val="004A7CBA"/>
    <w:rsid w:val="004A7E1A"/>
    <w:rsid w:val="004A7E64"/>
    <w:rsid w:val="004B00BA"/>
    <w:rsid w:val="004B0368"/>
    <w:rsid w:val="004B0494"/>
    <w:rsid w:val="004B091A"/>
    <w:rsid w:val="004B0A87"/>
    <w:rsid w:val="004B0B9B"/>
    <w:rsid w:val="004B0BFF"/>
    <w:rsid w:val="004B0DA0"/>
    <w:rsid w:val="004B0E2C"/>
    <w:rsid w:val="004B0E58"/>
    <w:rsid w:val="004B1101"/>
    <w:rsid w:val="004B114C"/>
    <w:rsid w:val="004B11C7"/>
    <w:rsid w:val="004B1223"/>
    <w:rsid w:val="004B134F"/>
    <w:rsid w:val="004B1465"/>
    <w:rsid w:val="004B154B"/>
    <w:rsid w:val="004B1661"/>
    <w:rsid w:val="004B17D4"/>
    <w:rsid w:val="004B1B61"/>
    <w:rsid w:val="004B1E07"/>
    <w:rsid w:val="004B1F6C"/>
    <w:rsid w:val="004B2110"/>
    <w:rsid w:val="004B232F"/>
    <w:rsid w:val="004B256B"/>
    <w:rsid w:val="004B26ED"/>
    <w:rsid w:val="004B2AB0"/>
    <w:rsid w:val="004B2B6A"/>
    <w:rsid w:val="004B2C93"/>
    <w:rsid w:val="004B2EC3"/>
    <w:rsid w:val="004B2F5B"/>
    <w:rsid w:val="004B30E6"/>
    <w:rsid w:val="004B3124"/>
    <w:rsid w:val="004B32B0"/>
    <w:rsid w:val="004B331B"/>
    <w:rsid w:val="004B360D"/>
    <w:rsid w:val="004B3823"/>
    <w:rsid w:val="004B398B"/>
    <w:rsid w:val="004B3A03"/>
    <w:rsid w:val="004B3D76"/>
    <w:rsid w:val="004B3D8A"/>
    <w:rsid w:val="004B3F1E"/>
    <w:rsid w:val="004B4078"/>
    <w:rsid w:val="004B40FE"/>
    <w:rsid w:val="004B4139"/>
    <w:rsid w:val="004B4195"/>
    <w:rsid w:val="004B451E"/>
    <w:rsid w:val="004B45D7"/>
    <w:rsid w:val="004B4647"/>
    <w:rsid w:val="004B470B"/>
    <w:rsid w:val="004B49C6"/>
    <w:rsid w:val="004B49E8"/>
    <w:rsid w:val="004B4B18"/>
    <w:rsid w:val="004B4BAC"/>
    <w:rsid w:val="004B4D24"/>
    <w:rsid w:val="004B4D25"/>
    <w:rsid w:val="004B4DCB"/>
    <w:rsid w:val="004B4E7E"/>
    <w:rsid w:val="004B4FF8"/>
    <w:rsid w:val="004B504F"/>
    <w:rsid w:val="004B50CB"/>
    <w:rsid w:val="004B51E1"/>
    <w:rsid w:val="004B523A"/>
    <w:rsid w:val="004B532B"/>
    <w:rsid w:val="004B54A1"/>
    <w:rsid w:val="004B54AF"/>
    <w:rsid w:val="004B564E"/>
    <w:rsid w:val="004B5791"/>
    <w:rsid w:val="004B5882"/>
    <w:rsid w:val="004B5897"/>
    <w:rsid w:val="004B5BA6"/>
    <w:rsid w:val="004B5C35"/>
    <w:rsid w:val="004B5E0C"/>
    <w:rsid w:val="004B5E0F"/>
    <w:rsid w:val="004B5E67"/>
    <w:rsid w:val="004B5EB0"/>
    <w:rsid w:val="004B6217"/>
    <w:rsid w:val="004B62E7"/>
    <w:rsid w:val="004B6520"/>
    <w:rsid w:val="004B6568"/>
    <w:rsid w:val="004B6618"/>
    <w:rsid w:val="004B66F2"/>
    <w:rsid w:val="004B68F8"/>
    <w:rsid w:val="004B6902"/>
    <w:rsid w:val="004B6A18"/>
    <w:rsid w:val="004B6BA6"/>
    <w:rsid w:val="004B6D42"/>
    <w:rsid w:val="004B6D82"/>
    <w:rsid w:val="004B6EDF"/>
    <w:rsid w:val="004B6EF8"/>
    <w:rsid w:val="004B6F00"/>
    <w:rsid w:val="004B702D"/>
    <w:rsid w:val="004B704C"/>
    <w:rsid w:val="004B7204"/>
    <w:rsid w:val="004B7724"/>
    <w:rsid w:val="004B7807"/>
    <w:rsid w:val="004B78C6"/>
    <w:rsid w:val="004B78F4"/>
    <w:rsid w:val="004B7C91"/>
    <w:rsid w:val="004B7D06"/>
    <w:rsid w:val="004B7E3E"/>
    <w:rsid w:val="004B7E74"/>
    <w:rsid w:val="004B7F9B"/>
    <w:rsid w:val="004C00C5"/>
    <w:rsid w:val="004C03E8"/>
    <w:rsid w:val="004C062C"/>
    <w:rsid w:val="004C0651"/>
    <w:rsid w:val="004C0783"/>
    <w:rsid w:val="004C0B60"/>
    <w:rsid w:val="004C0BAE"/>
    <w:rsid w:val="004C0C20"/>
    <w:rsid w:val="004C0D12"/>
    <w:rsid w:val="004C0F6F"/>
    <w:rsid w:val="004C15AB"/>
    <w:rsid w:val="004C1878"/>
    <w:rsid w:val="004C19FF"/>
    <w:rsid w:val="004C1C30"/>
    <w:rsid w:val="004C1D08"/>
    <w:rsid w:val="004C1DF8"/>
    <w:rsid w:val="004C1E58"/>
    <w:rsid w:val="004C215A"/>
    <w:rsid w:val="004C217D"/>
    <w:rsid w:val="004C22B6"/>
    <w:rsid w:val="004C22D4"/>
    <w:rsid w:val="004C258D"/>
    <w:rsid w:val="004C286F"/>
    <w:rsid w:val="004C297E"/>
    <w:rsid w:val="004C2A4E"/>
    <w:rsid w:val="004C2B06"/>
    <w:rsid w:val="004C2C04"/>
    <w:rsid w:val="004C2E72"/>
    <w:rsid w:val="004C2FD1"/>
    <w:rsid w:val="004C3146"/>
    <w:rsid w:val="004C31D9"/>
    <w:rsid w:val="004C327B"/>
    <w:rsid w:val="004C3281"/>
    <w:rsid w:val="004C3318"/>
    <w:rsid w:val="004C348C"/>
    <w:rsid w:val="004C3682"/>
    <w:rsid w:val="004C36A2"/>
    <w:rsid w:val="004C36A3"/>
    <w:rsid w:val="004C36BC"/>
    <w:rsid w:val="004C3B30"/>
    <w:rsid w:val="004C3DE0"/>
    <w:rsid w:val="004C3DF7"/>
    <w:rsid w:val="004C3E3B"/>
    <w:rsid w:val="004C40DE"/>
    <w:rsid w:val="004C42F2"/>
    <w:rsid w:val="004C4337"/>
    <w:rsid w:val="004C457C"/>
    <w:rsid w:val="004C4636"/>
    <w:rsid w:val="004C4757"/>
    <w:rsid w:val="004C4B94"/>
    <w:rsid w:val="004C4DC9"/>
    <w:rsid w:val="004C4DFF"/>
    <w:rsid w:val="004C4E19"/>
    <w:rsid w:val="004C4E2F"/>
    <w:rsid w:val="004C4EBB"/>
    <w:rsid w:val="004C5159"/>
    <w:rsid w:val="004C527A"/>
    <w:rsid w:val="004C54A7"/>
    <w:rsid w:val="004C59B8"/>
    <w:rsid w:val="004C59C3"/>
    <w:rsid w:val="004C5A07"/>
    <w:rsid w:val="004C5A28"/>
    <w:rsid w:val="004C5FCA"/>
    <w:rsid w:val="004C605C"/>
    <w:rsid w:val="004C6101"/>
    <w:rsid w:val="004C62B6"/>
    <w:rsid w:val="004C6508"/>
    <w:rsid w:val="004C65B7"/>
    <w:rsid w:val="004C66EC"/>
    <w:rsid w:val="004C6727"/>
    <w:rsid w:val="004C6957"/>
    <w:rsid w:val="004C69AF"/>
    <w:rsid w:val="004C6ABD"/>
    <w:rsid w:val="004C6BB0"/>
    <w:rsid w:val="004C6C2F"/>
    <w:rsid w:val="004C6C69"/>
    <w:rsid w:val="004C6CCF"/>
    <w:rsid w:val="004C6DEF"/>
    <w:rsid w:val="004C6E7E"/>
    <w:rsid w:val="004C713C"/>
    <w:rsid w:val="004C7474"/>
    <w:rsid w:val="004C7552"/>
    <w:rsid w:val="004C7582"/>
    <w:rsid w:val="004C76F6"/>
    <w:rsid w:val="004C7761"/>
    <w:rsid w:val="004C7822"/>
    <w:rsid w:val="004C792F"/>
    <w:rsid w:val="004C7C8E"/>
    <w:rsid w:val="004C7E25"/>
    <w:rsid w:val="004C7F21"/>
    <w:rsid w:val="004C7FDD"/>
    <w:rsid w:val="004C7FE9"/>
    <w:rsid w:val="004D011E"/>
    <w:rsid w:val="004D0194"/>
    <w:rsid w:val="004D01DC"/>
    <w:rsid w:val="004D0287"/>
    <w:rsid w:val="004D02CC"/>
    <w:rsid w:val="004D03B8"/>
    <w:rsid w:val="004D0418"/>
    <w:rsid w:val="004D09A0"/>
    <w:rsid w:val="004D0ACB"/>
    <w:rsid w:val="004D0FF9"/>
    <w:rsid w:val="004D10C3"/>
    <w:rsid w:val="004D1491"/>
    <w:rsid w:val="004D1502"/>
    <w:rsid w:val="004D15F5"/>
    <w:rsid w:val="004D171F"/>
    <w:rsid w:val="004D1A37"/>
    <w:rsid w:val="004D1DDC"/>
    <w:rsid w:val="004D1E9D"/>
    <w:rsid w:val="004D1F3D"/>
    <w:rsid w:val="004D1F99"/>
    <w:rsid w:val="004D2025"/>
    <w:rsid w:val="004D20A4"/>
    <w:rsid w:val="004D22E8"/>
    <w:rsid w:val="004D255C"/>
    <w:rsid w:val="004D2726"/>
    <w:rsid w:val="004D2BF4"/>
    <w:rsid w:val="004D3216"/>
    <w:rsid w:val="004D36D0"/>
    <w:rsid w:val="004D376D"/>
    <w:rsid w:val="004D37D4"/>
    <w:rsid w:val="004D37FF"/>
    <w:rsid w:val="004D3821"/>
    <w:rsid w:val="004D392B"/>
    <w:rsid w:val="004D39B3"/>
    <w:rsid w:val="004D39F4"/>
    <w:rsid w:val="004D3B76"/>
    <w:rsid w:val="004D3E1E"/>
    <w:rsid w:val="004D3F36"/>
    <w:rsid w:val="004D3FAE"/>
    <w:rsid w:val="004D40E4"/>
    <w:rsid w:val="004D433A"/>
    <w:rsid w:val="004D456C"/>
    <w:rsid w:val="004D45BE"/>
    <w:rsid w:val="004D4666"/>
    <w:rsid w:val="004D46C2"/>
    <w:rsid w:val="004D4752"/>
    <w:rsid w:val="004D4985"/>
    <w:rsid w:val="004D4A57"/>
    <w:rsid w:val="004D4B39"/>
    <w:rsid w:val="004D4DBE"/>
    <w:rsid w:val="004D4DEC"/>
    <w:rsid w:val="004D4F5B"/>
    <w:rsid w:val="004D50BD"/>
    <w:rsid w:val="004D512C"/>
    <w:rsid w:val="004D5162"/>
    <w:rsid w:val="004D5189"/>
    <w:rsid w:val="004D5506"/>
    <w:rsid w:val="004D570B"/>
    <w:rsid w:val="004D579A"/>
    <w:rsid w:val="004D5B29"/>
    <w:rsid w:val="004D5B80"/>
    <w:rsid w:val="004D5C7D"/>
    <w:rsid w:val="004D5CF9"/>
    <w:rsid w:val="004D5D18"/>
    <w:rsid w:val="004D5FD6"/>
    <w:rsid w:val="004D6224"/>
    <w:rsid w:val="004D639A"/>
    <w:rsid w:val="004D67EF"/>
    <w:rsid w:val="004D681C"/>
    <w:rsid w:val="004D6856"/>
    <w:rsid w:val="004D68A3"/>
    <w:rsid w:val="004D6A84"/>
    <w:rsid w:val="004D6CD1"/>
    <w:rsid w:val="004D6D08"/>
    <w:rsid w:val="004D6D2E"/>
    <w:rsid w:val="004D6DA6"/>
    <w:rsid w:val="004D6E6A"/>
    <w:rsid w:val="004D6EC8"/>
    <w:rsid w:val="004D6F3C"/>
    <w:rsid w:val="004D6F95"/>
    <w:rsid w:val="004D70C6"/>
    <w:rsid w:val="004D7211"/>
    <w:rsid w:val="004D721E"/>
    <w:rsid w:val="004D73E6"/>
    <w:rsid w:val="004D74ED"/>
    <w:rsid w:val="004D779C"/>
    <w:rsid w:val="004D79CC"/>
    <w:rsid w:val="004D7C3B"/>
    <w:rsid w:val="004D7DFA"/>
    <w:rsid w:val="004D7E7A"/>
    <w:rsid w:val="004D7E83"/>
    <w:rsid w:val="004D7E92"/>
    <w:rsid w:val="004D7F04"/>
    <w:rsid w:val="004D7F86"/>
    <w:rsid w:val="004E072A"/>
    <w:rsid w:val="004E0AF5"/>
    <w:rsid w:val="004E0B44"/>
    <w:rsid w:val="004E0BE9"/>
    <w:rsid w:val="004E0C8B"/>
    <w:rsid w:val="004E0D27"/>
    <w:rsid w:val="004E0DCE"/>
    <w:rsid w:val="004E0FDB"/>
    <w:rsid w:val="004E14AB"/>
    <w:rsid w:val="004E1726"/>
    <w:rsid w:val="004E175B"/>
    <w:rsid w:val="004E179C"/>
    <w:rsid w:val="004E1832"/>
    <w:rsid w:val="004E19F2"/>
    <w:rsid w:val="004E1A3C"/>
    <w:rsid w:val="004E1D7D"/>
    <w:rsid w:val="004E1E89"/>
    <w:rsid w:val="004E22BC"/>
    <w:rsid w:val="004E240A"/>
    <w:rsid w:val="004E245D"/>
    <w:rsid w:val="004E259A"/>
    <w:rsid w:val="004E2668"/>
    <w:rsid w:val="004E2A60"/>
    <w:rsid w:val="004E2B66"/>
    <w:rsid w:val="004E2D02"/>
    <w:rsid w:val="004E2FC1"/>
    <w:rsid w:val="004E31BC"/>
    <w:rsid w:val="004E339F"/>
    <w:rsid w:val="004E33F5"/>
    <w:rsid w:val="004E343E"/>
    <w:rsid w:val="004E3506"/>
    <w:rsid w:val="004E370C"/>
    <w:rsid w:val="004E38A3"/>
    <w:rsid w:val="004E3A2E"/>
    <w:rsid w:val="004E3BCB"/>
    <w:rsid w:val="004E3C89"/>
    <w:rsid w:val="004E3CAB"/>
    <w:rsid w:val="004E3CAF"/>
    <w:rsid w:val="004E3D67"/>
    <w:rsid w:val="004E3F20"/>
    <w:rsid w:val="004E3F45"/>
    <w:rsid w:val="004E41AD"/>
    <w:rsid w:val="004E434E"/>
    <w:rsid w:val="004E43A9"/>
    <w:rsid w:val="004E442D"/>
    <w:rsid w:val="004E4580"/>
    <w:rsid w:val="004E48A5"/>
    <w:rsid w:val="004E499B"/>
    <w:rsid w:val="004E4B7F"/>
    <w:rsid w:val="004E4BD2"/>
    <w:rsid w:val="004E4D07"/>
    <w:rsid w:val="004E4E0A"/>
    <w:rsid w:val="004E4E1A"/>
    <w:rsid w:val="004E517D"/>
    <w:rsid w:val="004E52C7"/>
    <w:rsid w:val="004E5301"/>
    <w:rsid w:val="004E54C0"/>
    <w:rsid w:val="004E5580"/>
    <w:rsid w:val="004E56B7"/>
    <w:rsid w:val="004E57B4"/>
    <w:rsid w:val="004E5896"/>
    <w:rsid w:val="004E596B"/>
    <w:rsid w:val="004E5A83"/>
    <w:rsid w:val="004E5D1A"/>
    <w:rsid w:val="004E5D86"/>
    <w:rsid w:val="004E5DAD"/>
    <w:rsid w:val="004E5E4D"/>
    <w:rsid w:val="004E5FA1"/>
    <w:rsid w:val="004E606E"/>
    <w:rsid w:val="004E6165"/>
    <w:rsid w:val="004E625E"/>
    <w:rsid w:val="004E62E8"/>
    <w:rsid w:val="004E687F"/>
    <w:rsid w:val="004E6A3B"/>
    <w:rsid w:val="004E6B2D"/>
    <w:rsid w:val="004E6BED"/>
    <w:rsid w:val="004E702C"/>
    <w:rsid w:val="004E7176"/>
    <w:rsid w:val="004E71AE"/>
    <w:rsid w:val="004E74BE"/>
    <w:rsid w:val="004E78C4"/>
    <w:rsid w:val="004E7C2A"/>
    <w:rsid w:val="004E7E6D"/>
    <w:rsid w:val="004E7E9A"/>
    <w:rsid w:val="004F00B2"/>
    <w:rsid w:val="004F00CA"/>
    <w:rsid w:val="004F00D2"/>
    <w:rsid w:val="004F0347"/>
    <w:rsid w:val="004F04A9"/>
    <w:rsid w:val="004F06CF"/>
    <w:rsid w:val="004F0728"/>
    <w:rsid w:val="004F077B"/>
    <w:rsid w:val="004F086B"/>
    <w:rsid w:val="004F08AC"/>
    <w:rsid w:val="004F09C2"/>
    <w:rsid w:val="004F0ABF"/>
    <w:rsid w:val="004F0CC7"/>
    <w:rsid w:val="004F0F2E"/>
    <w:rsid w:val="004F0FE0"/>
    <w:rsid w:val="004F0FF1"/>
    <w:rsid w:val="004F10D0"/>
    <w:rsid w:val="004F1152"/>
    <w:rsid w:val="004F1220"/>
    <w:rsid w:val="004F13E0"/>
    <w:rsid w:val="004F157A"/>
    <w:rsid w:val="004F1814"/>
    <w:rsid w:val="004F1ABE"/>
    <w:rsid w:val="004F1DB4"/>
    <w:rsid w:val="004F1ECF"/>
    <w:rsid w:val="004F1FB5"/>
    <w:rsid w:val="004F1FC4"/>
    <w:rsid w:val="004F2202"/>
    <w:rsid w:val="004F22EB"/>
    <w:rsid w:val="004F23E2"/>
    <w:rsid w:val="004F24D3"/>
    <w:rsid w:val="004F26A0"/>
    <w:rsid w:val="004F287B"/>
    <w:rsid w:val="004F2B8B"/>
    <w:rsid w:val="004F2C80"/>
    <w:rsid w:val="004F2D8E"/>
    <w:rsid w:val="004F2D91"/>
    <w:rsid w:val="004F30A3"/>
    <w:rsid w:val="004F30B2"/>
    <w:rsid w:val="004F3382"/>
    <w:rsid w:val="004F3453"/>
    <w:rsid w:val="004F3582"/>
    <w:rsid w:val="004F35B8"/>
    <w:rsid w:val="004F365F"/>
    <w:rsid w:val="004F3728"/>
    <w:rsid w:val="004F3877"/>
    <w:rsid w:val="004F39C5"/>
    <w:rsid w:val="004F3A7F"/>
    <w:rsid w:val="004F3B01"/>
    <w:rsid w:val="004F3ED3"/>
    <w:rsid w:val="004F3F7B"/>
    <w:rsid w:val="004F42F9"/>
    <w:rsid w:val="004F42FF"/>
    <w:rsid w:val="004F43DE"/>
    <w:rsid w:val="004F4459"/>
    <w:rsid w:val="004F47E4"/>
    <w:rsid w:val="004F48BB"/>
    <w:rsid w:val="004F49CF"/>
    <w:rsid w:val="004F4A77"/>
    <w:rsid w:val="004F4AFD"/>
    <w:rsid w:val="004F4B83"/>
    <w:rsid w:val="004F4C4A"/>
    <w:rsid w:val="004F4D86"/>
    <w:rsid w:val="004F4E3E"/>
    <w:rsid w:val="004F4E4C"/>
    <w:rsid w:val="004F5124"/>
    <w:rsid w:val="004F52D3"/>
    <w:rsid w:val="004F5878"/>
    <w:rsid w:val="004F58A5"/>
    <w:rsid w:val="004F58EB"/>
    <w:rsid w:val="004F5A36"/>
    <w:rsid w:val="004F5B32"/>
    <w:rsid w:val="004F5B7A"/>
    <w:rsid w:val="004F5BCB"/>
    <w:rsid w:val="004F5C41"/>
    <w:rsid w:val="004F5D69"/>
    <w:rsid w:val="004F5E44"/>
    <w:rsid w:val="004F5F10"/>
    <w:rsid w:val="004F60C9"/>
    <w:rsid w:val="004F60E2"/>
    <w:rsid w:val="004F6148"/>
    <w:rsid w:val="004F62D6"/>
    <w:rsid w:val="004F649D"/>
    <w:rsid w:val="004F658E"/>
    <w:rsid w:val="004F6867"/>
    <w:rsid w:val="004F6AEB"/>
    <w:rsid w:val="004F6C9A"/>
    <w:rsid w:val="004F6C9F"/>
    <w:rsid w:val="004F6CCF"/>
    <w:rsid w:val="004F7154"/>
    <w:rsid w:val="004F71A8"/>
    <w:rsid w:val="004F72F5"/>
    <w:rsid w:val="004F73FC"/>
    <w:rsid w:val="004F75B0"/>
    <w:rsid w:val="004F761B"/>
    <w:rsid w:val="004F76AF"/>
    <w:rsid w:val="004F77B6"/>
    <w:rsid w:val="004F78B6"/>
    <w:rsid w:val="004F79EE"/>
    <w:rsid w:val="004F7B79"/>
    <w:rsid w:val="004F7BE0"/>
    <w:rsid w:val="004F7BF7"/>
    <w:rsid w:val="004F7D0F"/>
    <w:rsid w:val="005001F4"/>
    <w:rsid w:val="00500382"/>
    <w:rsid w:val="00500442"/>
    <w:rsid w:val="00500483"/>
    <w:rsid w:val="005005E1"/>
    <w:rsid w:val="005005FD"/>
    <w:rsid w:val="00500679"/>
    <w:rsid w:val="00500E80"/>
    <w:rsid w:val="00501096"/>
    <w:rsid w:val="00501150"/>
    <w:rsid w:val="005013B6"/>
    <w:rsid w:val="005013BE"/>
    <w:rsid w:val="005013FF"/>
    <w:rsid w:val="00501536"/>
    <w:rsid w:val="00501788"/>
    <w:rsid w:val="005017C5"/>
    <w:rsid w:val="00501C29"/>
    <w:rsid w:val="00501CE0"/>
    <w:rsid w:val="00501E4A"/>
    <w:rsid w:val="00502548"/>
    <w:rsid w:val="005025CF"/>
    <w:rsid w:val="00502761"/>
    <w:rsid w:val="005029A4"/>
    <w:rsid w:val="00502A9B"/>
    <w:rsid w:val="00502BFA"/>
    <w:rsid w:val="00502E79"/>
    <w:rsid w:val="005035A9"/>
    <w:rsid w:val="0050366D"/>
    <w:rsid w:val="0050387C"/>
    <w:rsid w:val="00503894"/>
    <w:rsid w:val="00503B31"/>
    <w:rsid w:val="00503BE9"/>
    <w:rsid w:val="00503C22"/>
    <w:rsid w:val="00503C6D"/>
    <w:rsid w:val="00503DDE"/>
    <w:rsid w:val="00503EC3"/>
    <w:rsid w:val="005043A6"/>
    <w:rsid w:val="005045AE"/>
    <w:rsid w:val="0050463C"/>
    <w:rsid w:val="005049C9"/>
    <w:rsid w:val="00504E68"/>
    <w:rsid w:val="00505111"/>
    <w:rsid w:val="00505128"/>
    <w:rsid w:val="00505233"/>
    <w:rsid w:val="005052BB"/>
    <w:rsid w:val="005053A7"/>
    <w:rsid w:val="005054EA"/>
    <w:rsid w:val="00505551"/>
    <w:rsid w:val="005056E8"/>
    <w:rsid w:val="005057BD"/>
    <w:rsid w:val="005057D0"/>
    <w:rsid w:val="005059C9"/>
    <w:rsid w:val="00505BEB"/>
    <w:rsid w:val="00505F17"/>
    <w:rsid w:val="00506186"/>
    <w:rsid w:val="00506390"/>
    <w:rsid w:val="0050646A"/>
    <w:rsid w:val="0050669A"/>
    <w:rsid w:val="00506910"/>
    <w:rsid w:val="0050691A"/>
    <w:rsid w:val="005069A6"/>
    <w:rsid w:val="005069AB"/>
    <w:rsid w:val="005069FF"/>
    <w:rsid w:val="00506A96"/>
    <w:rsid w:val="00506AAF"/>
    <w:rsid w:val="00506BB2"/>
    <w:rsid w:val="005070F1"/>
    <w:rsid w:val="00507107"/>
    <w:rsid w:val="00507150"/>
    <w:rsid w:val="00507501"/>
    <w:rsid w:val="005076AA"/>
    <w:rsid w:val="00507828"/>
    <w:rsid w:val="00507BC6"/>
    <w:rsid w:val="00507E32"/>
    <w:rsid w:val="00510226"/>
    <w:rsid w:val="005102F1"/>
    <w:rsid w:val="005103CA"/>
    <w:rsid w:val="0051049B"/>
    <w:rsid w:val="0051076B"/>
    <w:rsid w:val="00510789"/>
    <w:rsid w:val="00510A56"/>
    <w:rsid w:val="00510A7A"/>
    <w:rsid w:val="00510AD9"/>
    <w:rsid w:val="00510D22"/>
    <w:rsid w:val="00510D87"/>
    <w:rsid w:val="00510E4F"/>
    <w:rsid w:val="00510EDD"/>
    <w:rsid w:val="005110C4"/>
    <w:rsid w:val="0051137A"/>
    <w:rsid w:val="005113CE"/>
    <w:rsid w:val="0051146D"/>
    <w:rsid w:val="0051153E"/>
    <w:rsid w:val="00511808"/>
    <w:rsid w:val="00511AF2"/>
    <w:rsid w:val="00511C59"/>
    <w:rsid w:val="00511C7E"/>
    <w:rsid w:val="00511D4A"/>
    <w:rsid w:val="00511E23"/>
    <w:rsid w:val="00511F5D"/>
    <w:rsid w:val="0051230E"/>
    <w:rsid w:val="00512312"/>
    <w:rsid w:val="00512380"/>
    <w:rsid w:val="00512428"/>
    <w:rsid w:val="0051246D"/>
    <w:rsid w:val="00512780"/>
    <w:rsid w:val="00512B02"/>
    <w:rsid w:val="00512CA1"/>
    <w:rsid w:val="005135AA"/>
    <w:rsid w:val="005136A6"/>
    <w:rsid w:val="005137FA"/>
    <w:rsid w:val="00513835"/>
    <w:rsid w:val="0051385F"/>
    <w:rsid w:val="00513890"/>
    <w:rsid w:val="005138C5"/>
    <w:rsid w:val="0051396B"/>
    <w:rsid w:val="00513A56"/>
    <w:rsid w:val="00513B73"/>
    <w:rsid w:val="00513C24"/>
    <w:rsid w:val="00513C3F"/>
    <w:rsid w:val="00513DFD"/>
    <w:rsid w:val="00513E1F"/>
    <w:rsid w:val="00513FC5"/>
    <w:rsid w:val="0051402D"/>
    <w:rsid w:val="005140C7"/>
    <w:rsid w:val="005143D4"/>
    <w:rsid w:val="005146EE"/>
    <w:rsid w:val="005146F2"/>
    <w:rsid w:val="00514711"/>
    <w:rsid w:val="00514738"/>
    <w:rsid w:val="005147B4"/>
    <w:rsid w:val="00514803"/>
    <w:rsid w:val="005148CC"/>
    <w:rsid w:val="005149B9"/>
    <w:rsid w:val="00514E55"/>
    <w:rsid w:val="00514EEF"/>
    <w:rsid w:val="005150CC"/>
    <w:rsid w:val="005150CD"/>
    <w:rsid w:val="0051510E"/>
    <w:rsid w:val="005151A4"/>
    <w:rsid w:val="005152CB"/>
    <w:rsid w:val="0051536D"/>
    <w:rsid w:val="00515539"/>
    <w:rsid w:val="00515703"/>
    <w:rsid w:val="0051597C"/>
    <w:rsid w:val="00515B5A"/>
    <w:rsid w:val="00515C93"/>
    <w:rsid w:val="00515F7D"/>
    <w:rsid w:val="00516210"/>
    <w:rsid w:val="0051623B"/>
    <w:rsid w:val="00516270"/>
    <w:rsid w:val="005162B8"/>
    <w:rsid w:val="005162E9"/>
    <w:rsid w:val="00516432"/>
    <w:rsid w:val="00516589"/>
    <w:rsid w:val="005167D6"/>
    <w:rsid w:val="005168D7"/>
    <w:rsid w:val="00516909"/>
    <w:rsid w:val="0051694B"/>
    <w:rsid w:val="00516D3A"/>
    <w:rsid w:val="00516E52"/>
    <w:rsid w:val="00517035"/>
    <w:rsid w:val="0051727A"/>
    <w:rsid w:val="0051727E"/>
    <w:rsid w:val="005179E6"/>
    <w:rsid w:val="005179FC"/>
    <w:rsid w:val="00517AB2"/>
    <w:rsid w:val="00517B20"/>
    <w:rsid w:val="00517E66"/>
    <w:rsid w:val="00520071"/>
    <w:rsid w:val="00520149"/>
    <w:rsid w:val="0052018E"/>
    <w:rsid w:val="0052038A"/>
    <w:rsid w:val="005203DB"/>
    <w:rsid w:val="005204A4"/>
    <w:rsid w:val="0052060F"/>
    <w:rsid w:val="00520672"/>
    <w:rsid w:val="00520760"/>
    <w:rsid w:val="005207DE"/>
    <w:rsid w:val="00520843"/>
    <w:rsid w:val="00520957"/>
    <w:rsid w:val="00520B53"/>
    <w:rsid w:val="00520CF1"/>
    <w:rsid w:val="00521297"/>
    <w:rsid w:val="00521298"/>
    <w:rsid w:val="0052137C"/>
    <w:rsid w:val="0052144E"/>
    <w:rsid w:val="0052156F"/>
    <w:rsid w:val="0052176A"/>
    <w:rsid w:val="00521842"/>
    <w:rsid w:val="00521910"/>
    <w:rsid w:val="00521BEF"/>
    <w:rsid w:val="00521CBA"/>
    <w:rsid w:val="00521DB7"/>
    <w:rsid w:val="00521E12"/>
    <w:rsid w:val="00521E3E"/>
    <w:rsid w:val="00521E9D"/>
    <w:rsid w:val="00521F2E"/>
    <w:rsid w:val="005222FA"/>
    <w:rsid w:val="00522371"/>
    <w:rsid w:val="005224A1"/>
    <w:rsid w:val="00522953"/>
    <w:rsid w:val="00522C13"/>
    <w:rsid w:val="00522CD0"/>
    <w:rsid w:val="00522D2F"/>
    <w:rsid w:val="00522F0D"/>
    <w:rsid w:val="00522F11"/>
    <w:rsid w:val="0052371F"/>
    <w:rsid w:val="005238E2"/>
    <w:rsid w:val="00523B73"/>
    <w:rsid w:val="00523BED"/>
    <w:rsid w:val="00523D11"/>
    <w:rsid w:val="00523E57"/>
    <w:rsid w:val="00523E8C"/>
    <w:rsid w:val="00523F02"/>
    <w:rsid w:val="00523F57"/>
    <w:rsid w:val="00523FCD"/>
    <w:rsid w:val="00524003"/>
    <w:rsid w:val="0052408E"/>
    <w:rsid w:val="005241AA"/>
    <w:rsid w:val="0052456A"/>
    <w:rsid w:val="00524B10"/>
    <w:rsid w:val="00524B8A"/>
    <w:rsid w:val="00524BEF"/>
    <w:rsid w:val="00524DAD"/>
    <w:rsid w:val="00524F33"/>
    <w:rsid w:val="00524F5D"/>
    <w:rsid w:val="0052503C"/>
    <w:rsid w:val="00525331"/>
    <w:rsid w:val="00525393"/>
    <w:rsid w:val="00525415"/>
    <w:rsid w:val="00525511"/>
    <w:rsid w:val="0052584A"/>
    <w:rsid w:val="00525A15"/>
    <w:rsid w:val="00525DD5"/>
    <w:rsid w:val="00525E37"/>
    <w:rsid w:val="00526012"/>
    <w:rsid w:val="0052605E"/>
    <w:rsid w:val="005261DE"/>
    <w:rsid w:val="0052669D"/>
    <w:rsid w:val="005268AB"/>
    <w:rsid w:val="005268B7"/>
    <w:rsid w:val="0052691F"/>
    <w:rsid w:val="00526987"/>
    <w:rsid w:val="005269F4"/>
    <w:rsid w:val="00526BF9"/>
    <w:rsid w:val="00526C9F"/>
    <w:rsid w:val="00526CE0"/>
    <w:rsid w:val="00526DC0"/>
    <w:rsid w:val="00526DD0"/>
    <w:rsid w:val="00526F91"/>
    <w:rsid w:val="0052707D"/>
    <w:rsid w:val="005270F1"/>
    <w:rsid w:val="00527176"/>
    <w:rsid w:val="00527207"/>
    <w:rsid w:val="0052727E"/>
    <w:rsid w:val="005272CC"/>
    <w:rsid w:val="0052744B"/>
    <w:rsid w:val="0052751E"/>
    <w:rsid w:val="00527543"/>
    <w:rsid w:val="0052775C"/>
    <w:rsid w:val="005277F4"/>
    <w:rsid w:val="005279AA"/>
    <w:rsid w:val="00527F4F"/>
    <w:rsid w:val="00527FA6"/>
    <w:rsid w:val="00527FB7"/>
    <w:rsid w:val="00530092"/>
    <w:rsid w:val="00530376"/>
    <w:rsid w:val="0053038F"/>
    <w:rsid w:val="005304EA"/>
    <w:rsid w:val="00530596"/>
    <w:rsid w:val="005309D7"/>
    <w:rsid w:val="00530AB7"/>
    <w:rsid w:val="00530FB4"/>
    <w:rsid w:val="00530FF7"/>
    <w:rsid w:val="0053116F"/>
    <w:rsid w:val="00531545"/>
    <w:rsid w:val="0053181E"/>
    <w:rsid w:val="0053182A"/>
    <w:rsid w:val="0053182C"/>
    <w:rsid w:val="00531855"/>
    <w:rsid w:val="005319F8"/>
    <w:rsid w:val="00531B3A"/>
    <w:rsid w:val="00531BD2"/>
    <w:rsid w:val="00531CA1"/>
    <w:rsid w:val="00531E26"/>
    <w:rsid w:val="00531F5C"/>
    <w:rsid w:val="00531FA1"/>
    <w:rsid w:val="00531FB3"/>
    <w:rsid w:val="00531FB8"/>
    <w:rsid w:val="00532049"/>
    <w:rsid w:val="00532114"/>
    <w:rsid w:val="00532175"/>
    <w:rsid w:val="0053230F"/>
    <w:rsid w:val="0053236A"/>
    <w:rsid w:val="00532446"/>
    <w:rsid w:val="0053250C"/>
    <w:rsid w:val="005325A8"/>
    <w:rsid w:val="005325B3"/>
    <w:rsid w:val="00532644"/>
    <w:rsid w:val="00532A65"/>
    <w:rsid w:val="00532DF3"/>
    <w:rsid w:val="00532ED9"/>
    <w:rsid w:val="00532F4E"/>
    <w:rsid w:val="00533279"/>
    <w:rsid w:val="0053339B"/>
    <w:rsid w:val="00533573"/>
    <w:rsid w:val="00533615"/>
    <w:rsid w:val="00533647"/>
    <w:rsid w:val="005337EC"/>
    <w:rsid w:val="00533889"/>
    <w:rsid w:val="005339E9"/>
    <w:rsid w:val="00533A0F"/>
    <w:rsid w:val="00533AC4"/>
    <w:rsid w:val="00533B00"/>
    <w:rsid w:val="00533B99"/>
    <w:rsid w:val="00533BDA"/>
    <w:rsid w:val="00533C49"/>
    <w:rsid w:val="00533CD4"/>
    <w:rsid w:val="00533CEF"/>
    <w:rsid w:val="00533D45"/>
    <w:rsid w:val="00533F71"/>
    <w:rsid w:val="00533FBC"/>
    <w:rsid w:val="00533FCB"/>
    <w:rsid w:val="00534239"/>
    <w:rsid w:val="00534267"/>
    <w:rsid w:val="00534360"/>
    <w:rsid w:val="00534449"/>
    <w:rsid w:val="00534649"/>
    <w:rsid w:val="0053475A"/>
    <w:rsid w:val="00534D69"/>
    <w:rsid w:val="00534DCD"/>
    <w:rsid w:val="00534E91"/>
    <w:rsid w:val="00534F42"/>
    <w:rsid w:val="005350AA"/>
    <w:rsid w:val="005353A8"/>
    <w:rsid w:val="0053558A"/>
    <w:rsid w:val="00535898"/>
    <w:rsid w:val="00535B43"/>
    <w:rsid w:val="00535D4D"/>
    <w:rsid w:val="00535E16"/>
    <w:rsid w:val="00535F73"/>
    <w:rsid w:val="0053607D"/>
    <w:rsid w:val="005360E0"/>
    <w:rsid w:val="005360F7"/>
    <w:rsid w:val="005361A1"/>
    <w:rsid w:val="00536351"/>
    <w:rsid w:val="0053638B"/>
    <w:rsid w:val="005363A8"/>
    <w:rsid w:val="00536491"/>
    <w:rsid w:val="005366A4"/>
    <w:rsid w:val="00536853"/>
    <w:rsid w:val="005368A3"/>
    <w:rsid w:val="005369E8"/>
    <w:rsid w:val="00536C9A"/>
    <w:rsid w:val="00536DE0"/>
    <w:rsid w:val="005371BB"/>
    <w:rsid w:val="00537756"/>
    <w:rsid w:val="00537AA3"/>
    <w:rsid w:val="00537B33"/>
    <w:rsid w:val="00537BAF"/>
    <w:rsid w:val="00540055"/>
    <w:rsid w:val="005401AC"/>
    <w:rsid w:val="0054036C"/>
    <w:rsid w:val="00540413"/>
    <w:rsid w:val="0054048E"/>
    <w:rsid w:val="005404EA"/>
    <w:rsid w:val="0054054D"/>
    <w:rsid w:val="005407B5"/>
    <w:rsid w:val="005409FF"/>
    <w:rsid w:val="00540C6F"/>
    <w:rsid w:val="00540D98"/>
    <w:rsid w:val="00540DBC"/>
    <w:rsid w:val="00541054"/>
    <w:rsid w:val="005412B9"/>
    <w:rsid w:val="00541318"/>
    <w:rsid w:val="00541322"/>
    <w:rsid w:val="00541628"/>
    <w:rsid w:val="005418C3"/>
    <w:rsid w:val="00541935"/>
    <w:rsid w:val="00541A48"/>
    <w:rsid w:val="00541B06"/>
    <w:rsid w:val="00541B0C"/>
    <w:rsid w:val="00541B39"/>
    <w:rsid w:val="00541C44"/>
    <w:rsid w:val="00541EA1"/>
    <w:rsid w:val="00541F7E"/>
    <w:rsid w:val="00542027"/>
    <w:rsid w:val="005421B1"/>
    <w:rsid w:val="005424B1"/>
    <w:rsid w:val="0054262B"/>
    <w:rsid w:val="00542857"/>
    <w:rsid w:val="005428CB"/>
    <w:rsid w:val="005429C1"/>
    <w:rsid w:val="005429C2"/>
    <w:rsid w:val="00542A45"/>
    <w:rsid w:val="00542CE4"/>
    <w:rsid w:val="00542DFD"/>
    <w:rsid w:val="00542E62"/>
    <w:rsid w:val="00542F89"/>
    <w:rsid w:val="0054320C"/>
    <w:rsid w:val="00543278"/>
    <w:rsid w:val="00543290"/>
    <w:rsid w:val="005433B7"/>
    <w:rsid w:val="005433CD"/>
    <w:rsid w:val="0054361E"/>
    <w:rsid w:val="005436AB"/>
    <w:rsid w:val="005436C1"/>
    <w:rsid w:val="00543A56"/>
    <w:rsid w:val="00543A90"/>
    <w:rsid w:val="00543BCB"/>
    <w:rsid w:val="00543C38"/>
    <w:rsid w:val="00543E52"/>
    <w:rsid w:val="00543E65"/>
    <w:rsid w:val="00543E6D"/>
    <w:rsid w:val="00543FAD"/>
    <w:rsid w:val="00544463"/>
    <w:rsid w:val="00544531"/>
    <w:rsid w:val="0054467B"/>
    <w:rsid w:val="005448F4"/>
    <w:rsid w:val="005448F7"/>
    <w:rsid w:val="005449BE"/>
    <w:rsid w:val="00544A48"/>
    <w:rsid w:val="00544AB4"/>
    <w:rsid w:val="00544C40"/>
    <w:rsid w:val="00544D68"/>
    <w:rsid w:val="00544E95"/>
    <w:rsid w:val="00544F5D"/>
    <w:rsid w:val="00545021"/>
    <w:rsid w:val="00545053"/>
    <w:rsid w:val="005450F8"/>
    <w:rsid w:val="005451C1"/>
    <w:rsid w:val="005453E0"/>
    <w:rsid w:val="0054554A"/>
    <w:rsid w:val="00545777"/>
    <w:rsid w:val="0054596C"/>
    <w:rsid w:val="00545A31"/>
    <w:rsid w:val="00545A6B"/>
    <w:rsid w:val="00545C8B"/>
    <w:rsid w:val="00545EE1"/>
    <w:rsid w:val="00545F5D"/>
    <w:rsid w:val="00546270"/>
    <w:rsid w:val="005462CD"/>
    <w:rsid w:val="00546496"/>
    <w:rsid w:val="00546724"/>
    <w:rsid w:val="00546797"/>
    <w:rsid w:val="005467E6"/>
    <w:rsid w:val="005468D6"/>
    <w:rsid w:val="005468D9"/>
    <w:rsid w:val="00546A87"/>
    <w:rsid w:val="00546B4C"/>
    <w:rsid w:val="00546D8C"/>
    <w:rsid w:val="00546DC0"/>
    <w:rsid w:val="00546F47"/>
    <w:rsid w:val="0054769E"/>
    <w:rsid w:val="0054769F"/>
    <w:rsid w:val="005476AC"/>
    <w:rsid w:val="0054779C"/>
    <w:rsid w:val="0054792E"/>
    <w:rsid w:val="005479DE"/>
    <w:rsid w:val="00547A2F"/>
    <w:rsid w:val="00547BD4"/>
    <w:rsid w:val="00547E53"/>
    <w:rsid w:val="005502D7"/>
    <w:rsid w:val="005503B2"/>
    <w:rsid w:val="005504D9"/>
    <w:rsid w:val="005505E1"/>
    <w:rsid w:val="005505EF"/>
    <w:rsid w:val="00550661"/>
    <w:rsid w:val="00550806"/>
    <w:rsid w:val="00550A5B"/>
    <w:rsid w:val="00550C34"/>
    <w:rsid w:val="00550DFD"/>
    <w:rsid w:val="005510B6"/>
    <w:rsid w:val="005510BC"/>
    <w:rsid w:val="0055115F"/>
    <w:rsid w:val="00551238"/>
    <w:rsid w:val="00551381"/>
    <w:rsid w:val="00551546"/>
    <w:rsid w:val="005515DC"/>
    <w:rsid w:val="00551600"/>
    <w:rsid w:val="0055163D"/>
    <w:rsid w:val="005517EE"/>
    <w:rsid w:val="00551838"/>
    <w:rsid w:val="00551902"/>
    <w:rsid w:val="00551A5A"/>
    <w:rsid w:val="00551ABF"/>
    <w:rsid w:val="00551CE4"/>
    <w:rsid w:val="00551D69"/>
    <w:rsid w:val="00551F6C"/>
    <w:rsid w:val="00551FC0"/>
    <w:rsid w:val="00552155"/>
    <w:rsid w:val="00552437"/>
    <w:rsid w:val="005524E9"/>
    <w:rsid w:val="00552541"/>
    <w:rsid w:val="005525F5"/>
    <w:rsid w:val="005527E4"/>
    <w:rsid w:val="00552916"/>
    <w:rsid w:val="005529EE"/>
    <w:rsid w:val="00552A5F"/>
    <w:rsid w:val="00552D70"/>
    <w:rsid w:val="00552E3B"/>
    <w:rsid w:val="00552EA9"/>
    <w:rsid w:val="00552F9A"/>
    <w:rsid w:val="005531C5"/>
    <w:rsid w:val="00553286"/>
    <w:rsid w:val="00553516"/>
    <w:rsid w:val="00553741"/>
    <w:rsid w:val="0055376F"/>
    <w:rsid w:val="0055391B"/>
    <w:rsid w:val="00553AA8"/>
    <w:rsid w:val="00553ADF"/>
    <w:rsid w:val="00553E23"/>
    <w:rsid w:val="00554248"/>
    <w:rsid w:val="0055430E"/>
    <w:rsid w:val="00554732"/>
    <w:rsid w:val="00554970"/>
    <w:rsid w:val="00554985"/>
    <w:rsid w:val="0055499E"/>
    <w:rsid w:val="00554C42"/>
    <w:rsid w:val="00554FDA"/>
    <w:rsid w:val="005551BE"/>
    <w:rsid w:val="0055546A"/>
    <w:rsid w:val="00555509"/>
    <w:rsid w:val="005557FE"/>
    <w:rsid w:val="00555A0F"/>
    <w:rsid w:val="00555A81"/>
    <w:rsid w:val="00555B6C"/>
    <w:rsid w:val="00555C35"/>
    <w:rsid w:val="00555DAC"/>
    <w:rsid w:val="00555E70"/>
    <w:rsid w:val="00555E7A"/>
    <w:rsid w:val="0055612B"/>
    <w:rsid w:val="005561BD"/>
    <w:rsid w:val="00556251"/>
    <w:rsid w:val="00556258"/>
    <w:rsid w:val="0055627B"/>
    <w:rsid w:val="00556559"/>
    <w:rsid w:val="005565A6"/>
    <w:rsid w:val="00556697"/>
    <w:rsid w:val="005568F5"/>
    <w:rsid w:val="00556957"/>
    <w:rsid w:val="00556C03"/>
    <w:rsid w:val="00556E43"/>
    <w:rsid w:val="00556EBB"/>
    <w:rsid w:val="00556EBD"/>
    <w:rsid w:val="00556EC6"/>
    <w:rsid w:val="00556F29"/>
    <w:rsid w:val="00557598"/>
    <w:rsid w:val="00557781"/>
    <w:rsid w:val="005577B2"/>
    <w:rsid w:val="005577EE"/>
    <w:rsid w:val="005579B4"/>
    <w:rsid w:val="005579DD"/>
    <w:rsid w:val="00557CAB"/>
    <w:rsid w:val="00557E02"/>
    <w:rsid w:val="00560061"/>
    <w:rsid w:val="005600A8"/>
    <w:rsid w:val="0056017A"/>
    <w:rsid w:val="005604BF"/>
    <w:rsid w:val="0056060F"/>
    <w:rsid w:val="005607AC"/>
    <w:rsid w:val="00560BE4"/>
    <w:rsid w:val="00560C66"/>
    <w:rsid w:val="00560CE9"/>
    <w:rsid w:val="00560CEF"/>
    <w:rsid w:val="00561192"/>
    <w:rsid w:val="00561282"/>
    <w:rsid w:val="005612BA"/>
    <w:rsid w:val="00561346"/>
    <w:rsid w:val="00561415"/>
    <w:rsid w:val="00561804"/>
    <w:rsid w:val="00561852"/>
    <w:rsid w:val="005619D7"/>
    <w:rsid w:val="00561AC5"/>
    <w:rsid w:val="00561B3F"/>
    <w:rsid w:val="00561B60"/>
    <w:rsid w:val="00561CBB"/>
    <w:rsid w:val="00561DA8"/>
    <w:rsid w:val="005620CF"/>
    <w:rsid w:val="0056217B"/>
    <w:rsid w:val="005621BA"/>
    <w:rsid w:val="005621BD"/>
    <w:rsid w:val="0056220C"/>
    <w:rsid w:val="005622AB"/>
    <w:rsid w:val="005623F4"/>
    <w:rsid w:val="005624AD"/>
    <w:rsid w:val="005627F3"/>
    <w:rsid w:val="00562839"/>
    <w:rsid w:val="00562A4C"/>
    <w:rsid w:val="00562B74"/>
    <w:rsid w:val="00562B9C"/>
    <w:rsid w:val="00562BAA"/>
    <w:rsid w:val="00562C6A"/>
    <w:rsid w:val="00562C7B"/>
    <w:rsid w:val="005632BD"/>
    <w:rsid w:val="00563509"/>
    <w:rsid w:val="00563640"/>
    <w:rsid w:val="005637E8"/>
    <w:rsid w:val="00563849"/>
    <w:rsid w:val="00563911"/>
    <w:rsid w:val="00563976"/>
    <w:rsid w:val="00563A42"/>
    <w:rsid w:val="00563AA0"/>
    <w:rsid w:val="00563AC4"/>
    <w:rsid w:val="00563AFC"/>
    <w:rsid w:val="00563B65"/>
    <w:rsid w:val="00563E93"/>
    <w:rsid w:val="00564389"/>
    <w:rsid w:val="00564482"/>
    <w:rsid w:val="005645BB"/>
    <w:rsid w:val="00564652"/>
    <w:rsid w:val="00564780"/>
    <w:rsid w:val="0056495E"/>
    <w:rsid w:val="00564A20"/>
    <w:rsid w:val="00564A29"/>
    <w:rsid w:val="00564A89"/>
    <w:rsid w:val="00564C62"/>
    <w:rsid w:val="00564C6A"/>
    <w:rsid w:val="00564CF3"/>
    <w:rsid w:val="00564D7E"/>
    <w:rsid w:val="00564E21"/>
    <w:rsid w:val="00564EE3"/>
    <w:rsid w:val="00564FBE"/>
    <w:rsid w:val="00564FFC"/>
    <w:rsid w:val="00565119"/>
    <w:rsid w:val="005652C3"/>
    <w:rsid w:val="005652C7"/>
    <w:rsid w:val="0056540A"/>
    <w:rsid w:val="00565442"/>
    <w:rsid w:val="005654F6"/>
    <w:rsid w:val="005657F5"/>
    <w:rsid w:val="0056592D"/>
    <w:rsid w:val="00565A74"/>
    <w:rsid w:val="00565CB8"/>
    <w:rsid w:val="00565F26"/>
    <w:rsid w:val="00565F9F"/>
    <w:rsid w:val="00566127"/>
    <w:rsid w:val="0056612B"/>
    <w:rsid w:val="00566131"/>
    <w:rsid w:val="00566208"/>
    <w:rsid w:val="00566B99"/>
    <w:rsid w:val="00566F5F"/>
    <w:rsid w:val="005670BD"/>
    <w:rsid w:val="005670E6"/>
    <w:rsid w:val="00567325"/>
    <w:rsid w:val="005673D8"/>
    <w:rsid w:val="00567424"/>
    <w:rsid w:val="005674D8"/>
    <w:rsid w:val="00567590"/>
    <w:rsid w:val="005675DD"/>
    <w:rsid w:val="005676B4"/>
    <w:rsid w:val="00567891"/>
    <w:rsid w:val="005678A7"/>
    <w:rsid w:val="00567B41"/>
    <w:rsid w:val="00567E09"/>
    <w:rsid w:val="00567FBA"/>
    <w:rsid w:val="005702EC"/>
    <w:rsid w:val="00570301"/>
    <w:rsid w:val="005704BE"/>
    <w:rsid w:val="00570921"/>
    <w:rsid w:val="00570C0D"/>
    <w:rsid w:val="00570F8A"/>
    <w:rsid w:val="00571073"/>
    <w:rsid w:val="0057117A"/>
    <w:rsid w:val="005712A9"/>
    <w:rsid w:val="00571835"/>
    <w:rsid w:val="00571F3F"/>
    <w:rsid w:val="00572153"/>
    <w:rsid w:val="00572370"/>
    <w:rsid w:val="0057277B"/>
    <w:rsid w:val="005729C4"/>
    <w:rsid w:val="00572AF5"/>
    <w:rsid w:val="00572CEF"/>
    <w:rsid w:val="00572D06"/>
    <w:rsid w:val="00572D4E"/>
    <w:rsid w:val="00572D90"/>
    <w:rsid w:val="00572FAB"/>
    <w:rsid w:val="005731FD"/>
    <w:rsid w:val="005734B4"/>
    <w:rsid w:val="005734BC"/>
    <w:rsid w:val="0057366B"/>
    <w:rsid w:val="00573686"/>
    <w:rsid w:val="005736F1"/>
    <w:rsid w:val="0057374F"/>
    <w:rsid w:val="00573858"/>
    <w:rsid w:val="00573B1B"/>
    <w:rsid w:val="00573CF3"/>
    <w:rsid w:val="00573D7D"/>
    <w:rsid w:val="00573D9D"/>
    <w:rsid w:val="00573F68"/>
    <w:rsid w:val="0057408F"/>
    <w:rsid w:val="005741ED"/>
    <w:rsid w:val="00574287"/>
    <w:rsid w:val="005742BA"/>
    <w:rsid w:val="005745E0"/>
    <w:rsid w:val="00574B46"/>
    <w:rsid w:val="00574B74"/>
    <w:rsid w:val="00574C4F"/>
    <w:rsid w:val="00574CDB"/>
    <w:rsid w:val="00574F69"/>
    <w:rsid w:val="0057513F"/>
    <w:rsid w:val="0057514D"/>
    <w:rsid w:val="00575155"/>
    <w:rsid w:val="005752B2"/>
    <w:rsid w:val="00575369"/>
    <w:rsid w:val="0057543F"/>
    <w:rsid w:val="00575628"/>
    <w:rsid w:val="00575772"/>
    <w:rsid w:val="005759E6"/>
    <w:rsid w:val="00575C79"/>
    <w:rsid w:val="00575D86"/>
    <w:rsid w:val="00575DE4"/>
    <w:rsid w:val="00576331"/>
    <w:rsid w:val="0057658F"/>
    <w:rsid w:val="005765CD"/>
    <w:rsid w:val="00576829"/>
    <w:rsid w:val="00576BF5"/>
    <w:rsid w:val="00576E4B"/>
    <w:rsid w:val="00577191"/>
    <w:rsid w:val="00577202"/>
    <w:rsid w:val="0057729D"/>
    <w:rsid w:val="005774FA"/>
    <w:rsid w:val="0057769B"/>
    <w:rsid w:val="00577763"/>
    <w:rsid w:val="00577824"/>
    <w:rsid w:val="005779A9"/>
    <w:rsid w:val="00577A2E"/>
    <w:rsid w:val="00577A69"/>
    <w:rsid w:val="00577DCE"/>
    <w:rsid w:val="00577FA7"/>
    <w:rsid w:val="0058036A"/>
    <w:rsid w:val="00580378"/>
    <w:rsid w:val="005804FA"/>
    <w:rsid w:val="0058056C"/>
    <w:rsid w:val="005809DB"/>
    <w:rsid w:val="00580A6B"/>
    <w:rsid w:val="00580B45"/>
    <w:rsid w:val="00580ED1"/>
    <w:rsid w:val="00581170"/>
    <w:rsid w:val="00581184"/>
    <w:rsid w:val="0058132F"/>
    <w:rsid w:val="00581369"/>
    <w:rsid w:val="00581553"/>
    <w:rsid w:val="005815F5"/>
    <w:rsid w:val="00581635"/>
    <w:rsid w:val="0058174E"/>
    <w:rsid w:val="00581759"/>
    <w:rsid w:val="005817FB"/>
    <w:rsid w:val="00581862"/>
    <w:rsid w:val="00581870"/>
    <w:rsid w:val="0058188B"/>
    <w:rsid w:val="0058192B"/>
    <w:rsid w:val="00581C34"/>
    <w:rsid w:val="00581D69"/>
    <w:rsid w:val="00581E74"/>
    <w:rsid w:val="00582113"/>
    <w:rsid w:val="005827D3"/>
    <w:rsid w:val="00582A36"/>
    <w:rsid w:val="00582A8F"/>
    <w:rsid w:val="00582B46"/>
    <w:rsid w:val="00582F66"/>
    <w:rsid w:val="005830B4"/>
    <w:rsid w:val="005833E3"/>
    <w:rsid w:val="005836CB"/>
    <w:rsid w:val="00583705"/>
    <w:rsid w:val="005837BD"/>
    <w:rsid w:val="005838B3"/>
    <w:rsid w:val="00583C56"/>
    <w:rsid w:val="0058407F"/>
    <w:rsid w:val="00584719"/>
    <w:rsid w:val="005847DF"/>
    <w:rsid w:val="0058485D"/>
    <w:rsid w:val="005848A5"/>
    <w:rsid w:val="00584A7C"/>
    <w:rsid w:val="00584AB9"/>
    <w:rsid w:val="00584C7B"/>
    <w:rsid w:val="00584D76"/>
    <w:rsid w:val="00584E16"/>
    <w:rsid w:val="00584F86"/>
    <w:rsid w:val="00585001"/>
    <w:rsid w:val="005850F5"/>
    <w:rsid w:val="00585129"/>
    <w:rsid w:val="005852CD"/>
    <w:rsid w:val="005855EB"/>
    <w:rsid w:val="0058564D"/>
    <w:rsid w:val="00585689"/>
    <w:rsid w:val="00585791"/>
    <w:rsid w:val="00585915"/>
    <w:rsid w:val="00585BA6"/>
    <w:rsid w:val="00585C22"/>
    <w:rsid w:val="00585DCA"/>
    <w:rsid w:val="00585DF1"/>
    <w:rsid w:val="00585F8F"/>
    <w:rsid w:val="00585FAB"/>
    <w:rsid w:val="0058601D"/>
    <w:rsid w:val="00586102"/>
    <w:rsid w:val="0058621B"/>
    <w:rsid w:val="005863A8"/>
    <w:rsid w:val="0058654C"/>
    <w:rsid w:val="0058658C"/>
    <w:rsid w:val="00586787"/>
    <w:rsid w:val="0058689B"/>
    <w:rsid w:val="00586BB5"/>
    <w:rsid w:val="00586C92"/>
    <w:rsid w:val="00587434"/>
    <w:rsid w:val="00587498"/>
    <w:rsid w:val="005874DC"/>
    <w:rsid w:val="00587654"/>
    <w:rsid w:val="00587933"/>
    <w:rsid w:val="005879A0"/>
    <w:rsid w:val="005879A3"/>
    <w:rsid w:val="00587A14"/>
    <w:rsid w:val="00587B4C"/>
    <w:rsid w:val="00587C52"/>
    <w:rsid w:val="00587D9E"/>
    <w:rsid w:val="00590140"/>
    <w:rsid w:val="00590164"/>
    <w:rsid w:val="0059043B"/>
    <w:rsid w:val="00590457"/>
    <w:rsid w:val="00590483"/>
    <w:rsid w:val="005904A4"/>
    <w:rsid w:val="0059065C"/>
    <w:rsid w:val="00590736"/>
    <w:rsid w:val="00590989"/>
    <w:rsid w:val="00590B22"/>
    <w:rsid w:val="00590C56"/>
    <w:rsid w:val="00590CBD"/>
    <w:rsid w:val="00590F58"/>
    <w:rsid w:val="0059108F"/>
    <w:rsid w:val="00591162"/>
    <w:rsid w:val="00591354"/>
    <w:rsid w:val="00591360"/>
    <w:rsid w:val="005914D1"/>
    <w:rsid w:val="00591663"/>
    <w:rsid w:val="005918DE"/>
    <w:rsid w:val="005923FB"/>
    <w:rsid w:val="0059267A"/>
    <w:rsid w:val="005926D6"/>
    <w:rsid w:val="00592943"/>
    <w:rsid w:val="00592995"/>
    <w:rsid w:val="00592CB0"/>
    <w:rsid w:val="00592D56"/>
    <w:rsid w:val="00592FA8"/>
    <w:rsid w:val="00593166"/>
    <w:rsid w:val="00593216"/>
    <w:rsid w:val="00593227"/>
    <w:rsid w:val="005932B7"/>
    <w:rsid w:val="005933D2"/>
    <w:rsid w:val="00593689"/>
    <w:rsid w:val="00593978"/>
    <w:rsid w:val="005939AB"/>
    <w:rsid w:val="00593BD0"/>
    <w:rsid w:val="00593CCC"/>
    <w:rsid w:val="00593EB6"/>
    <w:rsid w:val="00593F1E"/>
    <w:rsid w:val="00593F76"/>
    <w:rsid w:val="0059400B"/>
    <w:rsid w:val="00594142"/>
    <w:rsid w:val="0059439D"/>
    <w:rsid w:val="00594413"/>
    <w:rsid w:val="00594489"/>
    <w:rsid w:val="00594532"/>
    <w:rsid w:val="005945E9"/>
    <w:rsid w:val="005947FF"/>
    <w:rsid w:val="00594840"/>
    <w:rsid w:val="00594979"/>
    <w:rsid w:val="00594A1C"/>
    <w:rsid w:val="00594A69"/>
    <w:rsid w:val="00594B31"/>
    <w:rsid w:val="00594B7E"/>
    <w:rsid w:val="00594CCF"/>
    <w:rsid w:val="00594EC2"/>
    <w:rsid w:val="00594EDA"/>
    <w:rsid w:val="00594FE2"/>
    <w:rsid w:val="005952C4"/>
    <w:rsid w:val="0059534B"/>
    <w:rsid w:val="005953C7"/>
    <w:rsid w:val="00595453"/>
    <w:rsid w:val="00595727"/>
    <w:rsid w:val="0059579C"/>
    <w:rsid w:val="0059586C"/>
    <w:rsid w:val="00595948"/>
    <w:rsid w:val="00595AD1"/>
    <w:rsid w:val="00595B03"/>
    <w:rsid w:val="00595B2A"/>
    <w:rsid w:val="00595BF4"/>
    <w:rsid w:val="00595C8B"/>
    <w:rsid w:val="00595DD0"/>
    <w:rsid w:val="00595DF9"/>
    <w:rsid w:val="00595FB6"/>
    <w:rsid w:val="00596298"/>
    <w:rsid w:val="005962F2"/>
    <w:rsid w:val="00596302"/>
    <w:rsid w:val="00596793"/>
    <w:rsid w:val="00596831"/>
    <w:rsid w:val="00596EFA"/>
    <w:rsid w:val="00596F87"/>
    <w:rsid w:val="00597174"/>
    <w:rsid w:val="00597747"/>
    <w:rsid w:val="00597952"/>
    <w:rsid w:val="00597957"/>
    <w:rsid w:val="00597A45"/>
    <w:rsid w:val="00597AED"/>
    <w:rsid w:val="00597E37"/>
    <w:rsid w:val="00597E68"/>
    <w:rsid w:val="00597FA8"/>
    <w:rsid w:val="005A0166"/>
    <w:rsid w:val="005A0374"/>
    <w:rsid w:val="005A066D"/>
    <w:rsid w:val="005A07CE"/>
    <w:rsid w:val="005A0AF9"/>
    <w:rsid w:val="005A1295"/>
    <w:rsid w:val="005A12AF"/>
    <w:rsid w:val="005A12E3"/>
    <w:rsid w:val="005A12F5"/>
    <w:rsid w:val="005A1879"/>
    <w:rsid w:val="005A1905"/>
    <w:rsid w:val="005A1B0D"/>
    <w:rsid w:val="005A1C4C"/>
    <w:rsid w:val="005A1DAA"/>
    <w:rsid w:val="005A20C1"/>
    <w:rsid w:val="005A2232"/>
    <w:rsid w:val="005A2405"/>
    <w:rsid w:val="005A24AA"/>
    <w:rsid w:val="005A2604"/>
    <w:rsid w:val="005A26CA"/>
    <w:rsid w:val="005A298A"/>
    <w:rsid w:val="005A29C6"/>
    <w:rsid w:val="005A2B09"/>
    <w:rsid w:val="005A2B88"/>
    <w:rsid w:val="005A2CF1"/>
    <w:rsid w:val="005A2CF9"/>
    <w:rsid w:val="005A2D44"/>
    <w:rsid w:val="005A2DDA"/>
    <w:rsid w:val="005A2EEF"/>
    <w:rsid w:val="005A2F3A"/>
    <w:rsid w:val="005A306A"/>
    <w:rsid w:val="005A31B4"/>
    <w:rsid w:val="005A3209"/>
    <w:rsid w:val="005A334F"/>
    <w:rsid w:val="005A352D"/>
    <w:rsid w:val="005A3595"/>
    <w:rsid w:val="005A35C6"/>
    <w:rsid w:val="005A373F"/>
    <w:rsid w:val="005A37D6"/>
    <w:rsid w:val="005A382F"/>
    <w:rsid w:val="005A391D"/>
    <w:rsid w:val="005A3CA7"/>
    <w:rsid w:val="005A3DEF"/>
    <w:rsid w:val="005A3E50"/>
    <w:rsid w:val="005A3F61"/>
    <w:rsid w:val="005A409C"/>
    <w:rsid w:val="005A40BD"/>
    <w:rsid w:val="005A40CB"/>
    <w:rsid w:val="005A41F2"/>
    <w:rsid w:val="005A4262"/>
    <w:rsid w:val="005A441E"/>
    <w:rsid w:val="005A466B"/>
    <w:rsid w:val="005A47E5"/>
    <w:rsid w:val="005A4876"/>
    <w:rsid w:val="005A491F"/>
    <w:rsid w:val="005A4A50"/>
    <w:rsid w:val="005A4A77"/>
    <w:rsid w:val="005A4DFD"/>
    <w:rsid w:val="005A4E3D"/>
    <w:rsid w:val="005A4F81"/>
    <w:rsid w:val="005A5078"/>
    <w:rsid w:val="005A50BE"/>
    <w:rsid w:val="005A51C0"/>
    <w:rsid w:val="005A5306"/>
    <w:rsid w:val="005A5719"/>
    <w:rsid w:val="005A5AEE"/>
    <w:rsid w:val="005A5BAF"/>
    <w:rsid w:val="005A5CE4"/>
    <w:rsid w:val="005A5E16"/>
    <w:rsid w:val="005A606F"/>
    <w:rsid w:val="005A6099"/>
    <w:rsid w:val="005A60E8"/>
    <w:rsid w:val="005A61D7"/>
    <w:rsid w:val="005A6407"/>
    <w:rsid w:val="005A67E0"/>
    <w:rsid w:val="005A6901"/>
    <w:rsid w:val="005A6A71"/>
    <w:rsid w:val="005A6B8C"/>
    <w:rsid w:val="005A6C73"/>
    <w:rsid w:val="005A6C90"/>
    <w:rsid w:val="005A6CF4"/>
    <w:rsid w:val="005A6E10"/>
    <w:rsid w:val="005A6FF5"/>
    <w:rsid w:val="005A701C"/>
    <w:rsid w:val="005A7136"/>
    <w:rsid w:val="005A7293"/>
    <w:rsid w:val="005A72DD"/>
    <w:rsid w:val="005A74B1"/>
    <w:rsid w:val="005A7514"/>
    <w:rsid w:val="005A761C"/>
    <w:rsid w:val="005A767A"/>
    <w:rsid w:val="005A79B4"/>
    <w:rsid w:val="005A7AB0"/>
    <w:rsid w:val="005A7CF5"/>
    <w:rsid w:val="005A7F4D"/>
    <w:rsid w:val="005A7FB9"/>
    <w:rsid w:val="005B0069"/>
    <w:rsid w:val="005B02BF"/>
    <w:rsid w:val="005B033D"/>
    <w:rsid w:val="005B0371"/>
    <w:rsid w:val="005B03D3"/>
    <w:rsid w:val="005B0517"/>
    <w:rsid w:val="005B065E"/>
    <w:rsid w:val="005B0705"/>
    <w:rsid w:val="005B0782"/>
    <w:rsid w:val="005B09DC"/>
    <w:rsid w:val="005B0B39"/>
    <w:rsid w:val="005B0CF8"/>
    <w:rsid w:val="005B0DB1"/>
    <w:rsid w:val="005B0E78"/>
    <w:rsid w:val="005B1017"/>
    <w:rsid w:val="005B113D"/>
    <w:rsid w:val="005B1191"/>
    <w:rsid w:val="005B1268"/>
    <w:rsid w:val="005B134F"/>
    <w:rsid w:val="005B15E9"/>
    <w:rsid w:val="005B1B82"/>
    <w:rsid w:val="005B1E12"/>
    <w:rsid w:val="005B2118"/>
    <w:rsid w:val="005B2477"/>
    <w:rsid w:val="005B25E1"/>
    <w:rsid w:val="005B265E"/>
    <w:rsid w:val="005B27B6"/>
    <w:rsid w:val="005B2909"/>
    <w:rsid w:val="005B29BD"/>
    <w:rsid w:val="005B2B10"/>
    <w:rsid w:val="005B2D73"/>
    <w:rsid w:val="005B2DBA"/>
    <w:rsid w:val="005B2DCF"/>
    <w:rsid w:val="005B2F72"/>
    <w:rsid w:val="005B2F84"/>
    <w:rsid w:val="005B2FD7"/>
    <w:rsid w:val="005B338A"/>
    <w:rsid w:val="005B338D"/>
    <w:rsid w:val="005B35AE"/>
    <w:rsid w:val="005B395B"/>
    <w:rsid w:val="005B395F"/>
    <w:rsid w:val="005B3B2F"/>
    <w:rsid w:val="005B3D90"/>
    <w:rsid w:val="005B3E76"/>
    <w:rsid w:val="005B40C4"/>
    <w:rsid w:val="005B40D9"/>
    <w:rsid w:val="005B4114"/>
    <w:rsid w:val="005B425E"/>
    <w:rsid w:val="005B4401"/>
    <w:rsid w:val="005B45C6"/>
    <w:rsid w:val="005B4609"/>
    <w:rsid w:val="005B46D4"/>
    <w:rsid w:val="005B4B4F"/>
    <w:rsid w:val="005B4B9D"/>
    <w:rsid w:val="005B4C8F"/>
    <w:rsid w:val="005B4D0E"/>
    <w:rsid w:val="005B4FB6"/>
    <w:rsid w:val="005B502E"/>
    <w:rsid w:val="005B509F"/>
    <w:rsid w:val="005B526D"/>
    <w:rsid w:val="005B5658"/>
    <w:rsid w:val="005B5804"/>
    <w:rsid w:val="005B58D2"/>
    <w:rsid w:val="005B59EC"/>
    <w:rsid w:val="005B5B23"/>
    <w:rsid w:val="005B5BB1"/>
    <w:rsid w:val="005B5C82"/>
    <w:rsid w:val="005B5CFB"/>
    <w:rsid w:val="005B60F6"/>
    <w:rsid w:val="005B628E"/>
    <w:rsid w:val="005B62CC"/>
    <w:rsid w:val="005B63A4"/>
    <w:rsid w:val="005B6526"/>
    <w:rsid w:val="005B6546"/>
    <w:rsid w:val="005B67AB"/>
    <w:rsid w:val="005B67F0"/>
    <w:rsid w:val="005B6813"/>
    <w:rsid w:val="005B68B2"/>
    <w:rsid w:val="005B6A86"/>
    <w:rsid w:val="005B6AB7"/>
    <w:rsid w:val="005B6F46"/>
    <w:rsid w:val="005B7292"/>
    <w:rsid w:val="005B75CE"/>
    <w:rsid w:val="005B7604"/>
    <w:rsid w:val="005B777F"/>
    <w:rsid w:val="005B782B"/>
    <w:rsid w:val="005B7891"/>
    <w:rsid w:val="005B7A55"/>
    <w:rsid w:val="005B7BE5"/>
    <w:rsid w:val="005B7E38"/>
    <w:rsid w:val="005C009D"/>
    <w:rsid w:val="005C0105"/>
    <w:rsid w:val="005C02DB"/>
    <w:rsid w:val="005C0431"/>
    <w:rsid w:val="005C0661"/>
    <w:rsid w:val="005C0761"/>
    <w:rsid w:val="005C0B27"/>
    <w:rsid w:val="005C0BD7"/>
    <w:rsid w:val="005C0F66"/>
    <w:rsid w:val="005C0F90"/>
    <w:rsid w:val="005C1234"/>
    <w:rsid w:val="005C1300"/>
    <w:rsid w:val="005C1645"/>
    <w:rsid w:val="005C1651"/>
    <w:rsid w:val="005C17E3"/>
    <w:rsid w:val="005C1807"/>
    <w:rsid w:val="005C191F"/>
    <w:rsid w:val="005C212B"/>
    <w:rsid w:val="005C23BA"/>
    <w:rsid w:val="005C2462"/>
    <w:rsid w:val="005C24F1"/>
    <w:rsid w:val="005C2613"/>
    <w:rsid w:val="005C2639"/>
    <w:rsid w:val="005C2672"/>
    <w:rsid w:val="005C2695"/>
    <w:rsid w:val="005C26C0"/>
    <w:rsid w:val="005C26D0"/>
    <w:rsid w:val="005C28A0"/>
    <w:rsid w:val="005C2A2F"/>
    <w:rsid w:val="005C2A44"/>
    <w:rsid w:val="005C2ADF"/>
    <w:rsid w:val="005C2B84"/>
    <w:rsid w:val="005C2E52"/>
    <w:rsid w:val="005C2F5E"/>
    <w:rsid w:val="005C309C"/>
    <w:rsid w:val="005C30FC"/>
    <w:rsid w:val="005C3188"/>
    <w:rsid w:val="005C32A2"/>
    <w:rsid w:val="005C32F2"/>
    <w:rsid w:val="005C3664"/>
    <w:rsid w:val="005C371C"/>
    <w:rsid w:val="005C381F"/>
    <w:rsid w:val="005C3911"/>
    <w:rsid w:val="005C3C9D"/>
    <w:rsid w:val="005C3CD4"/>
    <w:rsid w:val="005C3EC0"/>
    <w:rsid w:val="005C3F54"/>
    <w:rsid w:val="005C3F64"/>
    <w:rsid w:val="005C41B1"/>
    <w:rsid w:val="005C4222"/>
    <w:rsid w:val="005C499A"/>
    <w:rsid w:val="005C49AB"/>
    <w:rsid w:val="005C4D45"/>
    <w:rsid w:val="005C4D8C"/>
    <w:rsid w:val="005C4F20"/>
    <w:rsid w:val="005C5137"/>
    <w:rsid w:val="005C5159"/>
    <w:rsid w:val="005C5249"/>
    <w:rsid w:val="005C530E"/>
    <w:rsid w:val="005C5623"/>
    <w:rsid w:val="005C567A"/>
    <w:rsid w:val="005C57FF"/>
    <w:rsid w:val="005C59D0"/>
    <w:rsid w:val="005C5A3E"/>
    <w:rsid w:val="005C5C3C"/>
    <w:rsid w:val="005C5C7A"/>
    <w:rsid w:val="005C6165"/>
    <w:rsid w:val="005C632E"/>
    <w:rsid w:val="005C659B"/>
    <w:rsid w:val="005C6627"/>
    <w:rsid w:val="005C662E"/>
    <w:rsid w:val="005C66AD"/>
    <w:rsid w:val="005C673A"/>
    <w:rsid w:val="005C67B1"/>
    <w:rsid w:val="005C6998"/>
    <w:rsid w:val="005C6A25"/>
    <w:rsid w:val="005C6BCA"/>
    <w:rsid w:val="005C6BD8"/>
    <w:rsid w:val="005C6C5E"/>
    <w:rsid w:val="005C6CE8"/>
    <w:rsid w:val="005C7010"/>
    <w:rsid w:val="005C71A6"/>
    <w:rsid w:val="005C737F"/>
    <w:rsid w:val="005C74BC"/>
    <w:rsid w:val="005C7569"/>
    <w:rsid w:val="005C76A9"/>
    <w:rsid w:val="005C7814"/>
    <w:rsid w:val="005C78EB"/>
    <w:rsid w:val="005C7951"/>
    <w:rsid w:val="005C7A33"/>
    <w:rsid w:val="005C7AAB"/>
    <w:rsid w:val="005C7AF5"/>
    <w:rsid w:val="005C7D7C"/>
    <w:rsid w:val="005C7E1F"/>
    <w:rsid w:val="005C7F55"/>
    <w:rsid w:val="005C7FF5"/>
    <w:rsid w:val="005D0030"/>
    <w:rsid w:val="005D00B1"/>
    <w:rsid w:val="005D00DC"/>
    <w:rsid w:val="005D01F4"/>
    <w:rsid w:val="005D0211"/>
    <w:rsid w:val="005D024B"/>
    <w:rsid w:val="005D0271"/>
    <w:rsid w:val="005D0286"/>
    <w:rsid w:val="005D02EF"/>
    <w:rsid w:val="005D07E0"/>
    <w:rsid w:val="005D0860"/>
    <w:rsid w:val="005D086B"/>
    <w:rsid w:val="005D08DE"/>
    <w:rsid w:val="005D09A8"/>
    <w:rsid w:val="005D0A98"/>
    <w:rsid w:val="005D1057"/>
    <w:rsid w:val="005D1192"/>
    <w:rsid w:val="005D139F"/>
    <w:rsid w:val="005D1451"/>
    <w:rsid w:val="005D1660"/>
    <w:rsid w:val="005D1681"/>
    <w:rsid w:val="005D168E"/>
    <w:rsid w:val="005D187D"/>
    <w:rsid w:val="005D217F"/>
    <w:rsid w:val="005D2363"/>
    <w:rsid w:val="005D259C"/>
    <w:rsid w:val="005D25A9"/>
    <w:rsid w:val="005D276F"/>
    <w:rsid w:val="005D27F5"/>
    <w:rsid w:val="005D2931"/>
    <w:rsid w:val="005D2970"/>
    <w:rsid w:val="005D2E73"/>
    <w:rsid w:val="005D33C2"/>
    <w:rsid w:val="005D3580"/>
    <w:rsid w:val="005D36C6"/>
    <w:rsid w:val="005D3A85"/>
    <w:rsid w:val="005D3A98"/>
    <w:rsid w:val="005D3B55"/>
    <w:rsid w:val="005D3BFC"/>
    <w:rsid w:val="005D3C25"/>
    <w:rsid w:val="005D3C7B"/>
    <w:rsid w:val="005D3C95"/>
    <w:rsid w:val="005D3CAA"/>
    <w:rsid w:val="005D3CE2"/>
    <w:rsid w:val="005D3FB9"/>
    <w:rsid w:val="005D4169"/>
    <w:rsid w:val="005D43A9"/>
    <w:rsid w:val="005D466D"/>
    <w:rsid w:val="005D467E"/>
    <w:rsid w:val="005D487A"/>
    <w:rsid w:val="005D4944"/>
    <w:rsid w:val="005D4D35"/>
    <w:rsid w:val="005D4E6E"/>
    <w:rsid w:val="005D4F37"/>
    <w:rsid w:val="005D4F54"/>
    <w:rsid w:val="005D50FC"/>
    <w:rsid w:val="005D519D"/>
    <w:rsid w:val="005D5284"/>
    <w:rsid w:val="005D53AF"/>
    <w:rsid w:val="005D5799"/>
    <w:rsid w:val="005D5B8C"/>
    <w:rsid w:val="005D5B9C"/>
    <w:rsid w:val="005D5CB6"/>
    <w:rsid w:val="005D61A2"/>
    <w:rsid w:val="005D62B8"/>
    <w:rsid w:val="005D6311"/>
    <w:rsid w:val="005D6605"/>
    <w:rsid w:val="005D6796"/>
    <w:rsid w:val="005D6853"/>
    <w:rsid w:val="005D69C4"/>
    <w:rsid w:val="005D6B37"/>
    <w:rsid w:val="005D6CED"/>
    <w:rsid w:val="005D6D37"/>
    <w:rsid w:val="005D6E25"/>
    <w:rsid w:val="005D6E4E"/>
    <w:rsid w:val="005D6F4D"/>
    <w:rsid w:val="005D6F72"/>
    <w:rsid w:val="005D738E"/>
    <w:rsid w:val="005D7495"/>
    <w:rsid w:val="005D76AD"/>
    <w:rsid w:val="005D76E4"/>
    <w:rsid w:val="005D77CC"/>
    <w:rsid w:val="005D7874"/>
    <w:rsid w:val="005D7DDA"/>
    <w:rsid w:val="005D7EB0"/>
    <w:rsid w:val="005D7EB9"/>
    <w:rsid w:val="005D7FC9"/>
    <w:rsid w:val="005E015F"/>
    <w:rsid w:val="005E0162"/>
    <w:rsid w:val="005E026A"/>
    <w:rsid w:val="005E04CE"/>
    <w:rsid w:val="005E053A"/>
    <w:rsid w:val="005E05DD"/>
    <w:rsid w:val="005E06BE"/>
    <w:rsid w:val="005E0946"/>
    <w:rsid w:val="005E0A61"/>
    <w:rsid w:val="005E0AB0"/>
    <w:rsid w:val="005E0B24"/>
    <w:rsid w:val="005E0F06"/>
    <w:rsid w:val="005E0FC0"/>
    <w:rsid w:val="005E1330"/>
    <w:rsid w:val="005E14BA"/>
    <w:rsid w:val="005E1887"/>
    <w:rsid w:val="005E1997"/>
    <w:rsid w:val="005E1CD7"/>
    <w:rsid w:val="005E1EA9"/>
    <w:rsid w:val="005E22C1"/>
    <w:rsid w:val="005E2416"/>
    <w:rsid w:val="005E24C2"/>
    <w:rsid w:val="005E25BB"/>
    <w:rsid w:val="005E264D"/>
    <w:rsid w:val="005E2803"/>
    <w:rsid w:val="005E2865"/>
    <w:rsid w:val="005E2A52"/>
    <w:rsid w:val="005E2C2B"/>
    <w:rsid w:val="005E3172"/>
    <w:rsid w:val="005E324E"/>
    <w:rsid w:val="005E3412"/>
    <w:rsid w:val="005E36E7"/>
    <w:rsid w:val="005E3849"/>
    <w:rsid w:val="005E39A8"/>
    <w:rsid w:val="005E39D9"/>
    <w:rsid w:val="005E3B53"/>
    <w:rsid w:val="005E3B60"/>
    <w:rsid w:val="005E3C4D"/>
    <w:rsid w:val="005E3C8D"/>
    <w:rsid w:val="005E3E55"/>
    <w:rsid w:val="005E3E56"/>
    <w:rsid w:val="005E4093"/>
    <w:rsid w:val="005E42F1"/>
    <w:rsid w:val="005E43AC"/>
    <w:rsid w:val="005E43E3"/>
    <w:rsid w:val="005E45B7"/>
    <w:rsid w:val="005E477D"/>
    <w:rsid w:val="005E4900"/>
    <w:rsid w:val="005E4916"/>
    <w:rsid w:val="005E492B"/>
    <w:rsid w:val="005E4B18"/>
    <w:rsid w:val="005E512E"/>
    <w:rsid w:val="005E5185"/>
    <w:rsid w:val="005E51A2"/>
    <w:rsid w:val="005E51A5"/>
    <w:rsid w:val="005E5209"/>
    <w:rsid w:val="005E545A"/>
    <w:rsid w:val="005E5849"/>
    <w:rsid w:val="005E5963"/>
    <w:rsid w:val="005E5A76"/>
    <w:rsid w:val="005E5BDC"/>
    <w:rsid w:val="005E5DD5"/>
    <w:rsid w:val="005E64C7"/>
    <w:rsid w:val="005E66A5"/>
    <w:rsid w:val="005E6A9C"/>
    <w:rsid w:val="005E6B02"/>
    <w:rsid w:val="005E6B98"/>
    <w:rsid w:val="005E6BD6"/>
    <w:rsid w:val="005E6F05"/>
    <w:rsid w:val="005E6FD7"/>
    <w:rsid w:val="005E7019"/>
    <w:rsid w:val="005E7138"/>
    <w:rsid w:val="005E71A6"/>
    <w:rsid w:val="005E7376"/>
    <w:rsid w:val="005E75A3"/>
    <w:rsid w:val="005E75EC"/>
    <w:rsid w:val="005E763A"/>
    <w:rsid w:val="005E7691"/>
    <w:rsid w:val="005E7751"/>
    <w:rsid w:val="005E791E"/>
    <w:rsid w:val="005E7C4E"/>
    <w:rsid w:val="005E7DB0"/>
    <w:rsid w:val="005F00D7"/>
    <w:rsid w:val="005F01D4"/>
    <w:rsid w:val="005F01F1"/>
    <w:rsid w:val="005F02C4"/>
    <w:rsid w:val="005F0403"/>
    <w:rsid w:val="005F0409"/>
    <w:rsid w:val="005F0769"/>
    <w:rsid w:val="005F09B8"/>
    <w:rsid w:val="005F0BEB"/>
    <w:rsid w:val="005F0C26"/>
    <w:rsid w:val="005F0D63"/>
    <w:rsid w:val="005F0DFA"/>
    <w:rsid w:val="005F0EE9"/>
    <w:rsid w:val="005F10AA"/>
    <w:rsid w:val="005F1102"/>
    <w:rsid w:val="005F11BC"/>
    <w:rsid w:val="005F1250"/>
    <w:rsid w:val="005F14F5"/>
    <w:rsid w:val="005F15D5"/>
    <w:rsid w:val="005F16A9"/>
    <w:rsid w:val="005F1939"/>
    <w:rsid w:val="005F19A6"/>
    <w:rsid w:val="005F1B1B"/>
    <w:rsid w:val="005F1CD5"/>
    <w:rsid w:val="005F1E3B"/>
    <w:rsid w:val="005F2029"/>
    <w:rsid w:val="005F2119"/>
    <w:rsid w:val="005F2228"/>
    <w:rsid w:val="005F253C"/>
    <w:rsid w:val="005F2699"/>
    <w:rsid w:val="005F27CE"/>
    <w:rsid w:val="005F27FB"/>
    <w:rsid w:val="005F29A5"/>
    <w:rsid w:val="005F29BB"/>
    <w:rsid w:val="005F2B43"/>
    <w:rsid w:val="005F2B80"/>
    <w:rsid w:val="005F2C99"/>
    <w:rsid w:val="005F2E25"/>
    <w:rsid w:val="005F2E6E"/>
    <w:rsid w:val="005F2F21"/>
    <w:rsid w:val="005F2F5C"/>
    <w:rsid w:val="005F332D"/>
    <w:rsid w:val="005F33B7"/>
    <w:rsid w:val="005F34A1"/>
    <w:rsid w:val="005F34AE"/>
    <w:rsid w:val="005F35F1"/>
    <w:rsid w:val="005F36CD"/>
    <w:rsid w:val="005F3A46"/>
    <w:rsid w:val="005F3A64"/>
    <w:rsid w:val="005F3AA3"/>
    <w:rsid w:val="005F3C5C"/>
    <w:rsid w:val="005F3EA5"/>
    <w:rsid w:val="005F4199"/>
    <w:rsid w:val="005F420F"/>
    <w:rsid w:val="005F4334"/>
    <w:rsid w:val="005F4417"/>
    <w:rsid w:val="005F450D"/>
    <w:rsid w:val="005F4516"/>
    <w:rsid w:val="005F45A1"/>
    <w:rsid w:val="005F46A8"/>
    <w:rsid w:val="005F46B4"/>
    <w:rsid w:val="005F4853"/>
    <w:rsid w:val="005F4A26"/>
    <w:rsid w:val="005F4B05"/>
    <w:rsid w:val="005F4D29"/>
    <w:rsid w:val="005F4DB0"/>
    <w:rsid w:val="005F4E2A"/>
    <w:rsid w:val="005F4EA1"/>
    <w:rsid w:val="005F5008"/>
    <w:rsid w:val="005F548F"/>
    <w:rsid w:val="005F575D"/>
    <w:rsid w:val="005F59C0"/>
    <w:rsid w:val="005F59EB"/>
    <w:rsid w:val="005F59F1"/>
    <w:rsid w:val="005F5A35"/>
    <w:rsid w:val="005F5ABD"/>
    <w:rsid w:val="005F5D0B"/>
    <w:rsid w:val="005F6013"/>
    <w:rsid w:val="005F61BC"/>
    <w:rsid w:val="005F624A"/>
    <w:rsid w:val="005F624F"/>
    <w:rsid w:val="005F642E"/>
    <w:rsid w:val="005F668C"/>
    <w:rsid w:val="005F67B4"/>
    <w:rsid w:val="005F67F1"/>
    <w:rsid w:val="005F695B"/>
    <w:rsid w:val="005F6AC7"/>
    <w:rsid w:val="005F6C54"/>
    <w:rsid w:val="005F6CDD"/>
    <w:rsid w:val="005F6DFD"/>
    <w:rsid w:val="005F6E71"/>
    <w:rsid w:val="005F7180"/>
    <w:rsid w:val="005F73B5"/>
    <w:rsid w:val="005F74B0"/>
    <w:rsid w:val="005F7545"/>
    <w:rsid w:val="005F7843"/>
    <w:rsid w:val="005F7A7F"/>
    <w:rsid w:val="005F7B3F"/>
    <w:rsid w:val="005F7B54"/>
    <w:rsid w:val="005F7CF8"/>
    <w:rsid w:val="005F7EA8"/>
    <w:rsid w:val="006003B5"/>
    <w:rsid w:val="006004C1"/>
    <w:rsid w:val="006007BA"/>
    <w:rsid w:val="00600AD3"/>
    <w:rsid w:val="00600ADE"/>
    <w:rsid w:val="00600BEF"/>
    <w:rsid w:val="00600F12"/>
    <w:rsid w:val="00600F32"/>
    <w:rsid w:val="00600FF0"/>
    <w:rsid w:val="00600FFE"/>
    <w:rsid w:val="006010C7"/>
    <w:rsid w:val="00601238"/>
    <w:rsid w:val="0060124E"/>
    <w:rsid w:val="00601586"/>
    <w:rsid w:val="006015B1"/>
    <w:rsid w:val="00601624"/>
    <w:rsid w:val="006016B0"/>
    <w:rsid w:val="006018F3"/>
    <w:rsid w:val="00601A4B"/>
    <w:rsid w:val="00601B5C"/>
    <w:rsid w:val="00601E06"/>
    <w:rsid w:val="00602211"/>
    <w:rsid w:val="006023FE"/>
    <w:rsid w:val="006027F4"/>
    <w:rsid w:val="00602ABF"/>
    <w:rsid w:val="00602B23"/>
    <w:rsid w:val="00602B7B"/>
    <w:rsid w:val="00602C3F"/>
    <w:rsid w:val="00602CF2"/>
    <w:rsid w:val="00602E9C"/>
    <w:rsid w:val="006031C7"/>
    <w:rsid w:val="00603388"/>
    <w:rsid w:val="006033ED"/>
    <w:rsid w:val="006034FD"/>
    <w:rsid w:val="0060351E"/>
    <w:rsid w:val="0060373E"/>
    <w:rsid w:val="00603824"/>
    <w:rsid w:val="00603862"/>
    <w:rsid w:val="00603D8E"/>
    <w:rsid w:val="00604025"/>
    <w:rsid w:val="0060407A"/>
    <w:rsid w:val="0060414F"/>
    <w:rsid w:val="006042C7"/>
    <w:rsid w:val="0060487B"/>
    <w:rsid w:val="006049FB"/>
    <w:rsid w:val="00604A72"/>
    <w:rsid w:val="00604B59"/>
    <w:rsid w:val="00604FE9"/>
    <w:rsid w:val="00605068"/>
    <w:rsid w:val="0060507E"/>
    <w:rsid w:val="00605283"/>
    <w:rsid w:val="006052D1"/>
    <w:rsid w:val="00605399"/>
    <w:rsid w:val="0060548D"/>
    <w:rsid w:val="006054DA"/>
    <w:rsid w:val="00605553"/>
    <w:rsid w:val="0060556B"/>
    <w:rsid w:val="0060565E"/>
    <w:rsid w:val="00605677"/>
    <w:rsid w:val="006056D7"/>
    <w:rsid w:val="006057B8"/>
    <w:rsid w:val="006058EE"/>
    <w:rsid w:val="00605BFD"/>
    <w:rsid w:val="00605C4B"/>
    <w:rsid w:val="00605D47"/>
    <w:rsid w:val="00605D83"/>
    <w:rsid w:val="00605D8F"/>
    <w:rsid w:val="00605DA0"/>
    <w:rsid w:val="00605DE8"/>
    <w:rsid w:val="00605E7A"/>
    <w:rsid w:val="00605ECE"/>
    <w:rsid w:val="00606431"/>
    <w:rsid w:val="00606917"/>
    <w:rsid w:val="0060696A"/>
    <w:rsid w:val="00606D0F"/>
    <w:rsid w:val="00606DC0"/>
    <w:rsid w:val="00606F5C"/>
    <w:rsid w:val="00606FCD"/>
    <w:rsid w:val="00607262"/>
    <w:rsid w:val="0060738E"/>
    <w:rsid w:val="00607547"/>
    <w:rsid w:val="0060793C"/>
    <w:rsid w:val="00607A43"/>
    <w:rsid w:val="00607A60"/>
    <w:rsid w:val="00607AE5"/>
    <w:rsid w:val="00607C2E"/>
    <w:rsid w:val="00607C9E"/>
    <w:rsid w:val="00610061"/>
    <w:rsid w:val="00610112"/>
    <w:rsid w:val="006101F2"/>
    <w:rsid w:val="00610251"/>
    <w:rsid w:val="00610326"/>
    <w:rsid w:val="00610583"/>
    <w:rsid w:val="00610584"/>
    <w:rsid w:val="00610992"/>
    <w:rsid w:val="00610C65"/>
    <w:rsid w:val="00610E06"/>
    <w:rsid w:val="00610E64"/>
    <w:rsid w:val="00610F81"/>
    <w:rsid w:val="0061124E"/>
    <w:rsid w:val="00611413"/>
    <w:rsid w:val="00611497"/>
    <w:rsid w:val="006114CC"/>
    <w:rsid w:val="0061150A"/>
    <w:rsid w:val="0061156F"/>
    <w:rsid w:val="00611593"/>
    <w:rsid w:val="00611778"/>
    <w:rsid w:val="00611C2D"/>
    <w:rsid w:val="00611C4B"/>
    <w:rsid w:val="00611C4F"/>
    <w:rsid w:val="00611D41"/>
    <w:rsid w:val="00611DC8"/>
    <w:rsid w:val="00611F56"/>
    <w:rsid w:val="00611F90"/>
    <w:rsid w:val="00611FEC"/>
    <w:rsid w:val="006121AA"/>
    <w:rsid w:val="006121EC"/>
    <w:rsid w:val="00612272"/>
    <w:rsid w:val="00612346"/>
    <w:rsid w:val="0061274A"/>
    <w:rsid w:val="0061275E"/>
    <w:rsid w:val="006127DE"/>
    <w:rsid w:val="006128A5"/>
    <w:rsid w:val="00612A91"/>
    <w:rsid w:val="00612CD1"/>
    <w:rsid w:val="00612E7D"/>
    <w:rsid w:val="0061304D"/>
    <w:rsid w:val="00613081"/>
    <w:rsid w:val="00613194"/>
    <w:rsid w:val="006131F8"/>
    <w:rsid w:val="006133D4"/>
    <w:rsid w:val="006134D4"/>
    <w:rsid w:val="006134F2"/>
    <w:rsid w:val="006135AC"/>
    <w:rsid w:val="00613822"/>
    <w:rsid w:val="00613B13"/>
    <w:rsid w:val="00613CB3"/>
    <w:rsid w:val="00613EE7"/>
    <w:rsid w:val="00613F01"/>
    <w:rsid w:val="00613F3B"/>
    <w:rsid w:val="00614195"/>
    <w:rsid w:val="00614945"/>
    <w:rsid w:val="00614CB0"/>
    <w:rsid w:val="00614F5B"/>
    <w:rsid w:val="00614FAC"/>
    <w:rsid w:val="006150C1"/>
    <w:rsid w:val="0061547E"/>
    <w:rsid w:val="00615754"/>
    <w:rsid w:val="0061577C"/>
    <w:rsid w:val="00615957"/>
    <w:rsid w:val="00615B58"/>
    <w:rsid w:val="00615C4F"/>
    <w:rsid w:val="00615CB9"/>
    <w:rsid w:val="00615DCA"/>
    <w:rsid w:val="00615E6E"/>
    <w:rsid w:val="00616226"/>
    <w:rsid w:val="00616319"/>
    <w:rsid w:val="00616329"/>
    <w:rsid w:val="00616557"/>
    <w:rsid w:val="006167AA"/>
    <w:rsid w:val="006168EA"/>
    <w:rsid w:val="00616A68"/>
    <w:rsid w:val="00616B1D"/>
    <w:rsid w:val="00616B3A"/>
    <w:rsid w:val="00616BA4"/>
    <w:rsid w:val="00616BAD"/>
    <w:rsid w:val="00616BD0"/>
    <w:rsid w:val="00616D82"/>
    <w:rsid w:val="00616E33"/>
    <w:rsid w:val="00616F78"/>
    <w:rsid w:val="00616F9B"/>
    <w:rsid w:val="006170DB"/>
    <w:rsid w:val="0061714C"/>
    <w:rsid w:val="00617154"/>
    <w:rsid w:val="0061733E"/>
    <w:rsid w:val="006174FB"/>
    <w:rsid w:val="006176B6"/>
    <w:rsid w:val="006176CC"/>
    <w:rsid w:val="006177CB"/>
    <w:rsid w:val="00617B12"/>
    <w:rsid w:val="00617BDF"/>
    <w:rsid w:val="00617E4D"/>
    <w:rsid w:val="00617E52"/>
    <w:rsid w:val="00617E88"/>
    <w:rsid w:val="00617F55"/>
    <w:rsid w:val="00617FF3"/>
    <w:rsid w:val="0062005F"/>
    <w:rsid w:val="00620075"/>
    <w:rsid w:val="0062027C"/>
    <w:rsid w:val="00620679"/>
    <w:rsid w:val="0062091C"/>
    <w:rsid w:val="0062099F"/>
    <w:rsid w:val="00620A80"/>
    <w:rsid w:val="00620B05"/>
    <w:rsid w:val="00620DB9"/>
    <w:rsid w:val="00620E7D"/>
    <w:rsid w:val="00620EAA"/>
    <w:rsid w:val="00621008"/>
    <w:rsid w:val="006210E0"/>
    <w:rsid w:val="006212B8"/>
    <w:rsid w:val="006216B4"/>
    <w:rsid w:val="0062175E"/>
    <w:rsid w:val="0062190C"/>
    <w:rsid w:val="00621A48"/>
    <w:rsid w:val="00621C27"/>
    <w:rsid w:val="00621CD4"/>
    <w:rsid w:val="00621D00"/>
    <w:rsid w:val="0062224B"/>
    <w:rsid w:val="006222C4"/>
    <w:rsid w:val="00622345"/>
    <w:rsid w:val="0062238C"/>
    <w:rsid w:val="006223A8"/>
    <w:rsid w:val="00622A71"/>
    <w:rsid w:val="006230CB"/>
    <w:rsid w:val="00623360"/>
    <w:rsid w:val="0062342D"/>
    <w:rsid w:val="0062356F"/>
    <w:rsid w:val="006235D4"/>
    <w:rsid w:val="0062398C"/>
    <w:rsid w:val="006239BA"/>
    <w:rsid w:val="00623A7B"/>
    <w:rsid w:val="00623B37"/>
    <w:rsid w:val="00623C08"/>
    <w:rsid w:val="00623C45"/>
    <w:rsid w:val="00623C8D"/>
    <w:rsid w:val="00623D50"/>
    <w:rsid w:val="00623E35"/>
    <w:rsid w:val="00623F71"/>
    <w:rsid w:val="00624268"/>
    <w:rsid w:val="006242C9"/>
    <w:rsid w:val="0062435B"/>
    <w:rsid w:val="00624448"/>
    <w:rsid w:val="006244A9"/>
    <w:rsid w:val="00624BE9"/>
    <w:rsid w:val="00624DEC"/>
    <w:rsid w:val="00624FF6"/>
    <w:rsid w:val="00625014"/>
    <w:rsid w:val="00625176"/>
    <w:rsid w:val="0062518B"/>
    <w:rsid w:val="00625213"/>
    <w:rsid w:val="00625225"/>
    <w:rsid w:val="0062528F"/>
    <w:rsid w:val="00625598"/>
    <w:rsid w:val="006255E1"/>
    <w:rsid w:val="0062572E"/>
    <w:rsid w:val="00625894"/>
    <w:rsid w:val="00625953"/>
    <w:rsid w:val="00625B64"/>
    <w:rsid w:val="00625C41"/>
    <w:rsid w:val="00625CF0"/>
    <w:rsid w:val="00625E21"/>
    <w:rsid w:val="006261C3"/>
    <w:rsid w:val="006261E7"/>
    <w:rsid w:val="006264D2"/>
    <w:rsid w:val="00626595"/>
    <w:rsid w:val="006266A9"/>
    <w:rsid w:val="0062679A"/>
    <w:rsid w:val="0062689E"/>
    <w:rsid w:val="0062694A"/>
    <w:rsid w:val="006269B1"/>
    <w:rsid w:val="00626B08"/>
    <w:rsid w:val="00626B0B"/>
    <w:rsid w:val="00626F73"/>
    <w:rsid w:val="006270E9"/>
    <w:rsid w:val="0062711F"/>
    <w:rsid w:val="00627180"/>
    <w:rsid w:val="006271FC"/>
    <w:rsid w:val="00627352"/>
    <w:rsid w:val="0062768A"/>
    <w:rsid w:val="0062793E"/>
    <w:rsid w:val="00627B60"/>
    <w:rsid w:val="00627D63"/>
    <w:rsid w:val="00627F50"/>
    <w:rsid w:val="00627FDD"/>
    <w:rsid w:val="00630585"/>
    <w:rsid w:val="0063077C"/>
    <w:rsid w:val="00630C86"/>
    <w:rsid w:val="00630CF6"/>
    <w:rsid w:val="00630D34"/>
    <w:rsid w:val="00630DE1"/>
    <w:rsid w:val="00630E39"/>
    <w:rsid w:val="00630ED4"/>
    <w:rsid w:val="00630F4C"/>
    <w:rsid w:val="00630F5E"/>
    <w:rsid w:val="0063102F"/>
    <w:rsid w:val="00631145"/>
    <w:rsid w:val="006313C9"/>
    <w:rsid w:val="00631586"/>
    <w:rsid w:val="00631745"/>
    <w:rsid w:val="00631940"/>
    <w:rsid w:val="006319E5"/>
    <w:rsid w:val="00631B23"/>
    <w:rsid w:val="00631E5F"/>
    <w:rsid w:val="00631FA6"/>
    <w:rsid w:val="006320DF"/>
    <w:rsid w:val="00632281"/>
    <w:rsid w:val="00632309"/>
    <w:rsid w:val="00632353"/>
    <w:rsid w:val="006324C4"/>
    <w:rsid w:val="006328AC"/>
    <w:rsid w:val="006328F5"/>
    <w:rsid w:val="00632A02"/>
    <w:rsid w:val="00632BD7"/>
    <w:rsid w:val="00632DC0"/>
    <w:rsid w:val="00632F4D"/>
    <w:rsid w:val="00633452"/>
    <w:rsid w:val="0063351E"/>
    <w:rsid w:val="006335F1"/>
    <w:rsid w:val="006336AE"/>
    <w:rsid w:val="00633804"/>
    <w:rsid w:val="006338DC"/>
    <w:rsid w:val="00633A18"/>
    <w:rsid w:val="00633B66"/>
    <w:rsid w:val="00634278"/>
    <w:rsid w:val="0063430A"/>
    <w:rsid w:val="006344AE"/>
    <w:rsid w:val="006345A9"/>
    <w:rsid w:val="006345E6"/>
    <w:rsid w:val="00634651"/>
    <w:rsid w:val="006346DB"/>
    <w:rsid w:val="006348BD"/>
    <w:rsid w:val="006348C5"/>
    <w:rsid w:val="006348E7"/>
    <w:rsid w:val="00634B49"/>
    <w:rsid w:val="00634B96"/>
    <w:rsid w:val="00634CA2"/>
    <w:rsid w:val="00634E76"/>
    <w:rsid w:val="006350DE"/>
    <w:rsid w:val="00635197"/>
    <w:rsid w:val="0063526A"/>
    <w:rsid w:val="0063538E"/>
    <w:rsid w:val="00635390"/>
    <w:rsid w:val="00635479"/>
    <w:rsid w:val="006354D5"/>
    <w:rsid w:val="0063563C"/>
    <w:rsid w:val="006357EA"/>
    <w:rsid w:val="0063582A"/>
    <w:rsid w:val="00635859"/>
    <w:rsid w:val="0063586F"/>
    <w:rsid w:val="0063595C"/>
    <w:rsid w:val="00635971"/>
    <w:rsid w:val="00635B8C"/>
    <w:rsid w:val="00635D4B"/>
    <w:rsid w:val="0063614B"/>
    <w:rsid w:val="00636165"/>
    <w:rsid w:val="00636192"/>
    <w:rsid w:val="006361AE"/>
    <w:rsid w:val="00636221"/>
    <w:rsid w:val="006362CE"/>
    <w:rsid w:val="00636330"/>
    <w:rsid w:val="0063638C"/>
    <w:rsid w:val="00636439"/>
    <w:rsid w:val="006364B2"/>
    <w:rsid w:val="006365E2"/>
    <w:rsid w:val="00636602"/>
    <w:rsid w:val="006366A7"/>
    <w:rsid w:val="00636B20"/>
    <w:rsid w:val="00636BFC"/>
    <w:rsid w:val="00636C12"/>
    <w:rsid w:val="00636E4F"/>
    <w:rsid w:val="00636F5C"/>
    <w:rsid w:val="00636FA5"/>
    <w:rsid w:val="006371AB"/>
    <w:rsid w:val="006373A2"/>
    <w:rsid w:val="00637602"/>
    <w:rsid w:val="00637767"/>
    <w:rsid w:val="006377F9"/>
    <w:rsid w:val="00637AEB"/>
    <w:rsid w:val="00637D93"/>
    <w:rsid w:val="00637DFA"/>
    <w:rsid w:val="00637FDE"/>
    <w:rsid w:val="006400E7"/>
    <w:rsid w:val="006402BD"/>
    <w:rsid w:val="00640367"/>
    <w:rsid w:val="00640448"/>
    <w:rsid w:val="0064055C"/>
    <w:rsid w:val="0064063E"/>
    <w:rsid w:val="006406DA"/>
    <w:rsid w:val="0064099A"/>
    <w:rsid w:val="00640B37"/>
    <w:rsid w:val="00640C31"/>
    <w:rsid w:val="00640C65"/>
    <w:rsid w:val="00640CEB"/>
    <w:rsid w:val="00640DF0"/>
    <w:rsid w:val="00640FEC"/>
    <w:rsid w:val="0064126A"/>
    <w:rsid w:val="006412B1"/>
    <w:rsid w:val="006413A2"/>
    <w:rsid w:val="006413C9"/>
    <w:rsid w:val="006413F4"/>
    <w:rsid w:val="00641459"/>
    <w:rsid w:val="00641525"/>
    <w:rsid w:val="00641669"/>
    <w:rsid w:val="0064169B"/>
    <w:rsid w:val="006417CE"/>
    <w:rsid w:val="00641A10"/>
    <w:rsid w:val="00641A62"/>
    <w:rsid w:val="00641AA5"/>
    <w:rsid w:val="00641D18"/>
    <w:rsid w:val="00641D73"/>
    <w:rsid w:val="00641EFF"/>
    <w:rsid w:val="0064204B"/>
    <w:rsid w:val="00642346"/>
    <w:rsid w:val="00642739"/>
    <w:rsid w:val="0064279D"/>
    <w:rsid w:val="0064286D"/>
    <w:rsid w:val="00642CBB"/>
    <w:rsid w:val="00642CE9"/>
    <w:rsid w:val="00642E49"/>
    <w:rsid w:val="00643280"/>
    <w:rsid w:val="0064333E"/>
    <w:rsid w:val="00643371"/>
    <w:rsid w:val="006436A9"/>
    <w:rsid w:val="00643772"/>
    <w:rsid w:val="00643BB6"/>
    <w:rsid w:val="00643BE7"/>
    <w:rsid w:val="00643D45"/>
    <w:rsid w:val="00643D71"/>
    <w:rsid w:val="00643DF8"/>
    <w:rsid w:val="00643ED5"/>
    <w:rsid w:val="00643F5C"/>
    <w:rsid w:val="00643FFD"/>
    <w:rsid w:val="0064415A"/>
    <w:rsid w:val="006441AD"/>
    <w:rsid w:val="00644265"/>
    <w:rsid w:val="006443D0"/>
    <w:rsid w:val="006443F6"/>
    <w:rsid w:val="006444D5"/>
    <w:rsid w:val="0064465A"/>
    <w:rsid w:val="006446B0"/>
    <w:rsid w:val="006446EB"/>
    <w:rsid w:val="0064479F"/>
    <w:rsid w:val="006447CB"/>
    <w:rsid w:val="00644ADA"/>
    <w:rsid w:val="00644C48"/>
    <w:rsid w:val="00644D06"/>
    <w:rsid w:val="00644EC8"/>
    <w:rsid w:val="00645242"/>
    <w:rsid w:val="006452D5"/>
    <w:rsid w:val="0064530F"/>
    <w:rsid w:val="006454DB"/>
    <w:rsid w:val="0064577D"/>
    <w:rsid w:val="00645B74"/>
    <w:rsid w:val="00645F80"/>
    <w:rsid w:val="00646217"/>
    <w:rsid w:val="006466EF"/>
    <w:rsid w:val="006466F1"/>
    <w:rsid w:val="00646881"/>
    <w:rsid w:val="00646A26"/>
    <w:rsid w:val="00646A4D"/>
    <w:rsid w:val="00646C84"/>
    <w:rsid w:val="00646CB4"/>
    <w:rsid w:val="00646CEE"/>
    <w:rsid w:val="00647175"/>
    <w:rsid w:val="006475E1"/>
    <w:rsid w:val="006475FE"/>
    <w:rsid w:val="006476EC"/>
    <w:rsid w:val="00647721"/>
    <w:rsid w:val="00647816"/>
    <w:rsid w:val="006478C6"/>
    <w:rsid w:val="00647E73"/>
    <w:rsid w:val="00650078"/>
    <w:rsid w:val="00650115"/>
    <w:rsid w:val="00650280"/>
    <w:rsid w:val="006502A2"/>
    <w:rsid w:val="0065064F"/>
    <w:rsid w:val="006506DC"/>
    <w:rsid w:val="00650716"/>
    <w:rsid w:val="006507DA"/>
    <w:rsid w:val="00650921"/>
    <w:rsid w:val="00650991"/>
    <w:rsid w:val="00650AEC"/>
    <w:rsid w:val="00650B05"/>
    <w:rsid w:val="00650B3C"/>
    <w:rsid w:val="00650C86"/>
    <w:rsid w:val="00650CC6"/>
    <w:rsid w:val="00650D42"/>
    <w:rsid w:val="00650DD1"/>
    <w:rsid w:val="00650E14"/>
    <w:rsid w:val="00650EAF"/>
    <w:rsid w:val="006510E1"/>
    <w:rsid w:val="00651164"/>
    <w:rsid w:val="006512AC"/>
    <w:rsid w:val="006512B8"/>
    <w:rsid w:val="00651307"/>
    <w:rsid w:val="0065163B"/>
    <w:rsid w:val="00651705"/>
    <w:rsid w:val="00651972"/>
    <w:rsid w:val="00651AEB"/>
    <w:rsid w:val="00651CD2"/>
    <w:rsid w:val="00651DD3"/>
    <w:rsid w:val="00651E22"/>
    <w:rsid w:val="00651FE8"/>
    <w:rsid w:val="00651FF0"/>
    <w:rsid w:val="0065226A"/>
    <w:rsid w:val="00652620"/>
    <w:rsid w:val="00652677"/>
    <w:rsid w:val="0065272E"/>
    <w:rsid w:val="006528E5"/>
    <w:rsid w:val="006529F8"/>
    <w:rsid w:val="00652A0B"/>
    <w:rsid w:val="00652A3A"/>
    <w:rsid w:val="00652A41"/>
    <w:rsid w:val="00652D02"/>
    <w:rsid w:val="00652E6F"/>
    <w:rsid w:val="00652F87"/>
    <w:rsid w:val="006530A2"/>
    <w:rsid w:val="0065310A"/>
    <w:rsid w:val="006531BC"/>
    <w:rsid w:val="0065323E"/>
    <w:rsid w:val="00653262"/>
    <w:rsid w:val="0065326B"/>
    <w:rsid w:val="0065331C"/>
    <w:rsid w:val="0065356B"/>
    <w:rsid w:val="00653601"/>
    <w:rsid w:val="00653A43"/>
    <w:rsid w:val="00653D48"/>
    <w:rsid w:val="00653FE1"/>
    <w:rsid w:val="00654122"/>
    <w:rsid w:val="00654255"/>
    <w:rsid w:val="00654693"/>
    <w:rsid w:val="006548A1"/>
    <w:rsid w:val="00654ADA"/>
    <w:rsid w:val="00654AF5"/>
    <w:rsid w:val="00654D99"/>
    <w:rsid w:val="00654F0A"/>
    <w:rsid w:val="00654F4D"/>
    <w:rsid w:val="00654F54"/>
    <w:rsid w:val="006551A1"/>
    <w:rsid w:val="0065523E"/>
    <w:rsid w:val="00655510"/>
    <w:rsid w:val="00655566"/>
    <w:rsid w:val="0065578F"/>
    <w:rsid w:val="006557AD"/>
    <w:rsid w:val="00655819"/>
    <w:rsid w:val="006558F0"/>
    <w:rsid w:val="006559BF"/>
    <w:rsid w:val="00655C1F"/>
    <w:rsid w:val="00655CB2"/>
    <w:rsid w:val="00655F93"/>
    <w:rsid w:val="0065640D"/>
    <w:rsid w:val="0065648C"/>
    <w:rsid w:val="006564A7"/>
    <w:rsid w:val="00656709"/>
    <w:rsid w:val="00656792"/>
    <w:rsid w:val="006567C2"/>
    <w:rsid w:val="00656818"/>
    <w:rsid w:val="00656D84"/>
    <w:rsid w:val="00656EA4"/>
    <w:rsid w:val="00656EDA"/>
    <w:rsid w:val="00657350"/>
    <w:rsid w:val="00657483"/>
    <w:rsid w:val="006574F7"/>
    <w:rsid w:val="00657A2C"/>
    <w:rsid w:val="00657A95"/>
    <w:rsid w:val="00657EAC"/>
    <w:rsid w:val="00657F45"/>
    <w:rsid w:val="00660088"/>
    <w:rsid w:val="006604D9"/>
    <w:rsid w:val="0066090A"/>
    <w:rsid w:val="00660913"/>
    <w:rsid w:val="00660B15"/>
    <w:rsid w:val="00660DC0"/>
    <w:rsid w:val="00660E35"/>
    <w:rsid w:val="006610E2"/>
    <w:rsid w:val="0066115E"/>
    <w:rsid w:val="00661205"/>
    <w:rsid w:val="00661221"/>
    <w:rsid w:val="0066126F"/>
    <w:rsid w:val="00661292"/>
    <w:rsid w:val="006614F2"/>
    <w:rsid w:val="006619A3"/>
    <w:rsid w:val="00661AF8"/>
    <w:rsid w:val="00661B24"/>
    <w:rsid w:val="00661E4A"/>
    <w:rsid w:val="00661F2B"/>
    <w:rsid w:val="006620F1"/>
    <w:rsid w:val="00662209"/>
    <w:rsid w:val="006622E5"/>
    <w:rsid w:val="006625A1"/>
    <w:rsid w:val="006626CC"/>
    <w:rsid w:val="00662797"/>
    <w:rsid w:val="006627B7"/>
    <w:rsid w:val="00662899"/>
    <w:rsid w:val="00662A82"/>
    <w:rsid w:val="00662A97"/>
    <w:rsid w:val="00662AB5"/>
    <w:rsid w:val="00662EBC"/>
    <w:rsid w:val="00663037"/>
    <w:rsid w:val="0066333F"/>
    <w:rsid w:val="006634F2"/>
    <w:rsid w:val="006635AB"/>
    <w:rsid w:val="00663744"/>
    <w:rsid w:val="00663829"/>
    <w:rsid w:val="00663854"/>
    <w:rsid w:val="006638F9"/>
    <w:rsid w:val="00663D14"/>
    <w:rsid w:val="00663F8D"/>
    <w:rsid w:val="00664111"/>
    <w:rsid w:val="0066413C"/>
    <w:rsid w:val="0066454E"/>
    <w:rsid w:val="006645B8"/>
    <w:rsid w:val="00664735"/>
    <w:rsid w:val="006647C1"/>
    <w:rsid w:val="006647D4"/>
    <w:rsid w:val="00664885"/>
    <w:rsid w:val="00664B07"/>
    <w:rsid w:val="00664F4A"/>
    <w:rsid w:val="006651ED"/>
    <w:rsid w:val="0066521A"/>
    <w:rsid w:val="00665228"/>
    <w:rsid w:val="00665357"/>
    <w:rsid w:val="00665BDC"/>
    <w:rsid w:val="00665F96"/>
    <w:rsid w:val="0066635F"/>
    <w:rsid w:val="00666374"/>
    <w:rsid w:val="006663C9"/>
    <w:rsid w:val="006663E6"/>
    <w:rsid w:val="00666447"/>
    <w:rsid w:val="006664BE"/>
    <w:rsid w:val="006668CD"/>
    <w:rsid w:val="00666AD0"/>
    <w:rsid w:val="00666C39"/>
    <w:rsid w:val="00666D8A"/>
    <w:rsid w:val="00666E7B"/>
    <w:rsid w:val="00667102"/>
    <w:rsid w:val="00667225"/>
    <w:rsid w:val="00667277"/>
    <w:rsid w:val="0066788F"/>
    <w:rsid w:val="006678BA"/>
    <w:rsid w:val="00667AA0"/>
    <w:rsid w:val="00667BB3"/>
    <w:rsid w:val="00667D4A"/>
    <w:rsid w:val="00670117"/>
    <w:rsid w:val="0067021A"/>
    <w:rsid w:val="0067021B"/>
    <w:rsid w:val="00670B6A"/>
    <w:rsid w:val="00670B83"/>
    <w:rsid w:val="00670BA4"/>
    <w:rsid w:val="00670CD5"/>
    <w:rsid w:val="00670E48"/>
    <w:rsid w:val="00670F0D"/>
    <w:rsid w:val="00671169"/>
    <w:rsid w:val="0067128E"/>
    <w:rsid w:val="0067130C"/>
    <w:rsid w:val="00671318"/>
    <w:rsid w:val="00671357"/>
    <w:rsid w:val="00671498"/>
    <w:rsid w:val="006714DE"/>
    <w:rsid w:val="0067166A"/>
    <w:rsid w:val="00671906"/>
    <w:rsid w:val="00671B27"/>
    <w:rsid w:val="00671CBD"/>
    <w:rsid w:val="00671DFB"/>
    <w:rsid w:val="0067241C"/>
    <w:rsid w:val="0067244B"/>
    <w:rsid w:val="0067247D"/>
    <w:rsid w:val="00672573"/>
    <w:rsid w:val="006727FE"/>
    <w:rsid w:val="0067292D"/>
    <w:rsid w:val="00672A8F"/>
    <w:rsid w:val="00672D52"/>
    <w:rsid w:val="00672D7B"/>
    <w:rsid w:val="00672D9C"/>
    <w:rsid w:val="0067310C"/>
    <w:rsid w:val="00673157"/>
    <w:rsid w:val="0067318A"/>
    <w:rsid w:val="0067339B"/>
    <w:rsid w:val="006733C4"/>
    <w:rsid w:val="006736E8"/>
    <w:rsid w:val="006738B6"/>
    <w:rsid w:val="006738CE"/>
    <w:rsid w:val="00673C4C"/>
    <w:rsid w:val="00673EA1"/>
    <w:rsid w:val="00674022"/>
    <w:rsid w:val="00674150"/>
    <w:rsid w:val="006742D0"/>
    <w:rsid w:val="006742EA"/>
    <w:rsid w:val="0067441C"/>
    <w:rsid w:val="00674549"/>
    <w:rsid w:val="0067456C"/>
    <w:rsid w:val="0067458D"/>
    <w:rsid w:val="0067469E"/>
    <w:rsid w:val="00674870"/>
    <w:rsid w:val="00674BC7"/>
    <w:rsid w:val="00674E24"/>
    <w:rsid w:val="00674E67"/>
    <w:rsid w:val="00674EDB"/>
    <w:rsid w:val="006752DD"/>
    <w:rsid w:val="006752F8"/>
    <w:rsid w:val="006757D6"/>
    <w:rsid w:val="00675B4B"/>
    <w:rsid w:val="0067606F"/>
    <w:rsid w:val="006760F5"/>
    <w:rsid w:val="0067610B"/>
    <w:rsid w:val="00676288"/>
    <w:rsid w:val="006762B7"/>
    <w:rsid w:val="006767BC"/>
    <w:rsid w:val="00676891"/>
    <w:rsid w:val="00676E41"/>
    <w:rsid w:val="00677146"/>
    <w:rsid w:val="006771F5"/>
    <w:rsid w:val="0067723A"/>
    <w:rsid w:val="00677359"/>
    <w:rsid w:val="00677391"/>
    <w:rsid w:val="00677527"/>
    <w:rsid w:val="006775F3"/>
    <w:rsid w:val="00677846"/>
    <w:rsid w:val="00677A2F"/>
    <w:rsid w:val="00677A54"/>
    <w:rsid w:val="00677F39"/>
    <w:rsid w:val="0068004B"/>
    <w:rsid w:val="0068018C"/>
    <w:rsid w:val="0068027C"/>
    <w:rsid w:val="006802DA"/>
    <w:rsid w:val="00680321"/>
    <w:rsid w:val="006804D6"/>
    <w:rsid w:val="006806AB"/>
    <w:rsid w:val="006807C6"/>
    <w:rsid w:val="006809EE"/>
    <w:rsid w:val="00680AE2"/>
    <w:rsid w:val="00680BA2"/>
    <w:rsid w:val="00680DE0"/>
    <w:rsid w:val="00680F37"/>
    <w:rsid w:val="00681023"/>
    <w:rsid w:val="00681073"/>
    <w:rsid w:val="006810E8"/>
    <w:rsid w:val="00681331"/>
    <w:rsid w:val="00681395"/>
    <w:rsid w:val="006813D5"/>
    <w:rsid w:val="006815C9"/>
    <w:rsid w:val="0068169C"/>
    <w:rsid w:val="006817A9"/>
    <w:rsid w:val="00681B53"/>
    <w:rsid w:val="00681D0D"/>
    <w:rsid w:val="00681D35"/>
    <w:rsid w:val="00681F55"/>
    <w:rsid w:val="00681F5C"/>
    <w:rsid w:val="00682281"/>
    <w:rsid w:val="0068241B"/>
    <w:rsid w:val="00682477"/>
    <w:rsid w:val="006825CD"/>
    <w:rsid w:val="00682943"/>
    <w:rsid w:val="00682A79"/>
    <w:rsid w:val="00682CFE"/>
    <w:rsid w:val="00682D5F"/>
    <w:rsid w:val="00682F4E"/>
    <w:rsid w:val="00683196"/>
    <w:rsid w:val="00683232"/>
    <w:rsid w:val="00683485"/>
    <w:rsid w:val="00683487"/>
    <w:rsid w:val="006835A1"/>
    <w:rsid w:val="00683CDF"/>
    <w:rsid w:val="00683E88"/>
    <w:rsid w:val="00683EB4"/>
    <w:rsid w:val="00683FD0"/>
    <w:rsid w:val="00683FE5"/>
    <w:rsid w:val="006840C6"/>
    <w:rsid w:val="006840F0"/>
    <w:rsid w:val="00684187"/>
    <w:rsid w:val="006844D2"/>
    <w:rsid w:val="006844F4"/>
    <w:rsid w:val="006845DC"/>
    <w:rsid w:val="00684699"/>
    <w:rsid w:val="00684734"/>
    <w:rsid w:val="00684849"/>
    <w:rsid w:val="006849CC"/>
    <w:rsid w:val="00684A3D"/>
    <w:rsid w:val="0068522B"/>
    <w:rsid w:val="006852A8"/>
    <w:rsid w:val="006852AB"/>
    <w:rsid w:val="006852E3"/>
    <w:rsid w:val="00685357"/>
    <w:rsid w:val="00685505"/>
    <w:rsid w:val="00685760"/>
    <w:rsid w:val="006858F1"/>
    <w:rsid w:val="00685A5C"/>
    <w:rsid w:val="00685B42"/>
    <w:rsid w:val="00685B90"/>
    <w:rsid w:val="00685BA4"/>
    <w:rsid w:val="00685C4B"/>
    <w:rsid w:val="00685CB1"/>
    <w:rsid w:val="00685D61"/>
    <w:rsid w:val="00685F2A"/>
    <w:rsid w:val="00686275"/>
    <w:rsid w:val="00686397"/>
    <w:rsid w:val="00686690"/>
    <w:rsid w:val="006866C9"/>
    <w:rsid w:val="00686709"/>
    <w:rsid w:val="00686A44"/>
    <w:rsid w:val="00686B35"/>
    <w:rsid w:val="00686B45"/>
    <w:rsid w:val="00686D87"/>
    <w:rsid w:val="00686E2B"/>
    <w:rsid w:val="00686F8C"/>
    <w:rsid w:val="0068719E"/>
    <w:rsid w:val="0068725F"/>
    <w:rsid w:val="00687558"/>
    <w:rsid w:val="00687886"/>
    <w:rsid w:val="0068789C"/>
    <w:rsid w:val="0068796D"/>
    <w:rsid w:val="00687C1E"/>
    <w:rsid w:val="00687C8E"/>
    <w:rsid w:val="00687FE2"/>
    <w:rsid w:val="00690055"/>
    <w:rsid w:val="00690471"/>
    <w:rsid w:val="006904EE"/>
    <w:rsid w:val="006905A6"/>
    <w:rsid w:val="006909AC"/>
    <w:rsid w:val="00690CC1"/>
    <w:rsid w:val="00690CE0"/>
    <w:rsid w:val="00690FDD"/>
    <w:rsid w:val="00691073"/>
    <w:rsid w:val="0069143D"/>
    <w:rsid w:val="00691762"/>
    <w:rsid w:val="006918DC"/>
    <w:rsid w:val="00691BD7"/>
    <w:rsid w:val="00691C2E"/>
    <w:rsid w:val="00691C7F"/>
    <w:rsid w:val="00691EB0"/>
    <w:rsid w:val="00691F8C"/>
    <w:rsid w:val="00692063"/>
    <w:rsid w:val="0069226D"/>
    <w:rsid w:val="006922AB"/>
    <w:rsid w:val="0069252C"/>
    <w:rsid w:val="00692543"/>
    <w:rsid w:val="0069289A"/>
    <w:rsid w:val="006928CA"/>
    <w:rsid w:val="00692958"/>
    <w:rsid w:val="006929E7"/>
    <w:rsid w:val="00692C0F"/>
    <w:rsid w:val="00692E47"/>
    <w:rsid w:val="0069338D"/>
    <w:rsid w:val="0069340C"/>
    <w:rsid w:val="006935B9"/>
    <w:rsid w:val="006937C8"/>
    <w:rsid w:val="006939D8"/>
    <w:rsid w:val="006939E5"/>
    <w:rsid w:val="006939E7"/>
    <w:rsid w:val="00693A54"/>
    <w:rsid w:val="00693F3A"/>
    <w:rsid w:val="006940FA"/>
    <w:rsid w:val="00694273"/>
    <w:rsid w:val="006943F7"/>
    <w:rsid w:val="00694612"/>
    <w:rsid w:val="00694685"/>
    <w:rsid w:val="00694733"/>
    <w:rsid w:val="0069474A"/>
    <w:rsid w:val="00694771"/>
    <w:rsid w:val="00694969"/>
    <w:rsid w:val="00694975"/>
    <w:rsid w:val="00694A09"/>
    <w:rsid w:val="00694A22"/>
    <w:rsid w:val="00694BBF"/>
    <w:rsid w:val="00694F9E"/>
    <w:rsid w:val="00694FBC"/>
    <w:rsid w:val="00695036"/>
    <w:rsid w:val="006951BF"/>
    <w:rsid w:val="006951D1"/>
    <w:rsid w:val="00695264"/>
    <w:rsid w:val="006952D6"/>
    <w:rsid w:val="006954BF"/>
    <w:rsid w:val="00695514"/>
    <w:rsid w:val="00695540"/>
    <w:rsid w:val="00695581"/>
    <w:rsid w:val="00695648"/>
    <w:rsid w:val="00695883"/>
    <w:rsid w:val="00695960"/>
    <w:rsid w:val="00695AA7"/>
    <w:rsid w:val="00695B20"/>
    <w:rsid w:val="00695D5F"/>
    <w:rsid w:val="00695DE5"/>
    <w:rsid w:val="006961ED"/>
    <w:rsid w:val="00696349"/>
    <w:rsid w:val="0069646F"/>
    <w:rsid w:val="006964DD"/>
    <w:rsid w:val="006965C3"/>
    <w:rsid w:val="00696889"/>
    <w:rsid w:val="00696CA3"/>
    <w:rsid w:val="00696CB4"/>
    <w:rsid w:val="00696CFE"/>
    <w:rsid w:val="00697176"/>
    <w:rsid w:val="0069736F"/>
    <w:rsid w:val="00697E2B"/>
    <w:rsid w:val="006A0018"/>
    <w:rsid w:val="006A01E5"/>
    <w:rsid w:val="006A0287"/>
    <w:rsid w:val="006A03C1"/>
    <w:rsid w:val="006A060D"/>
    <w:rsid w:val="006A0649"/>
    <w:rsid w:val="006A0690"/>
    <w:rsid w:val="006A069F"/>
    <w:rsid w:val="006A06CF"/>
    <w:rsid w:val="006A0715"/>
    <w:rsid w:val="006A0D7E"/>
    <w:rsid w:val="006A0DD1"/>
    <w:rsid w:val="006A10D9"/>
    <w:rsid w:val="006A10FC"/>
    <w:rsid w:val="006A11EF"/>
    <w:rsid w:val="006A11FA"/>
    <w:rsid w:val="006A128A"/>
    <w:rsid w:val="006A13C1"/>
    <w:rsid w:val="006A15C2"/>
    <w:rsid w:val="006A164E"/>
    <w:rsid w:val="006A1653"/>
    <w:rsid w:val="006A1757"/>
    <w:rsid w:val="006A17DD"/>
    <w:rsid w:val="006A17DF"/>
    <w:rsid w:val="006A1AA3"/>
    <w:rsid w:val="006A1B0E"/>
    <w:rsid w:val="006A1B2C"/>
    <w:rsid w:val="006A1B8B"/>
    <w:rsid w:val="006A1BAA"/>
    <w:rsid w:val="006A1CA8"/>
    <w:rsid w:val="006A1CDC"/>
    <w:rsid w:val="006A1DE7"/>
    <w:rsid w:val="006A1EE7"/>
    <w:rsid w:val="006A1F41"/>
    <w:rsid w:val="006A201D"/>
    <w:rsid w:val="006A21CB"/>
    <w:rsid w:val="006A2255"/>
    <w:rsid w:val="006A2359"/>
    <w:rsid w:val="006A2677"/>
    <w:rsid w:val="006A27A3"/>
    <w:rsid w:val="006A29BA"/>
    <w:rsid w:val="006A2A21"/>
    <w:rsid w:val="006A2E77"/>
    <w:rsid w:val="006A2EF5"/>
    <w:rsid w:val="006A30BD"/>
    <w:rsid w:val="006A3177"/>
    <w:rsid w:val="006A31E1"/>
    <w:rsid w:val="006A3258"/>
    <w:rsid w:val="006A32CC"/>
    <w:rsid w:val="006A34ED"/>
    <w:rsid w:val="006A3518"/>
    <w:rsid w:val="006A3540"/>
    <w:rsid w:val="006A363B"/>
    <w:rsid w:val="006A3719"/>
    <w:rsid w:val="006A3AD8"/>
    <w:rsid w:val="006A3B2D"/>
    <w:rsid w:val="006A3B34"/>
    <w:rsid w:val="006A3D27"/>
    <w:rsid w:val="006A3E57"/>
    <w:rsid w:val="006A40FD"/>
    <w:rsid w:val="006A4156"/>
    <w:rsid w:val="006A4373"/>
    <w:rsid w:val="006A43AC"/>
    <w:rsid w:val="006A452E"/>
    <w:rsid w:val="006A463A"/>
    <w:rsid w:val="006A4733"/>
    <w:rsid w:val="006A47E9"/>
    <w:rsid w:val="006A4928"/>
    <w:rsid w:val="006A49A6"/>
    <w:rsid w:val="006A49F8"/>
    <w:rsid w:val="006A4A41"/>
    <w:rsid w:val="006A4A92"/>
    <w:rsid w:val="006A4AEB"/>
    <w:rsid w:val="006A4BE1"/>
    <w:rsid w:val="006A4CE6"/>
    <w:rsid w:val="006A501C"/>
    <w:rsid w:val="006A5150"/>
    <w:rsid w:val="006A534D"/>
    <w:rsid w:val="006A568F"/>
    <w:rsid w:val="006A56C2"/>
    <w:rsid w:val="006A5760"/>
    <w:rsid w:val="006A58E0"/>
    <w:rsid w:val="006A592E"/>
    <w:rsid w:val="006A596B"/>
    <w:rsid w:val="006A59CD"/>
    <w:rsid w:val="006A5ACC"/>
    <w:rsid w:val="006A5AEE"/>
    <w:rsid w:val="006A5C3F"/>
    <w:rsid w:val="006A5CE6"/>
    <w:rsid w:val="006A5DBB"/>
    <w:rsid w:val="006A5E7C"/>
    <w:rsid w:val="006A5EB4"/>
    <w:rsid w:val="006A5F26"/>
    <w:rsid w:val="006A6171"/>
    <w:rsid w:val="006A65CF"/>
    <w:rsid w:val="006A6636"/>
    <w:rsid w:val="006A66AF"/>
    <w:rsid w:val="006A66F5"/>
    <w:rsid w:val="006A6766"/>
    <w:rsid w:val="006A6782"/>
    <w:rsid w:val="006A67E0"/>
    <w:rsid w:val="006A6B90"/>
    <w:rsid w:val="006A6B9F"/>
    <w:rsid w:val="006A6CD7"/>
    <w:rsid w:val="006A6DF1"/>
    <w:rsid w:val="006A6E62"/>
    <w:rsid w:val="006A6ECE"/>
    <w:rsid w:val="006A701E"/>
    <w:rsid w:val="006A7303"/>
    <w:rsid w:val="006A73C1"/>
    <w:rsid w:val="006A74BE"/>
    <w:rsid w:val="006A750F"/>
    <w:rsid w:val="006A7668"/>
    <w:rsid w:val="006A767E"/>
    <w:rsid w:val="006A7804"/>
    <w:rsid w:val="006A7AEE"/>
    <w:rsid w:val="006A7B69"/>
    <w:rsid w:val="006A7C4B"/>
    <w:rsid w:val="006A7EA3"/>
    <w:rsid w:val="006A7ECD"/>
    <w:rsid w:val="006B00B6"/>
    <w:rsid w:val="006B00C4"/>
    <w:rsid w:val="006B04C3"/>
    <w:rsid w:val="006B057A"/>
    <w:rsid w:val="006B0BC1"/>
    <w:rsid w:val="006B0BE3"/>
    <w:rsid w:val="006B0BEE"/>
    <w:rsid w:val="006B0C58"/>
    <w:rsid w:val="006B0DAA"/>
    <w:rsid w:val="006B0EFE"/>
    <w:rsid w:val="006B0F08"/>
    <w:rsid w:val="006B10FB"/>
    <w:rsid w:val="006B12C6"/>
    <w:rsid w:val="006B1447"/>
    <w:rsid w:val="006B16E1"/>
    <w:rsid w:val="006B189C"/>
    <w:rsid w:val="006B18AC"/>
    <w:rsid w:val="006B1982"/>
    <w:rsid w:val="006B1DEA"/>
    <w:rsid w:val="006B1E4D"/>
    <w:rsid w:val="006B1E73"/>
    <w:rsid w:val="006B1F4D"/>
    <w:rsid w:val="006B20FB"/>
    <w:rsid w:val="006B2253"/>
    <w:rsid w:val="006B2322"/>
    <w:rsid w:val="006B2557"/>
    <w:rsid w:val="006B268E"/>
    <w:rsid w:val="006B26F9"/>
    <w:rsid w:val="006B2803"/>
    <w:rsid w:val="006B2969"/>
    <w:rsid w:val="006B2AED"/>
    <w:rsid w:val="006B2CD9"/>
    <w:rsid w:val="006B3169"/>
    <w:rsid w:val="006B33AD"/>
    <w:rsid w:val="006B33F7"/>
    <w:rsid w:val="006B3524"/>
    <w:rsid w:val="006B36EE"/>
    <w:rsid w:val="006B371D"/>
    <w:rsid w:val="006B3808"/>
    <w:rsid w:val="006B38FC"/>
    <w:rsid w:val="006B39FF"/>
    <w:rsid w:val="006B3C5A"/>
    <w:rsid w:val="006B3D71"/>
    <w:rsid w:val="006B3E5F"/>
    <w:rsid w:val="006B3E95"/>
    <w:rsid w:val="006B3F5D"/>
    <w:rsid w:val="006B3F9F"/>
    <w:rsid w:val="006B4007"/>
    <w:rsid w:val="006B407D"/>
    <w:rsid w:val="006B4135"/>
    <w:rsid w:val="006B4273"/>
    <w:rsid w:val="006B43D6"/>
    <w:rsid w:val="006B469E"/>
    <w:rsid w:val="006B46A8"/>
    <w:rsid w:val="006B47B3"/>
    <w:rsid w:val="006B4C14"/>
    <w:rsid w:val="006B4C36"/>
    <w:rsid w:val="006B4C5B"/>
    <w:rsid w:val="006B4D55"/>
    <w:rsid w:val="006B5090"/>
    <w:rsid w:val="006B5174"/>
    <w:rsid w:val="006B5356"/>
    <w:rsid w:val="006B5466"/>
    <w:rsid w:val="006B54BA"/>
    <w:rsid w:val="006B55CF"/>
    <w:rsid w:val="006B5743"/>
    <w:rsid w:val="006B5746"/>
    <w:rsid w:val="006B575D"/>
    <w:rsid w:val="006B58B2"/>
    <w:rsid w:val="006B58E6"/>
    <w:rsid w:val="006B59F4"/>
    <w:rsid w:val="006B5B11"/>
    <w:rsid w:val="006B5BE7"/>
    <w:rsid w:val="006B5C93"/>
    <w:rsid w:val="006B5CB8"/>
    <w:rsid w:val="006B5D9D"/>
    <w:rsid w:val="006B5DC0"/>
    <w:rsid w:val="006B5F0A"/>
    <w:rsid w:val="006B5FD2"/>
    <w:rsid w:val="006B6060"/>
    <w:rsid w:val="006B6155"/>
    <w:rsid w:val="006B619A"/>
    <w:rsid w:val="006B625B"/>
    <w:rsid w:val="006B6351"/>
    <w:rsid w:val="006B68D2"/>
    <w:rsid w:val="006B6912"/>
    <w:rsid w:val="006B6A61"/>
    <w:rsid w:val="006B6B12"/>
    <w:rsid w:val="006B6BEA"/>
    <w:rsid w:val="006B7202"/>
    <w:rsid w:val="006B73F9"/>
    <w:rsid w:val="006B7456"/>
    <w:rsid w:val="006B74FC"/>
    <w:rsid w:val="006B74FD"/>
    <w:rsid w:val="006B7519"/>
    <w:rsid w:val="006B752C"/>
    <w:rsid w:val="006B7698"/>
    <w:rsid w:val="006B7894"/>
    <w:rsid w:val="006B795B"/>
    <w:rsid w:val="006B7B50"/>
    <w:rsid w:val="006B7B8A"/>
    <w:rsid w:val="006B7CE5"/>
    <w:rsid w:val="006B7D89"/>
    <w:rsid w:val="006B7D9D"/>
    <w:rsid w:val="006B7DC3"/>
    <w:rsid w:val="006B7F85"/>
    <w:rsid w:val="006C0038"/>
    <w:rsid w:val="006C0251"/>
    <w:rsid w:val="006C02DA"/>
    <w:rsid w:val="006C0544"/>
    <w:rsid w:val="006C0564"/>
    <w:rsid w:val="006C07A5"/>
    <w:rsid w:val="006C0A1C"/>
    <w:rsid w:val="006C0A1D"/>
    <w:rsid w:val="006C0CAD"/>
    <w:rsid w:val="006C0EC2"/>
    <w:rsid w:val="006C0FD2"/>
    <w:rsid w:val="006C101B"/>
    <w:rsid w:val="006C10EB"/>
    <w:rsid w:val="006C1117"/>
    <w:rsid w:val="006C1127"/>
    <w:rsid w:val="006C1145"/>
    <w:rsid w:val="006C116E"/>
    <w:rsid w:val="006C1185"/>
    <w:rsid w:val="006C11EE"/>
    <w:rsid w:val="006C171D"/>
    <w:rsid w:val="006C1766"/>
    <w:rsid w:val="006C1819"/>
    <w:rsid w:val="006C1DDE"/>
    <w:rsid w:val="006C1F67"/>
    <w:rsid w:val="006C2215"/>
    <w:rsid w:val="006C2292"/>
    <w:rsid w:val="006C22DE"/>
    <w:rsid w:val="006C2330"/>
    <w:rsid w:val="006C257B"/>
    <w:rsid w:val="006C2599"/>
    <w:rsid w:val="006C2660"/>
    <w:rsid w:val="006C26D8"/>
    <w:rsid w:val="006C27F8"/>
    <w:rsid w:val="006C2A66"/>
    <w:rsid w:val="006C2C0A"/>
    <w:rsid w:val="006C2CCA"/>
    <w:rsid w:val="006C2E3B"/>
    <w:rsid w:val="006C3060"/>
    <w:rsid w:val="006C31FC"/>
    <w:rsid w:val="006C32DC"/>
    <w:rsid w:val="006C32EA"/>
    <w:rsid w:val="006C344D"/>
    <w:rsid w:val="006C34A1"/>
    <w:rsid w:val="006C36E3"/>
    <w:rsid w:val="006C37B6"/>
    <w:rsid w:val="006C38A1"/>
    <w:rsid w:val="006C3D46"/>
    <w:rsid w:val="006C3E0C"/>
    <w:rsid w:val="006C3FFA"/>
    <w:rsid w:val="006C4060"/>
    <w:rsid w:val="006C409A"/>
    <w:rsid w:val="006C4120"/>
    <w:rsid w:val="006C458A"/>
    <w:rsid w:val="006C4625"/>
    <w:rsid w:val="006C47AA"/>
    <w:rsid w:val="006C47B5"/>
    <w:rsid w:val="006C4859"/>
    <w:rsid w:val="006C4A00"/>
    <w:rsid w:val="006C4A17"/>
    <w:rsid w:val="006C4B16"/>
    <w:rsid w:val="006C4DE3"/>
    <w:rsid w:val="006C5063"/>
    <w:rsid w:val="006C515B"/>
    <w:rsid w:val="006C51F2"/>
    <w:rsid w:val="006C5469"/>
    <w:rsid w:val="006C56AF"/>
    <w:rsid w:val="006C56DC"/>
    <w:rsid w:val="006C5C31"/>
    <w:rsid w:val="006C5F86"/>
    <w:rsid w:val="006C60A8"/>
    <w:rsid w:val="006C61C0"/>
    <w:rsid w:val="006C6254"/>
    <w:rsid w:val="006C63AA"/>
    <w:rsid w:val="006C63D7"/>
    <w:rsid w:val="006C6515"/>
    <w:rsid w:val="006C687B"/>
    <w:rsid w:val="006C699E"/>
    <w:rsid w:val="006C6AED"/>
    <w:rsid w:val="006C6B80"/>
    <w:rsid w:val="006C6C9E"/>
    <w:rsid w:val="006C6D92"/>
    <w:rsid w:val="006C6E19"/>
    <w:rsid w:val="006C6E65"/>
    <w:rsid w:val="006C7099"/>
    <w:rsid w:val="006C7277"/>
    <w:rsid w:val="006C7315"/>
    <w:rsid w:val="006C7513"/>
    <w:rsid w:val="006C7568"/>
    <w:rsid w:val="006C7595"/>
    <w:rsid w:val="006C776E"/>
    <w:rsid w:val="006C78D0"/>
    <w:rsid w:val="006C7BD6"/>
    <w:rsid w:val="006C7F0A"/>
    <w:rsid w:val="006D001C"/>
    <w:rsid w:val="006D01C5"/>
    <w:rsid w:val="006D021A"/>
    <w:rsid w:val="006D02CB"/>
    <w:rsid w:val="006D05B1"/>
    <w:rsid w:val="006D0630"/>
    <w:rsid w:val="006D08E2"/>
    <w:rsid w:val="006D0979"/>
    <w:rsid w:val="006D0AB3"/>
    <w:rsid w:val="006D0B08"/>
    <w:rsid w:val="006D0B3C"/>
    <w:rsid w:val="006D0C36"/>
    <w:rsid w:val="006D1129"/>
    <w:rsid w:val="006D1201"/>
    <w:rsid w:val="006D12D8"/>
    <w:rsid w:val="006D13C8"/>
    <w:rsid w:val="006D14F7"/>
    <w:rsid w:val="006D1673"/>
    <w:rsid w:val="006D1738"/>
    <w:rsid w:val="006D1AA5"/>
    <w:rsid w:val="006D1B9C"/>
    <w:rsid w:val="006D1BCA"/>
    <w:rsid w:val="006D1E3A"/>
    <w:rsid w:val="006D1E5F"/>
    <w:rsid w:val="006D1EF8"/>
    <w:rsid w:val="006D1F29"/>
    <w:rsid w:val="006D2197"/>
    <w:rsid w:val="006D24AD"/>
    <w:rsid w:val="006D25E5"/>
    <w:rsid w:val="006D28FB"/>
    <w:rsid w:val="006D293A"/>
    <w:rsid w:val="006D2954"/>
    <w:rsid w:val="006D29E2"/>
    <w:rsid w:val="006D2A71"/>
    <w:rsid w:val="006D2CBF"/>
    <w:rsid w:val="006D3008"/>
    <w:rsid w:val="006D30A7"/>
    <w:rsid w:val="006D3139"/>
    <w:rsid w:val="006D3453"/>
    <w:rsid w:val="006D34A2"/>
    <w:rsid w:val="006D34C8"/>
    <w:rsid w:val="006D3776"/>
    <w:rsid w:val="006D381E"/>
    <w:rsid w:val="006D382C"/>
    <w:rsid w:val="006D3836"/>
    <w:rsid w:val="006D3A74"/>
    <w:rsid w:val="006D3B6F"/>
    <w:rsid w:val="006D3BA0"/>
    <w:rsid w:val="006D3C90"/>
    <w:rsid w:val="006D3EDB"/>
    <w:rsid w:val="006D40B5"/>
    <w:rsid w:val="006D4105"/>
    <w:rsid w:val="006D4120"/>
    <w:rsid w:val="006D4354"/>
    <w:rsid w:val="006D4508"/>
    <w:rsid w:val="006D4768"/>
    <w:rsid w:val="006D48A0"/>
    <w:rsid w:val="006D4901"/>
    <w:rsid w:val="006D4AB0"/>
    <w:rsid w:val="006D4E2E"/>
    <w:rsid w:val="006D4FD0"/>
    <w:rsid w:val="006D514D"/>
    <w:rsid w:val="006D5392"/>
    <w:rsid w:val="006D53FD"/>
    <w:rsid w:val="006D5468"/>
    <w:rsid w:val="006D54D9"/>
    <w:rsid w:val="006D550D"/>
    <w:rsid w:val="006D5523"/>
    <w:rsid w:val="006D5555"/>
    <w:rsid w:val="006D55FA"/>
    <w:rsid w:val="006D565D"/>
    <w:rsid w:val="006D575C"/>
    <w:rsid w:val="006D5887"/>
    <w:rsid w:val="006D5B04"/>
    <w:rsid w:val="006D5BE5"/>
    <w:rsid w:val="006D5DE3"/>
    <w:rsid w:val="006D5E3A"/>
    <w:rsid w:val="006D5EBF"/>
    <w:rsid w:val="006D6301"/>
    <w:rsid w:val="006D634F"/>
    <w:rsid w:val="006D656F"/>
    <w:rsid w:val="006D6731"/>
    <w:rsid w:val="006D6892"/>
    <w:rsid w:val="006D699E"/>
    <w:rsid w:val="006D6E3A"/>
    <w:rsid w:val="006D6EB3"/>
    <w:rsid w:val="006D728E"/>
    <w:rsid w:val="006D7368"/>
    <w:rsid w:val="006D7423"/>
    <w:rsid w:val="006D75EF"/>
    <w:rsid w:val="006D762A"/>
    <w:rsid w:val="006D77BF"/>
    <w:rsid w:val="006D7F0B"/>
    <w:rsid w:val="006E0040"/>
    <w:rsid w:val="006E0096"/>
    <w:rsid w:val="006E025A"/>
    <w:rsid w:val="006E06E0"/>
    <w:rsid w:val="006E0900"/>
    <w:rsid w:val="006E0A31"/>
    <w:rsid w:val="006E0C7A"/>
    <w:rsid w:val="006E10A1"/>
    <w:rsid w:val="006E1194"/>
    <w:rsid w:val="006E1267"/>
    <w:rsid w:val="006E1330"/>
    <w:rsid w:val="006E1442"/>
    <w:rsid w:val="006E150D"/>
    <w:rsid w:val="006E1563"/>
    <w:rsid w:val="006E167E"/>
    <w:rsid w:val="006E1A17"/>
    <w:rsid w:val="006E1A47"/>
    <w:rsid w:val="006E1B06"/>
    <w:rsid w:val="006E1D14"/>
    <w:rsid w:val="006E1FA8"/>
    <w:rsid w:val="006E20B6"/>
    <w:rsid w:val="006E233A"/>
    <w:rsid w:val="006E255E"/>
    <w:rsid w:val="006E28E7"/>
    <w:rsid w:val="006E2974"/>
    <w:rsid w:val="006E29AC"/>
    <w:rsid w:val="006E2BC5"/>
    <w:rsid w:val="006E2BCB"/>
    <w:rsid w:val="006E2BD6"/>
    <w:rsid w:val="006E2FBF"/>
    <w:rsid w:val="006E3054"/>
    <w:rsid w:val="006E3216"/>
    <w:rsid w:val="006E3298"/>
    <w:rsid w:val="006E330C"/>
    <w:rsid w:val="006E331E"/>
    <w:rsid w:val="006E33AB"/>
    <w:rsid w:val="006E340A"/>
    <w:rsid w:val="006E3456"/>
    <w:rsid w:val="006E3563"/>
    <w:rsid w:val="006E3629"/>
    <w:rsid w:val="006E369B"/>
    <w:rsid w:val="006E36C7"/>
    <w:rsid w:val="006E378F"/>
    <w:rsid w:val="006E37F2"/>
    <w:rsid w:val="006E38AA"/>
    <w:rsid w:val="006E3AA1"/>
    <w:rsid w:val="006E3B81"/>
    <w:rsid w:val="006E3C42"/>
    <w:rsid w:val="006E3C6D"/>
    <w:rsid w:val="006E3E61"/>
    <w:rsid w:val="006E3F28"/>
    <w:rsid w:val="006E403A"/>
    <w:rsid w:val="006E45C4"/>
    <w:rsid w:val="006E4640"/>
    <w:rsid w:val="006E46B1"/>
    <w:rsid w:val="006E486C"/>
    <w:rsid w:val="006E49D9"/>
    <w:rsid w:val="006E4A0A"/>
    <w:rsid w:val="006E4AA7"/>
    <w:rsid w:val="006E4AB3"/>
    <w:rsid w:val="006E4ADB"/>
    <w:rsid w:val="006E4AF6"/>
    <w:rsid w:val="006E4B96"/>
    <w:rsid w:val="006E4BFB"/>
    <w:rsid w:val="006E4D29"/>
    <w:rsid w:val="006E4F14"/>
    <w:rsid w:val="006E5061"/>
    <w:rsid w:val="006E5447"/>
    <w:rsid w:val="006E56EF"/>
    <w:rsid w:val="006E5870"/>
    <w:rsid w:val="006E58F0"/>
    <w:rsid w:val="006E5D30"/>
    <w:rsid w:val="006E60F8"/>
    <w:rsid w:val="006E6372"/>
    <w:rsid w:val="006E63AD"/>
    <w:rsid w:val="006E63E7"/>
    <w:rsid w:val="006E647E"/>
    <w:rsid w:val="006E6579"/>
    <w:rsid w:val="006E678D"/>
    <w:rsid w:val="006E689C"/>
    <w:rsid w:val="006E68AC"/>
    <w:rsid w:val="006E692F"/>
    <w:rsid w:val="006E6D06"/>
    <w:rsid w:val="006E6DE7"/>
    <w:rsid w:val="006E6E20"/>
    <w:rsid w:val="006E710C"/>
    <w:rsid w:val="006E71B8"/>
    <w:rsid w:val="006E74AB"/>
    <w:rsid w:val="006E7506"/>
    <w:rsid w:val="006E7611"/>
    <w:rsid w:val="006E77A8"/>
    <w:rsid w:val="006E7B19"/>
    <w:rsid w:val="006E7BB9"/>
    <w:rsid w:val="006F030D"/>
    <w:rsid w:val="006F04A2"/>
    <w:rsid w:val="006F0535"/>
    <w:rsid w:val="006F05DF"/>
    <w:rsid w:val="006F064C"/>
    <w:rsid w:val="006F06F3"/>
    <w:rsid w:val="006F07BD"/>
    <w:rsid w:val="006F0965"/>
    <w:rsid w:val="006F09C0"/>
    <w:rsid w:val="006F0D27"/>
    <w:rsid w:val="006F1157"/>
    <w:rsid w:val="006F11E8"/>
    <w:rsid w:val="006F1234"/>
    <w:rsid w:val="006F1288"/>
    <w:rsid w:val="006F1467"/>
    <w:rsid w:val="006F157C"/>
    <w:rsid w:val="006F167C"/>
    <w:rsid w:val="006F19D7"/>
    <w:rsid w:val="006F1B1B"/>
    <w:rsid w:val="006F1C50"/>
    <w:rsid w:val="006F1D4F"/>
    <w:rsid w:val="006F1EB5"/>
    <w:rsid w:val="006F1F12"/>
    <w:rsid w:val="006F2022"/>
    <w:rsid w:val="006F210B"/>
    <w:rsid w:val="006F22E4"/>
    <w:rsid w:val="006F234D"/>
    <w:rsid w:val="006F2482"/>
    <w:rsid w:val="006F25E5"/>
    <w:rsid w:val="006F273B"/>
    <w:rsid w:val="006F2747"/>
    <w:rsid w:val="006F291C"/>
    <w:rsid w:val="006F2955"/>
    <w:rsid w:val="006F2A19"/>
    <w:rsid w:val="006F2A9B"/>
    <w:rsid w:val="006F2AE5"/>
    <w:rsid w:val="006F2E29"/>
    <w:rsid w:val="006F2E7B"/>
    <w:rsid w:val="006F2F90"/>
    <w:rsid w:val="006F2FA1"/>
    <w:rsid w:val="006F31FC"/>
    <w:rsid w:val="006F3281"/>
    <w:rsid w:val="006F32A8"/>
    <w:rsid w:val="006F32F7"/>
    <w:rsid w:val="006F36AE"/>
    <w:rsid w:val="006F38DE"/>
    <w:rsid w:val="006F3A21"/>
    <w:rsid w:val="006F3CAD"/>
    <w:rsid w:val="006F3D64"/>
    <w:rsid w:val="006F3F89"/>
    <w:rsid w:val="006F3FC7"/>
    <w:rsid w:val="006F40C9"/>
    <w:rsid w:val="006F418C"/>
    <w:rsid w:val="006F433D"/>
    <w:rsid w:val="006F449A"/>
    <w:rsid w:val="006F49D1"/>
    <w:rsid w:val="006F4AD4"/>
    <w:rsid w:val="006F4B73"/>
    <w:rsid w:val="006F4BAA"/>
    <w:rsid w:val="006F4BC3"/>
    <w:rsid w:val="006F4C37"/>
    <w:rsid w:val="006F509A"/>
    <w:rsid w:val="006F51F9"/>
    <w:rsid w:val="006F5243"/>
    <w:rsid w:val="006F5246"/>
    <w:rsid w:val="006F528D"/>
    <w:rsid w:val="006F543D"/>
    <w:rsid w:val="006F5B4B"/>
    <w:rsid w:val="006F5D71"/>
    <w:rsid w:val="006F5F18"/>
    <w:rsid w:val="006F607C"/>
    <w:rsid w:val="006F60F6"/>
    <w:rsid w:val="006F6203"/>
    <w:rsid w:val="006F6380"/>
    <w:rsid w:val="006F65FE"/>
    <w:rsid w:val="006F6717"/>
    <w:rsid w:val="006F676B"/>
    <w:rsid w:val="006F682D"/>
    <w:rsid w:val="006F68AA"/>
    <w:rsid w:val="006F6A38"/>
    <w:rsid w:val="006F6B5C"/>
    <w:rsid w:val="006F6BB1"/>
    <w:rsid w:val="006F6CFE"/>
    <w:rsid w:val="006F6DBE"/>
    <w:rsid w:val="006F6E45"/>
    <w:rsid w:val="006F7079"/>
    <w:rsid w:val="006F7193"/>
    <w:rsid w:val="006F7261"/>
    <w:rsid w:val="006F74B3"/>
    <w:rsid w:val="006F74F7"/>
    <w:rsid w:val="006F7535"/>
    <w:rsid w:val="006F76F7"/>
    <w:rsid w:val="006F7CF2"/>
    <w:rsid w:val="006F7DD4"/>
    <w:rsid w:val="006F7E8B"/>
    <w:rsid w:val="006F7ED9"/>
    <w:rsid w:val="006F7F61"/>
    <w:rsid w:val="007001E3"/>
    <w:rsid w:val="007001E7"/>
    <w:rsid w:val="0070025A"/>
    <w:rsid w:val="00700826"/>
    <w:rsid w:val="00700942"/>
    <w:rsid w:val="00700A81"/>
    <w:rsid w:val="00700D7C"/>
    <w:rsid w:val="00700E36"/>
    <w:rsid w:val="00700E8C"/>
    <w:rsid w:val="00700E95"/>
    <w:rsid w:val="00700EA4"/>
    <w:rsid w:val="00700FF7"/>
    <w:rsid w:val="00701398"/>
    <w:rsid w:val="007015E8"/>
    <w:rsid w:val="007015EA"/>
    <w:rsid w:val="00701D59"/>
    <w:rsid w:val="0070208A"/>
    <w:rsid w:val="007022C0"/>
    <w:rsid w:val="007022E7"/>
    <w:rsid w:val="007023BD"/>
    <w:rsid w:val="00702454"/>
    <w:rsid w:val="00702567"/>
    <w:rsid w:val="007026A5"/>
    <w:rsid w:val="007028C9"/>
    <w:rsid w:val="0070291E"/>
    <w:rsid w:val="00702922"/>
    <w:rsid w:val="00702ABE"/>
    <w:rsid w:val="00702C98"/>
    <w:rsid w:val="00702EFD"/>
    <w:rsid w:val="0070314A"/>
    <w:rsid w:val="00703187"/>
    <w:rsid w:val="00703190"/>
    <w:rsid w:val="007031EE"/>
    <w:rsid w:val="00703279"/>
    <w:rsid w:val="007032EE"/>
    <w:rsid w:val="0070331D"/>
    <w:rsid w:val="007033B9"/>
    <w:rsid w:val="0070347C"/>
    <w:rsid w:val="00703580"/>
    <w:rsid w:val="00703770"/>
    <w:rsid w:val="00703909"/>
    <w:rsid w:val="0070390A"/>
    <w:rsid w:val="00703A72"/>
    <w:rsid w:val="00703A89"/>
    <w:rsid w:val="00703AE4"/>
    <w:rsid w:val="00703B03"/>
    <w:rsid w:val="00703E53"/>
    <w:rsid w:val="00703EF9"/>
    <w:rsid w:val="00704118"/>
    <w:rsid w:val="007041ED"/>
    <w:rsid w:val="00704258"/>
    <w:rsid w:val="00704732"/>
    <w:rsid w:val="0070482A"/>
    <w:rsid w:val="007048B2"/>
    <w:rsid w:val="0070496C"/>
    <w:rsid w:val="00704A31"/>
    <w:rsid w:val="00704AB7"/>
    <w:rsid w:val="00704CB8"/>
    <w:rsid w:val="00704CF0"/>
    <w:rsid w:val="00704D55"/>
    <w:rsid w:val="00704E5B"/>
    <w:rsid w:val="00704F3C"/>
    <w:rsid w:val="00704F6A"/>
    <w:rsid w:val="00705019"/>
    <w:rsid w:val="007051AF"/>
    <w:rsid w:val="00705279"/>
    <w:rsid w:val="00705398"/>
    <w:rsid w:val="007057E7"/>
    <w:rsid w:val="007058D1"/>
    <w:rsid w:val="00705A4C"/>
    <w:rsid w:val="00705B99"/>
    <w:rsid w:val="00705B9E"/>
    <w:rsid w:val="00705F9F"/>
    <w:rsid w:val="0070617F"/>
    <w:rsid w:val="007061D7"/>
    <w:rsid w:val="00706660"/>
    <w:rsid w:val="00706C59"/>
    <w:rsid w:val="00706C9E"/>
    <w:rsid w:val="00706DC3"/>
    <w:rsid w:val="00706E2A"/>
    <w:rsid w:val="00707032"/>
    <w:rsid w:val="007071A5"/>
    <w:rsid w:val="007071CA"/>
    <w:rsid w:val="0070720A"/>
    <w:rsid w:val="0070728A"/>
    <w:rsid w:val="0070732B"/>
    <w:rsid w:val="007076B1"/>
    <w:rsid w:val="007079E4"/>
    <w:rsid w:val="00707A3F"/>
    <w:rsid w:val="00707A47"/>
    <w:rsid w:val="00707A82"/>
    <w:rsid w:val="00707BAB"/>
    <w:rsid w:val="00707BD5"/>
    <w:rsid w:val="00707CA7"/>
    <w:rsid w:val="00707CEE"/>
    <w:rsid w:val="0071011C"/>
    <w:rsid w:val="007102DB"/>
    <w:rsid w:val="0071034A"/>
    <w:rsid w:val="00710457"/>
    <w:rsid w:val="007106FC"/>
    <w:rsid w:val="00710818"/>
    <w:rsid w:val="0071087D"/>
    <w:rsid w:val="007108D1"/>
    <w:rsid w:val="00710B9F"/>
    <w:rsid w:val="00710C33"/>
    <w:rsid w:val="00710D64"/>
    <w:rsid w:val="00710D80"/>
    <w:rsid w:val="00710E14"/>
    <w:rsid w:val="00710F9F"/>
    <w:rsid w:val="007110AF"/>
    <w:rsid w:val="007112C5"/>
    <w:rsid w:val="0071168B"/>
    <w:rsid w:val="007118F6"/>
    <w:rsid w:val="00711BB2"/>
    <w:rsid w:val="00711D5C"/>
    <w:rsid w:val="00711E99"/>
    <w:rsid w:val="00712177"/>
    <w:rsid w:val="007123E0"/>
    <w:rsid w:val="007124B2"/>
    <w:rsid w:val="00712556"/>
    <w:rsid w:val="007127AB"/>
    <w:rsid w:val="0071291D"/>
    <w:rsid w:val="00712963"/>
    <w:rsid w:val="00712982"/>
    <w:rsid w:val="00712B84"/>
    <w:rsid w:val="00712CFB"/>
    <w:rsid w:val="00712FAB"/>
    <w:rsid w:val="0071329B"/>
    <w:rsid w:val="0071334F"/>
    <w:rsid w:val="007134F1"/>
    <w:rsid w:val="00713784"/>
    <w:rsid w:val="007137D3"/>
    <w:rsid w:val="00713805"/>
    <w:rsid w:val="00713A0A"/>
    <w:rsid w:val="00713A30"/>
    <w:rsid w:val="00713F12"/>
    <w:rsid w:val="0071405D"/>
    <w:rsid w:val="007145D3"/>
    <w:rsid w:val="00714762"/>
    <w:rsid w:val="00714769"/>
    <w:rsid w:val="0071492C"/>
    <w:rsid w:val="007149CA"/>
    <w:rsid w:val="00714AB9"/>
    <w:rsid w:val="00714AEB"/>
    <w:rsid w:val="00714DEE"/>
    <w:rsid w:val="00714EA8"/>
    <w:rsid w:val="00715080"/>
    <w:rsid w:val="007151CE"/>
    <w:rsid w:val="007152AA"/>
    <w:rsid w:val="0071539A"/>
    <w:rsid w:val="007153C2"/>
    <w:rsid w:val="00715720"/>
    <w:rsid w:val="00715723"/>
    <w:rsid w:val="00715981"/>
    <w:rsid w:val="007159AD"/>
    <w:rsid w:val="00715A95"/>
    <w:rsid w:val="00715C5D"/>
    <w:rsid w:val="00715CA7"/>
    <w:rsid w:val="00715D82"/>
    <w:rsid w:val="00715D85"/>
    <w:rsid w:val="0071601F"/>
    <w:rsid w:val="007161D3"/>
    <w:rsid w:val="007163B7"/>
    <w:rsid w:val="00716533"/>
    <w:rsid w:val="0071675C"/>
    <w:rsid w:val="0071678B"/>
    <w:rsid w:val="007168E2"/>
    <w:rsid w:val="007168EC"/>
    <w:rsid w:val="00716A30"/>
    <w:rsid w:val="00716ADA"/>
    <w:rsid w:val="00716CD0"/>
    <w:rsid w:val="00716D76"/>
    <w:rsid w:val="00716DF1"/>
    <w:rsid w:val="00716E84"/>
    <w:rsid w:val="00717102"/>
    <w:rsid w:val="007172BA"/>
    <w:rsid w:val="007172C4"/>
    <w:rsid w:val="007173FA"/>
    <w:rsid w:val="007174F2"/>
    <w:rsid w:val="0071751C"/>
    <w:rsid w:val="0071766C"/>
    <w:rsid w:val="0071773E"/>
    <w:rsid w:val="0071795E"/>
    <w:rsid w:val="00717AB6"/>
    <w:rsid w:val="00717CDC"/>
    <w:rsid w:val="00717E7A"/>
    <w:rsid w:val="0072035A"/>
    <w:rsid w:val="00720379"/>
    <w:rsid w:val="007204B4"/>
    <w:rsid w:val="007207F0"/>
    <w:rsid w:val="0072097C"/>
    <w:rsid w:val="00720B2E"/>
    <w:rsid w:val="00720CDD"/>
    <w:rsid w:val="00720D66"/>
    <w:rsid w:val="00720D88"/>
    <w:rsid w:val="00720D94"/>
    <w:rsid w:val="00720DFF"/>
    <w:rsid w:val="00720EC0"/>
    <w:rsid w:val="00720F09"/>
    <w:rsid w:val="00720FC7"/>
    <w:rsid w:val="007210DE"/>
    <w:rsid w:val="007210FA"/>
    <w:rsid w:val="007212D3"/>
    <w:rsid w:val="00721373"/>
    <w:rsid w:val="00721A3F"/>
    <w:rsid w:val="00721BAD"/>
    <w:rsid w:val="00721C0D"/>
    <w:rsid w:val="00721DEC"/>
    <w:rsid w:val="00721DF8"/>
    <w:rsid w:val="00721EF9"/>
    <w:rsid w:val="007221BB"/>
    <w:rsid w:val="007228B9"/>
    <w:rsid w:val="00722BBF"/>
    <w:rsid w:val="00722E34"/>
    <w:rsid w:val="00722E53"/>
    <w:rsid w:val="00722E70"/>
    <w:rsid w:val="00722EEB"/>
    <w:rsid w:val="00722F7D"/>
    <w:rsid w:val="00723007"/>
    <w:rsid w:val="00723008"/>
    <w:rsid w:val="0072308C"/>
    <w:rsid w:val="007230C1"/>
    <w:rsid w:val="007230EE"/>
    <w:rsid w:val="007231EE"/>
    <w:rsid w:val="0072324D"/>
    <w:rsid w:val="00723297"/>
    <w:rsid w:val="0072344A"/>
    <w:rsid w:val="00723452"/>
    <w:rsid w:val="007236CB"/>
    <w:rsid w:val="007237F5"/>
    <w:rsid w:val="007238E4"/>
    <w:rsid w:val="0072390B"/>
    <w:rsid w:val="00723C09"/>
    <w:rsid w:val="00723CD7"/>
    <w:rsid w:val="00724045"/>
    <w:rsid w:val="00724323"/>
    <w:rsid w:val="007244E5"/>
    <w:rsid w:val="00724DC8"/>
    <w:rsid w:val="00724DEB"/>
    <w:rsid w:val="00724F8C"/>
    <w:rsid w:val="00724FDA"/>
    <w:rsid w:val="007250A6"/>
    <w:rsid w:val="007250F5"/>
    <w:rsid w:val="0072561A"/>
    <w:rsid w:val="0072576C"/>
    <w:rsid w:val="00725797"/>
    <w:rsid w:val="00725803"/>
    <w:rsid w:val="00725BD3"/>
    <w:rsid w:val="00725D92"/>
    <w:rsid w:val="00725DE3"/>
    <w:rsid w:val="00726168"/>
    <w:rsid w:val="0072617D"/>
    <w:rsid w:val="007264EE"/>
    <w:rsid w:val="007265AB"/>
    <w:rsid w:val="0072668F"/>
    <w:rsid w:val="007266BD"/>
    <w:rsid w:val="00726851"/>
    <w:rsid w:val="00726B6D"/>
    <w:rsid w:val="00726C03"/>
    <w:rsid w:val="00726CEA"/>
    <w:rsid w:val="00726F66"/>
    <w:rsid w:val="00727111"/>
    <w:rsid w:val="00727247"/>
    <w:rsid w:val="00727290"/>
    <w:rsid w:val="007272D5"/>
    <w:rsid w:val="0072736D"/>
    <w:rsid w:val="007273B5"/>
    <w:rsid w:val="007273EB"/>
    <w:rsid w:val="0072750A"/>
    <w:rsid w:val="00727577"/>
    <w:rsid w:val="00727581"/>
    <w:rsid w:val="00727776"/>
    <w:rsid w:val="007277B5"/>
    <w:rsid w:val="00727A74"/>
    <w:rsid w:val="00727E4E"/>
    <w:rsid w:val="00727ED4"/>
    <w:rsid w:val="007302FA"/>
    <w:rsid w:val="00730CFA"/>
    <w:rsid w:val="00730D53"/>
    <w:rsid w:val="00730DD1"/>
    <w:rsid w:val="00730EB5"/>
    <w:rsid w:val="00731391"/>
    <w:rsid w:val="0073140A"/>
    <w:rsid w:val="0073195A"/>
    <w:rsid w:val="00731BE9"/>
    <w:rsid w:val="00731C03"/>
    <w:rsid w:val="00731E10"/>
    <w:rsid w:val="0073214B"/>
    <w:rsid w:val="00732268"/>
    <w:rsid w:val="007324A1"/>
    <w:rsid w:val="0073254B"/>
    <w:rsid w:val="00732790"/>
    <w:rsid w:val="0073299C"/>
    <w:rsid w:val="00732AE0"/>
    <w:rsid w:val="00732AED"/>
    <w:rsid w:val="00732E0E"/>
    <w:rsid w:val="00732F33"/>
    <w:rsid w:val="00733141"/>
    <w:rsid w:val="00733323"/>
    <w:rsid w:val="0073345B"/>
    <w:rsid w:val="00733501"/>
    <w:rsid w:val="0073361C"/>
    <w:rsid w:val="00733655"/>
    <w:rsid w:val="007336EA"/>
    <w:rsid w:val="00733780"/>
    <w:rsid w:val="00733886"/>
    <w:rsid w:val="007339D6"/>
    <w:rsid w:val="00733A32"/>
    <w:rsid w:val="00733B80"/>
    <w:rsid w:val="00733BBB"/>
    <w:rsid w:val="00733C7F"/>
    <w:rsid w:val="00733CA0"/>
    <w:rsid w:val="00733E89"/>
    <w:rsid w:val="00733EEA"/>
    <w:rsid w:val="00734533"/>
    <w:rsid w:val="00734861"/>
    <w:rsid w:val="0073489B"/>
    <w:rsid w:val="00734934"/>
    <w:rsid w:val="00734A4D"/>
    <w:rsid w:val="00734A79"/>
    <w:rsid w:val="00734B54"/>
    <w:rsid w:val="00734BBB"/>
    <w:rsid w:val="00734D9C"/>
    <w:rsid w:val="00735027"/>
    <w:rsid w:val="007350BC"/>
    <w:rsid w:val="00735118"/>
    <w:rsid w:val="00735141"/>
    <w:rsid w:val="00735500"/>
    <w:rsid w:val="00735626"/>
    <w:rsid w:val="00735893"/>
    <w:rsid w:val="00735901"/>
    <w:rsid w:val="0073598C"/>
    <w:rsid w:val="0073599B"/>
    <w:rsid w:val="00735CB4"/>
    <w:rsid w:val="00735EDA"/>
    <w:rsid w:val="007361A9"/>
    <w:rsid w:val="00736434"/>
    <w:rsid w:val="0073648E"/>
    <w:rsid w:val="0073653D"/>
    <w:rsid w:val="00736554"/>
    <w:rsid w:val="007365DA"/>
    <w:rsid w:val="007365DB"/>
    <w:rsid w:val="007365E9"/>
    <w:rsid w:val="00736647"/>
    <w:rsid w:val="0073666F"/>
    <w:rsid w:val="007366B1"/>
    <w:rsid w:val="00736A5C"/>
    <w:rsid w:val="00736B58"/>
    <w:rsid w:val="00736BE9"/>
    <w:rsid w:val="00736CB4"/>
    <w:rsid w:val="00736DA0"/>
    <w:rsid w:val="00736DA3"/>
    <w:rsid w:val="00736DF0"/>
    <w:rsid w:val="00736E13"/>
    <w:rsid w:val="00736FBC"/>
    <w:rsid w:val="007370F8"/>
    <w:rsid w:val="0073721F"/>
    <w:rsid w:val="007374BA"/>
    <w:rsid w:val="007374E9"/>
    <w:rsid w:val="007375F9"/>
    <w:rsid w:val="0073769B"/>
    <w:rsid w:val="00737884"/>
    <w:rsid w:val="007378EB"/>
    <w:rsid w:val="00737A9E"/>
    <w:rsid w:val="00737BA3"/>
    <w:rsid w:val="00737C67"/>
    <w:rsid w:val="00737C75"/>
    <w:rsid w:val="00737CD4"/>
    <w:rsid w:val="00737F92"/>
    <w:rsid w:val="00740104"/>
    <w:rsid w:val="00740253"/>
    <w:rsid w:val="00740312"/>
    <w:rsid w:val="00740371"/>
    <w:rsid w:val="007403F4"/>
    <w:rsid w:val="00740415"/>
    <w:rsid w:val="007404D8"/>
    <w:rsid w:val="00740540"/>
    <w:rsid w:val="0074054E"/>
    <w:rsid w:val="0074060C"/>
    <w:rsid w:val="00740969"/>
    <w:rsid w:val="0074097E"/>
    <w:rsid w:val="00740AA0"/>
    <w:rsid w:val="00740B4F"/>
    <w:rsid w:val="00740BAF"/>
    <w:rsid w:val="00740BC9"/>
    <w:rsid w:val="00740CD4"/>
    <w:rsid w:val="00740D96"/>
    <w:rsid w:val="00740DFE"/>
    <w:rsid w:val="00740E71"/>
    <w:rsid w:val="0074125D"/>
    <w:rsid w:val="00741271"/>
    <w:rsid w:val="00741288"/>
    <w:rsid w:val="007412B8"/>
    <w:rsid w:val="007412F2"/>
    <w:rsid w:val="007414F3"/>
    <w:rsid w:val="007414FD"/>
    <w:rsid w:val="0074153D"/>
    <w:rsid w:val="0074159A"/>
    <w:rsid w:val="007415D2"/>
    <w:rsid w:val="0074179D"/>
    <w:rsid w:val="007417C0"/>
    <w:rsid w:val="007419AA"/>
    <w:rsid w:val="00741EDB"/>
    <w:rsid w:val="0074207D"/>
    <w:rsid w:val="0074214A"/>
    <w:rsid w:val="00742181"/>
    <w:rsid w:val="007421AA"/>
    <w:rsid w:val="00742246"/>
    <w:rsid w:val="0074236F"/>
    <w:rsid w:val="0074246E"/>
    <w:rsid w:val="007424EA"/>
    <w:rsid w:val="0074251F"/>
    <w:rsid w:val="00742580"/>
    <w:rsid w:val="00742739"/>
    <w:rsid w:val="0074285A"/>
    <w:rsid w:val="00742AA5"/>
    <w:rsid w:val="00742B97"/>
    <w:rsid w:val="00742C75"/>
    <w:rsid w:val="00742CF4"/>
    <w:rsid w:val="00742EDC"/>
    <w:rsid w:val="00742F69"/>
    <w:rsid w:val="00742F6B"/>
    <w:rsid w:val="007433F1"/>
    <w:rsid w:val="007435AC"/>
    <w:rsid w:val="00743631"/>
    <w:rsid w:val="00743637"/>
    <w:rsid w:val="00743667"/>
    <w:rsid w:val="00743EC9"/>
    <w:rsid w:val="0074405E"/>
    <w:rsid w:val="0074406B"/>
    <w:rsid w:val="007440C4"/>
    <w:rsid w:val="007440E0"/>
    <w:rsid w:val="007441A8"/>
    <w:rsid w:val="00744373"/>
    <w:rsid w:val="007443CA"/>
    <w:rsid w:val="0074443A"/>
    <w:rsid w:val="007445A1"/>
    <w:rsid w:val="00744879"/>
    <w:rsid w:val="00744D3B"/>
    <w:rsid w:val="00744E55"/>
    <w:rsid w:val="00744FD1"/>
    <w:rsid w:val="00744FD7"/>
    <w:rsid w:val="00745143"/>
    <w:rsid w:val="0074519A"/>
    <w:rsid w:val="00745329"/>
    <w:rsid w:val="00745376"/>
    <w:rsid w:val="00745505"/>
    <w:rsid w:val="00745521"/>
    <w:rsid w:val="0074590A"/>
    <w:rsid w:val="0074596C"/>
    <w:rsid w:val="00745A7E"/>
    <w:rsid w:val="00745B93"/>
    <w:rsid w:val="00745EFA"/>
    <w:rsid w:val="00745F2A"/>
    <w:rsid w:val="00745F49"/>
    <w:rsid w:val="0074600F"/>
    <w:rsid w:val="0074603B"/>
    <w:rsid w:val="0074615E"/>
    <w:rsid w:val="0074616F"/>
    <w:rsid w:val="00746207"/>
    <w:rsid w:val="007463E2"/>
    <w:rsid w:val="007468CD"/>
    <w:rsid w:val="00746A54"/>
    <w:rsid w:val="00746E69"/>
    <w:rsid w:val="0074725A"/>
    <w:rsid w:val="0074731D"/>
    <w:rsid w:val="00747374"/>
    <w:rsid w:val="00747473"/>
    <w:rsid w:val="007474A8"/>
    <w:rsid w:val="007474AB"/>
    <w:rsid w:val="0074779E"/>
    <w:rsid w:val="007477ED"/>
    <w:rsid w:val="007479D8"/>
    <w:rsid w:val="00747AA1"/>
    <w:rsid w:val="00747BCD"/>
    <w:rsid w:val="00750103"/>
    <w:rsid w:val="00750110"/>
    <w:rsid w:val="0075021B"/>
    <w:rsid w:val="007504C0"/>
    <w:rsid w:val="00750506"/>
    <w:rsid w:val="0075054E"/>
    <w:rsid w:val="0075057D"/>
    <w:rsid w:val="00750592"/>
    <w:rsid w:val="007505AF"/>
    <w:rsid w:val="00750892"/>
    <w:rsid w:val="00750A5C"/>
    <w:rsid w:val="00750AFF"/>
    <w:rsid w:val="00750B90"/>
    <w:rsid w:val="007510BA"/>
    <w:rsid w:val="00751112"/>
    <w:rsid w:val="0075114F"/>
    <w:rsid w:val="0075142D"/>
    <w:rsid w:val="007514AB"/>
    <w:rsid w:val="0075174A"/>
    <w:rsid w:val="007517FA"/>
    <w:rsid w:val="00751867"/>
    <w:rsid w:val="00751AA8"/>
    <w:rsid w:val="00751C3C"/>
    <w:rsid w:val="00751CC1"/>
    <w:rsid w:val="00751DDF"/>
    <w:rsid w:val="00751F52"/>
    <w:rsid w:val="00751FFE"/>
    <w:rsid w:val="00752130"/>
    <w:rsid w:val="007522D9"/>
    <w:rsid w:val="007524F7"/>
    <w:rsid w:val="0075259F"/>
    <w:rsid w:val="00752704"/>
    <w:rsid w:val="00752744"/>
    <w:rsid w:val="007527E5"/>
    <w:rsid w:val="007529AB"/>
    <w:rsid w:val="00752A86"/>
    <w:rsid w:val="00752B36"/>
    <w:rsid w:val="00752E56"/>
    <w:rsid w:val="00752EE2"/>
    <w:rsid w:val="007530A6"/>
    <w:rsid w:val="00753272"/>
    <w:rsid w:val="007532B1"/>
    <w:rsid w:val="007532E9"/>
    <w:rsid w:val="007538E7"/>
    <w:rsid w:val="007539E9"/>
    <w:rsid w:val="00753B60"/>
    <w:rsid w:val="00753B9B"/>
    <w:rsid w:val="00753ECE"/>
    <w:rsid w:val="00753EF6"/>
    <w:rsid w:val="00753FAB"/>
    <w:rsid w:val="00753FDE"/>
    <w:rsid w:val="00754943"/>
    <w:rsid w:val="007549E9"/>
    <w:rsid w:val="00754AB2"/>
    <w:rsid w:val="00754B0F"/>
    <w:rsid w:val="00754C85"/>
    <w:rsid w:val="00754CF3"/>
    <w:rsid w:val="00755010"/>
    <w:rsid w:val="00755027"/>
    <w:rsid w:val="007551D7"/>
    <w:rsid w:val="00755228"/>
    <w:rsid w:val="0075526D"/>
    <w:rsid w:val="00755329"/>
    <w:rsid w:val="007555E2"/>
    <w:rsid w:val="007558BF"/>
    <w:rsid w:val="00755A20"/>
    <w:rsid w:val="00755A56"/>
    <w:rsid w:val="00755C34"/>
    <w:rsid w:val="00755CB3"/>
    <w:rsid w:val="0075627D"/>
    <w:rsid w:val="007564E9"/>
    <w:rsid w:val="007564F5"/>
    <w:rsid w:val="0075657E"/>
    <w:rsid w:val="00756A43"/>
    <w:rsid w:val="00756C20"/>
    <w:rsid w:val="00756CA3"/>
    <w:rsid w:val="00756D31"/>
    <w:rsid w:val="00756E3B"/>
    <w:rsid w:val="00756F71"/>
    <w:rsid w:val="0075701C"/>
    <w:rsid w:val="0075710B"/>
    <w:rsid w:val="00757266"/>
    <w:rsid w:val="00757337"/>
    <w:rsid w:val="0075744E"/>
    <w:rsid w:val="00757500"/>
    <w:rsid w:val="007576C4"/>
    <w:rsid w:val="007576F4"/>
    <w:rsid w:val="0075788B"/>
    <w:rsid w:val="0075796E"/>
    <w:rsid w:val="007579FE"/>
    <w:rsid w:val="00757B14"/>
    <w:rsid w:val="00757B8E"/>
    <w:rsid w:val="00757BE5"/>
    <w:rsid w:val="00757C5B"/>
    <w:rsid w:val="00757DC9"/>
    <w:rsid w:val="00757F51"/>
    <w:rsid w:val="00757FFB"/>
    <w:rsid w:val="007600F7"/>
    <w:rsid w:val="00760268"/>
    <w:rsid w:val="007608BF"/>
    <w:rsid w:val="00760AFA"/>
    <w:rsid w:val="00760B33"/>
    <w:rsid w:val="00760BCA"/>
    <w:rsid w:val="00760CDE"/>
    <w:rsid w:val="00760E8F"/>
    <w:rsid w:val="00760EBF"/>
    <w:rsid w:val="00761038"/>
    <w:rsid w:val="00761071"/>
    <w:rsid w:val="007611C4"/>
    <w:rsid w:val="00761211"/>
    <w:rsid w:val="00761214"/>
    <w:rsid w:val="007617F6"/>
    <w:rsid w:val="00761A62"/>
    <w:rsid w:val="00761A85"/>
    <w:rsid w:val="00761C8D"/>
    <w:rsid w:val="00762301"/>
    <w:rsid w:val="0076246D"/>
    <w:rsid w:val="007625C3"/>
    <w:rsid w:val="0076262B"/>
    <w:rsid w:val="00762802"/>
    <w:rsid w:val="0076290F"/>
    <w:rsid w:val="00762A9D"/>
    <w:rsid w:val="00762D1A"/>
    <w:rsid w:val="00762DB4"/>
    <w:rsid w:val="00762DE1"/>
    <w:rsid w:val="00762DF3"/>
    <w:rsid w:val="00762EC8"/>
    <w:rsid w:val="00762EE0"/>
    <w:rsid w:val="00763026"/>
    <w:rsid w:val="007630A9"/>
    <w:rsid w:val="00763192"/>
    <w:rsid w:val="007632AA"/>
    <w:rsid w:val="007632EE"/>
    <w:rsid w:val="007633C7"/>
    <w:rsid w:val="007633DA"/>
    <w:rsid w:val="00763604"/>
    <w:rsid w:val="007637AF"/>
    <w:rsid w:val="00763818"/>
    <w:rsid w:val="0076390F"/>
    <w:rsid w:val="007639E4"/>
    <w:rsid w:val="007639F4"/>
    <w:rsid w:val="00763A2D"/>
    <w:rsid w:val="00763C58"/>
    <w:rsid w:val="00763CEF"/>
    <w:rsid w:val="00763E59"/>
    <w:rsid w:val="00763F27"/>
    <w:rsid w:val="00764064"/>
    <w:rsid w:val="0076419F"/>
    <w:rsid w:val="007642FA"/>
    <w:rsid w:val="0076456D"/>
    <w:rsid w:val="007645F9"/>
    <w:rsid w:val="00764678"/>
    <w:rsid w:val="00764779"/>
    <w:rsid w:val="00764939"/>
    <w:rsid w:val="007649B2"/>
    <w:rsid w:val="00764C04"/>
    <w:rsid w:val="00764CD9"/>
    <w:rsid w:val="00764ED5"/>
    <w:rsid w:val="00764F77"/>
    <w:rsid w:val="00765046"/>
    <w:rsid w:val="00765164"/>
    <w:rsid w:val="0076520A"/>
    <w:rsid w:val="0076543C"/>
    <w:rsid w:val="00765833"/>
    <w:rsid w:val="00765881"/>
    <w:rsid w:val="00765990"/>
    <w:rsid w:val="007659D0"/>
    <w:rsid w:val="00765A01"/>
    <w:rsid w:val="00765B0D"/>
    <w:rsid w:val="00765C03"/>
    <w:rsid w:val="00765C46"/>
    <w:rsid w:val="00765C9B"/>
    <w:rsid w:val="00765D29"/>
    <w:rsid w:val="00766079"/>
    <w:rsid w:val="00766095"/>
    <w:rsid w:val="0076623F"/>
    <w:rsid w:val="007665CC"/>
    <w:rsid w:val="00766792"/>
    <w:rsid w:val="00766916"/>
    <w:rsid w:val="0076694D"/>
    <w:rsid w:val="00766994"/>
    <w:rsid w:val="00766CB6"/>
    <w:rsid w:val="00766EEA"/>
    <w:rsid w:val="00767030"/>
    <w:rsid w:val="00767128"/>
    <w:rsid w:val="0076716C"/>
    <w:rsid w:val="0076761A"/>
    <w:rsid w:val="00767667"/>
    <w:rsid w:val="0076767D"/>
    <w:rsid w:val="0076798D"/>
    <w:rsid w:val="00767DB4"/>
    <w:rsid w:val="00767DD9"/>
    <w:rsid w:val="00767F93"/>
    <w:rsid w:val="007703FD"/>
    <w:rsid w:val="00770671"/>
    <w:rsid w:val="007706A2"/>
    <w:rsid w:val="00770889"/>
    <w:rsid w:val="0077096A"/>
    <w:rsid w:val="00770BC4"/>
    <w:rsid w:val="00770C5D"/>
    <w:rsid w:val="00770F41"/>
    <w:rsid w:val="00770FDA"/>
    <w:rsid w:val="00770FEE"/>
    <w:rsid w:val="00771128"/>
    <w:rsid w:val="007711B5"/>
    <w:rsid w:val="00771566"/>
    <w:rsid w:val="007716E0"/>
    <w:rsid w:val="007717D0"/>
    <w:rsid w:val="00771A22"/>
    <w:rsid w:val="00771CB2"/>
    <w:rsid w:val="00771F8F"/>
    <w:rsid w:val="00772022"/>
    <w:rsid w:val="0077254B"/>
    <w:rsid w:val="0077256D"/>
    <w:rsid w:val="00772579"/>
    <w:rsid w:val="00772607"/>
    <w:rsid w:val="0077285E"/>
    <w:rsid w:val="00772B1D"/>
    <w:rsid w:val="00772C4E"/>
    <w:rsid w:val="00772F2C"/>
    <w:rsid w:val="00772F88"/>
    <w:rsid w:val="00773094"/>
    <w:rsid w:val="0077315C"/>
    <w:rsid w:val="00773201"/>
    <w:rsid w:val="00773240"/>
    <w:rsid w:val="007736D7"/>
    <w:rsid w:val="007737EB"/>
    <w:rsid w:val="00773849"/>
    <w:rsid w:val="007739E2"/>
    <w:rsid w:val="007739F0"/>
    <w:rsid w:val="00773A47"/>
    <w:rsid w:val="00773C9D"/>
    <w:rsid w:val="00773CF8"/>
    <w:rsid w:val="00773D46"/>
    <w:rsid w:val="00773DDB"/>
    <w:rsid w:val="0077407B"/>
    <w:rsid w:val="007741C0"/>
    <w:rsid w:val="00774A1A"/>
    <w:rsid w:val="00774CBC"/>
    <w:rsid w:val="00774D64"/>
    <w:rsid w:val="00774D9D"/>
    <w:rsid w:val="0077525A"/>
    <w:rsid w:val="00775529"/>
    <w:rsid w:val="007755BF"/>
    <w:rsid w:val="0077569F"/>
    <w:rsid w:val="007757B1"/>
    <w:rsid w:val="00775A27"/>
    <w:rsid w:val="00775AB5"/>
    <w:rsid w:val="00775B57"/>
    <w:rsid w:val="00775BA8"/>
    <w:rsid w:val="00775C5D"/>
    <w:rsid w:val="00775D3D"/>
    <w:rsid w:val="0077601F"/>
    <w:rsid w:val="00776383"/>
    <w:rsid w:val="007767EB"/>
    <w:rsid w:val="007768A9"/>
    <w:rsid w:val="007768F5"/>
    <w:rsid w:val="00776A46"/>
    <w:rsid w:val="00776D65"/>
    <w:rsid w:val="00776DA3"/>
    <w:rsid w:val="00777137"/>
    <w:rsid w:val="00777247"/>
    <w:rsid w:val="007772EC"/>
    <w:rsid w:val="007774F2"/>
    <w:rsid w:val="007776A1"/>
    <w:rsid w:val="00777747"/>
    <w:rsid w:val="0077775C"/>
    <w:rsid w:val="0077777D"/>
    <w:rsid w:val="00777A1A"/>
    <w:rsid w:val="00777A26"/>
    <w:rsid w:val="00777B4C"/>
    <w:rsid w:val="00777B6E"/>
    <w:rsid w:val="00777DD9"/>
    <w:rsid w:val="00777E5F"/>
    <w:rsid w:val="00780140"/>
    <w:rsid w:val="007805A8"/>
    <w:rsid w:val="007805CB"/>
    <w:rsid w:val="00780641"/>
    <w:rsid w:val="00780722"/>
    <w:rsid w:val="00780A9B"/>
    <w:rsid w:val="00780BB9"/>
    <w:rsid w:val="00780E70"/>
    <w:rsid w:val="00781148"/>
    <w:rsid w:val="00781310"/>
    <w:rsid w:val="007813B4"/>
    <w:rsid w:val="00781A5A"/>
    <w:rsid w:val="00781C61"/>
    <w:rsid w:val="00781F8F"/>
    <w:rsid w:val="0078203C"/>
    <w:rsid w:val="0078230F"/>
    <w:rsid w:val="0078246A"/>
    <w:rsid w:val="0078251A"/>
    <w:rsid w:val="00782688"/>
    <w:rsid w:val="007827CE"/>
    <w:rsid w:val="00782BA5"/>
    <w:rsid w:val="00782CB2"/>
    <w:rsid w:val="00782F4A"/>
    <w:rsid w:val="00782FBA"/>
    <w:rsid w:val="0078300A"/>
    <w:rsid w:val="007832C9"/>
    <w:rsid w:val="00783348"/>
    <w:rsid w:val="007835B0"/>
    <w:rsid w:val="00783659"/>
    <w:rsid w:val="0078373A"/>
    <w:rsid w:val="00783AC1"/>
    <w:rsid w:val="00783B00"/>
    <w:rsid w:val="00783B60"/>
    <w:rsid w:val="00783CA5"/>
    <w:rsid w:val="00783D2C"/>
    <w:rsid w:val="0078430D"/>
    <w:rsid w:val="00784349"/>
    <w:rsid w:val="0078466E"/>
    <w:rsid w:val="007847A4"/>
    <w:rsid w:val="00784873"/>
    <w:rsid w:val="00784898"/>
    <w:rsid w:val="007848E9"/>
    <w:rsid w:val="007849CF"/>
    <w:rsid w:val="00784A49"/>
    <w:rsid w:val="00784A9D"/>
    <w:rsid w:val="00784BB9"/>
    <w:rsid w:val="00784BEE"/>
    <w:rsid w:val="00784C82"/>
    <w:rsid w:val="00785136"/>
    <w:rsid w:val="0078521F"/>
    <w:rsid w:val="007852C5"/>
    <w:rsid w:val="00785339"/>
    <w:rsid w:val="00785548"/>
    <w:rsid w:val="0078580A"/>
    <w:rsid w:val="007859C2"/>
    <w:rsid w:val="00785A68"/>
    <w:rsid w:val="00785CAA"/>
    <w:rsid w:val="00785E94"/>
    <w:rsid w:val="00785F1E"/>
    <w:rsid w:val="007860FA"/>
    <w:rsid w:val="007861B4"/>
    <w:rsid w:val="00786369"/>
    <w:rsid w:val="00786559"/>
    <w:rsid w:val="007866CA"/>
    <w:rsid w:val="0078677B"/>
    <w:rsid w:val="0078688B"/>
    <w:rsid w:val="007869BE"/>
    <w:rsid w:val="00786A94"/>
    <w:rsid w:val="00786BE1"/>
    <w:rsid w:val="00786C32"/>
    <w:rsid w:val="00786C55"/>
    <w:rsid w:val="00786C8C"/>
    <w:rsid w:val="00786CAE"/>
    <w:rsid w:val="0078704C"/>
    <w:rsid w:val="007870BC"/>
    <w:rsid w:val="00787206"/>
    <w:rsid w:val="00787558"/>
    <w:rsid w:val="00787652"/>
    <w:rsid w:val="0078767E"/>
    <w:rsid w:val="007876AF"/>
    <w:rsid w:val="0078771D"/>
    <w:rsid w:val="007879AE"/>
    <w:rsid w:val="00787D79"/>
    <w:rsid w:val="00787DFD"/>
    <w:rsid w:val="00787E30"/>
    <w:rsid w:val="00787F23"/>
    <w:rsid w:val="007900F1"/>
    <w:rsid w:val="0079014D"/>
    <w:rsid w:val="007901BF"/>
    <w:rsid w:val="00790355"/>
    <w:rsid w:val="007903A6"/>
    <w:rsid w:val="007905BF"/>
    <w:rsid w:val="007907B3"/>
    <w:rsid w:val="007907D7"/>
    <w:rsid w:val="0079086D"/>
    <w:rsid w:val="00790DC1"/>
    <w:rsid w:val="007913A9"/>
    <w:rsid w:val="00791460"/>
    <w:rsid w:val="0079156D"/>
    <w:rsid w:val="00791591"/>
    <w:rsid w:val="0079163C"/>
    <w:rsid w:val="00791653"/>
    <w:rsid w:val="007918B8"/>
    <w:rsid w:val="0079192B"/>
    <w:rsid w:val="00791A48"/>
    <w:rsid w:val="00791B58"/>
    <w:rsid w:val="0079208B"/>
    <w:rsid w:val="007921B1"/>
    <w:rsid w:val="007921D4"/>
    <w:rsid w:val="00792238"/>
    <w:rsid w:val="00792334"/>
    <w:rsid w:val="007923EB"/>
    <w:rsid w:val="0079251C"/>
    <w:rsid w:val="00792762"/>
    <w:rsid w:val="007929BC"/>
    <w:rsid w:val="00792A34"/>
    <w:rsid w:val="00792AE3"/>
    <w:rsid w:val="00792B1D"/>
    <w:rsid w:val="00792FB1"/>
    <w:rsid w:val="0079322A"/>
    <w:rsid w:val="007933BB"/>
    <w:rsid w:val="00793486"/>
    <w:rsid w:val="0079385A"/>
    <w:rsid w:val="0079398D"/>
    <w:rsid w:val="00793BD1"/>
    <w:rsid w:val="00793C93"/>
    <w:rsid w:val="00794057"/>
    <w:rsid w:val="007941F8"/>
    <w:rsid w:val="00794265"/>
    <w:rsid w:val="0079427B"/>
    <w:rsid w:val="00794464"/>
    <w:rsid w:val="007944D5"/>
    <w:rsid w:val="007949B2"/>
    <w:rsid w:val="00794A26"/>
    <w:rsid w:val="00794C11"/>
    <w:rsid w:val="00794E23"/>
    <w:rsid w:val="0079527B"/>
    <w:rsid w:val="00795287"/>
    <w:rsid w:val="0079535D"/>
    <w:rsid w:val="00795399"/>
    <w:rsid w:val="0079541B"/>
    <w:rsid w:val="0079544A"/>
    <w:rsid w:val="00795512"/>
    <w:rsid w:val="007955B4"/>
    <w:rsid w:val="0079563B"/>
    <w:rsid w:val="007956F3"/>
    <w:rsid w:val="0079570A"/>
    <w:rsid w:val="00795A6A"/>
    <w:rsid w:val="00795B3D"/>
    <w:rsid w:val="00795D82"/>
    <w:rsid w:val="00795DB1"/>
    <w:rsid w:val="00795E3D"/>
    <w:rsid w:val="00795F33"/>
    <w:rsid w:val="00795FEF"/>
    <w:rsid w:val="00796223"/>
    <w:rsid w:val="00796398"/>
    <w:rsid w:val="0079648B"/>
    <w:rsid w:val="00796711"/>
    <w:rsid w:val="0079672C"/>
    <w:rsid w:val="00796953"/>
    <w:rsid w:val="0079699B"/>
    <w:rsid w:val="007969DD"/>
    <w:rsid w:val="00796C58"/>
    <w:rsid w:val="00796CC2"/>
    <w:rsid w:val="00796D79"/>
    <w:rsid w:val="00796E1F"/>
    <w:rsid w:val="00796E55"/>
    <w:rsid w:val="00796EF9"/>
    <w:rsid w:val="00796F20"/>
    <w:rsid w:val="00796F77"/>
    <w:rsid w:val="00796FB4"/>
    <w:rsid w:val="00796FBD"/>
    <w:rsid w:val="00797061"/>
    <w:rsid w:val="00797300"/>
    <w:rsid w:val="0079743A"/>
    <w:rsid w:val="00797449"/>
    <w:rsid w:val="00797604"/>
    <w:rsid w:val="00797AC4"/>
    <w:rsid w:val="00797AC8"/>
    <w:rsid w:val="00797ACC"/>
    <w:rsid w:val="00797C6A"/>
    <w:rsid w:val="00797DD4"/>
    <w:rsid w:val="007A025E"/>
    <w:rsid w:val="007A02C6"/>
    <w:rsid w:val="007A05B8"/>
    <w:rsid w:val="007A0668"/>
    <w:rsid w:val="007A0A10"/>
    <w:rsid w:val="007A0C19"/>
    <w:rsid w:val="007A0CB1"/>
    <w:rsid w:val="007A0CB8"/>
    <w:rsid w:val="007A0CEE"/>
    <w:rsid w:val="007A0E02"/>
    <w:rsid w:val="007A0E1B"/>
    <w:rsid w:val="007A0F70"/>
    <w:rsid w:val="007A1007"/>
    <w:rsid w:val="007A116B"/>
    <w:rsid w:val="007A1255"/>
    <w:rsid w:val="007A17B2"/>
    <w:rsid w:val="007A1962"/>
    <w:rsid w:val="007A1977"/>
    <w:rsid w:val="007A197C"/>
    <w:rsid w:val="007A1AF2"/>
    <w:rsid w:val="007A1B61"/>
    <w:rsid w:val="007A1D85"/>
    <w:rsid w:val="007A1DC4"/>
    <w:rsid w:val="007A1E0F"/>
    <w:rsid w:val="007A1FFB"/>
    <w:rsid w:val="007A2296"/>
    <w:rsid w:val="007A250B"/>
    <w:rsid w:val="007A2558"/>
    <w:rsid w:val="007A259D"/>
    <w:rsid w:val="007A2610"/>
    <w:rsid w:val="007A2A18"/>
    <w:rsid w:val="007A2A91"/>
    <w:rsid w:val="007A2ABC"/>
    <w:rsid w:val="007A2AE7"/>
    <w:rsid w:val="007A2BA3"/>
    <w:rsid w:val="007A2BFF"/>
    <w:rsid w:val="007A2C5D"/>
    <w:rsid w:val="007A34F3"/>
    <w:rsid w:val="007A35B4"/>
    <w:rsid w:val="007A35D4"/>
    <w:rsid w:val="007A3C6C"/>
    <w:rsid w:val="007A3D20"/>
    <w:rsid w:val="007A3F21"/>
    <w:rsid w:val="007A4009"/>
    <w:rsid w:val="007A4156"/>
    <w:rsid w:val="007A4227"/>
    <w:rsid w:val="007A42B8"/>
    <w:rsid w:val="007A451D"/>
    <w:rsid w:val="007A45D8"/>
    <w:rsid w:val="007A4A79"/>
    <w:rsid w:val="007A4A7B"/>
    <w:rsid w:val="007A4B41"/>
    <w:rsid w:val="007A4D33"/>
    <w:rsid w:val="007A4DCC"/>
    <w:rsid w:val="007A4F0E"/>
    <w:rsid w:val="007A5111"/>
    <w:rsid w:val="007A5172"/>
    <w:rsid w:val="007A5243"/>
    <w:rsid w:val="007A53BC"/>
    <w:rsid w:val="007A53E1"/>
    <w:rsid w:val="007A548F"/>
    <w:rsid w:val="007A5648"/>
    <w:rsid w:val="007A565F"/>
    <w:rsid w:val="007A5B26"/>
    <w:rsid w:val="007A5BA3"/>
    <w:rsid w:val="007A5C27"/>
    <w:rsid w:val="007A5DB1"/>
    <w:rsid w:val="007A5DF7"/>
    <w:rsid w:val="007A5E26"/>
    <w:rsid w:val="007A5F2C"/>
    <w:rsid w:val="007A6044"/>
    <w:rsid w:val="007A60DC"/>
    <w:rsid w:val="007A6143"/>
    <w:rsid w:val="007A637F"/>
    <w:rsid w:val="007A6432"/>
    <w:rsid w:val="007A649C"/>
    <w:rsid w:val="007A65BD"/>
    <w:rsid w:val="007A68B0"/>
    <w:rsid w:val="007A6965"/>
    <w:rsid w:val="007A6B66"/>
    <w:rsid w:val="007A6CFE"/>
    <w:rsid w:val="007A6E7C"/>
    <w:rsid w:val="007A6F1E"/>
    <w:rsid w:val="007A6F45"/>
    <w:rsid w:val="007A702F"/>
    <w:rsid w:val="007A706D"/>
    <w:rsid w:val="007A7209"/>
    <w:rsid w:val="007A74BF"/>
    <w:rsid w:val="007A7593"/>
    <w:rsid w:val="007A7A24"/>
    <w:rsid w:val="007A7A78"/>
    <w:rsid w:val="007A7B6E"/>
    <w:rsid w:val="007A7C57"/>
    <w:rsid w:val="007A7D12"/>
    <w:rsid w:val="007A7DF2"/>
    <w:rsid w:val="007A7FB0"/>
    <w:rsid w:val="007B0054"/>
    <w:rsid w:val="007B032F"/>
    <w:rsid w:val="007B0358"/>
    <w:rsid w:val="007B0460"/>
    <w:rsid w:val="007B073F"/>
    <w:rsid w:val="007B0857"/>
    <w:rsid w:val="007B0A0B"/>
    <w:rsid w:val="007B0A9A"/>
    <w:rsid w:val="007B0BAB"/>
    <w:rsid w:val="007B0C8E"/>
    <w:rsid w:val="007B0DA0"/>
    <w:rsid w:val="007B0E26"/>
    <w:rsid w:val="007B10B0"/>
    <w:rsid w:val="007B11F4"/>
    <w:rsid w:val="007B130D"/>
    <w:rsid w:val="007B13E7"/>
    <w:rsid w:val="007B1402"/>
    <w:rsid w:val="007B14FE"/>
    <w:rsid w:val="007B1523"/>
    <w:rsid w:val="007B180F"/>
    <w:rsid w:val="007B1A1A"/>
    <w:rsid w:val="007B1D59"/>
    <w:rsid w:val="007B1D7A"/>
    <w:rsid w:val="007B1E9A"/>
    <w:rsid w:val="007B1F2C"/>
    <w:rsid w:val="007B1FC1"/>
    <w:rsid w:val="007B204E"/>
    <w:rsid w:val="007B2185"/>
    <w:rsid w:val="007B22C8"/>
    <w:rsid w:val="007B2539"/>
    <w:rsid w:val="007B2540"/>
    <w:rsid w:val="007B265C"/>
    <w:rsid w:val="007B2A24"/>
    <w:rsid w:val="007B2C8A"/>
    <w:rsid w:val="007B2D5C"/>
    <w:rsid w:val="007B3009"/>
    <w:rsid w:val="007B33FB"/>
    <w:rsid w:val="007B3494"/>
    <w:rsid w:val="007B3620"/>
    <w:rsid w:val="007B37B5"/>
    <w:rsid w:val="007B3820"/>
    <w:rsid w:val="007B3994"/>
    <w:rsid w:val="007B39DA"/>
    <w:rsid w:val="007B3E20"/>
    <w:rsid w:val="007B3E79"/>
    <w:rsid w:val="007B3EF0"/>
    <w:rsid w:val="007B3F92"/>
    <w:rsid w:val="007B3F96"/>
    <w:rsid w:val="007B3FBC"/>
    <w:rsid w:val="007B40C1"/>
    <w:rsid w:val="007B4328"/>
    <w:rsid w:val="007B43B6"/>
    <w:rsid w:val="007B45BC"/>
    <w:rsid w:val="007B45F8"/>
    <w:rsid w:val="007B4627"/>
    <w:rsid w:val="007B4881"/>
    <w:rsid w:val="007B4AB8"/>
    <w:rsid w:val="007B4B61"/>
    <w:rsid w:val="007B4F56"/>
    <w:rsid w:val="007B4F7F"/>
    <w:rsid w:val="007B52E2"/>
    <w:rsid w:val="007B5348"/>
    <w:rsid w:val="007B5441"/>
    <w:rsid w:val="007B5536"/>
    <w:rsid w:val="007B5732"/>
    <w:rsid w:val="007B5734"/>
    <w:rsid w:val="007B57C0"/>
    <w:rsid w:val="007B57FF"/>
    <w:rsid w:val="007B583F"/>
    <w:rsid w:val="007B5A1F"/>
    <w:rsid w:val="007B5B22"/>
    <w:rsid w:val="007B5C82"/>
    <w:rsid w:val="007B5CFB"/>
    <w:rsid w:val="007B5D4F"/>
    <w:rsid w:val="007B5DC4"/>
    <w:rsid w:val="007B5DD3"/>
    <w:rsid w:val="007B5F11"/>
    <w:rsid w:val="007B5FDA"/>
    <w:rsid w:val="007B6039"/>
    <w:rsid w:val="007B6177"/>
    <w:rsid w:val="007B63CA"/>
    <w:rsid w:val="007B653E"/>
    <w:rsid w:val="007B6868"/>
    <w:rsid w:val="007B6940"/>
    <w:rsid w:val="007B6B06"/>
    <w:rsid w:val="007B6B8A"/>
    <w:rsid w:val="007B6F66"/>
    <w:rsid w:val="007B7375"/>
    <w:rsid w:val="007B793D"/>
    <w:rsid w:val="007B7CA2"/>
    <w:rsid w:val="007B7CD2"/>
    <w:rsid w:val="007B7CD5"/>
    <w:rsid w:val="007B7CF3"/>
    <w:rsid w:val="007B7FF5"/>
    <w:rsid w:val="007C00D3"/>
    <w:rsid w:val="007C016D"/>
    <w:rsid w:val="007C01FA"/>
    <w:rsid w:val="007C0212"/>
    <w:rsid w:val="007C074F"/>
    <w:rsid w:val="007C0C06"/>
    <w:rsid w:val="007C0D56"/>
    <w:rsid w:val="007C0E52"/>
    <w:rsid w:val="007C0E61"/>
    <w:rsid w:val="007C0FD1"/>
    <w:rsid w:val="007C0FDC"/>
    <w:rsid w:val="007C10B2"/>
    <w:rsid w:val="007C110F"/>
    <w:rsid w:val="007C1310"/>
    <w:rsid w:val="007C132B"/>
    <w:rsid w:val="007C1540"/>
    <w:rsid w:val="007C18E7"/>
    <w:rsid w:val="007C1B66"/>
    <w:rsid w:val="007C1DCA"/>
    <w:rsid w:val="007C239A"/>
    <w:rsid w:val="007C27B1"/>
    <w:rsid w:val="007C27B9"/>
    <w:rsid w:val="007C294C"/>
    <w:rsid w:val="007C29A4"/>
    <w:rsid w:val="007C2BA9"/>
    <w:rsid w:val="007C2C0F"/>
    <w:rsid w:val="007C3063"/>
    <w:rsid w:val="007C337F"/>
    <w:rsid w:val="007C3527"/>
    <w:rsid w:val="007C37F2"/>
    <w:rsid w:val="007C3BE7"/>
    <w:rsid w:val="007C3CE3"/>
    <w:rsid w:val="007C3D4C"/>
    <w:rsid w:val="007C3D88"/>
    <w:rsid w:val="007C3EB2"/>
    <w:rsid w:val="007C3FB9"/>
    <w:rsid w:val="007C40AF"/>
    <w:rsid w:val="007C429B"/>
    <w:rsid w:val="007C441A"/>
    <w:rsid w:val="007C4623"/>
    <w:rsid w:val="007C4635"/>
    <w:rsid w:val="007C46EF"/>
    <w:rsid w:val="007C49CC"/>
    <w:rsid w:val="007C49F4"/>
    <w:rsid w:val="007C4B18"/>
    <w:rsid w:val="007C4BEA"/>
    <w:rsid w:val="007C4E80"/>
    <w:rsid w:val="007C4EC0"/>
    <w:rsid w:val="007C4F7B"/>
    <w:rsid w:val="007C5112"/>
    <w:rsid w:val="007C5462"/>
    <w:rsid w:val="007C5635"/>
    <w:rsid w:val="007C5674"/>
    <w:rsid w:val="007C5BA0"/>
    <w:rsid w:val="007C5C60"/>
    <w:rsid w:val="007C5D40"/>
    <w:rsid w:val="007C61E7"/>
    <w:rsid w:val="007C6357"/>
    <w:rsid w:val="007C645F"/>
    <w:rsid w:val="007C670D"/>
    <w:rsid w:val="007C693B"/>
    <w:rsid w:val="007C6BD9"/>
    <w:rsid w:val="007C6BFA"/>
    <w:rsid w:val="007C6C92"/>
    <w:rsid w:val="007C6F35"/>
    <w:rsid w:val="007C705A"/>
    <w:rsid w:val="007C70C1"/>
    <w:rsid w:val="007C7384"/>
    <w:rsid w:val="007C755B"/>
    <w:rsid w:val="007C75D9"/>
    <w:rsid w:val="007C775B"/>
    <w:rsid w:val="007C7D57"/>
    <w:rsid w:val="007C7DEA"/>
    <w:rsid w:val="007C7EE7"/>
    <w:rsid w:val="007C7F4C"/>
    <w:rsid w:val="007C7FD6"/>
    <w:rsid w:val="007D0213"/>
    <w:rsid w:val="007D0325"/>
    <w:rsid w:val="007D03A2"/>
    <w:rsid w:val="007D04A6"/>
    <w:rsid w:val="007D074D"/>
    <w:rsid w:val="007D08BF"/>
    <w:rsid w:val="007D09D9"/>
    <w:rsid w:val="007D0B28"/>
    <w:rsid w:val="007D0B8B"/>
    <w:rsid w:val="007D0BD8"/>
    <w:rsid w:val="007D0CBB"/>
    <w:rsid w:val="007D0DB5"/>
    <w:rsid w:val="007D0E52"/>
    <w:rsid w:val="007D0F47"/>
    <w:rsid w:val="007D1256"/>
    <w:rsid w:val="007D136F"/>
    <w:rsid w:val="007D14F7"/>
    <w:rsid w:val="007D1928"/>
    <w:rsid w:val="007D196C"/>
    <w:rsid w:val="007D1C0C"/>
    <w:rsid w:val="007D1C53"/>
    <w:rsid w:val="007D1C57"/>
    <w:rsid w:val="007D1CD6"/>
    <w:rsid w:val="007D1E85"/>
    <w:rsid w:val="007D2047"/>
    <w:rsid w:val="007D2089"/>
    <w:rsid w:val="007D21B8"/>
    <w:rsid w:val="007D22F4"/>
    <w:rsid w:val="007D2384"/>
    <w:rsid w:val="007D23E9"/>
    <w:rsid w:val="007D2516"/>
    <w:rsid w:val="007D2652"/>
    <w:rsid w:val="007D278C"/>
    <w:rsid w:val="007D2953"/>
    <w:rsid w:val="007D2A87"/>
    <w:rsid w:val="007D2C81"/>
    <w:rsid w:val="007D2D81"/>
    <w:rsid w:val="007D2E0E"/>
    <w:rsid w:val="007D2ED2"/>
    <w:rsid w:val="007D31CC"/>
    <w:rsid w:val="007D3267"/>
    <w:rsid w:val="007D369F"/>
    <w:rsid w:val="007D36CF"/>
    <w:rsid w:val="007D3BF2"/>
    <w:rsid w:val="007D3FB8"/>
    <w:rsid w:val="007D4264"/>
    <w:rsid w:val="007D42E6"/>
    <w:rsid w:val="007D4332"/>
    <w:rsid w:val="007D435C"/>
    <w:rsid w:val="007D438D"/>
    <w:rsid w:val="007D4407"/>
    <w:rsid w:val="007D46ED"/>
    <w:rsid w:val="007D490B"/>
    <w:rsid w:val="007D499E"/>
    <w:rsid w:val="007D4BF8"/>
    <w:rsid w:val="007D4CA9"/>
    <w:rsid w:val="007D4E8E"/>
    <w:rsid w:val="007D5000"/>
    <w:rsid w:val="007D52B5"/>
    <w:rsid w:val="007D52E2"/>
    <w:rsid w:val="007D5906"/>
    <w:rsid w:val="007D592C"/>
    <w:rsid w:val="007D59D4"/>
    <w:rsid w:val="007D5A97"/>
    <w:rsid w:val="007D5CB2"/>
    <w:rsid w:val="007D5CED"/>
    <w:rsid w:val="007D5DE8"/>
    <w:rsid w:val="007D5F50"/>
    <w:rsid w:val="007D6030"/>
    <w:rsid w:val="007D61C2"/>
    <w:rsid w:val="007D629B"/>
    <w:rsid w:val="007D62CB"/>
    <w:rsid w:val="007D6412"/>
    <w:rsid w:val="007D658D"/>
    <w:rsid w:val="007D6AA3"/>
    <w:rsid w:val="007D6CC0"/>
    <w:rsid w:val="007D6D5B"/>
    <w:rsid w:val="007D6EF9"/>
    <w:rsid w:val="007D723D"/>
    <w:rsid w:val="007D72E6"/>
    <w:rsid w:val="007D733C"/>
    <w:rsid w:val="007D734A"/>
    <w:rsid w:val="007D7370"/>
    <w:rsid w:val="007D737D"/>
    <w:rsid w:val="007D739E"/>
    <w:rsid w:val="007D73DF"/>
    <w:rsid w:val="007D73EE"/>
    <w:rsid w:val="007D74EC"/>
    <w:rsid w:val="007D7528"/>
    <w:rsid w:val="007D757F"/>
    <w:rsid w:val="007D75C5"/>
    <w:rsid w:val="007D770D"/>
    <w:rsid w:val="007D7A5C"/>
    <w:rsid w:val="007D7C38"/>
    <w:rsid w:val="007D7C91"/>
    <w:rsid w:val="007DD155"/>
    <w:rsid w:val="007E0160"/>
    <w:rsid w:val="007E01A6"/>
    <w:rsid w:val="007E01CA"/>
    <w:rsid w:val="007E0259"/>
    <w:rsid w:val="007E0351"/>
    <w:rsid w:val="007E0785"/>
    <w:rsid w:val="007E0940"/>
    <w:rsid w:val="007E0B44"/>
    <w:rsid w:val="007E108C"/>
    <w:rsid w:val="007E12B1"/>
    <w:rsid w:val="007E131D"/>
    <w:rsid w:val="007E13C4"/>
    <w:rsid w:val="007E13E6"/>
    <w:rsid w:val="007E1512"/>
    <w:rsid w:val="007E1694"/>
    <w:rsid w:val="007E198B"/>
    <w:rsid w:val="007E1D14"/>
    <w:rsid w:val="007E1EFF"/>
    <w:rsid w:val="007E2048"/>
    <w:rsid w:val="007E2604"/>
    <w:rsid w:val="007E2AD9"/>
    <w:rsid w:val="007E2B8C"/>
    <w:rsid w:val="007E2BD5"/>
    <w:rsid w:val="007E2EF0"/>
    <w:rsid w:val="007E2F64"/>
    <w:rsid w:val="007E2FE0"/>
    <w:rsid w:val="007E329D"/>
    <w:rsid w:val="007E32A8"/>
    <w:rsid w:val="007E32CE"/>
    <w:rsid w:val="007E3470"/>
    <w:rsid w:val="007E36C7"/>
    <w:rsid w:val="007E3779"/>
    <w:rsid w:val="007E3894"/>
    <w:rsid w:val="007E3AED"/>
    <w:rsid w:val="007E3F29"/>
    <w:rsid w:val="007E3F57"/>
    <w:rsid w:val="007E4080"/>
    <w:rsid w:val="007E4354"/>
    <w:rsid w:val="007E443E"/>
    <w:rsid w:val="007E4478"/>
    <w:rsid w:val="007E4A24"/>
    <w:rsid w:val="007E4B8B"/>
    <w:rsid w:val="007E4BA0"/>
    <w:rsid w:val="007E4EAE"/>
    <w:rsid w:val="007E5045"/>
    <w:rsid w:val="007E51B1"/>
    <w:rsid w:val="007E534F"/>
    <w:rsid w:val="007E5374"/>
    <w:rsid w:val="007E5482"/>
    <w:rsid w:val="007E54B3"/>
    <w:rsid w:val="007E54EC"/>
    <w:rsid w:val="007E55C8"/>
    <w:rsid w:val="007E56DD"/>
    <w:rsid w:val="007E5709"/>
    <w:rsid w:val="007E5723"/>
    <w:rsid w:val="007E5742"/>
    <w:rsid w:val="007E581B"/>
    <w:rsid w:val="007E5844"/>
    <w:rsid w:val="007E587A"/>
    <w:rsid w:val="007E58E9"/>
    <w:rsid w:val="007E5936"/>
    <w:rsid w:val="007E599B"/>
    <w:rsid w:val="007E59B6"/>
    <w:rsid w:val="007E5A26"/>
    <w:rsid w:val="007E5AD3"/>
    <w:rsid w:val="007E5B92"/>
    <w:rsid w:val="007E5EB1"/>
    <w:rsid w:val="007E5EE7"/>
    <w:rsid w:val="007E602A"/>
    <w:rsid w:val="007E61C6"/>
    <w:rsid w:val="007E635F"/>
    <w:rsid w:val="007E6492"/>
    <w:rsid w:val="007E653E"/>
    <w:rsid w:val="007E6799"/>
    <w:rsid w:val="007E68FB"/>
    <w:rsid w:val="007E693F"/>
    <w:rsid w:val="007E696F"/>
    <w:rsid w:val="007E6AF5"/>
    <w:rsid w:val="007E6C72"/>
    <w:rsid w:val="007E6CE2"/>
    <w:rsid w:val="007E6DBD"/>
    <w:rsid w:val="007E6DFF"/>
    <w:rsid w:val="007E6E60"/>
    <w:rsid w:val="007E7377"/>
    <w:rsid w:val="007E7381"/>
    <w:rsid w:val="007E73ED"/>
    <w:rsid w:val="007E7472"/>
    <w:rsid w:val="007E74D4"/>
    <w:rsid w:val="007E76EB"/>
    <w:rsid w:val="007E771B"/>
    <w:rsid w:val="007E7732"/>
    <w:rsid w:val="007E77D7"/>
    <w:rsid w:val="007E7842"/>
    <w:rsid w:val="007E7AEB"/>
    <w:rsid w:val="007E7B43"/>
    <w:rsid w:val="007E7FE6"/>
    <w:rsid w:val="007F007F"/>
    <w:rsid w:val="007F0277"/>
    <w:rsid w:val="007F02A2"/>
    <w:rsid w:val="007F043C"/>
    <w:rsid w:val="007F0493"/>
    <w:rsid w:val="007F055C"/>
    <w:rsid w:val="007F0812"/>
    <w:rsid w:val="007F089D"/>
    <w:rsid w:val="007F096F"/>
    <w:rsid w:val="007F0E1A"/>
    <w:rsid w:val="007F0F8E"/>
    <w:rsid w:val="007F0FC5"/>
    <w:rsid w:val="007F1135"/>
    <w:rsid w:val="007F1184"/>
    <w:rsid w:val="007F12D8"/>
    <w:rsid w:val="007F12FE"/>
    <w:rsid w:val="007F143C"/>
    <w:rsid w:val="007F156C"/>
    <w:rsid w:val="007F15B0"/>
    <w:rsid w:val="007F167D"/>
    <w:rsid w:val="007F1708"/>
    <w:rsid w:val="007F179A"/>
    <w:rsid w:val="007F18FE"/>
    <w:rsid w:val="007F191B"/>
    <w:rsid w:val="007F1BE9"/>
    <w:rsid w:val="007F1D95"/>
    <w:rsid w:val="007F1E9B"/>
    <w:rsid w:val="007F1FF8"/>
    <w:rsid w:val="007F20B0"/>
    <w:rsid w:val="007F20D2"/>
    <w:rsid w:val="007F239F"/>
    <w:rsid w:val="007F2442"/>
    <w:rsid w:val="007F24EB"/>
    <w:rsid w:val="007F26A7"/>
    <w:rsid w:val="007F276D"/>
    <w:rsid w:val="007F29DA"/>
    <w:rsid w:val="007F2B2E"/>
    <w:rsid w:val="007F2B39"/>
    <w:rsid w:val="007F2C0D"/>
    <w:rsid w:val="007F2C6F"/>
    <w:rsid w:val="007F2D55"/>
    <w:rsid w:val="007F2FE8"/>
    <w:rsid w:val="007F3070"/>
    <w:rsid w:val="007F3143"/>
    <w:rsid w:val="007F3176"/>
    <w:rsid w:val="007F31BF"/>
    <w:rsid w:val="007F3A8A"/>
    <w:rsid w:val="007F3AB7"/>
    <w:rsid w:val="007F3B6D"/>
    <w:rsid w:val="007F3C0F"/>
    <w:rsid w:val="007F3C25"/>
    <w:rsid w:val="007F3E64"/>
    <w:rsid w:val="007F3F0D"/>
    <w:rsid w:val="007F42CE"/>
    <w:rsid w:val="007F44FA"/>
    <w:rsid w:val="007F454C"/>
    <w:rsid w:val="007F45BA"/>
    <w:rsid w:val="007F4946"/>
    <w:rsid w:val="007F4B3C"/>
    <w:rsid w:val="007F4C3C"/>
    <w:rsid w:val="007F4C6A"/>
    <w:rsid w:val="007F4C76"/>
    <w:rsid w:val="007F4EC8"/>
    <w:rsid w:val="007F4F33"/>
    <w:rsid w:val="007F5006"/>
    <w:rsid w:val="007F55BF"/>
    <w:rsid w:val="007F58C4"/>
    <w:rsid w:val="007F593C"/>
    <w:rsid w:val="007F5A85"/>
    <w:rsid w:val="007F5C1C"/>
    <w:rsid w:val="007F5D99"/>
    <w:rsid w:val="007F5F5A"/>
    <w:rsid w:val="007F6110"/>
    <w:rsid w:val="007F6402"/>
    <w:rsid w:val="007F6583"/>
    <w:rsid w:val="007F6793"/>
    <w:rsid w:val="007F6926"/>
    <w:rsid w:val="007F698A"/>
    <w:rsid w:val="007F6A01"/>
    <w:rsid w:val="007F6BCB"/>
    <w:rsid w:val="007F6F06"/>
    <w:rsid w:val="007F703B"/>
    <w:rsid w:val="007F730B"/>
    <w:rsid w:val="007F744D"/>
    <w:rsid w:val="007F754E"/>
    <w:rsid w:val="007F759F"/>
    <w:rsid w:val="007F764B"/>
    <w:rsid w:val="007F76CA"/>
    <w:rsid w:val="007F76EA"/>
    <w:rsid w:val="007F772B"/>
    <w:rsid w:val="007F772E"/>
    <w:rsid w:val="007F7736"/>
    <w:rsid w:val="007F78E5"/>
    <w:rsid w:val="007F7AA3"/>
    <w:rsid w:val="007F7C05"/>
    <w:rsid w:val="007F7E96"/>
    <w:rsid w:val="008002D2"/>
    <w:rsid w:val="0080050A"/>
    <w:rsid w:val="008007C9"/>
    <w:rsid w:val="008008CA"/>
    <w:rsid w:val="008008E2"/>
    <w:rsid w:val="0080098B"/>
    <w:rsid w:val="00800A26"/>
    <w:rsid w:val="00800B13"/>
    <w:rsid w:val="00800B2D"/>
    <w:rsid w:val="00800D1E"/>
    <w:rsid w:val="00801051"/>
    <w:rsid w:val="008010C2"/>
    <w:rsid w:val="008010F8"/>
    <w:rsid w:val="0080139D"/>
    <w:rsid w:val="008013CE"/>
    <w:rsid w:val="008013EC"/>
    <w:rsid w:val="00801772"/>
    <w:rsid w:val="00801857"/>
    <w:rsid w:val="008019F2"/>
    <w:rsid w:val="00801BB1"/>
    <w:rsid w:val="00801BD3"/>
    <w:rsid w:val="00801D42"/>
    <w:rsid w:val="00801F19"/>
    <w:rsid w:val="00801FB5"/>
    <w:rsid w:val="00801FCF"/>
    <w:rsid w:val="008020D9"/>
    <w:rsid w:val="00802231"/>
    <w:rsid w:val="00802346"/>
    <w:rsid w:val="0080259A"/>
    <w:rsid w:val="008025F6"/>
    <w:rsid w:val="00802634"/>
    <w:rsid w:val="0080267D"/>
    <w:rsid w:val="008026C3"/>
    <w:rsid w:val="00802B20"/>
    <w:rsid w:val="00802BDC"/>
    <w:rsid w:val="00802C57"/>
    <w:rsid w:val="00802D17"/>
    <w:rsid w:val="00802FAF"/>
    <w:rsid w:val="00803356"/>
    <w:rsid w:val="00803446"/>
    <w:rsid w:val="008034BF"/>
    <w:rsid w:val="00803669"/>
    <w:rsid w:val="008036D0"/>
    <w:rsid w:val="00803724"/>
    <w:rsid w:val="00803729"/>
    <w:rsid w:val="008038D4"/>
    <w:rsid w:val="00803DE7"/>
    <w:rsid w:val="008040E0"/>
    <w:rsid w:val="00804178"/>
    <w:rsid w:val="00804400"/>
    <w:rsid w:val="0080443C"/>
    <w:rsid w:val="008044CE"/>
    <w:rsid w:val="008045CD"/>
    <w:rsid w:val="008045D7"/>
    <w:rsid w:val="008046C5"/>
    <w:rsid w:val="00804802"/>
    <w:rsid w:val="0080483B"/>
    <w:rsid w:val="0080488A"/>
    <w:rsid w:val="00804A30"/>
    <w:rsid w:val="00804CDB"/>
    <w:rsid w:val="00804D86"/>
    <w:rsid w:val="00804E84"/>
    <w:rsid w:val="00804F3A"/>
    <w:rsid w:val="00804FA6"/>
    <w:rsid w:val="00805039"/>
    <w:rsid w:val="00805173"/>
    <w:rsid w:val="0080533A"/>
    <w:rsid w:val="008053F4"/>
    <w:rsid w:val="00805611"/>
    <w:rsid w:val="008057E5"/>
    <w:rsid w:val="0080588B"/>
    <w:rsid w:val="00805B5B"/>
    <w:rsid w:val="00805B63"/>
    <w:rsid w:val="00805D70"/>
    <w:rsid w:val="00805E03"/>
    <w:rsid w:val="00806032"/>
    <w:rsid w:val="0080607F"/>
    <w:rsid w:val="0080616D"/>
    <w:rsid w:val="00806186"/>
    <w:rsid w:val="00806200"/>
    <w:rsid w:val="0080621F"/>
    <w:rsid w:val="00806244"/>
    <w:rsid w:val="0080635D"/>
    <w:rsid w:val="00806488"/>
    <w:rsid w:val="008064BB"/>
    <w:rsid w:val="008066DF"/>
    <w:rsid w:val="008068AA"/>
    <w:rsid w:val="008069AF"/>
    <w:rsid w:val="008069E3"/>
    <w:rsid w:val="00806A2F"/>
    <w:rsid w:val="00806B84"/>
    <w:rsid w:val="00806D26"/>
    <w:rsid w:val="00806E21"/>
    <w:rsid w:val="00806E50"/>
    <w:rsid w:val="00806E90"/>
    <w:rsid w:val="00806F6C"/>
    <w:rsid w:val="00807284"/>
    <w:rsid w:val="0080728C"/>
    <w:rsid w:val="008072C5"/>
    <w:rsid w:val="008072FE"/>
    <w:rsid w:val="008073EA"/>
    <w:rsid w:val="00807615"/>
    <w:rsid w:val="008076D0"/>
    <w:rsid w:val="00807734"/>
    <w:rsid w:val="008078A0"/>
    <w:rsid w:val="00807906"/>
    <w:rsid w:val="00807A66"/>
    <w:rsid w:val="00807C9A"/>
    <w:rsid w:val="00807DAE"/>
    <w:rsid w:val="00807E35"/>
    <w:rsid w:val="00807E4E"/>
    <w:rsid w:val="00807E62"/>
    <w:rsid w:val="008100F2"/>
    <w:rsid w:val="008103EC"/>
    <w:rsid w:val="008104D4"/>
    <w:rsid w:val="0081074C"/>
    <w:rsid w:val="008108DF"/>
    <w:rsid w:val="00810952"/>
    <w:rsid w:val="00810AA0"/>
    <w:rsid w:val="00810AF2"/>
    <w:rsid w:val="00810B6A"/>
    <w:rsid w:val="00810D57"/>
    <w:rsid w:val="0081133C"/>
    <w:rsid w:val="008114EA"/>
    <w:rsid w:val="008116FD"/>
    <w:rsid w:val="008119F5"/>
    <w:rsid w:val="00811ABD"/>
    <w:rsid w:val="00811BFA"/>
    <w:rsid w:val="008121F2"/>
    <w:rsid w:val="008122BE"/>
    <w:rsid w:val="008125A0"/>
    <w:rsid w:val="00812848"/>
    <w:rsid w:val="008128F0"/>
    <w:rsid w:val="00812B7A"/>
    <w:rsid w:val="00812C8D"/>
    <w:rsid w:val="00812D2D"/>
    <w:rsid w:val="00812F37"/>
    <w:rsid w:val="00812F67"/>
    <w:rsid w:val="0081300D"/>
    <w:rsid w:val="00813617"/>
    <w:rsid w:val="0081375E"/>
    <w:rsid w:val="00813BFC"/>
    <w:rsid w:val="00813DF6"/>
    <w:rsid w:val="008140CF"/>
    <w:rsid w:val="008141D3"/>
    <w:rsid w:val="00814289"/>
    <w:rsid w:val="008146E2"/>
    <w:rsid w:val="00814780"/>
    <w:rsid w:val="00814830"/>
    <w:rsid w:val="00814B06"/>
    <w:rsid w:val="00814B81"/>
    <w:rsid w:val="00814BAF"/>
    <w:rsid w:val="00814C23"/>
    <w:rsid w:val="0081508A"/>
    <w:rsid w:val="008150A7"/>
    <w:rsid w:val="008153AF"/>
    <w:rsid w:val="0081545F"/>
    <w:rsid w:val="00815516"/>
    <w:rsid w:val="0081566B"/>
    <w:rsid w:val="00815757"/>
    <w:rsid w:val="00815912"/>
    <w:rsid w:val="00815E42"/>
    <w:rsid w:val="00815F0F"/>
    <w:rsid w:val="00816038"/>
    <w:rsid w:val="008160E6"/>
    <w:rsid w:val="00816168"/>
    <w:rsid w:val="00816226"/>
    <w:rsid w:val="00816232"/>
    <w:rsid w:val="008162E4"/>
    <w:rsid w:val="00816356"/>
    <w:rsid w:val="008163EF"/>
    <w:rsid w:val="00816733"/>
    <w:rsid w:val="008168AD"/>
    <w:rsid w:val="00816CC9"/>
    <w:rsid w:val="008170C4"/>
    <w:rsid w:val="00817172"/>
    <w:rsid w:val="0081718D"/>
    <w:rsid w:val="008171D2"/>
    <w:rsid w:val="00817278"/>
    <w:rsid w:val="008172C6"/>
    <w:rsid w:val="008173DE"/>
    <w:rsid w:val="008174DD"/>
    <w:rsid w:val="008175FB"/>
    <w:rsid w:val="008176AC"/>
    <w:rsid w:val="0081782B"/>
    <w:rsid w:val="008179BF"/>
    <w:rsid w:val="00817A11"/>
    <w:rsid w:val="00817A82"/>
    <w:rsid w:val="00817B69"/>
    <w:rsid w:val="00817DB5"/>
    <w:rsid w:val="00817E0C"/>
    <w:rsid w:val="00820013"/>
    <w:rsid w:val="008201CF"/>
    <w:rsid w:val="00820259"/>
    <w:rsid w:val="00820451"/>
    <w:rsid w:val="0082049B"/>
    <w:rsid w:val="00820562"/>
    <w:rsid w:val="0082059B"/>
    <w:rsid w:val="008209E8"/>
    <w:rsid w:val="00820AA8"/>
    <w:rsid w:val="00820DB2"/>
    <w:rsid w:val="00820EB2"/>
    <w:rsid w:val="00820F00"/>
    <w:rsid w:val="00821040"/>
    <w:rsid w:val="00821347"/>
    <w:rsid w:val="0082136F"/>
    <w:rsid w:val="0082168E"/>
    <w:rsid w:val="00821720"/>
    <w:rsid w:val="008218EC"/>
    <w:rsid w:val="00821A4A"/>
    <w:rsid w:val="00821B21"/>
    <w:rsid w:val="00821C14"/>
    <w:rsid w:val="00821D2C"/>
    <w:rsid w:val="00821D72"/>
    <w:rsid w:val="00821DEA"/>
    <w:rsid w:val="00821EED"/>
    <w:rsid w:val="00821F9A"/>
    <w:rsid w:val="00822255"/>
    <w:rsid w:val="00822654"/>
    <w:rsid w:val="008226DE"/>
    <w:rsid w:val="0082279E"/>
    <w:rsid w:val="0082283E"/>
    <w:rsid w:val="008229BD"/>
    <w:rsid w:val="00822A49"/>
    <w:rsid w:val="00822ACD"/>
    <w:rsid w:val="00822B4E"/>
    <w:rsid w:val="00822DBF"/>
    <w:rsid w:val="00822F74"/>
    <w:rsid w:val="008231B0"/>
    <w:rsid w:val="00823203"/>
    <w:rsid w:val="00823346"/>
    <w:rsid w:val="00823507"/>
    <w:rsid w:val="008236F9"/>
    <w:rsid w:val="00823810"/>
    <w:rsid w:val="00823882"/>
    <w:rsid w:val="00823954"/>
    <w:rsid w:val="00823A23"/>
    <w:rsid w:val="00823AFE"/>
    <w:rsid w:val="00823D09"/>
    <w:rsid w:val="00823D9A"/>
    <w:rsid w:val="00823E12"/>
    <w:rsid w:val="00823ED3"/>
    <w:rsid w:val="00823F07"/>
    <w:rsid w:val="00823F0E"/>
    <w:rsid w:val="00823FDE"/>
    <w:rsid w:val="00824032"/>
    <w:rsid w:val="0082411A"/>
    <w:rsid w:val="00824377"/>
    <w:rsid w:val="00824788"/>
    <w:rsid w:val="008247BD"/>
    <w:rsid w:val="008247FA"/>
    <w:rsid w:val="00824D3C"/>
    <w:rsid w:val="00824E01"/>
    <w:rsid w:val="00825088"/>
    <w:rsid w:val="00825127"/>
    <w:rsid w:val="00825544"/>
    <w:rsid w:val="0082576D"/>
    <w:rsid w:val="00825940"/>
    <w:rsid w:val="00825A2D"/>
    <w:rsid w:val="00825F08"/>
    <w:rsid w:val="00826289"/>
    <w:rsid w:val="008263C2"/>
    <w:rsid w:val="00826647"/>
    <w:rsid w:val="008266D3"/>
    <w:rsid w:val="008268DB"/>
    <w:rsid w:val="00826981"/>
    <w:rsid w:val="008269A9"/>
    <w:rsid w:val="00826B8B"/>
    <w:rsid w:val="00826BFB"/>
    <w:rsid w:val="00826CD8"/>
    <w:rsid w:val="00826D40"/>
    <w:rsid w:val="00826E10"/>
    <w:rsid w:val="00826E22"/>
    <w:rsid w:val="00826EB6"/>
    <w:rsid w:val="00826EE2"/>
    <w:rsid w:val="0082729D"/>
    <w:rsid w:val="008273BA"/>
    <w:rsid w:val="008276D3"/>
    <w:rsid w:val="008276E1"/>
    <w:rsid w:val="00827777"/>
    <w:rsid w:val="008278E7"/>
    <w:rsid w:val="00827989"/>
    <w:rsid w:val="008279AE"/>
    <w:rsid w:val="00827A0A"/>
    <w:rsid w:val="00827A0E"/>
    <w:rsid w:val="00827A59"/>
    <w:rsid w:val="00827A7F"/>
    <w:rsid w:val="00827A84"/>
    <w:rsid w:val="00827C0D"/>
    <w:rsid w:val="00827D3D"/>
    <w:rsid w:val="00827DDC"/>
    <w:rsid w:val="00827F09"/>
    <w:rsid w:val="008305D5"/>
    <w:rsid w:val="00830684"/>
    <w:rsid w:val="008306DE"/>
    <w:rsid w:val="0083075E"/>
    <w:rsid w:val="00830779"/>
    <w:rsid w:val="00830DE4"/>
    <w:rsid w:val="008314D3"/>
    <w:rsid w:val="008315E0"/>
    <w:rsid w:val="008315FF"/>
    <w:rsid w:val="008316B4"/>
    <w:rsid w:val="00831A63"/>
    <w:rsid w:val="00831DED"/>
    <w:rsid w:val="00831E31"/>
    <w:rsid w:val="00831E39"/>
    <w:rsid w:val="00831E80"/>
    <w:rsid w:val="00831E95"/>
    <w:rsid w:val="00831F27"/>
    <w:rsid w:val="0083206D"/>
    <w:rsid w:val="0083212E"/>
    <w:rsid w:val="008323F2"/>
    <w:rsid w:val="008324A4"/>
    <w:rsid w:val="00832630"/>
    <w:rsid w:val="008326A7"/>
    <w:rsid w:val="008326EA"/>
    <w:rsid w:val="00832B4B"/>
    <w:rsid w:val="00832BC7"/>
    <w:rsid w:val="008331D3"/>
    <w:rsid w:val="008333E7"/>
    <w:rsid w:val="00833461"/>
    <w:rsid w:val="0083354D"/>
    <w:rsid w:val="008337DC"/>
    <w:rsid w:val="00833D6F"/>
    <w:rsid w:val="00833FCB"/>
    <w:rsid w:val="0083410F"/>
    <w:rsid w:val="00834250"/>
    <w:rsid w:val="00834299"/>
    <w:rsid w:val="00834671"/>
    <w:rsid w:val="00834B72"/>
    <w:rsid w:val="00834B9B"/>
    <w:rsid w:val="00834F25"/>
    <w:rsid w:val="00835429"/>
    <w:rsid w:val="00835460"/>
    <w:rsid w:val="00835547"/>
    <w:rsid w:val="00835873"/>
    <w:rsid w:val="0083587C"/>
    <w:rsid w:val="00835948"/>
    <w:rsid w:val="00835996"/>
    <w:rsid w:val="00835A76"/>
    <w:rsid w:val="00835D97"/>
    <w:rsid w:val="00835F18"/>
    <w:rsid w:val="008360D4"/>
    <w:rsid w:val="008360F4"/>
    <w:rsid w:val="00836453"/>
    <w:rsid w:val="00836749"/>
    <w:rsid w:val="00836A15"/>
    <w:rsid w:val="00836A85"/>
    <w:rsid w:val="00836D53"/>
    <w:rsid w:val="00837585"/>
    <w:rsid w:val="00837676"/>
    <w:rsid w:val="008376CB"/>
    <w:rsid w:val="0083777D"/>
    <w:rsid w:val="008377B9"/>
    <w:rsid w:val="00837999"/>
    <w:rsid w:val="00837AE1"/>
    <w:rsid w:val="00837CD6"/>
    <w:rsid w:val="00837D87"/>
    <w:rsid w:val="00837DC6"/>
    <w:rsid w:val="00837E9C"/>
    <w:rsid w:val="00837EA5"/>
    <w:rsid w:val="00837ED7"/>
    <w:rsid w:val="00837F2F"/>
    <w:rsid w:val="0084007D"/>
    <w:rsid w:val="00840083"/>
    <w:rsid w:val="00840124"/>
    <w:rsid w:val="00840190"/>
    <w:rsid w:val="008401D3"/>
    <w:rsid w:val="0084027F"/>
    <w:rsid w:val="00840283"/>
    <w:rsid w:val="008405D9"/>
    <w:rsid w:val="008406AC"/>
    <w:rsid w:val="0084091D"/>
    <w:rsid w:val="00840A64"/>
    <w:rsid w:val="00840AFC"/>
    <w:rsid w:val="00840B33"/>
    <w:rsid w:val="00840C4F"/>
    <w:rsid w:val="00840C5F"/>
    <w:rsid w:val="00840F66"/>
    <w:rsid w:val="00840F96"/>
    <w:rsid w:val="00841126"/>
    <w:rsid w:val="008412B9"/>
    <w:rsid w:val="00841331"/>
    <w:rsid w:val="008413CD"/>
    <w:rsid w:val="0084140A"/>
    <w:rsid w:val="008415E3"/>
    <w:rsid w:val="0084166B"/>
    <w:rsid w:val="0084173E"/>
    <w:rsid w:val="0084175C"/>
    <w:rsid w:val="008418EF"/>
    <w:rsid w:val="00841C5C"/>
    <w:rsid w:val="00841CFD"/>
    <w:rsid w:val="00842391"/>
    <w:rsid w:val="0084239A"/>
    <w:rsid w:val="00842401"/>
    <w:rsid w:val="00842422"/>
    <w:rsid w:val="00842940"/>
    <w:rsid w:val="00842BA1"/>
    <w:rsid w:val="00842C54"/>
    <w:rsid w:val="00842D6D"/>
    <w:rsid w:val="00842E38"/>
    <w:rsid w:val="00842E76"/>
    <w:rsid w:val="008430DE"/>
    <w:rsid w:val="0084314A"/>
    <w:rsid w:val="0084326F"/>
    <w:rsid w:val="008435A4"/>
    <w:rsid w:val="00843616"/>
    <w:rsid w:val="008436AB"/>
    <w:rsid w:val="008436F3"/>
    <w:rsid w:val="00843849"/>
    <w:rsid w:val="008439EE"/>
    <w:rsid w:val="00843C2F"/>
    <w:rsid w:val="00843F22"/>
    <w:rsid w:val="00843FE5"/>
    <w:rsid w:val="00844617"/>
    <w:rsid w:val="0084478D"/>
    <w:rsid w:val="008448A5"/>
    <w:rsid w:val="0084498F"/>
    <w:rsid w:val="00844CB5"/>
    <w:rsid w:val="00844D96"/>
    <w:rsid w:val="00844E8C"/>
    <w:rsid w:val="00844F1D"/>
    <w:rsid w:val="008450A7"/>
    <w:rsid w:val="008451BA"/>
    <w:rsid w:val="00845492"/>
    <w:rsid w:val="00845562"/>
    <w:rsid w:val="00845574"/>
    <w:rsid w:val="008455F9"/>
    <w:rsid w:val="0084569A"/>
    <w:rsid w:val="0084573B"/>
    <w:rsid w:val="0084576D"/>
    <w:rsid w:val="00845914"/>
    <w:rsid w:val="00845A3D"/>
    <w:rsid w:val="00845AA8"/>
    <w:rsid w:val="00845B09"/>
    <w:rsid w:val="00845D0A"/>
    <w:rsid w:val="00845D0B"/>
    <w:rsid w:val="00845DA7"/>
    <w:rsid w:val="00845DBD"/>
    <w:rsid w:val="00845DF0"/>
    <w:rsid w:val="00845F45"/>
    <w:rsid w:val="008460AF"/>
    <w:rsid w:val="00846331"/>
    <w:rsid w:val="0084633B"/>
    <w:rsid w:val="008464A7"/>
    <w:rsid w:val="008465EA"/>
    <w:rsid w:val="0084660F"/>
    <w:rsid w:val="008466CB"/>
    <w:rsid w:val="0084674A"/>
    <w:rsid w:val="00846A82"/>
    <w:rsid w:val="00846D14"/>
    <w:rsid w:val="00846DB6"/>
    <w:rsid w:val="008471A8"/>
    <w:rsid w:val="0084734F"/>
    <w:rsid w:val="00847678"/>
    <w:rsid w:val="00847723"/>
    <w:rsid w:val="00847938"/>
    <w:rsid w:val="00847B27"/>
    <w:rsid w:val="00847C6D"/>
    <w:rsid w:val="00847CDF"/>
    <w:rsid w:val="00847CEA"/>
    <w:rsid w:val="00847D62"/>
    <w:rsid w:val="00847F93"/>
    <w:rsid w:val="0085011C"/>
    <w:rsid w:val="00850201"/>
    <w:rsid w:val="00850246"/>
    <w:rsid w:val="00850317"/>
    <w:rsid w:val="008507AF"/>
    <w:rsid w:val="00850940"/>
    <w:rsid w:val="00850A35"/>
    <w:rsid w:val="00850D83"/>
    <w:rsid w:val="00851011"/>
    <w:rsid w:val="0085104B"/>
    <w:rsid w:val="0085108C"/>
    <w:rsid w:val="008511E4"/>
    <w:rsid w:val="00851259"/>
    <w:rsid w:val="008512E7"/>
    <w:rsid w:val="008519CE"/>
    <w:rsid w:val="00851C26"/>
    <w:rsid w:val="00851DC0"/>
    <w:rsid w:val="00851F79"/>
    <w:rsid w:val="008522F8"/>
    <w:rsid w:val="00852390"/>
    <w:rsid w:val="00852543"/>
    <w:rsid w:val="008525AA"/>
    <w:rsid w:val="00852761"/>
    <w:rsid w:val="0085295E"/>
    <w:rsid w:val="00852B8C"/>
    <w:rsid w:val="00852D16"/>
    <w:rsid w:val="00852D2E"/>
    <w:rsid w:val="00852FBE"/>
    <w:rsid w:val="00853087"/>
    <w:rsid w:val="00853268"/>
    <w:rsid w:val="00853309"/>
    <w:rsid w:val="008534A2"/>
    <w:rsid w:val="00853831"/>
    <w:rsid w:val="00853AC9"/>
    <w:rsid w:val="00853CBF"/>
    <w:rsid w:val="00853CC0"/>
    <w:rsid w:val="00853DBE"/>
    <w:rsid w:val="00854202"/>
    <w:rsid w:val="0085420E"/>
    <w:rsid w:val="0085426A"/>
    <w:rsid w:val="008544C2"/>
    <w:rsid w:val="0085476D"/>
    <w:rsid w:val="0085485C"/>
    <w:rsid w:val="00854876"/>
    <w:rsid w:val="0085489C"/>
    <w:rsid w:val="00854A54"/>
    <w:rsid w:val="00854B2E"/>
    <w:rsid w:val="00854F31"/>
    <w:rsid w:val="0085503E"/>
    <w:rsid w:val="00855074"/>
    <w:rsid w:val="0085513C"/>
    <w:rsid w:val="008552BC"/>
    <w:rsid w:val="0085539E"/>
    <w:rsid w:val="00855436"/>
    <w:rsid w:val="00855612"/>
    <w:rsid w:val="0085564F"/>
    <w:rsid w:val="00855B57"/>
    <w:rsid w:val="00855B82"/>
    <w:rsid w:val="0085629C"/>
    <w:rsid w:val="008562B3"/>
    <w:rsid w:val="0085631C"/>
    <w:rsid w:val="00856353"/>
    <w:rsid w:val="0085652D"/>
    <w:rsid w:val="00856670"/>
    <w:rsid w:val="00856969"/>
    <w:rsid w:val="00856997"/>
    <w:rsid w:val="00856A31"/>
    <w:rsid w:val="00856A85"/>
    <w:rsid w:val="00856B86"/>
    <w:rsid w:val="00856BDD"/>
    <w:rsid w:val="00856C9E"/>
    <w:rsid w:val="00856D5A"/>
    <w:rsid w:val="00856D6B"/>
    <w:rsid w:val="00856EB5"/>
    <w:rsid w:val="00856ED4"/>
    <w:rsid w:val="00856EDD"/>
    <w:rsid w:val="00857017"/>
    <w:rsid w:val="00857110"/>
    <w:rsid w:val="00857378"/>
    <w:rsid w:val="008575B0"/>
    <w:rsid w:val="008575EA"/>
    <w:rsid w:val="0085776B"/>
    <w:rsid w:val="0085799B"/>
    <w:rsid w:val="00857A54"/>
    <w:rsid w:val="00860166"/>
    <w:rsid w:val="00860445"/>
    <w:rsid w:val="008605CF"/>
    <w:rsid w:val="008605E1"/>
    <w:rsid w:val="00860678"/>
    <w:rsid w:val="00860749"/>
    <w:rsid w:val="0086075D"/>
    <w:rsid w:val="0086095E"/>
    <w:rsid w:val="00860AD8"/>
    <w:rsid w:val="00860EA6"/>
    <w:rsid w:val="00860ED9"/>
    <w:rsid w:val="008612C3"/>
    <w:rsid w:val="00861339"/>
    <w:rsid w:val="008615AB"/>
    <w:rsid w:val="008616FA"/>
    <w:rsid w:val="0086189E"/>
    <w:rsid w:val="008619E7"/>
    <w:rsid w:val="00861C0A"/>
    <w:rsid w:val="008620D4"/>
    <w:rsid w:val="00862187"/>
    <w:rsid w:val="008621CF"/>
    <w:rsid w:val="00862202"/>
    <w:rsid w:val="00862247"/>
    <w:rsid w:val="008625EA"/>
    <w:rsid w:val="00862642"/>
    <w:rsid w:val="0086268B"/>
    <w:rsid w:val="0086275F"/>
    <w:rsid w:val="00862859"/>
    <w:rsid w:val="00862A6C"/>
    <w:rsid w:val="00862DFF"/>
    <w:rsid w:val="00862EB5"/>
    <w:rsid w:val="00862F32"/>
    <w:rsid w:val="00863135"/>
    <w:rsid w:val="0086323C"/>
    <w:rsid w:val="00863433"/>
    <w:rsid w:val="00863820"/>
    <w:rsid w:val="0086389B"/>
    <w:rsid w:val="00863992"/>
    <w:rsid w:val="00863A59"/>
    <w:rsid w:val="00863ABC"/>
    <w:rsid w:val="00863DEE"/>
    <w:rsid w:val="00864013"/>
    <w:rsid w:val="0086459A"/>
    <w:rsid w:val="0086460B"/>
    <w:rsid w:val="00864835"/>
    <w:rsid w:val="00864B63"/>
    <w:rsid w:val="00864C1C"/>
    <w:rsid w:val="00864D43"/>
    <w:rsid w:val="00865026"/>
    <w:rsid w:val="00865114"/>
    <w:rsid w:val="008651D6"/>
    <w:rsid w:val="008652D8"/>
    <w:rsid w:val="00865664"/>
    <w:rsid w:val="00865800"/>
    <w:rsid w:val="008658CE"/>
    <w:rsid w:val="008658F7"/>
    <w:rsid w:val="00865A34"/>
    <w:rsid w:val="00865CE3"/>
    <w:rsid w:val="00865D5A"/>
    <w:rsid w:val="00865F3F"/>
    <w:rsid w:val="00865FB9"/>
    <w:rsid w:val="008661CF"/>
    <w:rsid w:val="008665B3"/>
    <w:rsid w:val="008665EC"/>
    <w:rsid w:val="00866781"/>
    <w:rsid w:val="0086678C"/>
    <w:rsid w:val="008667CC"/>
    <w:rsid w:val="00866812"/>
    <w:rsid w:val="008668A4"/>
    <w:rsid w:val="00866957"/>
    <w:rsid w:val="008669E1"/>
    <w:rsid w:val="00866B8A"/>
    <w:rsid w:val="00866C03"/>
    <w:rsid w:val="00866E92"/>
    <w:rsid w:val="00866ECF"/>
    <w:rsid w:val="00866F9E"/>
    <w:rsid w:val="00867005"/>
    <w:rsid w:val="008672A5"/>
    <w:rsid w:val="00867331"/>
    <w:rsid w:val="00867410"/>
    <w:rsid w:val="0086754F"/>
    <w:rsid w:val="00867631"/>
    <w:rsid w:val="00867868"/>
    <w:rsid w:val="00867BB2"/>
    <w:rsid w:val="00867CDF"/>
    <w:rsid w:val="00867F30"/>
    <w:rsid w:val="008700BE"/>
    <w:rsid w:val="00870115"/>
    <w:rsid w:val="008701C7"/>
    <w:rsid w:val="008701FE"/>
    <w:rsid w:val="00870715"/>
    <w:rsid w:val="0087086E"/>
    <w:rsid w:val="008708C6"/>
    <w:rsid w:val="00870933"/>
    <w:rsid w:val="00870BA4"/>
    <w:rsid w:val="00870D10"/>
    <w:rsid w:val="00870FCA"/>
    <w:rsid w:val="00871134"/>
    <w:rsid w:val="0087125F"/>
    <w:rsid w:val="00871280"/>
    <w:rsid w:val="00871349"/>
    <w:rsid w:val="0087153F"/>
    <w:rsid w:val="00871633"/>
    <w:rsid w:val="00871757"/>
    <w:rsid w:val="0087176A"/>
    <w:rsid w:val="008719E0"/>
    <w:rsid w:val="008719F9"/>
    <w:rsid w:val="00871B6C"/>
    <w:rsid w:val="00871BEE"/>
    <w:rsid w:val="00871FDE"/>
    <w:rsid w:val="008720B8"/>
    <w:rsid w:val="008722E0"/>
    <w:rsid w:val="008723C1"/>
    <w:rsid w:val="008724F4"/>
    <w:rsid w:val="008726A1"/>
    <w:rsid w:val="008727B3"/>
    <w:rsid w:val="008727F9"/>
    <w:rsid w:val="008728BA"/>
    <w:rsid w:val="00872A4B"/>
    <w:rsid w:val="00872CF7"/>
    <w:rsid w:val="00872E08"/>
    <w:rsid w:val="00872E91"/>
    <w:rsid w:val="00872EFC"/>
    <w:rsid w:val="00873077"/>
    <w:rsid w:val="008731F9"/>
    <w:rsid w:val="008732E5"/>
    <w:rsid w:val="0087337A"/>
    <w:rsid w:val="008734AD"/>
    <w:rsid w:val="008734EC"/>
    <w:rsid w:val="00873726"/>
    <w:rsid w:val="0087391D"/>
    <w:rsid w:val="00873C0B"/>
    <w:rsid w:val="00873CE1"/>
    <w:rsid w:val="00873DF9"/>
    <w:rsid w:val="0087405F"/>
    <w:rsid w:val="00874082"/>
    <w:rsid w:val="00874166"/>
    <w:rsid w:val="008745F1"/>
    <w:rsid w:val="00874883"/>
    <w:rsid w:val="00874900"/>
    <w:rsid w:val="00874BF6"/>
    <w:rsid w:val="008751C7"/>
    <w:rsid w:val="00875233"/>
    <w:rsid w:val="00875351"/>
    <w:rsid w:val="00875528"/>
    <w:rsid w:val="0087567E"/>
    <w:rsid w:val="00875848"/>
    <w:rsid w:val="0087589D"/>
    <w:rsid w:val="00875A49"/>
    <w:rsid w:val="00875A8C"/>
    <w:rsid w:val="00875A95"/>
    <w:rsid w:val="00875DCE"/>
    <w:rsid w:val="00875E37"/>
    <w:rsid w:val="00875FF8"/>
    <w:rsid w:val="00876127"/>
    <w:rsid w:val="008762C2"/>
    <w:rsid w:val="008762C9"/>
    <w:rsid w:val="008762DF"/>
    <w:rsid w:val="008763BE"/>
    <w:rsid w:val="00876420"/>
    <w:rsid w:val="008765CD"/>
    <w:rsid w:val="008768D3"/>
    <w:rsid w:val="008768F7"/>
    <w:rsid w:val="00876A34"/>
    <w:rsid w:val="00876A3F"/>
    <w:rsid w:val="00876B38"/>
    <w:rsid w:val="00876D2D"/>
    <w:rsid w:val="00876D45"/>
    <w:rsid w:val="00876D50"/>
    <w:rsid w:val="00876DE5"/>
    <w:rsid w:val="00876E48"/>
    <w:rsid w:val="00876E50"/>
    <w:rsid w:val="00876EAA"/>
    <w:rsid w:val="00876EEC"/>
    <w:rsid w:val="00877572"/>
    <w:rsid w:val="00877B62"/>
    <w:rsid w:val="00877E90"/>
    <w:rsid w:val="0088014C"/>
    <w:rsid w:val="0088049B"/>
    <w:rsid w:val="00880863"/>
    <w:rsid w:val="008808B6"/>
    <w:rsid w:val="00880D67"/>
    <w:rsid w:val="00880F9E"/>
    <w:rsid w:val="008813CD"/>
    <w:rsid w:val="00881518"/>
    <w:rsid w:val="00881539"/>
    <w:rsid w:val="0088157F"/>
    <w:rsid w:val="0088162F"/>
    <w:rsid w:val="00881662"/>
    <w:rsid w:val="008817C4"/>
    <w:rsid w:val="00881869"/>
    <w:rsid w:val="0088189C"/>
    <w:rsid w:val="008819A2"/>
    <w:rsid w:val="00881A2B"/>
    <w:rsid w:val="00881AD9"/>
    <w:rsid w:val="00881B61"/>
    <w:rsid w:val="00881B70"/>
    <w:rsid w:val="00881B7F"/>
    <w:rsid w:val="00881BC1"/>
    <w:rsid w:val="00881DE5"/>
    <w:rsid w:val="00881F2A"/>
    <w:rsid w:val="00882012"/>
    <w:rsid w:val="008823B8"/>
    <w:rsid w:val="00882616"/>
    <w:rsid w:val="00882729"/>
    <w:rsid w:val="0088274D"/>
    <w:rsid w:val="0088275C"/>
    <w:rsid w:val="0088280B"/>
    <w:rsid w:val="0088292B"/>
    <w:rsid w:val="00882A20"/>
    <w:rsid w:val="00882B81"/>
    <w:rsid w:val="00882C60"/>
    <w:rsid w:val="00882E0D"/>
    <w:rsid w:val="00882E4B"/>
    <w:rsid w:val="00882F46"/>
    <w:rsid w:val="00883056"/>
    <w:rsid w:val="008831DD"/>
    <w:rsid w:val="00883258"/>
    <w:rsid w:val="00883505"/>
    <w:rsid w:val="008836B9"/>
    <w:rsid w:val="008838AA"/>
    <w:rsid w:val="0088392A"/>
    <w:rsid w:val="00883AF1"/>
    <w:rsid w:val="00883D98"/>
    <w:rsid w:val="00883EFD"/>
    <w:rsid w:val="00883F18"/>
    <w:rsid w:val="0088423F"/>
    <w:rsid w:val="00884804"/>
    <w:rsid w:val="0088481B"/>
    <w:rsid w:val="00884891"/>
    <w:rsid w:val="00884F4D"/>
    <w:rsid w:val="0088513C"/>
    <w:rsid w:val="0088523B"/>
    <w:rsid w:val="00885472"/>
    <w:rsid w:val="008857F1"/>
    <w:rsid w:val="00885918"/>
    <w:rsid w:val="00885A18"/>
    <w:rsid w:val="00885A2D"/>
    <w:rsid w:val="00885B6B"/>
    <w:rsid w:val="00885CDF"/>
    <w:rsid w:val="00885D3B"/>
    <w:rsid w:val="00885E33"/>
    <w:rsid w:val="00885EBE"/>
    <w:rsid w:val="008865EC"/>
    <w:rsid w:val="00886708"/>
    <w:rsid w:val="0088686E"/>
    <w:rsid w:val="0088689D"/>
    <w:rsid w:val="00886916"/>
    <w:rsid w:val="00886E81"/>
    <w:rsid w:val="00886F3A"/>
    <w:rsid w:val="00887493"/>
    <w:rsid w:val="008874EE"/>
    <w:rsid w:val="00887526"/>
    <w:rsid w:val="008875F8"/>
    <w:rsid w:val="008876D5"/>
    <w:rsid w:val="00887798"/>
    <w:rsid w:val="008877E2"/>
    <w:rsid w:val="00887958"/>
    <w:rsid w:val="00887B34"/>
    <w:rsid w:val="00887BC5"/>
    <w:rsid w:val="00887D77"/>
    <w:rsid w:val="00887EAF"/>
    <w:rsid w:val="00887EC1"/>
    <w:rsid w:val="00887ED4"/>
    <w:rsid w:val="00890009"/>
    <w:rsid w:val="00890031"/>
    <w:rsid w:val="008900A2"/>
    <w:rsid w:val="00890125"/>
    <w:rsid w:val="0089042B"/>
    <w:rsid w:val="00890481"/>
    <w:rsid w:val="0089048C"/>
    <w:rsid w:val="008904E1"/>
    <w:rsid w:val="0089069E"/>
    <w:rsid w:val="00890758"/>
    <w:rsid w:val="008907CD"/>
    <w:rsid w:val="008907D3"/>
    <w:rsid w:val="008909B8"/>
    <w:rsid w:val="008909C4"/>
    <w:rsid w:val="00890ABF"/>
    <w:rsid w:val="00890CD8"/>
    <w:rsid w:val="00890E02"/>
    <w:rsid w:val="00891062"/>
    <w:rsid w:val="00891177"/>
    <w:rsid w:val="008912E3"/>
    <w:rsid w:val="008914A6"/>
    <w:rsid w:val="008914B2"/>
    <w:rsid w:val="00891867"/>
    <w:rsid w:val="00891939"/>
    <w:rsid w:val="00891940"/>
    <w:rsid w:val="00891960"/>
    <w:rsid w:val="00891B11"/>
    <w:rsid w:val="00891C41"/>
    <w:rsid w:val="00891CA2"/>
    <w:rsid w:val="00891D2B"/>
    <w:rsid w:val="00891D5D"/>
    <w:rsid w:val="00892059"/>
    <w:rsid w:val="008920B4"/>
    <w:rsid w:val="0089214E"/>
    <w:rsid w:val="00892274"/>
    <w:rsid w:val="0089233B"/>
    <w:rsid w:val="008925A4"/>
    <w:rsid w:val="008926B3"/>
    <w:rsid w:val="008927AB"/>
    <w:rsid w:val="0089292D"/>
    <w:rsid w:val="00892BB0"/>
    <w:rsid w:val="00892C59"/>
    <w:rsid w:val="00892C86"/>
    <w:rsid w:val="00892E5D"/>
    <w:rsid w:val="00892FBF"/>
    <w:rsid w:val="008931EE"/>
    <w:rsid w:val="008933F7"/>
    <w:rsid w:val="008934A3"/>
    <w:rsid w:val="00893500"/>
    <w:rsid w:val="00893561"/>
    <w:rsid w:val="008935BC"/>
    <w:rsid w:val="0089366A"/>
    <w:rsid w:val="008936E3"/>
    <w:rsid w:val="00893916"/>
    <w:rsid w:val="00893980"/>
    <w:rsid w:val="00893A0A"/>
    <w:rsid w:val="00893A4E"/>
    <w:rsid w:val="00893A9F"/>
    <w:rsid w:val="00893AD2"/>
    <w:rsid w:val="00893ADC"/>
    <w:rsid w:val="00893C24"/>
    <w:rsid w:val="00893D09"/>
    <w:rsid w:val="00893D6F"/>
    <w:rsid w:val="00893F64"/>
    <w:rsid w:val="00894306"/>
    <w:rsid w:val="00894317"/>
    <w:rsid w:val="008943A4"/>
    <w:rsid w:val="0089452C"/>
    <w:rsid w:val="00894625"/>
    <w:rsid w:val="008947B1"/>
    <w:rsid w:val="008948A8"/>
    <w:rsid w:val="00894F6D"/>
    <w:rsid w:val="00895022"/>
    <w:rsid w:val="00895063"/>
    <w:rsid w:val="00895831"/>
    <w:rsid w:val="00895AB0"/>
    <w:rsid w:val="00895AB1"/>
    <w:rsid w:val="00895C98"/>
    <w:rsid w:val="00895DE8"/>
    <w:rsid w:val="00896085"/>
    <w:rsid w:val="00896433"/>
    <w:rsid w:val="00896437"/>
    <w:rsid w:val="00896533"/>
    <w:rsid w:val="00896812"/>
    <w:rsid w:val="0089684C"/>
    <w:rsid w:val="00896912"/>
    <w:rsid w:val="00896919"/>
    <w:rsid w:val="00896A85"/>
    <w:rsid w:val="00896B0A"/>
    <w:rsid w:val="00896CC7"/>
    <w:rsid w:val="00896CC9"/>
    <w:rsid w:val="00896DED"/>
    <w:rsid w:val="00896E22"/>
    <w:rsid w:val="00896E4C"/>
    <w:rsid w:val="00897057"/>
    <w:rsid w:val="008970BF"/>
    <w:rsid w:val="008970D8"/>
    <w:rsid w:val="008970D9"/>
    <w:rsid w:val="008971A4"/>
    <w:rsid w:val="00897318"/>
    <w:rsid w:val="00897516"/>
    <w:rsid w:val="0089754F"/>
    <w:rsid w:val="008975AC"/>
    <w:rsid w:val="008976CC"/>
    <w:rsid w:val="0089777D"/>
    <w:rsid w:val="008978B6"/>
    <w:rsid w:val="0089795D"/>
    <w:rsid w:val="008979E2"/>
    <w:rsid w:val="00897B77"/>
    <w:rsid w:val="00897E1E"/>
    <w:rsid w:val="00897E38"/>
    <w:rsid w:val="00897F78"/>
    <w:rsid w:val="00897FBB"/>
    <w:rsid w:val="00897FE1"/>
    <w:rsid w:val="008A0126"/>
    <w:rsid w:val="008A040D"/>
    <w:rsid w:val="008A0683"/>
    <w:rsid w:val="008A0728"/>
    <w:rsid w:val="008A0AF9"/>
    <w:rsid w:val="008A0BEB"/>
    <w:rsid w:val="008A0E1F"/>
    <w:rsid w:val="008A0EAF"/>
    <w:rsid w:val="008A1016"/>
    <w:rsid w:val="008A115C"/>
    <w:rsid w:val="008A132D"/>
    <w:rsid w:val="008A14B3"/>
    <w:rsid w:val="008A156C"/>
    <w:rsid w:val="008A15F4"/>
    <w:rsid w:val="008A15F8"/>
    <w:rsid w:val="008A1677"/>
    <w:rsid w:val="008A16FB"/>
    <w:rsid w:val="008A1783"/>
    <w:rsid w:val="008A179C"/>
    <w:rsid w:val="008A18A3"/>
    <w:rsid w:val="008A18B5"/>
    <w:rsid w:val="008A191B"/>
    <w:rsid w:val="008A1B07"/>
    <w:rsid w:val="008A1BB9"/>
    <w:rsid w:val="008A1E55"/>
    <w:rsid w:val="008A200E"/>
    <w:rsid w:val="008A206E"/>
    <w:rsid w:val="008A2076"/>
    <w:rsid w:val="008A214D"/>
    <w:rsid w:val="008A23BC"/>
    <w:rsid w:val="008A24EC"/>
    <w:rsid w:val="008A2507"/>
    <w:rsid w:val="008A2738"/>
    <w:rsid w:val="008A278E"/>
    <w:rsid w:val="008A27D8"/>
    <w:rsid w:val="008A280C"/>
    <w:rsid w:val="008A2927"/>
    <w:rsid w:val="008A2984"/>
    <w:rsid w:val="008A2B0C"/>
    <w:rsid w:val="008A2BD0"/>
    <w:rsid w:val="008A2BFE"/>
    <w:rsid w:val="008A2E99"/>
    <w:rsid w:val="008A2EE6"/>
    <w:rsid w:val="008A2FE8"/>
    <w:rsid w:val="008A3005"/>
    <w:rsid w:val="008A30BF"/>
    <w:rsid w:val="008A35C2"/>
    <w:rsid w:val="008A36AC"/>
    <w:rsid w:val="008A377F"/>
    <w:rsid w:val="008A382F"/>
    <w:rsid w:val="008A3A06"/>
    <w:rsid w:val="008A3A3F"/>
    <w:rsid w:val="008A3DB3"/>
    <w:rsid w:val="008A3E00"/>
    <w:rsid w:val="008A3EBA"/>
    <w:rsid w:val="008A3F6F"/>
    <w:rsid w:val="008A40C8"/>
    <w:rsid w:val="008A4243"/>
    <w:rsid w:val="008A4382"/>
    <w:rsid w:val="008A4710"/>
    <w:rsid w:val="008A47FD"/>
    <w:rsid w:val="008A4906"/>
    <w:rsid w:val="008A497E"/>
    <w:rsid w:val="008A4DA4"/>
    <w:rsid w:val="008A4E33"/>
    <w:rsid w:val="008A4FF9"/>
    <w:rsid w:val="008A51C5"/>
    <w:rsid w:val="008A527D"/>
    <w:rsid w:val="008A5280"/>
    <w:rsid w:val="008A52B4"/>
    <w:rsid w:val="008A5363"/>
    <w:rsid w:val="008A5396"/>
    <w:rsid w:val="008A53F9"/>
    <w:rsid w:val="008A5483"/>
    <w:rsid w:val="008A5659"/>
    <w:rsid w:val="008A5823"/>
    <w:rsid w:val="008A5943"/>
    <w:rsid w:val="008A5B7E"/>
    <w:rsid w:val="008A5BD7"/>
    <w:rsid w:val="008A5DAF"/>
    <w:rsid w:val="008A605F"/>
    <w:rsid w:val="008A6327"/>
    <w:rsid w:val="008A6416"/>
    <w:rsid w:val="008A642E"/>
    <w:rsid w:val="008A65B2"/>
    <w:rsid w:val="008A6644"/>
    <w:rsid w:val="008A697E"/>
    <w:rsid w:val="008A6A04"/>
    <w:rsid w:val="008A6A53"/>
    <w:rsid w:val="008A6A54"/>
    <w:rsid w:val="008A6D50"/>
    <w:rsid w:val="008A7161"/>
    <w:rsid w:val="008A716A"/>
    <w:rsid w:val="008A72D1"/>
    <w:rsid w:val="008A73D4"/>
    <w:rsid w:val="008A755C"/>
    <w:rsid w:val="008A79EE"/>
    <w:rsid w:val="008A7A2D"/>
    <w:rsid w:val="008A7BF1"/>
    <w:rsid w:val="008A7CD7"/>
    <w:rsid w:val="008B002A"/>
    <w:rsid w:val="008B038A"/>
    <w:rsid w:val="008B043A"/>
    <w:rsid w:val="008B06B2"/>
    <w:rsid w:val="008B0742"/>
    <w:rsid w:val="008B0800"/>
    <w:rsid w:val="008B087B"/>
    <w:rsid w:val="008B08BB"/>
    <w:rsid w:val="008B08D4"/>
    <w:rsid w:val="008B0931"/>
    <w:rsid w:val="008B0CF5"/>
    <w:rsid w:val="008B0FBD"/>
    <w:rsid w:val="008B101F"/>
    <w:rsid w:val="008B10B9"/>
    <w:rsid w:val="008B10CE"/>
    <w:rsid w:val="008B112F"/>
    <w:rsid w:val="008B13B0"/>
    <w:rsid w:val="008B13CD"/>
    <w:rsid w:val="008B1454"/>
    <w:rsid w:val="008B14C6"/>
    <w:rsid w:val="008B1536"/>
    <w:rsid w:val="008B1969"/>
    <w:rsid w:val="008B1A1C"/>
    <w:rsid w:val="008B1C36"/>
    <w:rsid w:val="008B1D24"/>
    <w:rsid w:val="008B1F0C"/>
    <w:rsid w:val="008B2105"/>
    <w:rsid w:val="008B24B5"/>
    <w:rsid w:val="008B2721"/>
    <w:rsid w:val="008B27B9"/>
    <w:rsid w:val="008B2806"/>
    <w:rsid w:val="008B2825"/>
    <w:rsid w:val="008B2DB5"/>
    <w:rsid w:val="008B2EB3"/>
    <w:rsid w:val="008B30EB"/>
    <w:rsid w:val="008B33DC"/>
    <w:rsid w:val="008B38A4"/>
    <w:rsid w:val="008B3ABE"/>
    <w:rsid w:val="008B3ACA"/>
    <w:rsid w:val="008B3DBB"/>
    <w:rsid w:val="008B3E85"/>
    <w:rsid w:val="008B40EB"/>
    <w:rsid w:val="008B40F1"/>
    <w:rsid w:val="008B4194"/>
    <w:rsid w:val="008B41E2"/>
    <w:rsid w:val="008B42F3"/>
    <w:rsid w:val="008B4340"/>
    <w:rsid w:val="008B439B"/>
    <w:rsid w:val="008B4448"/>
    <w:rsid w:val="008B44FC"/>
    <w:rsid w:val="008B4622"/>
    <w:rsid w:val="008B4A9D"/>
    <w:rsid w:val="008B4BC8"/>
    <w:rsid w:val="008B4BF5"/>
    <w:rsid w:val="008B4D2B"/>
    <w:rsid w:val="008B4E5E"/>
    <w:rsid w:val="008B4FEF"/>
    <w:rsid w:val="008B50B1"/>
    <w:rsid w:val="008B51BC"/>
    <w:rsid w:val="008B54CC"/>
    <w:rsid w:val="008B5515"/>
    <w:rsid w:val="008B5580"/>
    <w:rsid w:val="008B5671"/>
    <w:rsid w:val="008B56E9"/>
    <w:rsid w:val="008B59DA"/>
    <w:rsid w:val="008B5BCA"/>
    <w:rsid w:val="008B5C05"/>
    <w:rsid w:val="008B5CF5"/>
    <w:rsid w:val="008B5E98"/>
    <w:rsid w:val="008B6214"/>
    <w:rsid w:val="008B62D2"/>
    <w:rsid w:val="008B62EF"/>
    <w:rsid w:val="008B632F"/>
    <w:rsid w:val="008B6569"/>
    <w:rsid w:val="008B667E"/>
    <w:rsid w:val="008B6746"/>
    <w:rsid w:val="008B6842"/>
    <w:rsid w:val="008B685C"/>
    <w:rsid w:val="008B68A7"/>
    <w:rsid w:val="008B68F3"/>
    <w:rsid w:val="008B68FA"/>
    <w:rsid w:val="008B6A83"/>
    <w:rsid w:val="008B6ACB"/>
    <w:rsid w:val="008B6AD0"/>
    <w:rsid w:val="008B6C99"/>
    <w:rsid w:val="008B6E5D"/>
    <w:rsid w:val="008B7124"/>
    <w:rsid w:val="008B7186"/>
    <w:rsid w:val="008B71C6"/>
    <w:rsid w:val="008B71E1"/>
    <w:rsid w:val="008B7275"/>
    <w:rsid w:val="008B72A0"/>
    <w:rsid w:val="008B741F"/>
    <w:rsid w:val="008B7AFA"/>
    <w:rsid w:val="008B7C26"/>
    <w:rsid w:val="008B7C3E"/>
    <w:rsid w:val="008B7C8C"/>
    <w:rsid w:val="008B7E04"/>
    <w:rsid w:val="008B7ED4"/>
    <w:rsid w:val="008B7FC2"/>
    <w:rsid w:val="008C022E"/>
    <w:rsid w:val="008C035F"/>
    <w:rsid w:val="008C0495"/>
    <w:rsid w:val="008C04B5"/>
    <w:rsid w:val="008C056C"/>
    <w:rsid w:val="008C0587"/>
    <w:rsid w:val="008C065F"/>
    <w:rsid w:val="008C0689"/>
    <w:rsid w:val="008C084B"/>
    <w:rsid w:val="008C0906"/>
    <w:rsid w:val="008C096B"/>
    <w:rsid w:val="008C09B8"/>
    <w:rsid w:val="008C0A21"/>
    <w:rsid w:val="008C0C60"/>
    <w:rsid w:val="008C0CBA"/>
    <w:rsid w:val="008C0DEF"/>
    <w:rsid w:val="008C0E74"/>
    <w:rsid w:val="008C0E91"/>
    <w:rsid w:val="008C1112"/>
    <w:rsid w:val="008C115C"/>
    <w:rsid w:val="008C1390"/>
    <w:rsid w:val="008C1494"/>
    <w:rsid w:val="008C16BD"/>
    <w:rsid w:val="008C1735"/>
    <w:rsid w:val="008C1A26"/>
    <w:rsid w:val="008C1C98"/>
    <w:rsid w:val="008C1CCD"/>
    <w:rsid w:val="008C1EA5"/>
    <w:rsid w:val="008C1F15"/>
    <w:rsid w:val="008C2050"/>
    <w:rsid w:val="008C2159"/>
    <w:rsid w:val="008C2B0C"/>
    <w:rsid w:val="008C2B11"/>
    <w:rsid w:val="008C2C52"/>
    <w:rsid w:val="008C2CD5"/>
    <w:rsid w:val="008C2E98"/>
    <w:rsid w:val="008C3384"/>
    <w:rsid w:val="008C346F"/>
    <w:rsid w:val="008C351A"/>
    <w:rsid w:val="008C35FC"/>
    <w:rsid w:val="008C377E"/>
    <w:rsid w:val="008C381A"/>
    <w:rsid w:val="008C3B14"/>
    <w:rsid w:val="008C3E58"/>
    <w:rsid w:val="008C3EE4"/>
    <w:rsid w:val="008C4028"/>
    <w:rsid w:val="008C405D"/>
    <w:rsid w:val="008C4106"/>
    <w:rsid w:val="008C464D"/>
    <w:rsid w:val="008C487D"/>
    <w:rsid w:val="008C4C41"/>
    <w:rsid w:val="008C4E2C"/>
    <w:rsid w:val="008C4F1B"/>
    <w:rsid w:val="008C5177"/>
    <w:rsid w:val="008C5342"/>
    <w:rsid w:val="008C53E8"/>
    <w:rsid w:val="008C54EF"/>
    <w:rsid w:val="008C5514"/>
    <w:rsid w:val="008C559F"/>
    <w:rsid w:val="008C56EC"/>
    <w:rsid w:val="008C589B"/>
    <w:rsid w:val="008C5DD6"/>
    <w:rsid w:val="008C5F94"/>
    <w:rsid w:val="008C5FC7"/>
    <w:rsid w:val="008C5FFB"/>
    <w:rsid w:val="008C6258"/>
    <w:rsid w:val="008C65FB"/>
    <w:rsid w:val="008C668B"/>
    <w:rsid w:val="008C66DF"/>
    <w:rsid w:val="008C6728"/>
    <w:rsid w:val="008C6733"/>
    <w:rsid w:val="008C697F"/>
    <w:rsid w:val="008C6A53"/>
    <w:rsid w:val="008C6A72"/>
    <w:rsid w:val="008C6D20"/>
    <w:rsid w:val="008C6DC4"/>
    <w:rsid w:val="008C6DDB"/>
    <w:rsid w:val="008C6EC3"/>
    <w:rsid w:val="008C6F32"/>
    <w:rsid w:val="008C7159"/>
    <w:rsid w:val="008C7340"/>
    <w:rsid w:val="008C7427"/>
    <w:rsid w:val="008C74E8"/>
    <w:rsid w:val="008C75DE"/>
    <w:rsid w:val="008C764E"/>
    <w:rsid w:val="008C76B5"/>
    <w:rsid w:val="008C772B"/>
    <w:rsid w:val="008C77EA"/>
    <w:rsid w:val="008C781E"/>
    <w:rsid w:val="008C7876"/>
    <w:rsid w:val="008C7BA0"/>
    <w:rsid w:val="008C7BC1"/>
    <w:rsid w:val="008C7ECF"/>
    <w:rsid w:val="008D004A"/>
    <w:rsid w:val="008D012B"/>
    <w:rsid w:val="008D032B"/>
    <w:rsid w:val="008D05B9"/>
    <w:rsid w:val="008D05D1"/>
    <w:rsid w:val="008D074B"/>
    <w:rsid w:val="008D080F"/>
    <w:rsid w:val="008D08B4"/>
    <w:rsid w:val="008D0B97"/>
    <w:rsid w:val="008D0E8D"/>
    <w:rsid w:val="008D10D9"/>
    <w:rsid w:val="008D10E0"/>
    <w:rsid w:val="008D1246"/>
    <w:rsid w:val="008D127A"/>
    <w:rsid w:val="008D1410"/>
    <w:rsid w:val="008D1546"/>
    <w:rsid w:val="008D1603"/>
    <w:rsid w:val="008D1756"/>
    <w:rsid w:val="008D17B5"/>
    <w:rsid w:val="008D1835"/>
    <w:rsid w:val="008D198F"/>
    <w:rsid w:val="008D19BB"/>
    <w:rsid w:val="008D1C0C"/>
    <w:rsid w:val="008D1F3A"/>
    <w:rsid w:val="008D1F3E"/>
    <w:rsid w:val="008D1F97"/>
    <w:rsid w:val="008D2038"/>
    <w:rsid w:val="008D2219"/>
    <w:rsid w:val="008D23EF"/>
    <w:rsid w:val="008D2565"/>
    <w:rsid w:val="008D258D"/>
    <w:rsid w:val="008D2629"/>
    <w:rsid w:val="008D26D5"/>
    <w:rsid w:val="008D2730"/>
    <w:rsid w:val="008D2CDF"/>
    <w:rsid w:val="008D2D8B"/>
    <w:rsid w:val="008D2DDE"/>
    <w:rsid w:val="008D3441"/>
    <w:rsid w:val="008D34B2"/>
    <w:rsid w:val="008D34CB"/>
    <w:rsid w:val="008D3529"/>
    <w:rsid w:val="008D39FF"/>
    <w:rsid w:val="008D3BF8"/>
    <w:rsid w:val="008D4222"/>
    <w:rsid w:val="008D4266"/>
    <w:rsid w:val="008D4355"/>
    <w:rsid w:val="008D4435"/>
    <w:rsid w:val="008D449B"/>
    <w:rsid w:val="008D45C6"/>
    <w:rsid w:val="008D49E8"/>
    <w:rsid w:val="008D4A1A"/>
    <w:rsid w:val="008D4BA6"/>
    <w:rsid w:val="008D4C68"/>
    <w:rsid w:val="008D4D59"/>
    <w:rsid w:val="008D4DF8"/>
    <w:rsid w:val="008D50D3"/>
    <w:rsid w:val="008D548A"/>
    <w:rsid w:val="008D569E"/>
    <w:rsid w:val="008D56D2"/>
    <w:rsid w:val="008D57C9"/>
    <w:rsid w:val="008D5822"/>
    <w:rsid w:val="008D58BA"/>
    <w:rsid w:val="008D5CB6"/>
    <w:rsid w:val="008D5D24"/>
    <w:rsid w:val="008D5DBD"/>
    <w:rsid w:val="008D5F55"/>
    <w:rsid w:val="008D5F95"/>
    <w:rsid w:val="008D62BF"/>
    <w:rsid w:val="008D62D1"/>
    <w:rsid w:val="008D63A7"/>
    <w:rsid w:val="008D64B4"/>
    <w:rsid w:val="008D6670"/>
    <w:rsid w:val="008D6812"/>
    <w:rsid w:val="008D685B"/>
    <w:rsid w:val="008D698D"/>
    <w:rsid w:val="008D6B67"/>
    <w:rsid w:val="008D6B80"/>
    <w:rsid w:val="008D6B8B"/>
    <w:rsid w:val="008D6BEA"/>
    <w:rsid w:val="008D6C45"/>
    <w:rsid w:val="008D6D7D"/>
    <w:rsid w:val="008D6EED"/>
    <w:rsid w:val="008D7072"/>
    <w:rsid w:val="008D7175"/>
    <w:rsid w:val="008D7236"/>
    <w:rsid w:val="008D7456"/>
    <w:rsid w:val="008D7690"/>
    <w:rsid w:val="008D7781"/>
    <w:rsid w:val="008D77C3"/>
    <w:rsid w:val="008D7802"/>
    <w:rsid w:val="008D7A47"/>
    <w:rsid w:val="008D7B1E"/>
    <w:rsid w:val="008D7C53"/>
    <w:rsid w:val="008D7C8F"/>
    <w:rsid w:val="008E00E6"/>
    <w:rsid w:val="008E04EB"/>
    <w:rsid w:val="008E0565"/>
    <w:rsid w:val="008E06F4"/>
    <w:rsid w:val="008E06FC"/>
    <w:rsid w:val="008E0A9D"/>
    <w:rsid w:val="008E0BA7"/>
    <w:rsid w:val="008E0C0F"/>
    <w:rsid w:val="008E0F68"/>
    <w:rsid w:val="008E1267"/>
    <w:rsid w:val="008E1521"/>
    <w:rsid w:val="008E1711"/>
    <w:rsid w:val="008E17CB"/>
    <w:rsid w:val="008E1AD7"/>
    <w:rsid w:val="008E1BCA"/>
    <w:rsid w:val="008E1C14"/>
    <w:rsid w:val="008E1E79"/>
    <w:rsid w:val="008E200E"/>
    <w:rsid w:val="008E210C"/>
    <w:rsid w:val="008E219A"/>
    <w:rsid w:val="008E223F"/>
    <w:rsid w:val="008E2311"/>
    <w:rsid w:val="008E2344"/>
    <w:rsid w:val="008E234C"/>
    <w:rsid w:val="008E236A"/>
    <w:rsid w:val="008E2499"/>
    <w:rsid w:val="008E24E5"/>
    <w:rsid w:val="008E26EF"/>
    <w:rsid w:val="008E2775"/>
    <w:rsid w:val="008E297E"/>
    <w:rsid w:val="008E2998"/>
    <w:rsid w:val="008E2B30"/>
    <w:rsid w:val="008E2B85"/>
    <w:rsid w:val="008E2CAF"/>
    <w:rsid w:val="008E2D01"/>
    <w:rsid w:val="008E2F06"/>
    <w:rsid w:val="008E2F28"/>
    <w:rsid w:val="008E2F43"/>
    <w:rsid w:val="008E3164"/>
    <w:rsid w:val="008E32BE"/>
    <w:rsid w:val="008E35A4"/>
    <w:rsid w:val="008E3605"/>
    <w:rsid w:val="008E3803"/>
    <w:rsid w:val="008E3A7F"/>
    <w:rsid w:val="008E3A94"/>
    <w:rsid w:val="008E3CBF"/>
    <w:rsid w:val="008E3F05"/>
    <w:rsid w:val="008E416D"/>
    <w:rsid w:val="008E436D"/>
    <w:rsid w:val="008E446B"/>
    <w:rsid w:val="008E44F1"/>
    <w:rsid w:val="008E458C"/>
    <w:rsid w:val="008E4710"/>
    <w:rsid w:val="008E47AB"/>
    <w:rsid w:val="008E47EE"/>
    <w:rsid w:val="008E48DB"/>
    <w:rsid w:val="008E4946"/>
    <w:rsid w:val="008E4B2E"/>
    <w:rsid w:val="008E4BE0"/>
    <w:rsid w:val="008E4D14"/>
    <w:rsid w:val="008E4E96"/>
    <w:rsid w:val="008E4F48"/>
    <w:rsid w:val="008E4F4A"/>
    <w:rsid w:val="008E5235"/>
    <w:rsid w:val="008E527C"/>
    <w:rsid w:val="008E52F6"/>
    <w:rsid w:val="008E54CA"/>
    <w:rsid w:val="008E5567"/>
    <w:rsid w:val="008E55EF"/>
    <w:rsid w:val="008E5687"/>
    <w:rsid w:val="008E585E"/>
    <w:rsid w:val="008E5BD0"/>
    <w:rsid w:val="008E5BFA"/>
    <w:rsid w:val="008E5CB5"/>
    <w:rsid w:val="008E5D01"/>
    <w:rsid w:val="008E5E57"/>
    <w:rsid w:val="008E5E7D"/>
    <w:rsid w:val="008E5F8F"/>
    <w:rsid w:val="008E60F9"/>
    <w:rsid w:val="008E6230"/>
    <w:rsid w:val="008E6332"/>
    <w:rsid w:val="008E6620"/>
    <w:rsid w:val="008E665B"/>
    <w:rsid w:val="008E671B"/>
    <w:rsid w:val="008E6A0F"/>
    <w:rsid w:val="008E6B8D"/>
    <w:rsid w:val="008E6CF0"/>
    <w:rsid w:val="008E6E3C"/>
    <w:rsid w:val="008E70CD"/>
    <w:rsid w:val="008E716C"/>
    <w:rsid w:val="008E7248"/>
    <w:rsid w:val="008E73AB"/>
    <w:rsid w:val="008E76EC"/>
    <w:rsid w:val="008E772B"/>
    <w:rsid w:val="008E7AE2"/>
    <w:rsid w:val="008E7AFF"/>
    <w:rsid w:val="008E7B0A"/>
    <w:rsid w:val="008E7B12"/>
    <w:rsid w:val="008E7B36"/>
    <w:rsid w:val="008E7B87"/>
    <w:rsid w:val="008E7C59"/>
    <w:rsid w:val="008F008A"/>
    <w:rsid w:val="008F01B4"/>
    <w:rsid w:val="008F0318"/>
    <w:rsid w:val="008F03B3"/>
    <w:rsid w:val="008F05CB"/>
    <w:rsid w:val="008F05CD"/>
    <w:rsid w:val="008F0955"/>
    <w:rsid w:val="008F0A1B"/>
    <w:rsid w:val="008F0B49"/>
    <w:rsid w:val="008F0B8D"/>
    <w:rsid w:val="008F10D5"/>
    <w:rsid w:val="008F11C1"/>
    <w:rsid w:val="008F1419"/>
    <w:rsid w:val="008F1517"/>
    <w:rsid w:val="008F154B"/>
    <w:rsid w:val="008F1565"/>
    <w:rsid w:val="008F195F"/>
    <w:rsid w:val="008F1A99"/>
    <w:rsid w:val="008F1EC1"/>
    <w:rsid w:val="008F2492"/>
    <w:rsid w:val="008F2540"/>
    <w:rsid w:val="008F2972"/>
    <w:rsid w:val="008F2A61"/>
    <w:rsid w:val="008F2C0D"/>
    <w:rsid w:val="008F2DA9"/>
    <w:rsid w:val="008F2DB9"/>
    <w:rsid w:val="008F2DEE"/>
    <w:rsid w:val="008F2ECC"/>
    <w:rsid w:val="008F2FB0"/>
    <w:rsid w:val="008F3027"/>
    <w:rsid w:val="008F3095"/>
    <w:rsid w:val="008F30D1"/>
    <w:rsid w:val="008F322E"/>
    <w:rsid w:val="008F326A"/>
    <w:rsid w:val="008F3350"/>
    <w:rsid w:val="008F3376"/>
    <w:rsid w:val="008F340D"/>
    <w:rsid w:val="008F3837"/>
    <w:rsid w:val="008F3945"/>
    <w:rsid w:val="008F39AA"/>
    <w:rsid w:val="008F3FCE"/>
    <w:rsid w:val="008F4104"/>
    <w:rsid w:val="008F4514"/>
    <w:rsid w:val="008F4567"/>
    <w:rsid w:val="008F4577"/>
    <w:rsid w:val="008F4685"/>
    <w:rsid w:val="008F47AB"/>
    <w:rsid w:val="008F4915"/>
    <w:rsid w:val="008F49C8"/>
    <w:rsid w:val="008F4A02"/>
    <w:rsid w:val="008F4AA4"/>
    <w:rsid w:val="008F4B25"/>
    <w:rsid w:val="008F4C95"/>
    <w:rsid w:val="008F4CB2"/>
    <w:rsid w:val="008F4D38"/>
    <w:rsid w:val="008F4E20"/>
    <w:rsid w:val="008F4EA8"/>
    <w:rsid w:val="008F50C4"/>
    <w:rsid w:val="008F5377"/>
    <w:rsid w:val="008F5446"/>
    <w:rsid w:val="008F55A3"/>
    <w:rsid w:val="008F55D8"/>
    <w:rsid w:val="008F56D5"/>
    <w:rsid w:val="008F578F"/>
    <w:rsid w:val="008F59AD"/>
    <w:rsid w:val="008F5A94"/>
    <w:rsid w:val="008F5C32"/>
    <w:rsid w:val="008F5E12"/>
    <w:rsid w:val="008F60F2"/>
    <w:rsid w:val="008F6457"/>
    <w:rsid w:val="008F6617"/>
    <w:rsid w:val="008F66A8"/>
    <w:rsid w:val="008F6911"/>
    <w:rsid w:val="008F6D5A"/>
    <w:rsid w:val="008F7033"/>
    <w:rsid w:val="008F7060"/>
    <w:rsid w:val="008F7180"/>
    <w:rsid w:val="008F74E8"/>
    <w:rsid w:val="008F7514"/>
    <w:rsid w:val="008F77FF"/>
    <w:rsid w:val="008F7845"/>
    <w:rsid w:val="008F78B9"/>
    <w:rsid w:val="008F7A25"/>
    <w:rsid w:val="008F7A6E"/>
    <w:rsid w:val="008F7A71"/>
    <w:rsid w:val="008F7A9A"/>
    <w:rsid w:val="00900070"/>
    <w:rsid w:val="00900124"/>
    <w:rsid w:val="0090014E"/>
    <w:rsid w:val="00900178"/>
    <w:rsid w:val="009001BE"/>
    <w:rsid w:val="009001E1"/>
    <w:rsid w:val="0090025D"/>
    <w:rsid w:val="009002D9"/>
    <w:rsid w:val="009003D7"/>
    <w:rsid w:val="00900471"/>
    <w:rsid w:val="00900583"/>
    <w:rsid w:val="00900638"/>
    <w:rsid w:val="009006FC"/>
    <w:rsid w:val="00900958"/>
    <w:rsid w:val="00900A13"/>
    <w:rsid w:val="00900AF1"/>
    <w:rsid w:val="00900B8F"/>
    <w:rsid w:val="00900D92"/>
    <w:rsid w:val="00900DB3"/>
    <w:rsid w:val="00900FB8"/>
    <w:rsid w:val="009010F4"/>
    <w:rsid w:val="009011C3"/>
    <w:rsid w:val="0090120C"/>
    <w:rsid w:val="00901268"/>
    <w:rsid w:val="00901291"/>
    <w:rsid w:val="0090135A"/>
    <w:rsid w:val="009013C1"/>
    <w:rsid w:val="00901521"/>
    <w:rsid w:val="009015C3"/>
    <w:rsid w:val="009016A5"/>
    <w:rsid w:val="00901AC1"/>
    <w:rsid w:val="00901D90"/>
    <w:rsid w:val="00901EB8"/>
    <w:rsid w:val="009021BF"/>
    <w:rsid w:val="009021D7"/>
    <w:rsid w:val="009022AC"/>
    <w:rsid w:val="009023B0"/>
    <w:rsid w:val="009023C9"/>
    <w:rsid w:val="009024E6"/>
    <w:rsid w:val="009025B7"/>
    <w:rsid w:val="00902651"/>
    <w:rsid w:val="009026A8"/>
    <w:rsid w:val="009027BD"/>
    <w:rsid w:val="00902B42"/>
    <w:rsid w:val="00902C60"/>
    <w:rsid w:val="00903010"/>
    <w:rsid w:val="00903180"/>
    <w:rsid w:val="009031F1"/>
    <w:rsid w:val="009034C1"/>
    <w:rsid w:val="009036F9"/>
    <w:rsid w:val="00903736"/>
    <w:rsid w:val="00903808"/>
    <w:rsid w:val="009038BF"/>
    <w:rsid w:val="00903A3C"/>
    <w:rsid w:val="00903B14"/>
    <w:rsid w:val="00903BBF"/>
    <w:rsid w:val="00903BD4"/>
    <w:rsid w:val="00903CF6"/>
    <w:rsid w:val="00903D1A"/>
    <w:rsid w:val="00903E0D"/>
    <w:rsid w:val="00904053"/>
    <w:rsid w:val="0090413E"/>
    <w:rsid w:val="00904199"/>
    <w:rsid w:val="009041AF"/>
    <w:rsid w:val="00904241"/>
    <w:rsid w:val="009042E7"/>
    <w:rsid w:val="0090451F"/>
    <w:rsid w:val="00904599"/>
    <w:rsid w:val="00904745"/>
    <w:rsid w:val="00904785"/>
    <w:rsid w:val="009048CA"/>
    <w:rsid w:val="00904A89"/>
    <w:rsid w:val="00904CBD"/>
    <w:rsid w:val="00904F38"/>
    <w:rsid w:val="00905257"/>
    <w:rsid w:val="0090531F"/>
    <w:rsid w:val="009053B8"/>
    <w:rsid w:val="009055DF"/>
    <w:rsid w:val="00905617"/>
    <w:rsid w:val="009058A0"/>
    <w:rsid w:val="00905A84"/>
    <w:rsid w:val="00905BDF"/>
    <w:rsid w:val="00905C25"/>
    <w:rsid w:val="00905D33"/>
    <w:rsid w:val="00905D83"/>
    <w:rsid w:val="00905FD1"/>
    <w:rsid w:val="0090630F"/>
    <w:rsid w:val="009063D4"/>
    <w:rsid w:val="00906573"/>
    <w:rsid w:val="00906695"/>
    <w:rsid w:val="00906745"/>
    <w:rsid w:val="00906753"/>
    <w:rsid w:val="009069E4"/>
    <w:rsid w:val="00906EC1"/>
    <w:rsid w:val="00907038"/>
    <w:rsid w:val="00907189"/>
    <w:rsid w:val="0090721E"/>
    <w:rsid w:val="00907508"/>
    <w:rsid w:val="009075D5"/>
    <w:rsid w:val="009077CA"/>
    <w:rsid w:val="00907BFA"/>
    <w:rsid w:val="00907C6D"/>
    <w:rsid w:val="00907D60"/>
    <w:rsid w:val="00907DEA"/>
    <w:rsid w:val="00907E05"/>
    <w:rsid w:val="00907E75"/>
    <w:rsid w:val="00907EC2"/>
    <w:rsid w:val="00907EEA"/>
    <w:rsid w:val="00907EEC"/>
    <w:rsid w:val="00910071"/>
    <w:rsid w:val="00910247"/>
    <w:rsid w:val="00910465"/>
    <w:rsid w:val="009106DC"/>
    <w:rsid w:val="009109A0"/>
    <w:rsid w:val="00910C4E"/>
    <w:rsid w:val="00910C77"/>
    <w:rsid w:val="00910C97"/>
    <w:rsid w:val="00910C9C"/>
    <w:rsid w:val="00910D68"/>
    <w:rsid w:val="00910DF0"/>
    <w:rsid w:val="00910ED4"/>
    <w:rsid w:val="009112E6"/>
    <w:rsid w:val="00911306"/>
    <w:rsid w:val="009113DC"/>
    <w:rsid w:val="00911500"/>
    <w:rsid w:val="009117F3"/>
    <w:rsid w:val="00911890"/>
    <w:rsid w:val="0091199A"/>
    <w:rsid w:val="00911C3E"/>
    <w:rsid w:val="00911F5A"/>
    <w:rsid w:val="009121E3"/>
    <w:rsid w:val="0091267F"/>
    <w:rsid w:val="00912AB1"/>
    <w:rsid w:val="00912C77"/>
    <w:rsid w:val="00912DF1"/>
    <w:rsid w:val="00913062"/>
    <w:rsid w:val="0091310D"/>
    <w:rsid w:val="0091323E"/>
    <w:rsid w:val="00913440"/>
    <w:rsid w:val="009136E6"/>
    <w:rsid w:val="0091375E"/>
    <w:rsid w:val="00913794"/>
    <w:rsid w:val="00913894"/>
    <w:rsid w:val="009139F3"/>
    <w:rsid w:val="00913A3C"/>
    <w:rsid w:val="00913B8B"/>
    <w:rsid w:val="00913D14"/>
    <w:rsid w:val="00913DB3"/>
    <w:rsid w:val="00914110"/>
    <w:rsid w:val="009144B3"/>
    <w:rsid w:val="0091451C"/>
    <w:rsid w:val="009145EF"/>
    <w:rsid w:val="0091486A"/>
    <w:rsid w:val="00914880"/>
    <w:rsid w:val="0091490B"/>
    <w:rsid w:val="009149F9"/>
    <w:rsid w:val="00914A1B"/>
    <w:rsid w:val="00914AC5"/>
    <w:rsid w:val="00914CE1"/>
    <w:rsid w:val="00914D1F"/>
    <w:rsid w:val="00914E13"/>
    <w:rsid w:val="00914F4D"/>
    <w:rsid w:val="0091504E"/>
    <w:rsid w:val="0091522B"/>
    <w:rsid w:val="00915440"/>
    <w:rsid w:val="00915509"/>
    <w:rsid w:val="009155D2"/>
    <w:rsid w:val="00915668"/>
    <w:rsid w:val="00915706"/>
    <w:rsid w:val="009157FB"/>
    <w:rsid w:val="00915923"/>
    <w:rsid w:val="00915C89"/>
    <w:rsid w:val="00916011"/>
    <w:rsid w:val="009163CE"/>
    <w:rsid w:val="009163E3"/>
    <w:rsid w:val="009165A9"/>
    <w:rsid w:val="009169AD"/>
    <w:rsid w:val="00916A14"/>
    <w:rsid w:val="00917305"/>
    <w:rsid w:val="00917370"/>
    <w:rsid w:val="009173BE"/>
    <w:rsid w:val="00917717"/>
    <w:rsid w:val="0091781A"/>
    <w:rsid w:val="00917846"/>
    <w:rsid w:val="0091793B"/>
    <w:rsid w:val="00917C32"/>
    <w:rsid w:val="00917C80"/>
    <w:rsid w:val="00917D71"/>
    <w:rsid w:val="00917F48"/>
    <w:rsid w:val="00917F72"/>
    <w:rsid w:val="009200C6"/>
    <w:rsid w:val="0092013B"/>
    <w:rsid w:val="00920270"/>
    <w:rsid w:val="009204DD"/>
    <w:rsid w:val="0092088C"/>
    <w:rsid w:val="00920BF0"/>
    <w:rsid w:val="00920E19"/>
    <w:rsid w:val="00920E7D"/>
    <w:rsid w:val="00920EA2"/>
    <w:rsid w:val="00920F93"/>
    <w:rsid w:val="00921169"/>
    <w:rsid w:val="009212A6"/>
    <w:rsid w:val="00921341"/>
    <w:rsid w:val="00921632"/>
    <w:rsid w:val="00921737"/>
    <w:rsid w:val="009217CD"/>
    <w:rsid w:val="00921B46"/>
    <w:rsid w:val="00921C16"/>
    <w:rsid w:val="00921DA5"/>
    <w:rsid w:val="00921E9D"/>
    <w:rsid w:val="00921ECB"/>
    <w:rsid w:val="0092215C"/>
    <w:rsid w:val="00922168"/>
    <w:rsid w:val="00922223"/>
    <w:rsid w:val="00922610"/>
    <w:rsid w:val="00922653"/>
    <w:rsid w:val="00922663"/>
    <w:rsid w:val="009228AE"/>
    <w:rsid w:val="00922952"/>
    <w:rsid w:val="00922964"/>
    <w:rsid w:val="00922970"/>
    <w:rsid w:val="00922B67"/>
    <w:rsid w:val="00922BBA"/>
    <w:rsid w:val="00922BC3"/>
    <w:rsid w:val="00922CB1"/>
    <w:rsid w:val="00922CB7"/>
    <w:rsid w:val="00922D20"/>
    <w:rsid w:val="00922E9C"/>
    <w:rsid w:val="00922FD8"/>
    <w:rsid w:val="00922FE0"/>
    <w:rsid w:val="0092327E"/>
    <w:rsid w:val="009233BE"/>
    <w:rsid w:val="0092340A"/>
    <w:rsid w:val="00923681"/>
    <w:rsid w:val="0092368C"/>
    <w:rsid w:val="00923759"/>
    <w:rsid w:val="0092395E"/>
    <w:rsid w:val="00923A8A"/>
    <w:rsid w:val="00923A8C"/>
    <w:rsid w:val="00923AFD"/>
    <w:rsid w:val="00923D5E"/>
    <w:rsid w:val="00923F9C"/>
    <w:rsid w:val="00924796"/>
    <w:rsid w:val="00924A38"/>
    <w:rsid w:val="00924F11"/>
    <w:rsid w:val="00924F42"/>
    <w:rsid w:val="00924F58"/>
    <w:rsid w:val="0092527E"/>
    <w:rsid w:val="009252EE"/>
    <w:rsid w:val="00925452"/>
    <w:rsid w:val="009254FA"/>
    <w:rsid w:val="009256B5"/>
    <w:rsid w:val="00925A26"/>
    <w:rsid w:val="00925AEC"/>
    <w:rsid w:val="00925B21"/>
    <w:rsid w:val="00925BEE"/>
    <w:rsid w:val="00925E20"/>
    <w:rsid w:val="00925F28"/>
    <w:rsid w:val="0092618E"/>
    <w:rsid w:val="009262CD"/>
    <w:rsid w:val="00926465"/>
    <w:rsid w:val="009265C7"/>
    <w:rsid w:val="0092676C"/>
    <w:rsid w:val="009267D9"/>
    <w:rsid w:val="009269E4"/>
    <w:rsid w:val="009269F3"/>
    <w:rsid w:val="00926A63"/>
    <w:rsid w:val="00926ACA"/>
    <w:rsid w:val="00926BC5"/>
    <w:rsid w:val="00926C4C"/>
    <w:rsid w:val="00926CB4"/>
    <w:rsid w:val="00926F2C"/>
    <w:rsid w:val="00926F4D"/>
    <w:rsid w:val="0092707E"/>
    <w:rsid w:val="0092708C"/>
    <w:rsid w:val="009277DF"/>
    <w:rsid w:val="00927AAA"/>
    <w:rsid w:val="00927DE0"/>
    <w:rsid w:val="0093016D"/>
    <w:rsid w:val="009301A0"/>
    <w:rsid w:val="009301E1"/>
    <w:rsid w:val="0093022B"/>
    <w:rsid w:val="00930354"/>
    <w:rsid w:val="009304C8"/>
    <w:rsid w:val="0093070B"/>
    <w:rsid w:val="00930A00"/>
    <w:rsid w:val="00930A0B"/>
    <w:rsid w:val="00930B58"/>
    <w:rsid w:val="00930DF2"/>
    <w:rsid w:val="00930E6F"/>
    <w:rsid w:val="00930EB4"/>
    <w:rsid w:val="00930ECB"/>
    <w:rsid w:val="00930EDB"/>
    <w:rsid w:val="00930EEE"/>
    <w:rsid w:val="00931018"/>
    <w:rsid w:val="0093105D"/>
    <w:rsid w:val="009313DE"/>
    <w:rsid w:val="00931536"/>
    <w:rsid w:val="0093153E"/>
    <w:rsid w:val="00931595"/>
    <w:rsid w:val="0093160F"/>
    <w:rsid w:val="00931637"/>
    <w:rsid w:val="009316C5"/>
    <w:rsid w:val="0093175F"/>
    <w:rsid w:val="009317BA"/>
    <w:rsid w:val="00931A12"/>
    <w:rsid w:val="00931C62"/>
    <w:rsid w:val="00931CC3"/>
    <w:rsid w:val="00931D1B"/>
    <w:rsid w:val="00931D20"/>
    <w:rsid w:val="00932078"/>
    <w:rsid w:val="009320FE"/>
    <w:rsid w:val="0093235A"/>
    <w:rsid w:val="00932370"/>
    <w:rsid w:val="00932823"/>
    <w:rsid w:val="0093284E"/>
    <w:rsid w:val="0093287A"/>
    <w:rsid w:val="009329FC"/>
    <w:rsid w:val="00932B1C"/>
    <w:rsid w:val="00932B96"/>
    <w:rsid w:val="00932DA3"/>
    <w:rsid w:val="00932DE7"/>
    <w:rsid w:val="009332A1"/>
    <w:rsid w:val="009333BE"/>
    <w:rsid w:val="00933406"/>
    <w:rsid w:val="009334E5"/>
    <w:rsid w:val="0093353E"/>
    <w:rsid w:val="00933587"/>
    <w:rsid w:val="0093368C"/>
    <w:rsid w:val="0093383D"/>
    <w:rsid w:val="00933AD2"/>
    <w:rsid w:val="00933AE8"/>
    <w:rsid w:val="00933AEE"/>
    <w:rsid w:val="00933B14"/>
    <w:rsid w:val="00933B45"/>
    <w:rsid w:val="00933C2F"/>
    <w:rsid w:val="00933C41"/>
    <w:rsid w:val="00933EFB"/>
    <w:rsid w:val="00933F3D"/>
    <w:rsid w:val="0093407B"/>
    <w:rsid w:val="0093407C"/>
    <w:rsid w:val="009343DE"/>
    <w:rsid w:val="009344A9"/>
    <w:rsid w:val="009345C9"/>
    <w:rsid w:val="00934646"/>
    <w:rsid w:val="00934A07"/>
    <w:rsid w:val="00934AF3"/>
    <w:rsid w:val="00934CD7"/>
    <w:rsid w:val="00934DB7"/>
    <w:rsid w:val="00934F57"/>
    <w:rsid w:val="00935032"/>
    <w:rsid w:val="0093511F"/>
    <w:rsid w:val="00935251"/>
    <w:rsid w:val="009352A6"/>
    <w:rsid w:val="009352BF"/>
    <w:rsid w:val="009353C8"/>
    <w:rsid w:val="0093550A"/>
    <w:rsid w:val="00935583"/>
    <w:rsid w:val="00935673"/>
    <w:rsid w:val="00935A12"/>
    <w:rsid w:val="00935A79"/>
    <w:rsid w:val="00935AAB"/>
    <w:rsid w:val="00935D5D"/>
    <w:rsid w:val="00935EC0"/>
    <w:rsid w:val="0093601F"/>
    <w:rsid w:val="0093606E"/>
    <w:rsid w:val="0093639D"/>
    <w:rsid w:val="00936592"/>
    <w:rsid w:val="0093667C"/>
    <w:rsid w:val="00936773"/>
    <w:rsid w:val="009367E8"/>
    <w:rsid w:val="0093681C"/>
    <w:rsid w:val="00936B46"/>
    <w:rsid w:val="00936C63"/>
    <w:rsid w:val="00936CD5"/>
    <w:rsid w:val="00936DC3"/>
    <w:rsid w:val="00936EE7"/>
    <w:rsid w:val="00937088"/>
    <w:rsid w:val="00937438"/>
    <w:rsid w:val="0093746F"/>
    <w:rsid w:val="009374E3"/>
    <w:rsid w:val="009374E4"/>
    <w:rsid w:val="00937571"/>
    <w:rsid w:val="009375BE"/>
    <w:rsid w:val="009375F2"/>
    <w:rsid w:val="00937A10"/>
    <w:rsid w:val="00937ACD"/>
    <w:rsid w:val="00937B1D"/>
    <w:rsid w:val="00937EC1"/>
    <w:rsid w:val="00937FA5"/>
    <w:rsid w:val="00940018"/>
    <w:rsid w:val="00940174"/>
    <w:rsid w:val="00940312"/>
    <w:rsid w:val="0094033F"/>
    <w:rsid w:val="009405F8"/>
    <w:rsid w:val="00940845"/>
    <w:rsid w:val="0094084A"/>
    <w:rsid w:val="009408AC"/>
    <w:rsid w:val="00940964"/>
    <w:rsid w:val="00940AE0"/>
    <w:rsid w:val="00940AF0"/>
    <w:rsid w:val="00940B36"/>
    <w:rsid w:val="00940BF4"/>
    <w:rsid w:val="00940C4D"/>
    <w:rsid w:val="0094105E"/>
    <w:rsid w:val="0094154C"/>
    <w:rsid w:val="00941665"/>
    <w:rsid w:val="00941685"/>
    <w:rsid w:val="009419B5"/>
    <w:rsid w:val="00941A81"/>
    <w:rsid w:val="00941A91"/>
    <w:rsid w:val="00941AA3"/>
    <w:rsid w:val="00941CA6"/>
    <w:rsid w:val="00941CA7"/>
    <w:rsid w:val="00941CE5"/>
    <w:rsid w:val="00941EB5"/>
    <w:rsid w:val="0094238B"/>
    <w:rsid w:val="00942557"/>
    <w:rsid w:val="009428CF"/>
    <w:rsid w:val="00942E19"/>
    <w:rsid w:val="00942EB4"/>
    <w:rsid w:val="00942FCC"/>
    <w:rsid w:val="009431BA"/>
    <w:rsid w:val="0094361A"/>
    <w:rsid w:val="009437A0"/>
    <w:rsid w:val="00943956"/>
    <w:rsid w:val="0094395F"/>
    <w:rsid w:val="00943A7D"/>
    <w:rsid w:val="00943AD9"/>
    <w:rsid w:val="00943D1C"/>
    <w:rsid w:val="00943E9A"/>
    <w:rsid w:val="00944080"/>
    <w:rsid w:val="00944130"/>
    <w:rsid w:val="00944206"/>
    <w:rsid w:val="00944278"/>
    <w:rsid w:val="009442BB"/>
    <w:rsid w:val="00944335"/>
    <w:rsid w:val="00944462"/>
    <w:rsid w:val="00944507"/>
    <w:rsid w:val="009446FD"/>
    <w:rsid w:val="00944783"/>
    <w:rsid w:val="009447B7"/>
    <w:rsid w:val="00944879"/>
    <w:rsid w:val="00944ACB"/>
    <w:rsid w:val="00944B37"/>
    <w:rsid w:val="00944C41"/>
    <w:rsid w:val="00944D2D"/>
    <w:rsid w:val="00944D8D"/>
    <w:rsid w:val="00944F5C"/>
    <w:rsid w:val="00945330"/>
    <w:rsid w:val="00945397"/>
    <w:rsid w:val="0094582C"/>
    <w:rsid w:val="0094588C"/>
    <w:rsid w:val="009458C9"/>
    <w:rsid w:val="009459D8"/>
    <w:rsid w:val="00945AAA"/>
    <w:rsid w:val="00945B20"/>
    <w:rsid w:val="00945D26"/>
    <w:rsid w:val="00945D66"/>
    <w:rsid w:val="00946100"/>
    <w:rsid w:val="00946198"/>
    <w:rsid w:val="009463A5"/>
    <w:rsid w:val="009466E3"/>
    <w:rsid w:val="009466E8"/>
    <w:rsid w:val="00946960"/>
    <w:rsid w:val="00946965"/>
    <w:rsid w:val="00946972"/>
    <w:rsid w:val="00946B58"/>
    <w:rsid w:val="00946BB1"/>
    <w:rsid w:val="00946CEA"/>
    <w:rsid w:val="00946F7C"/>
    <w:rsid w:val="0094712E"/>
    <w:rsid w:val="00947137"/>
    <w:rsid w:val="0094719F"/>
    <w:rsid w:val="00947247"/>
    <w:rsid w:val="00947547"/>
    <w:rsid w:val="009475F4"/>
    <w:rsid w:val="00947CF2"/>
    <w:rsid w:val="00947F34"/>
    <w:rsid w:val="009502B7"/>
    <w:rsid w:val="0095043B"/>
    <w:rsid w:val="00950597"/>
    <w:rsid w:val="00950609"/>
    <w:rsid w:val="009506A1"/>
    <w:rsid w:val="00950736"/>
    <w:rsid w:val="00950890"/>
    <w:rsid w:val="009509FA"/>
    <w:rsid w:val="00950AF1"/>
    <w:rsid w:val="00950B5B"/>
    <w:rsid w:val="00950B94"/>
    <w:rsid w:val="00950CA9"/>
    <w:rsid w:val="00950D90"/>
    <w:rsid w:val="00950E17"/>
    <w:rsid w:val="00950F35"/>
    <w:rsid w:val="00951045"/>
    <w:rsid w:val="0095104D"/>
    <w:rsid w:val="0095110A"/>
    <w:rsid w:val="009514E1"/>
    <w:rsid w:val="00951547"/>
    <w:rsid w:val="00951703"/>
    <w:rsid w:val="0095174D"/>
    <w:rsid w:val="009517B6"/>
    <w:rsid w:val="009517CC"/>
    <w:rsid w:val="00951A7A"/>
    <w:rsid w:val="00951BC0"/>
    <w:rsid w:val="00951C4D"/>
    <w:rsid w:val="00951D59"/>
    <w:rsid w:val="00951EF3"/>
    <w:rsid w:val="0095254D"/>
    <w:rsid w:val="009526B7"/>
    <w:rsid w:val="00952787"/>
    <w:rsid w:val="0095282B"/>
    <w:rsid w:val="0095297C"/>
    <w:rsid w:val="00952CBD"/>
    <w:rsid w:val="00952FA9"/>
    <w:rsid w:val="00953003"/>
    <w:rsid w:val="00953214"/>
    <w:rsid w:val="00953301"/>
    <w:rsid w:val="009533B4"/>
    <w:rsid w:val="009533E1"/>
    <w:rsid w:val="00953482"/>
    <w:rsid w:val="009536C6"/>
    <w:rsid w:val="00953721"/>
    <w:rsid w:val="00953974"/>
    <w:rsid w:val="009539F8"/>
    <w:rsid w:val="00953A77"/>
    <w:rsid w:val="00953AD0"/>
    <w:rsid w:val="00953C27"/>
    <w:rsid w:val="00953FB3"/>
    <w:rsid w:val="0095400E"/>
    <w:rsid w:val="0095437A"/>
    <w:rsid w:val="009549C7"/>
    <w:rsid w:val="00954B21"/>
    <w:rsid w:val="00954BDD"/>
    <w:rsid w:val="00954C31"/>
    <w:rsid w:val="00954CA9"/>
    <w:rsid w:val="00954E6C"/>
    <w:rsid w:val="009551B5"/>
    <w:rsid w:val="00955419"/>
    <w:rsid w:val="0095564E"/>
    <w:rsid w:val="00955760"/>
    <w:rsid w:val="00955780"/>
    <w:rsid w:val="009559AB"/>
    <w:rsid w:val="00955A3E"/>
    <w:rsid w:val="00955A86"/>
    <w:rsid w:val="00955BD6"/>
    <w:rsid w:val="00955C3C"/>
    <w:rsid w:val="00955E52"/>
    <w:rsid w:val="00955F3A"/>
    <w:rsid w:val="0095604F"/>
    <w:rsid w:val="00956167"/>
    <w:rsid w:val="009562F5"/>
    <w:rsid w:val="00956371"/>
    <w:rsid w:val="009566E2"/>
    <w:rsid w:val="009568A9"/>
    <w:rsid w:val="009568E1"/>
    <w:rsid w:val="00956914"/>
    <w:rsid w:val="00956B71"/>
    <w:rsid w:val="00956C53"/>
    <w:rsid w:val="00956C88"/>
    <w:rsid w:val="00956D28"/>
    <w:rsid w:val="00956E3F"/>
    <w:rsid w:val="00956E81"/>
    <w:rsid w:val="00956EAB"/>
    <w:rsid w:val="00956F5F"/>
    <w:rsid w:val="009570CE"/>
    <w:rsid w:val="0095731E"/>
    <w:rsid w:val="009573BD"/>
    <w:rsid w:val="009574ED"/>
    <w:rsid w:val="009576A7"/>
    <w:rsid w:val="009576DF"/>
    <w:rsid w:val="009576FF"/>
    <w:rsid w:val="00957739"/>
    <w:rsid w:val="00957760"/>
    <w:rsid w:val="009577B1"/>
    <w:rsid w:val="0095782B"/>
    <w:rsid w:val="00957CAC"/>
    <w:rsid w:val="00957D9C"/>
    <w:rsid w:val="00957DE4"/>
    <w:rsid w:val="00957E7A"/>
    <w:rsid w:val="00957FD4"/>
    <w:rsid w:val="00960050"/>
    <w:rsid w:val="0096033D"/>
    <w:rsid w:val="0096038A"/>
    <w:rsid w:val="0096042E"/>
    <w:rsid w:val="0096078C"/>
    <w:rsid w:val="00960978"/>
    <w:rsid w:val="00960A40"/>
    <w:rsid w:val="00960ACF"/>
    <w:rsid w:val="00960C2C"/>
    <w:rsid w:val="00960D08"/>
    <w:rsid w:val="00960DB9"/>
    <w:rsid w:val="009612D8"/>
    <w:rsid w:val="009614A0"/>
    <w:rsid w:val="009615EF"/>
    <w:rsid w:val="00961753"/>
    <w:rsid w:val="009618AE"/>
    <w:rsid w:val="00961BFE"/>
    <w:rsid w:val="00961C85"/>
    <w:rsid w:val="00961CD6"/>
    <w:rsid w:val="00961CE2"/>
    <w:rsid w:val="0096266E"/>
    <w:rsid w:val="00962840"/>
    <w:rsid w:val="009628E8"/>
    <w:rsid w:val="00962933"/>
    <w:rsid w:val="00962B92"/>
    <w:rsid w:val="00962BFE"/>
    <w:rsid w:val="00962EF1"/>
    <w:rsid w:val="0096301F"/>
    <w:rsid w:val="00963066"/>
    <w:rsid w:val="00963391"/>
    <w:rsid w:val="0096370E"/>
    <w:rsid w:val="009637AC"/>
    <w:rsid w:val="0096384F"/>
    <w:rsid w:val="009639F6"/>
    <w:rsid w:val="00963AAE"/>
    <w:rsid w:val="00963B3D"/>
    <w:rsid w:val="00963CDC"/>
    <w:rsid w:val="00964038"/>
    <w:rsid w:val="00964145"/>
    <w:rsid w:val="00964260"/>
    <w:rsid w:val="00964263"/>
    <w:rsid w:val="0096426C"/>
    <w:rsid w:val="0096434E"/>
    <w:rsid w:val="009644D8"/>
    <w:rsid w:val="0096471E"/>
    <w:rsid w:val="00964927"/>
    <w:rsid w:val="009649C8"/>
    <w:rsid w:val="00964A47"/>
    <w:rsid w:val="00964AE8"/>
    <w:rsid w:val="00964CEE"/>
    <w:rsid w:val="00964E96"/>
    <w:rsid w:val="00964F97"/>
    <w:rsid w:val="00964FF3"/>
    <w:rsid w:val="0096520C"/>
    <w:rsid w:val="0096568F"/>
    <w:rsid w:val="00965720"/>
    <w:rsid w:val="00965761"/>
    <w:rsid w:val="009657B2"/>
    <w:rsid w:val="009658BB"/>
    <w:rsid w:val="0096598A"/>
    <w:rsid w:val="00965BFC"/>
    <w:rsid w:val="00965DD2"/>
    <w:rsid w:val="00965E26"/>
    <w:rsid w:val="00965E3D"/>
    <w:rsid w:val="00965EC6"/>
    <w:rsid w:val="00966021"/>
    <w:rsid w:val="00966101"/>
    <w:rsid w:val="009662A1"/>
    <w:rsid w:val="00966530"/>
    <w:rsid w:val="0096658D"/>
    <w:rsid w:val="0096687D"/>
    <w:rsid w:val="009668D1"/>
    <w:rsid w:val="00966A17"/>
    <w:rsid w:val="00966B1A"/>
    <w:rsid w:val="00966C01"/>
    <w:rsid w:val="00966C16"/>
    <w:rsid w:val="00966FF8"/>
    <w:rsid w:val="00967022"/>
    <w:rsid w:val="00967577"/>
    <w:rsid w:val="009678C2"/>
    <w:rsid w:val="009678C4"/>
    <w:rsid w:val="009679CF"/>
    <w:rsid w:val="00967B7F"/>
    <w:rsid w:val="00967E03"/>
    <w:rsid w:val="00967E9B"/>
    <w:rsid w:val="00967FB0"/>
    <w:rsid w:val="009700B1"/>
    <w:rsid w:val="00970201"/>
    <w:rsid w:val="0097026E"/>
    <w:rsid w:val="00970333"/>
    <w:rsid w:val="00970603"/>
    <w:rsid w:val="00970683"/>
    <w:rsid w:val="009707C0"/>
    <w:rsid w:val="00970808"/>
    <w:rsid w:val="00970908"/>
    <w:rsid w:val="009709D2"/>
    <w:rsid w:val="009709FE"/>
    <w:rsid w:val="00970A35"/>
    <w:rsid w:val="00970C58"/>
    <w:rsid w:val="00970D5C"/>
    <w:rsid w:val="00970ECB"/>
    <w:rsid w:val="00971011"/>
    <w:rsid w:val="0097105A"/>
    <w:rsid w:val="009710BF"/>
    <w:rsid w:val="009711A1"/>
    <w:rsid w:val="009712F1"/>
    <w:rsid w:val="00971305"/>
    <w:rsid w:val="00971880"/>
    <w:rsid w:val="009719C1"/>
    <w:rsid w:val="00971BFE"/>
    <w:rsid w:val="00971D9D"/>
    <w:rsid w:val="00971DD2"/>
    <w:rsid w:val="009720A5"/>
    <w:rsid w:val="00972229"/>
    <w:rsid w:val="009722AE"/>
    <w:rsid w:val="009724FA"/>
    <w:rsid w:val="009725E4"/>
    <w:rsid w:val="0097263F"/>
    <w:rsid w:val="009728E4"/>
    <w:rsid w:val="009729AC"/>
    <w:rsid w:val="009729B2"/>
    <w:rsid w:val="00972E45"/>
    <w:rsid w:val="00972E86"/>
    <w:rsid w:val="00973028"/>
    <w:rsid w:val="009731F2"/>
    <w:rsid w:val="009732B6"/>
    <w:rsid w:val="0097344F"/>
    <w:rsid w:val="00973490"/>
    <w:rsid w:val="00973670"/>
    <w:rsid w:val="0097374D"/>
    <w:rsid w:val="00973786"/>
    <w:rsid w:val="00973817"/>
    <w:rsid w:val="00973A5C"/>
    <w:rsid w:val="00973BED"/>
    <w:rsid w:val="00973D13"/>
    <w:rsid w:val="00973D49"/>
    <w:rsid w:val="00973D50"/>
    <w:rsid w:val="00973DAE"/>
    <w:rsid w:val="00973DF5"/>
    <w:rsid w:val="00973FFA"/>
    <w:rsid w:val="0097411D"/>
    <w:rsid w:val="0097417F"/>
    <w:rsid w:val="009741A5"/>
    <w:rsid w:val="0097441C"/>
    <w:rsid w:val="009746B7"/>
    <w:rsid w:val="00974A2F"/>
    <w:rsid w:val="00974B41"/>
    <w:rsid w:val="00974C03"/>
    <w:rsid w:val="00974CAA"/>
    <w:rsid w:val="00974DC2"/>
    <w:rsid w:val="00974EA9"/>
    <w:rsid w:val="00974EC9"/>
    <w:rsid w:val="00974F52"/>
    <w:rsid w:val="00974F69"/>
    <w:rsid w:val="009750E3"/>
    <w:rsid w:val="00975480"/>
    <w:rsid w:val="009754F0"/>
    <w:rsid w:val="00975663"/>
    <w:rsid w:val="00975710"/>
    <w:rsid w:val="009757B8"/>
    <w:rsid w:val="009757EB"/>
    <w:rsid w:val="0097583F"/>
    <w:rsid w:val="00975A96"/>
    <w:rsid w:val="00975C22"/>
    <w:rsid w:val="00975D9D"/>
    <w:rsid w:val="00975ED2"/>
    <w:rsid w:val="00975EFC"/>
    <w:rsid w:val="00976100"/>
    <w:rsid w:val="00976247"/>
    <w:rsid w:val="009764FC"/>
    <w:rsid w:val="00976595"/>
    <w:rsid w:val="0097682B"/>
    <w:rsid w:val="00976913"/>
    <w:rsid w:val="00976A8D"/>
    <w:rsid w:val="00976AA0"/>
    <w:rsid w:val="00976B1D"/>
    <w:rsid w:val="00976B60"/>
    <w:rsid w:val="00976C2A"/>
    <w:rsid w:val="00976D18"/>
    <w:rsid w:val="00976D9D"/>
    <w:rsid w:val="00976E42"/>
    <w:rsid w:val="00976E64"/>
    <w:rsid w:val="0097706A"/>
    <w:rsid w:val="00977075"/>
    <w:rsid w:val="009770D8"/>
    <w:rsid w:val="009772AF"/>
    <w:rsid w:val="009772D4"/>
    <w:rsid w:val="00977304"/>
    <w:rsid w:val="009774CE"/>
    <w:rsid w:val="009775A5"/>
    <w:rsid w:val="009776D0"/>
    <w:rsid w:val="0097772D"/>
    <w:rsid w:val="009779DB"/>
    <w:rsid w:val="00977A4D"/>
    <w:rsid w:val="00977D25"/>
    <w:rsid w:val="00977F1D"/>
    <w:rsid w:val="00977F89"/>
    <w:rsid w:val="009800A1"/>
    <w:rsid w:val="009801A2"/>
    <w:rsid w:val="00980217"/>
    <w:rsid w:val="00980606"/>
    <w:rsid w:val="0098062A"/>
    <w:rsid w:val="009806C7"/>
    <w:rsid w:val="009807B8"/>
    <w:rsid w:val="00980960"/>
    <w:rsid w:val="00980BC7"/>
    <w:rsid w:val="00980CCE"/>
    <w:rsid w:val="00980D10"/>
    <w:rsid w:val="00980ED3"/>
    <w:rsid w:val="00980F1C"/>
    <w:rsid w:val="009810F8"/>
    <w:rsid w:val="00981125"/>
    <w:rsid w:val="00981264"/>
    <w:rsid w:val="009813BC"/>
    <w:rsid w:val="0098147A"/>
    <w:rsid w:val="009815DB"/>
    <w:rsid w:val="009817BA"/>
    <w:rsid w:val="00981821"/>
    <w:rsid w:val="00981914"/>
    <w:rsid w:val="00981B37"/>
    <w:rsid w:val="00981B94"/>
    <w:rsid w:val="00981BE2"/>
    <w:rsid w:val="00981DA5"/>
    <w:rsid w:val="00981E89"/>
    <w:rsid w:val="00981ED4"/>
    <w:rsid w:val="00981F18"/>
    <w:rsid w:val="0098233D"/>
    <w:rsid w:val="00982464"/>
    <w:rsid w:val="009824FD"/>
    <w:rsid w:val="00982701"/>
    <w:rsid w:val="0098279B"/>
    <w:rsid w:val="009828B9"/>
    <w:rsid w:val="009828C8"/>
    <w:rsid w:val="00982A83"/>
    <w:rsid w:val="00982BED"/>
    <w:rsid w:val="00982C0D"/>
    <w:rsid w:val="00982D49"/>
    <w:rsid w:val="009830B6"/>
    <w:rsid w:val="00983234"/>
    <w:rsid w:val="0098328E"/>
    <w:rsid w:val="0098352F"/>
    <w:rsid w:val="00983585"/>
    <w:rsid w:val="009835C9"/>
    <w:rsid w:val="00983618"/>
    <w:rsid w:val="00983679"/>
    <w:rsid w:val="0098372A"/>
    <w:rsid w:val="009837C9"/>
    <w:rsid w:val="009837F5"/>
    <w:rsid w:val="00983806"/>
    <w:rsid w:val="009838CF"/>
    <w:rsid w:val="00983A91"/>
    <w:rsid w:val="00983AAC"/>
    <w:rsid w:val="00983AEF"/>
    <w:rsid w:val="00983B99"/>
    <w:rsid w:val="00983BD6"/>
    <w:rsid w:val="00983C54"/>
    <w:rsid w:val="00983D8C"/>
    <w:rsid w:val="00983DA2"/>
    <w:rsid w:val="00983FAA"/>
    <w:rsid w:val="009844A4"/>
    <w:rsid w:val="00984501"/>
    <w:rsid w:val="00984506"/>
    <w:rsid w:val="00984585"/>
    <w:rsid w:val="00984BA7"/>
    <w:rsid w:val="00984C09"/>
    <w:rsid w:val="00984E9E"/>
    <w:rsid w:val="00984F06"/>
    <w:rsid w:val="00984F1E"/>
    <w:rsid w:val="00984FA2"/>
    <w:rsid w:val="00985339"/>
    <w:rsid w:val="009853E0"/>
    <w:rsid w:val="009853EE"/>
    <w:rsid w:val="0098549D"/>
    <w:rsid w:val="009854BE"/>
    <w:rsid w:val="00985690"/>
    <w:rsid w:val="009857C6"/>
    <w:rsid w:val="0098583D"/>
    <w:rsid w:val="0098589C"/>
    <w:rsid w:val="009859C2"/>
    <w:rsid w:val="00985A0B"/>
    <w:rsid w:val="00985A57"/>
    <w:rsid w:val="00985A95"/>
    <w:rsid w:val="00985D1E"/>
    <w:rsid w:val="00985DD3"/>
    <w:rsid w:val="00985EC9"/>
    <w:rsid w:val="0098618F"/>
    <w:rsid w:val="0098622C"/>
    <w:rsid w:val="0098641B"/>
    <w:rsid w:val="00986446"/>
    <w:rsid w:val="0098688C"/>
    <w:rsid w:val="0098691B"/>
    <w:rsid w:val="00986A38"/>
    <w:rsid w:val="00986C08"/>
    <w:rsid w:val="00986C8B"/>
    <w:rsid w:val="00986CB7"/>
    <w:rsid w:val="00986D02"/>
    <w:rsid w:val="00986FDA"/>
    <w:rsid w:val="009873E5"/>
    <w:rsid w:val="0098752D"/>
    <w:rsid w:val="009876A7"/>
    <w:rsid w:val="009876BB"/>
    <w:rsid w:val="00987870"/>
    <w:rsid w:val="0098795E"/>
    <w:rsid w:val="009879D9"/>
    <w:rsid w:val="00987A28"/>
    <w:rsid w:val="00987ABE"/>
    <w:rsid w:val="00987AC4"/>
    <w:rsid w:val="00987B19"/>
    <w:rsid w:val="00987B6D"/>
    <w:rsid w:val="00987CA3"/>
    <w:rsid w:val="00987EBD"/>
    <w:rsid w:val="00987FEB"/>
    <w:rsid w:val="00987FF2"/>
    <w:rsid w:val="009900B4"/>
    <w:rsid w:val="00990420"/>
    <w:rsid w:val="00990558"/>
    <w:rsid w:val="0099057E"/>
    <w:rsid w:val="00990732"/>
    <w:rsid w:val="009907EE"/>
    <w:rsid w:val="009909F9"/>
    <w:rsid w:val="00990A34"/>
    <w:rsid w:val="00990B9A"/>
    <w:rsid w:val="00990C35"/>
    <w:rsid w:val="00990CF2"/>
    <w:rsid w:val="0099120A"/>
    <w:rsid w:val="009912C3"/>
    <w:rsid w:val="0099156C"/>
    <w:rsid w:val="00991990"/>
    <w:rsid w:val="00991A5D"/>
    <w:rsid w:val="00991B59"/>
    <w:rsid w:val="00991CB1"/>
    <w:rsid w:val="00991D3D"/>
    <w:rsid w:val="00991D9F"/>
    <w:rsid w:val="00991F66"/>
    <w:rsid w:val="009920E4"/>
    <w:rsid w:val="00992109"/>
    <w:rsid w:val="00992130"/>
    <w:rsid w:val="00992183"/>
    <w:rsid w:val="00992400"/>
    <w:rsid w:val="00992443"/>
    <w:rsid w:val="009926CA"/>
    <w:rsid w:val="00992737"/>
    <w:rsid w:val="0099292E"/>
    <w:rsid w:val="00992AC7"/>
    <w:rsid w:val="00992B34"/>
    <w:rsid w:val="00992B58"/>
    <w:rsid w:val="00992BE0"/>
    <w:rsid w:val="00992BEC"/>
    <w:rsid w:val="00992F7C"/>
    <w:rsid w:val="00993061"/>
    <w:rsid w:val="0099319C"/>
    <w:rsid w:val="00993320"/>
    <w:rsid w:val="00993730"/>
    <w:rsid w:val="009939D6"/>
    <w:rsid w:val="00993AA6"/>
    <w:rsid w:val="00993BD2"/>
    <w:rsid w:val="00993E3C"/>
    <w:rsid w:val="00994103"/>
    <w:rsid w:val="00994157"/>
    <w:rsid w:val="009941E9"/>
    <w:rsid w:val="009944A9"/>
    <w:rsid w:val="009944B8"/>
    <w:rsid w:val="009946A1"/>
    <w:rsid w:val="0099481F"/>
    <w:rsid w:val="0099486E"/>
    <w:rsid w:val="00994A97"/>
    <w:rsid w:val="00995078"/>
    <w:rsid w:val="00995306"/>
    <w:rsid w:val="009956E7"/>
    <w:rsid w:val="00995766"/>
    <w:rsid w:val="00995D24"/>
    <w:rsid w:val="00995E56"/>
    <w:rsid w:val="009960AF"/>
    <w:rsid w:val="009962E7"/>
    <w:rsid w:val="0099636A"/>
    <w:rsid w:val="0099645E"/>
    <w:rsid w:val="00996A51"/>
    <w:rsid w:val="00996AAC"/>
    <w:rsid w:val="00996C3D"/>
    <w:rsid w:val="00996C74"/>
    <w:rsid w:val="00996C9C"/>
    <w:rsid w:val="00996CAC"/>
    <w:rsid w:val="00996E90"/>
    <w:rsid w:val="00996FFA"/>
    <w:rsid w:val="00997012"/>
    <w:rsid w:val="0099712D"/>
    <w:rsid w:val="009971D9"/>
    <w:rsid w:val="009971FD"/>
    <w:rsid w:val="009975DC"/>
    <w:rsid w:val="009975F4"/>
    <w:rsid w:val="0099775C"/>
    <w:rsid w:val="00997843"/>
    <w:rsid w:val="009978B4"/>
    <w:rsid w:val="00997940"/>
    <w:rsid w:val="00997ACB"/>
    <w:rsid w:val="00997C03"/>
    <w:rsid w:val="00997CBA"/>
    <w:rsid w:val="009A0101"/>
    <w:rsid w:val="009A0232"/>
    <w:rsid w:val="009A0444"/>
    <w:rsid w:val="009A0459"/>
    <w:rsid w:val="009A04AA"/>
    <w:rsid w:val="009A0520"/>
    <w:rsid w:val="009A0775"/>
    <w:rsid w:val="009A0AC8"/>
    <w:rsid w:val="009A0B0B"/>
    <w:rsid w:val="009A0B2D"/>
    <w:rsid w:val="009A1437"/>
    <w:rsid w:val="009A19E0"/>
    <w:rsid w:val="009A1A5A"/>
    <w:rsid w:val="009A1B7F"/>
    <w:rsid w:val="009A1C1F"/>
    <w:rsid w:val="009A1F40"/>
    <w:rsid w:val="009A2187"/>
    <w:rsid w:val="009A21FD"/>
    <w:rsid w:val="009A232C"/>
    <w:rsid w:val="009A24F1"/>
    <w:rsid w:val="009A2536"/>
    <w:rsid w:val="009A26FB"/>
    <w:rsid w:val="009A2876"/>
    <w:rsid w:val="009A290D"/>
    <w:rsid w:val="009A2FF8"/>
    <w:rsid w:val="009A301E"/>
    <w:rsid w:val="009A31CE"/>
    <w:rsid w:val="009A321A"/>
    <w:rsid w:val="009A3710"/>
    <w:rsid w:val="009A3A08"/>
    <w:rsid w:val="009A3CE2"/>
    <w:rsid w:val="009A3D30"/>
    <w:rsid w:val="009A3D4F"/>
    <w:rsid w:val="009A3E34"/>
    <w:rsid w:val="009A3EC2"/>
    <w:rsid w:val="009A414B"/>
    <w:rsid w:val="009A4260"/>
    <w:rsid w:val="009A4634"/>
    <w:rsid w:val="009A4680"/>
    <w:rsid w:val="009A49F5"/>
    <w:rsid w:val="009A4BBB"/>
    <w:rsid w:val="009A4DF6"/>
    <w:rsid w:val="009A4E5B"/>
    <w:rsid w:val="009A4FE1"/>
    <w:rsid w:val="009A52A6"/>
    <w:rsid w:val="009A5310"/>
    <w:rsid w:val="009A549C"/>
    <w:rsid w:val="009A550E"/>
    <w:rsid w:val="009A558F"/>
    <w:rsid w:val="009A55B1"/>
    <w:rsid w:val="009A577B"/>
    <w:rsid w:val="009A5AF0"/>
    <w:rsid w:val="009A5D4C"/>
    <w:rsid w:val="009A5F8A"/>
    <w:rsid w:val="009A5F96"/>
    <w:rsid w:val="009A5FE8"/>
    <w:rsid w:val="009A6210"/>
    <w:rsid w:val="009A62D9"/>
    <w:rsid w:val="009A6325"/>
    <w:rsid w:val="009A6393"/>
    <w:rsid w:val="009A63AB"/>
    <w:rsid w:val="009A6550"/>
    <w:rsid w:val="009A6685"/>
    <w:rsid w:val="009A689B"/>
    <w:rsid w:val="009A68AA"/>
    <w:rsid w:val="009A68C7"/>
    <w:rsid w:val="009A6AD3"/>
    <w:rsid w:val="009A6BF2"/>
    <w:rsid w:val="009A6C0F"/>
    <w:rsid w:val="009A6DB2"/>
    <w:rsid w:val="009A725A"/>
    <w:rsid w:val="009A7341"/>
    <w:rsid w:val="009A76D4"/>
    <w:rsid w:val="009A782D"/>
    <w:rsid w:val="009A7954"/>
    <w:rsid w:val="009A7AFE"/>
    <w:rsid w:val="009A7DA6"/>
    <w:rsid w:val="009A7E9A"/>
    <w:rsid w:val="009A7F2A"/>
    <w:rsid w:val="009B0127"/>
    <w:rsid w:val="009B01E9"/>
    <w:rsid w:val="009B039E"/>
    <w:rsid w:val="009B04E5"/>
    <w:rsid w:val="009B072A"/>
    <w:rsid w:val="009B09DB"/>
    <w:rsid w:val="009B0B5E"/>
    <w:rsid w:val="009B0B6E"/>
    <w:rsid w:val="009B0C1C"/>
    <w:rsid w:val="009B0EEC"/>
    <w:rsid w:val="009B11B2"/>
    <w:rsid w:val="009B11FD"/>
    <w:rsid w:val="009B13BF"/>
    <w:rsid w:val="009B1483"/>
    <w:rsid w:val="009B1551"/>
    <w:rsid w:val="009B15DB"/>
    <w:rsid w:val="009B18B4"/>
    <w:rsid w:val="009B190B"/>
    <w:rsid w:val="009B190E"/>
    <w:rsid w:val="009B19C5"/>
    <w:rsid w:val="009B1E00"/>
    <w:rsid w:val="009B1E27"/>
    <w:rsid w:val="009B1E71"/>
    <w:rsid w:val="009B1EB4"/>
    <w:rsid w:val="009B2190"/>
    <w:rsid w:val="009B237F"/>
    <w:rsid w:val="009B23AB"/>
    <w:rsid w:val="009B2434"/>
    <w:rsid w:val="009B264E"/>
    <w:rsid w:val="009B28D5"/>
    <w:rsid w:val="009B2A13"/>
    <w:rsid w:val="009B2A6A"/>
    <w:rsid w:val="009B2A8A"/>
    <w:rsid w:val="009B2A9E"/>
    <w:rsid w:val="009B2B0D"/>
    <w:rsid w:val="009B2C0D"/>
    <w:rsid w:val="009B2C42"/>
    <w:rsid w:val="009B2CAB"/>
    <w:rsid w:val="009B2D84"/>
    <w:rsid w:val="009B30BE"/>
    <w:rsid w:val="009B3336"/>
    <w:rsid w:val="009B34C2"/>
    <w:rsid w:val="009B34DB"/>
    <w:rsid w:val="009B34E3"/>
    <w:rsid w:val="009B355F"/>
    <w:rsid w:val="009B35A7"/>
    <w:rsid w:val="009B35B6"/>
    <w:rsid w:val="009B375A"/>
    <w:rsid w:val="009B3868"/>
    <w:rsid w:val="009B3936"/>
    <w:rsid w:val="009B3A20"/>
    <w:rsid w:val="009B3DB2"/>
    <w:rsid w:val="009B3DF9"/>
    <w:rsid w:val="009B4158"/>
    <w:rsid w:val="009B429F"/>
    <w:rsid w:val="009B42C2"/>
    <w:rsid w:val="009B43FB"/>
    <w:rsid w:val="009B44BC"/>
    <w:rsid w:val="009B4750"/>
    <w:rsid w:val="009B4771"/>
    <w:rsid w:val="009B4783"/>
    <w:rsid w:val="009B47DD"/>
    <w:rsid w:val="009B47FF"/>
    <w:rsid w:val="009B49DE"/>
    <w:rsid w:val="009B4A1B"/>
    <w:rsid w:val="009B4A46"/>
    <w:rsid w:val="009B4D43"/>
    <w:rsid w:val="009B4F88"/>
    <w:rsid w:val="009B502F"/>
    <w:rsid w:val="009B518D"/>
    <w:rsid w:val="009B51B8"/>
    <w:rsid w:val="009B53B6"/>
    <w:rsid w:val="009B5606"/>
    <w:rsid w:val="009B560E"/>
    <w:rsid w:val="009B596B"/>
    <w:rsid w:val="009B5ABD"/>
    <w:rsid w:val="009B5D35"/>
    <w:rsid w:val="009B6014"/>
    <w:rsid w:val="009B6109"/>
    <w:rsid w:val="009B62C5"/>
    <w:rsid w:val="009B62F2"/>
    <w:rsid w:val="009B630F"/>
    <w:rsid w:val="009B632A"/>
    <w:rsid w:val="009B6507"/>
    <w:rsid w:val="009B6829"/>
    <w:rsid w:val="009B69FB"/>
    <w:rsid w:val="009B6C55"/>
    <w:rsid w:val="009B6FF9"/>
    <w:rsid w:val="009B7093"/>
    <w:rsid w:val="009B740D"/>
    <w:rsid w:val="009B74E8"/>
    <w:rsid w:val="009B7603"/>
    <w:rsid w:val="009B764E"/>
    <w:rsid w:val="009B78EF"/>
    <w:rsid w:val="009B7BDA"/>
    <w:rsid w:val="009B7C67"/>
    <w:rsid w:val="009B7C80"/>
    <w:rsid w:val="009B7D8C"/>
    <w:rsid w:val="009B7DEE"/>
    <w:rsid w:val="009B7F52"/>
    <w:rsid w:val="009C01F8"/>
    <w:rsid w:val="009C0382"/>
    <w:rsid w:val="009C03A9"/>
    <w:rsid w:val="009C03B2"/>
    <w:rsid w:val="009C03C4"/>
    <w:rsid w:val="009C04B4"/>
    <w:rsid w:val="009C0651"/>
    <w:rsid w:val="009C0819"/>
    <w:rsid w:val="009C0836"/>
    <w:rsid w:val="009C0B8A"/>
    <w:rsid w:val="009C0C38"/>
    <w:rsid w:val="009C0D5D"/>
    <w:rsid w:val="009C0E68"/>
    <w:rsid w:val="009C12DF"/>
    <w:rsid w:val="009C1348"/>
    <w:rsid w:val="009C13B0"/>
    <w:rsid w:val="009C1402"/>
    <w:rsid w:val="009C1648"/>
    <w:rsid w:val="009C1801"/>
    <w:rsid w:val="009C1AC6"/>
    <w:rsid w:val="009C1E76"/>
    <w:rsid w:val="009C1FC6"/>
    <w:rsid w:val="009C2478"/>
    <w:rsid w:val="009C24EA"/>
    <w:rsid w:val="009C256D"/>
    <w:rsid w:val="009C2640"/>
    <w:rsid w:val="009C2854"/>
    <w:rsid w:val="009C2931"/>
    <w:rsid w:val="009C29E1"/>
    <w:rsid w:val="009C2B3F"/>
    <w:rsid w:val="009C2CEC"/>
    <w:rsid w:val="009C2DEC"/>
    <w:rsid w:val="009C2E78"/>
    <w:rsid w:val="009C2EB4"/>
    <w:rsid w:val="009C3127"/>
    <w:rsid w:val="009C3459"/>
    <w:rsid w:val="009C34AB"/>
    <w:rsid w:val="009C3705"/>
    <w:rsid w:val="009C3820"/>
    <w:rsid w:val="009C383F"/>
    <w:rsid w:val="009C391B"/>
    <w:rsid w:val="009C393D"/>
    <w:rsid w:val="009C3983"/>
    <w:rsid w:val="009C39A0"/>
    <w:rsid w:val="009C3A5C"/>
    <w:rsid w:val="009C3BAC"/>
    <w:rsid w:val="009C3BF1"/>
    <w:rsid w:val="009C428B"/>
    <w:rsid w:val="009C42BA"/>
    <w:rsid w:val="009C431E"/>
    <w:rsid w:val="009C4410"/>
    <w:rsid w:val="009C4475"/>
    <w:rsid w:val="009C44F5"/>
    <w:rsid w:val="009C4544"/>
    <w:rsid w:val="009C46F8"/>
    <w:rsid w:val="009C482D"/>
    <w:rsid w:val="009C4854"/>
    <w:rsid w:val="009C48ED"/>
    <w:rsid w:val="009C498F"/>
    <w:rsid w:val="009C4B0E"/>
    <w:rsid w:val="009C543C"/>
    <w:rsid w:val="009C5443"/>
    <w:rsid w:val="009C544D"/>
    <w:rsid w:val="009C5456"/>
    <w:rsid w:val="009C54C4"/>
    <w:rsid w:val="009C55B7"/>
    <w:rsid w:val="009C55BC"/>
    <w:rsid w:val="009C5701"/>
    <w:rsid w:val="009C5C83"/>
    <w:rsid w:val="009C5DAD"/>
    <w:rsid w:val="009C5F0E"/>
    <w:rsid w:val="009C5F27"/>
    <w:rsid w:val="009C5F7E"/>
    <w:rsid w:val="009C611C"/>
    <w:rsid w:val="009C63FC"/>
    <w:rsid w:val="009C65ED"/>
    <w:rsid w:val="009C6640"/>
    <w:rsid w:val="009C66D8"/>
    <w:rsid w:val="009C69EE"/>
    <w:rsid w:val="009C6B6B"/>
    <w:rsid w:val="009C6E38"/>
    <w:rsid w:val="009C6EDA"/>
    <w:rsid w:val="009C7085"/>
    <w:rsid w:val="009C727C"/>
    <w:rsid w:val="009C738B"/>
    <w:rsid w:val="009C75A1"/>
    <w:rsid w:val="009C75B4"/>
    <w:rsid w:val="009C77ED"/>
    <w:rsid w:val="009C78FC"/>
    <w:rsid w:val="009C7C3F"/>
    <w:rsid w:val="009C7DDE"/>
    <w:rsid w:val="009C7F1C"/>
    <w:rsid w:val="009D006C"/>
    <w:rsid w:val="009D0075"/>
    <w:rsid w:val="009D01BE"/>
    <w:rsid w:val="009D0299"/>
    <w:rsid w:val="009D04D3"/>
    <w:rsid w:val="009D04F4"/>
    <w:rsid w:val="009D08DB"/>
    <w:rsid w:val="009D08ED"/>
    <w:rsid w:val="009D09F8"/>
    <w:rsid w:val="009D0A6E"/>
    <w:rsid w:val="009D0BD0"/>
    <w:rsid w:val="009D0DCE"/>
    <w:rsid w:val="009D0EF2"/>
    <w:rsid w:val="009D0F55"/>
    <w:rsid w:val="009D0FDB"/>
    <w:rsid w:val="009D119D"/>
    <w:rsid w:val="009D11F7"/>
    <w:rsid w:val="009D1293"/>
    <w:rsid w:val="009D12E4"/>
    <w:rsid w:val="009D1345"/>
    <w:rsid w:val="009D15A1"/>
    <w:rsid w:val="009D167C"/>
    <w:rsid w:val="009D1767"/>
    <w:rsid w:val="009D187E"/>
    <w:rsid w:val="009D19EE"/>
    <w:rsid w:val="009D19FE"/>
    <w:rsid w:val="009D1A25"/>
    <w:rsid w:val="009D1B10"/>
    <w:rsid w:val="009D1B64"/>
    <w:rsid w:val="009D1BFD"/>
    <w:rsid w:val="009D1C37"/>
    <w:rsid w:val="009D1CDC"/>
    <w:rsid w:val="009D1E59"/>
    <w:rsid w:val="009D20D8"/>
    <w:rsid w:val="009D2178"/>
    <w:rsid w:val="009D25E8"/>
    <w:rsid w:val="009D26F6"/>
    <w:rsid w:val="009D2702"/>
    <w:rsid w:val="009D29A3"/>
    <w:rsid w:val="009D2A25"/>
    <w:rsid w:val="009D2B20"/>
    <w:rsid w:val="009D2CF2"/>
    <w:rsid w:val="009D2D8D"/>
    <w:rsid w:val="009D2DC1"/>
    <w:rsid w:val="009D2EAE"/>
    <w:rsid w:val="009D31CE"/>
    <w:rsid w:val="009D36B9"/>
    <w:rsid w:val="009D3924"/>
    <w:rsid w:val="009D3A39"/>
    <w:rsid w:val="009D3B07"/>
    <w:rsid w:val="009D3D5B"/>
    <w:rsid w:val="009D3DB1"/>
    <w:rsid w:val="009D3E3B"/>
    <w:rsid w:val="009D3F1E"/>
    <w:rsid w:val="009D4391"/>
    <w:rsid w:val="009D4452"/>
    <w:rsid w:val="009D446C"/>
    <w:rsid w:val="009D4989"/>
    <w:rsid w:val="009D4BC8"/>
    <w:rsid w:val="009D4DD7"/>
    <w:rsid w:val="009D4F16"/>
    <w:rsid w:val="009D507A"/>
    <w:rsid w:val="009D5101"/>
    <w:rsid w:val="009D52AE"/>
    <w:rsid w:val="009D5356"/>
    <w:rsid w:val="009D55F5"/>
    <w:rsid w:val="009D56A8"/>
    <w:rsid w:val="009D5809"/>
    <w:rsid w:val="009D581A"/>
    <w:rsid w:val="009D59BD"/>
    <w:rsid w:val="009D5AC6"/>
    <w:rsid w:val="009D5BE8"/>
    <w:rsid w:val="009D5CAF"/>
    <w:rsid w:val="009D5EA2"/>
    <w:rsid w:val="009D5F9C"/>
    <w:rsid w:val="009D6117"/>
    <w:rsid w:val="009D61F3"/>
    <w:rsid w:val="009D63A7"/>
    <w:rsid w:val="009D6752"/>
    <w:rsid w:val="009D6929"/>
    <w:rsid w:val="009D6DBE"/>
    <w:rsid w:val="009D708B"/>
    <w:rsid w:val="009D70F6"/>
    <w:rsid w:val="009D7412"/>
    <w:rsid w:val="009D75A1"/>
    <w:rsid w:val="009D75E5"/>
    <w:rsid w:val="009D7708"/>
    <w:rsid w:val="009D7889"/>
    <w:rsid w:val="009D78E8"/>
    <w:rsid w:val="009D7984"/>
    <w:rsid w:val="009D79B8"/>
    <w:rsid w:val="009D7D6A"/>
    <w:rsid w:val="009D7F33"/>
    <w:rsid w:val="009E023E"/>
    <w:rsid w:val="009E02CC"/>
    <w:rsid w:val="009E032F"/>
    <w:rsid w:val="009E044B"/>
    <w:rsid w:val="009E05F0"/>
    <w:rsid w:val="009E075F"/>
    <w:rsid w:val="009E0769"/>
    <w:rsid w:val="009E0A3C"/>
    <w:rsid w:val="009E0CD5"/>
    <w:rsid w:val="009E0EE0"/>
    <w:rsid w:val="009E0F1E"/>
    <w:rsid w:val="009E1242"/>
    <w:rsid w:val="009E14F9"/>
    <w:rsid w:val="009E15E5"/>
    <w:rsid w:val="009E1600"/>
    <w:rsid w:val="009E16D4"/>
    <w:rsid w:val="009E1723"/>
    <w:rsid w:val="009E1838"/>
    <w:rsid w:val="009E1847"/>
    <w:rsid w:val="009E192B"/>
    <w:rsid w:val="009E1934"/>
    <w:rsid w:val="009E1B1C"/>
    <w:rsid w:val="009E1B58"/>
    <w:rsid w:val="009E1BC9"/>
    <w:rsid w:val="009E1C4D"/>
    <w:rsid w:val="009E1C63"/>
    <w:rsid w:val="009E1CA1"/>
    <w:rsid w:val="009E1D20"/>
    <w:rsid w:val="009E1E56"/>
    <w:rsid w:val="009E1F20"/>
    <w:rsid w:val="009E23CB"/>
    <w:rsid w:val="009E2437"/>
    <w:rsid w:val="009E2559"/>
    <w:rsid w:val="009E25B3"/>
    <w:rsid w:val="009E2672"/>
    <w:rsid w:val="009E267B"/>
    <w:rsid w:val="009E27BF"/>
    <w:rsid w:val="009E2966"/>
    <w:rsid w:val="009E2A53"/>
    <w:rsid w:val="009E2AD5"/>
    <w:rsid w:val="009E2D73"/>
    <w:rsid w:val="009E2D9C"/>
    <w:rsid w:val="009E2F11"/>
    <w:rsid w:val="009E308A"/>
    <w:rsid w:val="009E30AC"/>
    <w:rsid w:val="009E31B9"/>
    <w:rsid w:val="009E3244"/>
    <w:rsid w:val="009E34B8"/>
    <w:rsid w:val="009E3839"/>
    <w:rsid w:val="009E38A1"/>
    <w:rsid w:val="009E396A"/>
    <w:rsid w:val="009E3A77"/>
    <w:rsid w:val="009E3D46"/>
    <w:rsid w:val="009E3EDF"/>
    <w:rsid w:val="009E410B"/>
    <w:rsid w:val="009E4154"/>
    <w:rsid w:val="009E417E"/>
    <w:rsid w:val="009E41DC"/>
    <w:rsid w:val="009E44C7"/>
    <w:rsid w:val="009E464B"/>
    <w:rsid w:val="009E4882"/>
    <w:rsid w:val="009E4C5F"/>
    <w:rsid w:val="009E4CB7"/>
    <w:rsid w:val="009E4D27"/>
    <w:rsid w:val="009E4D5B"/>
    <w:rsid w:val="009E4DC9"/>
    <w:rsid w:val="009E50DD"/>
    <w:rsid w:val="009E5179"/>
    <w:rsid w:val="009E524B"/>
    <w:rsid w:val="009E52E2"/>
    <w:rsid w:val="009E541E"/>
    <w:rsid w:val="009E5477"/>
    <w:rsid w:val="009E5744"/>
    <w:rsid w:val="009E5894"/>
    <w:rsid w:val="009E5A4E"/>
    <w:rsid w:val="009E5ADE"/>
    <w:rsid w:val="009E5DA7"/>
    <w:rsid w:val="009E5E9F"/>
    <w:rsid w:val="009E61A2"/>
    <w:rsid w:val="009E61BF"/>
    <w:rsid w:val="009E62C0"/>
    <w:rsid w:val="009E63A1"/>
    <w:rsid w:val="009E6448"/>
    <w:rsid w:val="009E6678"/>
    <w:rsid w:val="009E66AA"/>
    <w:rsid w:val="009E66DC"/>
    <w:rsid w:val="009E6AE1"/>
    <w:rsid w:val="009E6BF7"/>
    <w:rsid w:val="009E6EA4"/>
    <w:rsid w:val="009E6EC2"/>
    <w:rsid w:val="009E6F3E"/>
    <w:rsid w:val="009E7015"/>
    <w:rsid w:val="009E7022"/>
    <w:rsid w:val="009E723A"/>
    <w:rsid w:val="009E75C2"/>
    <w:rsid w:val="009E77AE"/>
    <w:rsid w:val="009E77EE"/>
    <w:rsid w:val="009E7875"/>
    <w:rsid w:val="009E78F0"/>
    <w:rsid w:val="009E7A14"/>
    <w:rsid w:val="009E7AE0"/>
    <w:rsid w:val="009E7CFA"/>
    <w:rsid w:val="009F0015"/>
    <w:rsid w:val="009F02EF"/>
    <w:rsid w:val="009F04D3"/>
    <w:rsid w:val="009F06B7"/>
    <w:rsid w:val="009F0B47"/>
    <w:rsid w:val="009F0BD7"/>
    <w:rsid w:val="009F0CDA"/>
    <w:rsid w:val="009F0DCB"/>
    <w:rsid w:val="009F0DE2"/>
    <w:rsid w:val="009F0F5F"/>
    <w:rsid w:val="009F1161"/>
    <w:rsid w:val="009F15AA"/>
    <w:rsid w:val="009F1675"/>
    <w:rsid w:val="009F192C"/>
    <w:rsid w:val="009F1A1E"/>
    <w:rsid w:val="009F1BF0"/>
    <w:rsid w:val="009F1F8A"/>
    <w:rsid w:val="009F20DE"/>
    <w:rsid w:val="009F20F0"/>
    <w:rsid w:val="009F2134"/>
    <w:rsid w:val="009F217D"/>
    <w:rsid w:val="009F2225"/>
    <w:rsid w:val="009F2232"/>
    <w:rsid w:val="009F24F2"/>
    <w:rsid w:val="009F25B5"/>
    <w:rsid w:val="009F25EA"/>
    <w:rsid w:val="009F2717"/>
    <w:rsid w:val="009F278A"/>
    <w:rsid w:val="009F2C3A"/>
    <w:rsid w:val="009F333A"/>
    <w:rsid w:val="009F3342"/>
    <w:rsid w:val="009F3429"/>
    <w:rsid w:val="009F343B"/>
    <w:rsid w:val="009F361B"/>
    <w:rsid w:val="009F37AD"/>
    <w:rsid w:val="009F37B2"/>
    <w:rsid w:val="009F3A39"/>
    <w:rsid w:val="009F3AC1"/>
    <w:rsid w:val="009F3BAF"/>
    <w:rsid w:val="009F3D35"/>
    <w:rsid w:val="009F3EEF"/>
    <w:rsid w:val="009F40A9"/>
    <w:rsid w:val="009F4283"/>
    <w:rsid w:val="009F447F"/>
    <w:rsid w:val="009F466D"/>
    <w:rsid w:val="009F480F"/>
    <w:rsid w:val="009F48D2"/>
    <w:rsid w:val="009F4AD4"/>
    <w:rsid w:val="009F4B71"/>
    <w:rsid w:val="009F4CD3"/>
    <w:rsid w:val="009F4DEB"/>
    <w:rsid w:val="009F4E6B"/>
    <w:rsid w:val="009F4E9E"/>
    <w:rsid w:val="009F5071"/>
    <w:rsid w:val="009F52A4"/>
    <w:rsid w:val="009F53A7"/>
    <w:rsid w:val="009F551C"/>
    <w:rsid w:val="009F562F"/>
    <w:rsid w:val="009F57DF"/>
    <w:rsid w:val="009F57FD"/>
    <w:rsid w:val="009F5A27"/>
    <w:rsid w:val="009F5A4A"/>
    <w:rsid w:val="009F5C42"/>
    <w:rsid w:val="009F5D7B"/>
    <w:rsid w:val="009F60A8"/>
    <w:rsid w:val="009F633E"/>
    <w:rsid w:val="009F66A2"/>
    <w:rsid w:val="009F6824"/>
    <w:rsid w:val="009F6A6F"/>
    <w:rsid w:val="009F6B69"/>
    <w:rsid w:val="009F6B89"/>
    <w:rsid w:val="009F6D5B"/>
    <w:rsid w:val="009F6E19"/>
    <w:rsid w:val="009F6F35"/>
    <w:rsid w:val="009F6FDF"/>
    <w:rsid w:val="009F7055"/>
    <w:rsid w:val="009F70FF"/>
    <w:rsid w:val="009F724A"/>
    <w:rsid w:val="009F7888"/>
    <w:rsid w:val="009F7AFE"/>
    <w:rsid w:val="009F7BCB"/>
    <w:rsid w:val="009F7BE6"/>
    <w:rsid w:val="009F7D60"/>
    <w:rsid w:val="009F7EA2"/>
    <w:rsid w:val="009F7F15"/>
    <w:rsid w:val="00A0014F"/>
    <w:rsid w:val="00A0015A"/>
    <w:rsid w:val="00A00217"/>
    <w:rsid w:val="00A00362"/>
    <w:rsid w:val="00A003AD"/>
    <w:rsid w:val="00A0049D"/>
    <w:rsid w:val="00A00A79"/>
    <w:rsid w:val="00A00A83"/>
    <w:rsid w:val="00A00AF3"/>
    <w:rsid w:val="00A00B0B"/>
    <w:rsid w:val="00A00C19"/>
    <w:rsid w:val="00A00CBF"/>
    <w:rsid w:val="00A00DD1"/>
    <w:rsid w:val="00A00ED3"/>
    <w:rsid w:val="00A0101D"/>
    <w:rsid w:val="00A0110A"/>
    <w:rsid w:val="00A0112C"/>
    <w:rsid w:val="00A01202"/>
    <w:rsid w:val="00A013C8"/>
    <w:rsid w:val="00A01413"/>
    <w:rsid w:val="00A01422"/>
    <w:rsid w:val="00A01694"/>
    <w:rsid w:val="00A0179A"/>
    <w:rsid w:val="00A017F6"/>
    <w:rsid w:val="00A018FD"/>
    <w:rsid w:val="00A01B1E"/>
    <w:rsid w:val="00A01CE6"/>
    <w:rsid w:val="00A01D85"/>
    <w:rsid w:val="00A01F9D"/>
    <w:rsid w:val="00A025FD"/>
    <w:rsid w:val="00A0297A"/>
    <w:rsid w:val="00A0299A"/>
    <w:rsid w:val="00A02A4F"/>
    <w:rsid w:val="00A02B83"/>
    <w:rsid w:val="00A02E7A"/>
    <w:rsid w:val="00A02EB4"/>
    <w:rsid w:val="00A02ECF"/>
    <w:rsid w:val="00A031F7"/>
    <w:rsid w:val="00A03340"/>
    <w:rsid w:val="00A034F4"/>
    <w:rsid w:val="00A03615"/>
    <w:rsid w:val="00A03797"/>
    <w:rsid w:val="00A037D0"/>
    <w:rsid w:val="00A0389B"/>
    <w:rsid w:val="00A03903"/>
    <w:rsid w:val="00A03A1C"/>
    <w:rsid w:val="00A03A51"/>
    <w:rsid w:val="00A03C07"/>
    <w:rsid w:val="00A03E06"/>
    <w:rsid w:val="00A04089"/>
    <w:rsid w:val="00A04301"/>
    <w:rsid w:val="00A04368"/>
    <w:rsid w:val="00A04482"/>
    <w:rsid w:val="00A04485"/>
    <w:rsid w:val="00A044FB"/>
    <w:rsid w:val="00A04656"/>
    <w:rsid w:val="00A04702"/>
    <w:rsid w:val="00A04811"/>
    <w:rsid w:val="00A04862"/>
    <w:rsid w:val="00A048CE"/>
    <w:rsid w:val="00A04CEA"/>
    <w:rsid w:val="00A04D24"/>
    <w:rsid w:val="00A04EE6"/>
    <w:rsid w:val="00A05100"/>
    <w:rsid w:val="00A053E9"/>
    <w:rsid w:val="00A0542D"/>
    <w:rsid w:val="00A0567C"/>
    <w:rsid w:val="00A056C0"/>
    <w:rsid w:val="00A05706"/>
    <w:rsid w:val="00A0575D"/>
    <w:rsid w:val="00A0577F"/>
    <w:rsid w:val="00A05802"/>
    <w:rsid w:val="00A05833"/>
    <w:rsid w:val="00A05853"/>
    <w:rsid w:val="00A05AF8"/>
    <w:rsid w:val="00A05B25"/>
    <w:rsid w:val="00A05E87"/>
    <w:rsid w:val="00A05EA2"/>
    <w:rsid w:val="00A0612C"/>
    <w:rsid w:val="00A061E4"/>
    <w:rsid w:val="00A06535"/>
    <w:rsid w:val="00A068C2"/>
    <w:rsid w:val="00A06AA8"/>
    <w:rsid w:val="00A06B38"/>
    <w:rsid w:val="00A06BA4"/>
    <w:rsid w:val="00A06CCD"/>
    <w:rsid w:val="00A06CD6"/>
    <w:rsid w:val="00A06D8B"/>
    <w:rsid w:val="00A06DAF"/>
    <w:rsid w:val="00A06E1B"/>
    <w:rsid w:val="00A06E5F"/>
    <w:rsid w:val="00A06F48"/>
    <w:rsid w:val="00A06FE2"/>
    <w:rsid w:val="00A07062"/>
    <w:rsid w:val="00A0708C"/>
    <w:rsid w:val="00A070FA"/>
    <w:rsid w:val="00A07189"/>
    <w:rsid w:val="00A07378"/>
    <w:rsid w:val="00A073BB"/>
    <w:rsid w:val="00A075E0"/>
    <w:rsid w:val="00A0769B"/>
    <w:rsid w:val="00A079CF"/>
    <w:rsid w:val="00A079DB"/>
    <w:rsid w:val="00A07A92"/>
    <w:rsid w:val="00A07EC5"/>
    <w:rsid w:val="00A101DD"/>
    <w:rsid w:val="00A10337"/>
    <w:rsid w:val="00A10486"/>
    <w:rsid w:val="00A10527"/>
    <w:rsid w:val="00A1060B"/>
    <w:rsid w:val="00A1060E"/>
    <w:rsid w:val="00A106D4"/>
    <w:rsid w:val="00A10705"/>
    <w:rsid w:val="00A10788"/>
    <w:rsid w:val="00A10AC4"/>
    <w:rsid w:val="00A10AEC"/>
    <w:rsid w:val="00A10B8E"/>
    <w:rsid w:val="00A10BAB"/>
    <w:rsid w:val="00A10D34"/>
    <w:rsid w:val="00A10DA6"/>
    <w:rsid w:val="00A10DD9"/>
    <w:rsid w:val="00A1104A"/>
    <w:rsid w:val="00A112B4"/>
    <w:rsid w:val="00A1134F"/>
    <w:rsid w:val="00A11581"/>
    <w:rsid w:val="00A115A0"/>
    <w:rsid w:val="00A11992"/>
    <w:rsid w:val="00A11B62"/>
    <w:rsid w:val="00A11BC4"/>
    <w:rsid w:val="00A11C11"/>
    <w:rsid w:val="00A11D30"/>
    <w:rsid w:val="00A11DE0"/>
    <w:rsid w:val="00A11FC6"/>
    <w:rsid w:val="00A1201A"/>
    <w:rsid w:val="00A1241D"/>
    <w:rsid w:val="00A1255E"/>
    <w:rsid w:val="00A12622"/>
    <w:rsid w:val="00A1276D"/>
    <w:rsid w:val="00A12811"/>
    <w:rsid w:val="00A128A2"/>
    <w:rsid w:val="00A128EB"/>
    <w:rsid w:val="00A129D4"/>
    <w:rsid w:val="00A12A16"/>
    <w:rsid w:val="00A12AD1"/>
    <w:rsid w:val="00A12B55"/>
    <w:rsid w:val="00A12E23"/>
    <w:rsid w:val="00A13002"/>
    <w:rsid w:val="00A132EC"/>
    <w:rsid w:val="00A13372"/>
    <w:rsid w:val="00A13484"/>
    <w:rsid w:val="00A13545"/>
    <w:rsid w:val="00A13574"/>
    <w:rsid w:val="00A135A6"/>
    <w:rsid w:val="00A136CF"/>
    <w:rsid w:val="00A137E5"/>
    <w:rsid w:val="00A13831"/>
    <w:rsid w:val="00A1395B"/>
    <w:rsid w:val="00A13AD5"/>
    <w:rsid w:val="00A13D2C"/>
    <w:rsid w:val="00A13DC4"/>
    <w:rsid w:val="00A14129"/>
    <w:rsid w:val="00A14180"/>
    <w:rsid w:val="00A1447E"/>
    <w:rsid w:val="00A146EF"/>
    <w:rsid w:val="00A14B00"/>
    <w:rsid w:val="00A14B7B"/>
    <w:rsid w:val="00A14CFF"/>
    <w:rsid w:val="00A14DD4"/>
    <w:rsid w:val="00A14E0E"/>
    <w:rsid w:val="00A150D5"/>
    <w:rsid w:val="00A150F1"/>
    <w:rsid w:val="00A1527C"/>
    <w:rsid w:val="00A152D2"/>
    <w:rsid w:val="00A1541F"/>
    <w:rsid w:val="00A1547D"/>
    <w:rsid w:val="00A154CF"/>
    <w:rsid w:val="00A156D2"/>
    <w:rsid w:val="00A15B8E"/>
    <w:rsid w:val="00A15CA7"/>
    <w:rsid w:val="00A15D16"/>
    <w:rsid w:val="00A15D88"/>
    <w:rsid w:val="00A15DB2"/>
    <w:rsid w:val="00A15E6C"/>
    <w:rsid w:val="00A16023"/>
    <w:rsid w:val="00A16084"/>
    <w:rsid w:val="00A160B4"/>
    <w:rsid w:val="00A16161"/>
    <w:rsid w:val="00A163D0"/>
    <w:rsid w:val="00A165F4"/>
    <w:rsid w:val="00A16634"/>
    <w:rsid w:val="00A1680A"/>
    <w:rsid w:val="00A16BCD"/>
    <w:rsid w:val="00A16CCD"/>
    <w:rsid w:val="00A16EA1"/>
    <w:rsid w:val="00A16F06"/>
    <w:rsid w:val="00A1714E"/>
    <w:rsid w:val="00A1716C"/>
    <w:rsid w:val="00A17381"/>
    <w:rsid w:val="00A1740E"/>
    <w:rsid w:val="00A176A9"/>
    <w:rsid w:val="00A1776A"/>
    <w:rsid w:val="00A1776C"/>
    <w:rsid w:val="00A179B9"/>
    <w:rsid w:val="00A179C9"/>
    <w:rsid w:val="00A179CD"/>
    <w:rsid w:val="00A17B0C"/>
    <w:rsid w:val="00A17BBF"/>
    <w:rsid w:val="00A17C23"/>
    <w:rsid w:val="00A17EC5"/>
    <w:rsid w:val="00A20130"/>
    <w:rsid w:val="00A2030E"/>
    <w:rsid w:val="00A205B6"/>
    <w:rsid w:val="00A205FB"/>
    <w:rsid w:val="00A206E0"/>
    <w:rsid w:val="00A20777"/>
    <w:rsid w:val="00A207A2"/>
    <w:rsid w:val="00A207B4"/>
    <w:rsid w:val="00A2089A"/>
    <w:rsid w:val="00A20A63"/>
    <w:rsid w:val="00A20B2D"/>
    <w:rsid w:val="00A20DB2"/>
    <w:rsid w:val="00A20ECC"/>
    <w:rsid w:val="00A2136E"/>
    <w:rsid w:val="00A2149A"/>
    <w:rsid w:val="00A214DB"/>
    <w:rsid w:val="00A21677"/>
    <w:rsid w:val="00A219FF"/>
    <w:rsid w:val="00A21A9E"/>
    <w:rsid w:val="00A21ABA"/>
    <w:rsid w:val="00A21D92"/>
    <w:rsid w:val="00A220A3"/>
    <w:rsid w:val="00A2214C"/>
    <w:rsid w:val="00A22188"/>
    <w:rsid w:val="00A222BE"/>
    <w:rsid w:val="00A222D4"/>
    <w:rsid w:val="00A2233E"/>
    <w:rsid w:val="00A22402"/>
    <w:rsid w:val="00A225C7"/>
    <w:rsid w:val="00A225FF"/>
    <w:rsid w:val="00A227BC"/>
    <w:rsid w:val="00A229AE"/>
    <w:rsid w:val="00A22B97"/>
    <w:rsid w:val="00A22CCA"/>
    <w:rsid w:val="00A22CDD"/>
    <w:rsid w:val="00A22D25"/>
    <w:rsid w:val="00A22E56"/>
    <w:rsid w:val="00A22FA8"/>
    <w:rsid w:val="00A22FBE"/>
    <w:rsid w:val="00A23039"/>
    <w:rsid w:val="00A230C4"/>
    <w:rsid w:val="00A23155"/>
    <w:rsid w:val="00A234C8"/>
    <w:rsid w:val="00A23526"/>
    <w:rsid w:val="00A23793"/>
    <w:rsid w:val="00A23B2F"/>
    <w:rsid w:val="00A24059"/>
    <w:rsid w:val="00A2410B"/>
    <w:rsid w:val="00A2411A"/>
    <w:rsid w:val="00A242C2"/>
    <w:rsid w:val="00A24743"/>
    <w:rsid w:val="00A248D3"/>
    <w:rsid w:val="00A24CA8"/>
    <w:rsid w:val="00A24D15"/>
    <w:rsid w:val="00A24D64"/>
    <w:rsid w:val="00A24D85"/>
    <w:rsid w:val="00A24E2C"/>
    <w:rsid w:val="00A24E5C"/>
    <w:rsid w:val="00A24F22"/>
    <w:rsid w:val="00A251F5"/>
    <w:rsid w:val="00A253EB"/>
    <w:rsid w:val="00A254C1"/>
    <w:rsid w:val="00A25522"/>
    <w:rsid w:val="00A256EC"/>
    <w:rsid w:val="00A261E8"/>
    <w:rsid w:val="00A262FD"/>
    <w:rsid w:val="00A264E1"/>
    <w:rsid w:val="00A265E4"/>
    <w:rsid w:val="00A2684C"/>
    <w:rsid w:val="00A26F08"/>
    <w:rsid w:val="00A26F0C"/>
    <w:rsid w:val="00A26F76"/>
    <w:rsid w:val="00A272AA"/>
    <w:rsid w:val="00A272BA"/>
    <w:rsid w:val="00A27488"/>
    <w:rsid w:val="00A2751C"/>
    <w:rsid w:val="00A27694"/>
    <w:rsid w:val="00A2788F"/>
    <w:rsid w:val="00A278C1"/>
    <w:rsid w:val="00A27900"/>
    <w:rsid w:val="00A2794E"/>
    <w:rsid w:val="00A2799F"/>
    <w:rsid w:val="00A27A59"/>
    <w:rsid w:val="00A27C20"/>
    <w:rsid w:val="00A27C24"/>
    <w:rsid w:val="00A27C31"/>
    <w:rsid w:val="00A27D6D"/>
    <w:rsid w:val="00A27E89"/>
    <w:rsid w:val="00A27FA4"/>
    <w:rsid w:val="00A300E4"/>
    <w:rsid w:val="00A30367"/>
    <w:rsid w:val="00A30452"/>
    <w:rsid w:val="00A3083D"/>
    <w:rsid w:val="00A30AA8"/>
    <w:rsid w:val="00A30B5A"/>
    <w:rsid w:val="00A30CDC"/>
    <w:rsid w:val="00A30DF9"/>
    <w:rsid w:val="00A30E31"/>
    <w:rsid w:val="00A30EB0"/>
    <w:rsid w:val="00A31030"/>
    <w:rsid w:val="00A31155"/>
    <w:rsid w:val="00A3121D"/>
    <w:rsid w:val="00A3129E"/>
    <w:rsid w:val="00A3134A"/>
    <w:rsid w:val="00A313CB"/>
    <w:rsid w:val="00A3144B"/>
    <w:rsid w:val="00A31781"/>
    <w:rsid w:val="00A31B2F"/>
    <w:rsid w:val="00A31B83"/>
    <w:rsid w:val="00A31BAB"/>
    <w:rsid w:val="00A320B9"/>
    <w:rsid w:val="00A32326"/>
    <w:rsid w:val="00A32671"/>
    <w:rsid w:val="00A326C2"/>
    <w:rsid w:val="00A32A09"/>
    <w:rsid w:val="00A32C0B"/>
    <w:rsid w:val="00A33024"/>
    <w:rsid w:val="00A3303F"/>
    <w:rsid w:val="00A330B4"/>
    <w:rsid w:val="00A331B2"/>
    <w:rsid w:val="00A33328"/>
    <w:rsid w:val="00A33348"/>
    <w:rsid w:val="00A334AB"/>
    <w:rsid w:val="00A33569"/>
    <w:rsid w:val="00A335CF"/>
    <w:rsid w:val="00A33676"/>
    <w:rsid w:val="00A33693"/>
    <w:rsid w:val="00A336D5"/>
    <w:rsid w:val="00A33889"/>
    <w:rsid w:val="00A338CD"/>
    <w:rsid w:val="00A33A09"/>
    <w:rsid w:val="00A33BDC"/>
    <w:rsid w:val="00A33E36"/>
    <w:rsid w:val="00A33E9D"/>
    <w:rsid w:val="00A33ED2"/>
    <w:rsid w:val="00A33F69"/>
    <w:rsid w:val="00A34024"/>
    <w:rsid w:val="00A34032"/>
    <w:rsid w:val="00A34133"/>
    <w:rsid w:val="00A3421B"/>
    <w:rsid w:val="00A343DF"/>
    <w:rsid w:val="00A34E21"/>
    <w:rsid w:val="00A34F33"/>
    <w:rsid w:val="00A35045"/>
    <w:rsid w:val="00A350CB"/>
    <w:rsid w:val="00A3512E"/>
    <w:rsid w:val="00A35478"/>
    <w:rsid w:val="00A35633"/>
    <w:rsid w:val="00A3578E"/>
    <w:rsid w:val="00A357EC"/>
    <w:rsid w:val="00A35B0D"/>
    <w:rsid w:val="00A35F4F"/>
    <w:rsid w:val="00A36215"/>
    <w:rsid w:val="00A36260"/>
    <w:rsid w:val="00A362A9"/>
    <w:rsid w:val="00A36368"/>
    <w:rsid w:val="00A3641D"/>
    <w:rsid w:val="00A365CD"/>
    <w:rsid w:val="00A365FF"/>
    <w:rsid w:val="00A36728"/>
    <w:rsid w:val="00A3676B"/>
    <w:rsid w:val="00A3697C"/>
    <w:rsid w:val="00A36BF2"/>
    <w:rsid w:val="00A36CC2"/>
    <w:rsid w:val="00A37039"/>
    <w:rsid w:val="00A3718B"/>
    <w:rsid w:val="00A374C8"/>
    <w:rsid w:val="00A37531"/>
    <w:rsid w:val="00A3755F"/>
    <w:rsid w:val="00A37589"/>
    <w:rsid w:val="00A400AA"/>
    <w:rsid w:val="00A400F3"/>
    <w:rsid w:val="00A40227"/>
    <w:rsid w:val="00A402D6"/>
    <w:rsid w:val="00A4058B"/>
    <w:rsid w:val="00A405F1"/>
    <w:rsid w:val="00A4065E"/>
    <w:rsid w:val="00A4076B"/>
    <w:rsid w:val="00A4083D"/>
    <w:rsid w:val="00A40964"/>
    <w:rsid w:val="00A40A95"/>
    <w:rsid w:val="00A40B82"/>
    <w:rsid w:val="00A40BA0"/>
    <w:rsid w:val="00A40D9A"/>
    <w:rsid w:val="00A40E2D"/>
    <w:rsid w:val="00A40F4F"/>
    <w:rsid w:val="00A40F77"/>
    <w:rsid w:val="00A40FC4"/>
    <w:rsid w:val="00A41133"/>
    <w:rsid w:val="00A4118E"/>
    <w:rsid w:val="00A4120A"/>
    <w:rsid w:val="00A41213"/>
    <w:rsid w:val="00A41588"/>
    <w:rsid w:val="00A415BE"/>
    <w:rsid w:val="00A415EA"/>
    <w:rsid w:val="00A415EF"/>
    <w:rsid w:val="00A41693"/>
    <w:rsid w:val="00A41790"/>
    <w:rsid w:val="00A418E2"/>
    <w:rsid w:val="00A41964"/>
    <w:rsid w:val="00A41A73"/>
    <w:rsid w:val="00A41BE6"/>
    <w:rsid w:val="00A41CEB"/>
    <w:rsid w:val="00A41EB0"/>
    <w:rsid w:val="00A41FDC"/>
    <w:rsid w:val="00A42003"/>
    <w:rsid w:val="00A420C5"/>
    <w:rsid w:val="00A42133"/>
    <w:rsid w:val="00A421EE"/>
    <w:rsid w:val="00A4236A"/>
    <w:rsid w:val="00A425D7"/>
    <w:rsid w:val="00A42739"/>
    <w:rsid w:val="00A428ED"/>
    <w:rsid w:val="00A42970"/>
    <w:rsid w:val="00A42AA0"/>
    <w:rsid w:val="00A42B44"/>
    <w:rsid w:val="00A42BA2"/>
    <w:rsid w:val="00A42C55"/>
    <w:rsid w:val="00A42C98"/>
    <w:rsid w:val="00A42D24"/>
    <w:rsid w:val="00A42D6C"/>
    <w:rsid w:val="00A42E41"/>
    <w:rsid w:val="00A42E45"/>
    <w:rsid w:val="00A42EA1"/>
    <w:rsid w:val="00A4318B"/>
    <w:rsid w:val="00A4354F"/>
    <w:rsid w:val="00A4358C"/>
    <w:rsid w:val="00A435DD"/>
    <w:rsid w:val="00A4390E"/>
    <w:rsid w:val="00A43972"/>
    <w:rsid w:val="00A43BEC"/>
    <w:rsid w:val="00A43C46"/>
    <w:rsid w:val="00A43D0C"/>
    <w:rsid w:val="00A4400B"/>
    <w:rsid w:val="00A440CD"/>
    <w:rsid w:val="00A44243"/>
    <w:rsid w:val="00A4459D"/>
    <w:rsid w:val="00A44667"/>
    <w:rsid w:val="00A44978"/>
    <w:rsid w:val="00A44C21"/>
    <w:rsid w:val="00A44D63"/>
    <w:rsid w:val="00A44DF0"/>
    <w:rsid w:val="00A44EBA"/>
    <w:rsid w:val="00A4508F"/>
    <w:rsid w:val="00A450A2"/>
    <w:rsid w:val="00A4521E"/>
    <w:rsid w:val="00A4585A"/>
    <w:rsid w:val="00A459F9"/>
    <w:rsid w:val="00A45C0B"/>
    <w:rsid w:val="00A45C61"/>
    <w:rsid w:val="00A45C9C"/>
    <w:rsid w:val="00A4607D"/>
    <w:rsid w:val="00A4622E"/>
    <w:rsid w:val="00A46246"/>
    <w:rsid w:val="00A46562"/>
    <w:rsid w:val="00A465E4"/>
    <w:rsid w:val="00A46669"/>
    <w:rsid w:val="00A46B16"/>
    <w:rsid w:val="00A46BDF"/>
    <w:rsid w:val="00A46C0C"/>
    <w:rsid w:val="00A46EE6"/>
    <w:rsid w:val="00A46F3F"/>
    <w:rsid w:val="00A47016"/>
    <w:rsid w:val="00A47152"/>
    <w:rsid w:val="00A47228"/>
    <w:rsid w:val="00A472AB"/>
    <w:rsid w:val="00A474A7"/>
    <w:rsid w:val="00A47570"/>
    <w:rsid w:val="00A476E7"/>
    <w:rsid w:val="00A47A42"/>
    <w:rsid w:val="00A47BEC"/>
    <w:rsid w:val="00A47DC5"/>
    <w:rsid w:val="00A47E7E"/>
    <w:rsid w:val="00A47F4F"/>
    <w:rsid w:val="00A47F70"/>
    <w:rsid w:val="00A47FC2"/>
    <w:rsid w:val="00A50013"/>
    <w:rsid w:val="00A500FC"/>
    <w:rsid w:val="00A501C8"/>
    <w:rsid w:val="00A50362"/>
    <w:rsid w:val="00A503BB"/>
    <w:rsid w:val="00A503DB"/>
    <w:rsid w:val="00A50401"/>
    <w:rsid w:val="00A504C9"/>
    <w:rsid w:val="00A505CF"/>
    <w:rsid w:val="00A506DC"/>
    <w:rsid w:val="00A50877"/>
    <w:rsid w:val="00A5099A"/>
    <w:rsid w:val="00A509B8"/>
    <w:rsid w:val="00A50A52"/>
    <w:rsid w:val="00A50C39"/>
    <w:rsid w:val="00A50D08"/>
    <w:rsid w:val="00A50DEA"/>
    <w:rsid w:val="00A50EB8"/>
    <w:rsid w:val="00A510CF"/>
    <w:rsid w:val="00A51154"/>
    <w:rsid w:val="00A5124C"/>
    <w:rsid w:val="00A51404"/>
    <w:rsid w:val="00A51529"/>
    <w:rsid w:val="00A51BFB"/>
    <w:rsid w:val="00A51C6E"/>
    <w:rsid w:val="00A51D32"/>
    <w:rsid w:val="00A51E03"/>
    <w:rsid w:val="00A51E53"/>
    <w:rsid w:val="00A51F73"/>
    <w:rsid w:val="00A52206"/>
    <w:rsid w:val="00A52338"/>
    <w:rsid w:val="00A52372"/>
    <w:rsid w:val="00A524F8"/>
    <w:rsid w:val="00A525E7"/>
    <w:rsid w:val="00A5292B"/>
    <w:rsid w:val="00A52B3C"/>
    <w:rsid w:val="00A52C52"/>
    <w:rsid w:val="00A52D05"/>
    <w:rsid w:val="00A52DBB"/>
    <w:rsid w:val="00A52EEF"/>
    <w:rsid w:val="00A53071"/>
    <w:rsid w:val="00A530E3"/>
    <w:rsid w:val="00A5322F"/>
    <w:rsid w:val="00A5330A"/>
    <w:rsid w:val="00A5338D"/>
    <w:rsid w:val="00A534AB"/>
    <w:rsid w:val="00A53602"/>
    <w:rsid w:val="00A5362E"/>
    <w:rsid w:val="00A53842"/>
    <w:rsid w:val="00A53B0F"/>
    <w:rsid w:val="00A53C1D"/>
    <w:rsid w:val="00A53C9E"/>
    <w:rsid w:val="00A541DF"/>
    <w:rsid w:val="00A5474B"/>
    <w:rsid w:val="00A5477E"/>
    <w:rsid w:val="00A54A38"/>
    <w:rsid w:val="00A54AF3"/>
    <w:rsid w:val="00A54BDF"/>
    <w:rsid w:val="00A54C1C"/>
    <w:rsid w:val="00A54E4B"/>
    <w:rsid w:val="00A552D6"/>
    <w:rsid w:val="00A55513"/>
    <w:rsid w:val="00A555E2"/>
    <w:rsid w:val="00A55649"/>
    <w:rsid w:val="00A5565C"/>
    <w:rsid w:val="00A55923"/>
    <w:rsid w:val="00A55BA2"/>
    <w:rsid w:val="00A55C45"/>
    <w:rsid w:val="00A55C57"/>
    <w:rsid w:val="00A55C6E"/>
    <w:rsid w:val="00A55D35"/>
    <w:rsid w:val="00A560AB"/>
    <w:rsid w:val="00A561C0"/>
    <w:rsid w:val="00A56273"/>
    <w:rsid w:val="00A563DA"/>
    <w:rsid w:val="00A564A6"/>
    <w:rsid w:val="00A564E0"/>
    <w:rsid w:val="00A564FE"/>
    <w:rsid w:val="00A56673"/>
    <w:rsid w:val="00A56861"/>
    <w:rsid w:val="00A56C01"/>
    <w:rsid w:val="00A56C54"/>
    <w:rsid w:val="00A56E12"/>
    <w:rsid w:val="00A5722D"/>
    <w:rsid w:val="00A57423"/>
    <w:rsid w:val="00A579F4"/>
    <w:rsid w:val="00A57BAC"/>
    <w:rsid w:val="00A57E30"/>
    <w:rsid w:val="00A57EFC"/>
    <w:rsid w:val="00A57FF2"/>
    <w:rsid w:val="00A602C9"/>
    <w:rsid w:val="00A604AC"/>
    <w:rsid w:val="00A604CE"/>
    <w:rsid w:val="00A606BC"/>
    <w:rsid w:val="00A60719"/>
    <w:rsid w:val="00A609A4"/>
    <w:rsid w:val="00A60AD5"/>
    <w:rsid w:val="00A60B78"/>
    <w:rsid w:val="00A60D0D"/>
    <w:rsid w:val="00A610D3"/>
    <w:rsid w:val="00A61291"/>
    <w:rsid w:val="00A6138E"/>
    <w:rsid w:val="00A61528"/>
    <w:rsid w:val="00A61581"/>
    <w:rsid w:val="00A615F7"/>
    <w:rsid w:val="00A61D73"/>
    <w:rsid w:val="00A61F83"/>
    <w:rsid w:val="00A61FD2"/>
    <w:rsid w:val="00A6218F"/>
    <w:rsid w:val="00A622EE"/>
    <w:rsid w:val="00A6278E"/>
    <w:rsid w:val="00A627AC"/>
    <w:rsid w:val="00A627C3"/>
    <w:rsid w:val="00A628EF"/>
    <w:rsid w:val="00A62AF3"/>
    <w:rsid w:val="00A62D5E"/>
    <w:rsid w:val="00A6315A"/>
    <w:rsid w:val="00A634AA"/>
    <w:rsid w:val="00A63553"/>
    <w:rsid w:val="00A6397C"/>
    <w:rsid w:val="00A639BD"/>
    <w:rsid w:val="00A639C8"/>
    <w:rsid w:val="00A63C06"/>
    <w:rsid w:val="00A6403C"/>
    <w:rsid w:val="00A640ED"/>
    <w:rsid w:val="00A6419A"/>
    <w:rsid w:val="00A6438F"/>
    <w:rsid w:val="00A6464B"/>
    <w:rsid w:val="00A648F9"/>
    <w:rsid w:val="00A649C4"/>
    <w:rsid w:val="00A649D3"/>
    <w:rsid w:val="00A649FC"/>
    <w:rsid w:val="00A64B1C"/>
    <w:rsid w:val="00A64C86"/>
    <w:rsid w:val="00A64CCF"/>
    <w:rsid w:val="00A64E37"/>
    <w:rsid w:val="00A64EDE"/>
    <w:rsid w:val="00A6520A"/>
    <w:rsid w:val="00A65657"/>
    <w:rsid w:val="00A65781"/>
    <w:rsid w:val="00A657F5"/>
    <w:rsid w:val="00A65A5B"/>
    <w:rsid w:val="00A65A73"/>
    <w:rsid w:val="00A65AA5"/>
    <w:rsid w:val="00A65C8D"/>
    <w:rsid w:val="00A65CB7"/>
    <w:rsid w:val="00A65DC8"/>
    <w:rsid w:val="00A65DE8"/>
    <w:rsid w:val="00A664BC"/>
    <w:rsid w:val="00A667C2"/>
    <w:rsid w:val="00A667C5"/>
    <w:rsid w:val="00A668C1"/>
    <w:rsid w:val="00A668CA"/>
    <w:rsid w:val="00A66950"/>
    <w:rsid w:val="00A66C46"/>
    <w:rsid w:val="00A66FFD"/>
    <w:rsid w:val="00A67175"/>
    <w:rsid w:val="00A67231"/>
    <w:rsid w:val="00A6723D"/>
    <w:rsid w:val="00A67410"/>
    <w:rsid w:val="00A6775B"/>
    <w:rsid w:val="00A67A83"/>
    <w:rsid w:val="00A67AE6"/>
    <w:rsid w:val="00A67B11"/>
    <w:rsid w:val="00A67CD3"/>
    <w:rsid w:val="00A67D10"/>
    <w:rsid w:val="00A67F3E"/>
    <w:rsid w:val="00A67F73"/>
    <w:rsid w:val="00A700C5"/>
    <w:rsid w:val="00A70212"/>
    <w:rsid w:val="00A703FB"/>
    <w:rsid w:val="00A7067E"/>
    <w:rsid w:val="00A70856"/>
    <w:rsid w:val="00A708E0"/>
    <w:rsid w:val="00A7090B"/>
    <w:rsid w:val="00A70A07"/>
    <w:rsid w:val="00A70A5E"/>
    <w:rsid w:val="00A70FE1"/>
    <w:rsid w:val="00A7101A"/>
    <w:rsid w:val="00A7110F"/>
    <w:rsid w:val="00A71122"/>
    <w:rsid w:val="00A711A6"/>
    <w:rsid w:val="00A711B0"/>
    <w:rsid w:val="00A711F0"/>
    <w:rsid w:val="00A7125A"/>
    <w:rsid w:val="00A71337"/>
    <w:rsid w:val="00A71401"/>
    <w:rsid w:val="00A714A6"/>
    <w:rsid w:val="00A71506"/>
    <w:rsid w:val="00A71518"/>
    <w:rsid w:val="00A7162A"/>
    <w:rsid w:val="00A7164A"/>
    <w:rsid w:val="00A71850"/>
    <w:rsid w:val="00A71927"/>
    <w:rsid w:val="00A71985"/>
    <w:rsid w:val="00A71C36"/>
    <w:rsid w:val="00A71FAD"/>
    <w:rsid w:val="00A722B5"/>
    <w:rsid w:val="00A722CB"/>
    <w:rsid w:val="00A723CE"/>
    <w:rsid w:val="00A723D6"/>
    <w:rsid w:val="00A72960"/>
    <w:rsid w:val="00A72988"/>
    <w:rsid w:val="00A72F35"/>
    <w:rsid w:val="00A72F3C"/>
    <w:rsid w:val="00A72F96"/>
    <w:rsid w:val="00A72FD8"/>
    <w:rsid w:val="00A73163"/>
    <w:rsid w:val="00A73229"/>
    <w:rsid w:val="00A73702"/>
    <w:rsid w:val="00A7375E"/>
    <w:rsid w:val="00A737A2"/>
    <w:rsid w:val="00A739CA"/>
    <w:rsid w:val="00A73A49"/>
    <w:rsid w:val="00A73AC4"/>
    <w:rsid w:val="00A73AC8"/>
    <w:rsid w:val="00A73CAC"/>
    <w:rsid w:val="00A73FB7"/>
    <w:rsid w:val="00A7438A"/>
    <w:rsid w:val="00A743C5"/>
    <w:rsid w:val="00A7486F"/>
    <w:rsid w:val="00A749A1"/>
    <w:rsid w:val="00A74A77"/>
    <w:rsid w:val="00A74A9F"/>
    <w:rsid w:val="00A74E7F"/>
    <w:rsid w:val="00A74F5A"/>
    <w:rsid w:val="00A752FF"/>
    <w:rsid w:val="00A7536F"/>
    <w:rsid w:val="00A757BE"/>
    <w:rsid w:val="00A75A62"/>
    <w:rsid w:val="00A75BEA"/>
    <w:rsid w:val="00A75DE0"/>
    <w:rsid w:val="00A75F09"/>
    <w:rsid w:val="00A75F84"/>
    <w:rsid w:val="00A76091"/>
    <w:rsid w:val="00A76186"/>
    <w:rsid w:val="00A761E5"/>
    <w:rsid w:val="00A7626E"/>
    <w:rsid w:val="00A7635E"/>
    <w:rsid w:val="00A764FF"/>
    <w:rsid w:val="00A766E0"/>
    <w:rsid w:val="00A767B4"/>
    <w:rsid w:val="00A7686F"/>
    <w:rsid w:val="00A768B9"/>
    <w:rsid w:val="00A768E6"/>
    <w:rsid w:val="00A76A3B"/>
    <w:rsid w:val="00A76C23"/>
    <w:rsid w:val="00A76C56"/>
    <w:rsid w:val="00A76CE8"/>
    <w:rsid w:val="00A76DCA"/>
    <w:rsid w:val="00A76F31"/>
    <w:rsid w:val="00A7701C"/>
    <w:rsid w:val="00A77036"/>
    <w:rsid w:val="00A773FE"/>
    <w:rsid w:val="00A7744C"/>
    <w:rsid w:val="00A774FB"/>
    <w:rsid w:val="00A775AD"/>
    <w:rsid w:val="00A77697"/>
    <w:rsid w:val="00A77B6B"/>
    <w:rsid w:val="00A77D40"/>
    <w:rsid w:val="00A77E3A"/>
    <w:rsid w:val="00A77F43"/>
    <w:rsid w:val="00A8018E"/>
    <w:rsid w:val="00A801FC"/>
    <w:rsid w:val="00A80343"/>
    <w:rsid w:val="00A806AE"/>
    <w:rsid w:val="00A80749"/>
    <w:rsid w:val="00A80A7B"/>
    <w:rsid w:val="00A80D8F"/>
    <w:rsid w:val="00A81038"/>
    <w:rsid w:val="00A81087"/>
    <w:rsid w:val="00A81480"/>
    <w:rsid w:val="00A814FF"/>
    <w:rsid w:val="00A81581"/>
    <w:rsid w:val="00A81683"/>
    <w:rsid w:val="00A81686"/>
    <w:rsid w:val="00A816FC"/>
    <w:rsid w:val="00A8192A"/>
    <w:rsid w:val="00A8198B"/>
    <w:rsid w:val="00A819AF"/>
    <w:rsid w:val="00A81A96"/>
    <w:rsid w:val="00A81CF1"/>
    <w:rsid w:val="00A81E17"/>
    <w:rsid w:val="00A8205C"/>
    <w:rsid w:val="00A820C7"/>
    <w:rsid w:val="00A821A0"/>
    <w:rsid w:val="00A821AC"/>
    <w:rsid w:val="00A82490"/>
    <w:rsid w:val="00A82497"/>
    <w:rsid w:val="00A8251F"/>
    <w:rsid w:val="00A828A2"/>
    <w:rsid w:val="00A82984"/>
    <w:rsid w:val="00A82A03"/>
    <w:rsid w:val="00A82A9B"/>
    <w:rsid w:val="00A82B63"/>
    <w:rsid w:val="00A82B92"/>
    <w:rsid w:val="00A82FAD"/>
    <w:rsid w:val="00A82FDC"/>
    <w:rsid w:val="00A83062"/>
    <w:rsid w:val="00A830A0"/>
    <w:rsid w:val="00A83203"/>
    <w:rsid w:val="00A83210"/>
    <w:rsid w:val="00A83392"/>
    <w:rsid w:val="00A83503"/>
    <w:rsid w:val="00A835B8"/>
    <w:rsid w:val="00A8387D"/>
    <w:rsid w:val="00A838A9"/>
    <w:rsid w:val="00A83AD4"/>
    <w:rsid w:val="00A83BAC"/>
    <w:rsid w:val="00A83C8A"/>
    <w:rsid w:val="00A83D66"/>
    <w:rsid w:val="00A83E6A"/>
    <w:rsid w:val="00A83F38"/>
    <w:rsid w:val="00A83F6A"/>
    <w:rsid w:val="00A83F8C"/>
    <w:rsid w:val="00A84054"/>
    <w:rsid w:val="00A841F2"/>
    <w:rsid w:val="00A8437F"/>
    <w:rsid w:val="00A84545"/>
    <w:rsid w:val="00A84693"/>
    <w:rsid w:val="00A846F1"/>
    <w:rsid w:val="00A84813"/>
    <w:rsid w:val="00A848C8"/>
    <w:rsid w:val="00A84A91"/>
    <w:rsid w:val="00A84C8A"/>
    <w:rsid w:val="00A84C99"/>
    <w:rsid w:val="00A84D74"/>
    <w:rsid w:val="00A84EC2"/>
    <w:rsid w:val="00A8506F"/>
    <w:rsid w:val="00A850A4"/>
    <w:rsid w:val="00A85174"/>
    <w:rsid w:val="00A85219"/>
    <w:rsid w:val="00A85614"/>
    <w:rsid w:val="00A856A8"/>
    <w:rsid w:val="00A85A88"/>
    <w:rsid w:val="00A85BAC"/>
    <w:rsid w:val="00A85C19"/>
    <w:rsid w:val="00A85C76"/>
    <w:rsid w:val="00A85CD7"/>
    <w:rsid w:val="00A85EF1"/>
    <w:rsid w:val="00A86943"/>
    <w:rsid w:val="00A869FA"/>
    <w:rsid w:val="00A86A8C"/>
    <w:rsid w:val="00A86D8E"/>
    <w:rsid w:val="00A86EAF"/>
    <w:rsid w:val="00A86EB4"/>
    <w:rsid w:val="00A86EDC"/>
    <w:rsid w:val="00A87382"/>
    <w:rsid w:val="00A874CD"/>
    <w:rsid w:val="00A8775B"/>
    <w:rsid w:val="00A8780C"/>
    <w:rsid w:val="00A87AA1"/>
    <w:rsid w:val="00A87AE3"/>
    <w:rsid w:val="00A87D26"/>
    <w:rsid w:val="00A87D74"/>
    <w:rsid w:val="00A87DF4"/>
    <w:rsid w:val="00A87F8B"/>
    <w:rsid w:val="00A900C8"/>
    <w:rsid w:val="00A90245"/>
    <w:rsid w:val="00A9027F"/>
    <w:rsid w:val="00A9067A"/>
    <w:rsid w:val="00A90978"/>
    <w:rsid w:val="00A90BCF"/>
    <w:rsid w:val="00A90D07"/>
    <w:rsid w:val="00A90DE2"/>
    <w:rsid w:val="00A90EF4"/>
    <w:rsid w:val="00A91034"/>
    <w:rsid w:val="00A911BD"/>
    <w:rsid w:val="00A91425"/>
    <w:rsid w:val="00A9165E"/>
    <w:rsid w:val="00A917CE"/>
    <w:rsid w:val="00A91933"/>
    <w:rsid w:val="00A9198F"/>
    <w:rsid w:val="00A91ACD"/>
    <w:rsid w:val="00A91C0C"/>
    <w:rsid w:val="00A91E20"/>
    <w:rsid w:val="00A9214D"/>
    <w:rsid w:val="00A92205"/>
    <w:rsid w:val="00A92335"/>
    <w:rsid w:val="00A9236A"/>
    <w:rsid w:val="00A923B9"/>
    <w:rsid w:val="00A924B2"/>
    <w:rsid w:val="00A924E0"/>
    <w:rsid w:val="00A92A04"/>
    <w:rsid w:val="00A92C21"/>
    <w:rsid w:val="00A92E0F"/>
    <w:rsid w:val="00A92F80"/>
    <w:rsid w:val="00A9309A"/>
    <w:rsid w:val="00A93131"/>
    <w:rsid w:val="00A9318E"/>
    <w:rsid w:val="00A93294"/>
    <w:rsid w:val="00A932F6"/>
    <w:rsid w:val="00A93358"/>
    <w:rsid w:val="00A93589"/>
    <w:rsid w:val="00A93641"/>
    <w:rsid w:val="00A93763"/>
    <w:rsid w:val="00A937ED"/>
    <w:rsid w:val="00A93976"/>
    <w:rsid w:val="00A939D5"/>
    <w:rsid w:val="00A93CE3"/>
    <w:rsid w:val="00A93DE2"/>
    <w:rsid w:val="00A93E94"/>
    <w:rsid w:val="00A93F10"/>
    <w:rsid w:val="00A94125"/>
    <w:rsid w:val="00A9454A"/>
    <w:rsid w:val="00A948F7"/>
    <w:rsid w:val="00A94B9D"/>
    <w:rsid w:val="00A94C2A"/>
    <w:rsid w:val="00A94E43"/>
    <w:rsid w:val="00A94EC7"/>
    <w:rsid w:val="00A9510D"/>
    <w:rsid w:val="00A953BC"/>
    <w:rsid w:val="00A95583"/>
    <w:rsid w:val="00A955C1"/>
    <w:rsid w:val="00A955FC"/>
    <w:rsid w:val="00A95605"/>
    <w:rsid w:val="00A95667"/>
    <w:rsid w:val="00A95729"/>
    <w:rsid w:val="00A95992"/>
    <w:rsid w:val="00A95A09"/>
    <w:rsid w:val="00A95C20"/>
    <w:rsid w:val="00A95CCC"/>
    <w:rsid w:val="00A95DAE"/>
    <w:rsid w:val="00A95E11"/>
    <w:rsid w:val="00A95F7B"/>
    <w:rsid w:val="00A96132"/>
    <w:rsid w:val="00A9626C"/>
    <w:rsid w:val="00A96398"/>
    <w:rsid w:val="00A965CF"/>
    <w:rsid w:val="00A9664D"/>
    <w:rsid w:val="00A9673E"/>
    <w:rsid w:val="00A9686A"/>
    <w:rsid w:val="00A96A42"/>
    <w:rsid w:val="00A96AA6"/>
    <w:rsid w:val="00A96C60"/>
    <w:rsid w:val="00A96F72"/>
    <w:rsid w:val="00A96FD8"/>
    <w:rsid w:val="00A9701D"/>
    <w:rsid w:val="00A97040"/>
    <w:rsid w:val="00A9741F"/>
    <w:rsid w:val="00A9764E"/>
    <w:rsid w:val="00A97701"/>
    <w:rsid w:val="00A97732"/>
    <w:rsid w:val="00A9785B"/>
    <w:rsid w:val="00A9791F"/>
    <w:rsid w:val="00A979E2"/>
    <w:rsid w:val="00A97AF3"/>
    <w:rsid w:val="00A97B19"/>
    <w:rsid w:val="00A97D87"/>
    <w:rsid w:val="00AA00B7"/>
    <w:rsid w:val="00AA0337"/>
    <w:rsid w:val="00AA035E"/>
    <w:rsid w:val="00AA03AF"/>
    <w:rsid w:val="00AA03E9"/>
    <w:rsid w:val="00AA046B"/>
    <w:rsid w:val="00AA04CE"/>
    <w:rsid w:val="00AA04FE"/>
    <w:rsid w:val="00AA055F"/>
    <w:rsid w:val="00AA05A8"/>
    <w:rsid w:val="00AA0726"/>
    <w:rsid w:val="00AA074F"/>
    <w:rsid w:val="00AA0881"/>
    <w:rsid w:val="00AA089A"/>
    <w:rsid w:val="00AA0B87"/>
    <w:rsid w:val="00AA0EE6"/>
    <w:rsid w:val="00AA0FFB"/>
    <w:rsid w:val="00AA1056"/>
    <w:rsid w:val="00AA12BE"/>
    <w:rsid w:val="00AA1450"/>
    <w:rsid w:val="00AA166D"/>
    <w:rsid w:val="00AA17F7"/>
    <w:rsid w:val="00AA186A"/>
    <w:rsid w:val="00AA18B9"/>
    <w:rsid w:val="00AA1B1F"/>
    <w:rsid w:val="00AA1CB1"/>
    <w:rsid w:val="00AA1EDC"/>
    <w:rsid w:val="00AA2106"/>
    <w:rsid w:val="00AA211C"/>
    <w:rsid w:val="00AA2147"/>
    <w:rsid w:val="00AA228F"/>
    <w:rsid w:val="00AA26DD"/>
    <w:rsid w:val="00AA2763"/>
    <w:rsid w:val="00AA2797"/>
    <w:rsid w:val="00AA29C5"/>
    <w:rsid w:val="00AA2A5A"/>
    <w:rsid w:val="00AA2DA3"/>
    <w:rsid w:val="00AA2DE4"/>
    <w:rsid w:val="00AA2EF9"/>
    <w:rsid w:val="00AA3111"/>
    <w:rsid w:val="00AA32FF"/>
    <w:rsid w:val="00AA3698"/>
    <w:rsid w:val="00AA3759"/>
    <w:rsid w:val="00AA3778"/>
    <w:rsid w:val="00AA3843"/>
    <w:rsid w:val="00AA3A03"/>
    <w:rsid w:val="00AA3D9C"/>
    <w:rsid w:val="00AA3DA9"/>
    <w:rsid w:val="00AA3E8D"/>
    <w:rsid w:val="00AA3ED1"/>
    <w:rsid w:val="00AA41A0"/>
    <w:rsid w:val="00AA4342"/>
    <w:rsid w:val="00AA46DC"/>
    <w:rsid w:val="00AA4824"/>
    <w:rsid w:val="00AA4B39"/>
    <w:rsid w:val="00AA4CF1"/>
    <w:rsid w:val="00AA4E0F"/>
    <w:rsid w:val="00AA4EAC"/>
    <w:rsid w:val="00AA4F59"/>
    <w:rsid w:val="00AA50F6"/>
    <w:rsid w:val="00AA51C5"/>
    <w:rsid w:val="00AA51EA"/>
    <w:rsid w:val="00AA53AE"/>
    <w:rsid w:val="00AA53BA"/>
    <w:rsid w:val="00AA53D6"/>
    <w:rsid w:val="00AA53F9"/>
    <w:rsid w:val="00AA5A30"/>
    <w:rsid w:val="00AA5A4D"/>
    <w:rsid w:val="00AA5BA4"/>
    <w:rsid w:val="00AA5FA7"/>
    <w:rsid w:val="00AA6233"/>
    <w:rsid w:val="00AA64AD"/>
    <w:rsid w:val="00AA65E1"/>
    <w:rsid w:val="00AA669E"/>
    <w:rsid w:val="00AA66B6"/>
    <w:rsid w:val="00AA6A06"/>
    <w:rsid w:val="00AA6C4F"/>
    <w:rsid w:val="00AA6C7E"/>
    <w:rsid w:val="00AA6F12"/>
    <w:rsid w:val="00AA7039"/>
    <w:rsid w:val="00AA72DF"/>
    <w:rsid w:val="00AA73B3"/>
    <w:rsid w:val="00AA75A1"/>
    <w:rsid w:val="00AA75C4"/>
    <w:rsid w:val="00AA7640"/>
    <w:rsid w:val="00AA76AD"/>
    <w:rsid w:val="00AA7A61"/>
    <w:rsid w:val="00AA7A6E"/>
    <w:rsid w:val="00AA7A76"/>
    <w:rsid w:val="00AA7DF1"/>
    <w:rsid w:val="00AB0162"/>
    <w:rsid w:val="00AB01F0"/>
    <w:rsid w:val="00AB032A"/>
    <w:rsid w:val="00AB0624"/>
    <w:rsid w:val="00AB07DA"/>
    <w:rsid w:val="00AB0900"/>
    <w:rsid w:val="00AB092F"/>
    <w:rsid w:val="00AB093A"/>
    <w:rsid w:val="00AB0960"/>
    <w:rsid w:val="00AB0A0A"/>
    <w:rsid w:val="00AB0B57"/>
    <w:rsid w:val="00AB0C7B"/>
    <w:rsid w:val="00AB0E92"/>
    <w:rsid w:val="00AB0EA5"/>
    <w:rsid w:val="00AB13E1"/>
    <w:rsid w:val="00AB1442"/>
    <w:rsid w:val="00AB1539"/>
    <w:rsid w:val="00AB1862"/>
    <w:rsid w:val="00AB18C0"/>
    <w:rsid w:val="00AB1907"/>
    <w:rsid w:val="00AB19A0"/>
    <w:rsid w:val="00AB19E1"/>
    <w:rsid w:val="00AB1B2B"/>
    <w:rsid w:val="00AB1CB4"/>
    <w:rsid w:val="00AB1D28"/>
    <w:rsid w:val="00AB1E55"/>
    <w:rsid w:val="00AB2076"/>
    <w:rsid w:val="00AB21B3"/>
    <w:rsid w:val="00AB2241"/>
    <w:rsid w:val="00AB233D"/>
    <w:rsid w:val="00AB27D5"/>
    <w:rsid w:val="00AB292F"/>
    <w:rsid w:val="00AB2C4D"/>
    <w:rsid w:val="00AB2E46"/>
    <w:rsid w:val="00AB2E81"/>
    <w:rsid w:val="00AB2EB6"/>
    <w:rsid w:val="00AB2FEB"/>
    <w:rsid w:val="00AB3061"/>
    <w:rsid w:val="00AB3082"/>
    <w:rsid w:val="00AB30CF"/>
    <w:rsid w:val="00AB3108"/>
    <w:rsid w:val="00AB311A"/>
    <w:rsid w:val="00AB3149"/>
    <w:rsid w:val="00AB34C3"/>
    <w:rsid w:val="00AB3727"/>
    <w:rsid w:val="00AB3AE9"/>
    <w:rsid w:val="00AB3B18"/>
    <w:rsid w:val="00AB3BCE"/>
    <w:rsid w:val="00AB3E30"/>
    <w:rsid w:val="00AB3F72"/>
    <w:rsid w:val="00AB3FBC"/>
    <w:rsid w:val="00AB44A5"/>
    <w:rsid w:val="00AB44C2"/>
    <w:rsid w:val="00AB4557"/>
    <w:rsid w:val="00AB45A9"/>
    <w:rsid w:val="00AB4685"/>
    <w:rsid w:val="00AB47B6"/>
    <w:rsid w:val="00AB4889"/>
    <w:rsid w:val="00AB4A27"/>
    <w:rsid w:val="00AB4A99"/>
    <w:rsid w:val="00AB4AD0"/>
    <w:rsid w:val="00AB4CA7"/>
    <w:rsid w:val="00AB5186"/>
    <w:rsid w:val="00AB51EA"/>
    <w:rsid w:val="00AB5405"/>
    <w:rsid w:val="00AB5491"/>
    <w:rsid w:val="00AB559D"/>
    <w:rsid w:val="00AB56DC"/>
    <w:rsid w:val="00AB579E"/>
    <w:rsid w:val="00AB57C6"/>
    <w:rsid w:val="00AB5C4A"/>
    <w:rsid w:val="00AB5E93"/>
    <w:rsid w:val="00AB5FD2"/>
    <w:rsid w:val="00AB5FDA"/>
    <w:rsid w:val="00AB6025"/>
    <w:rsid w:val="00AB602B"/>
    <w:rsid w:val="00AB60C0"/>
    <w:rsid w:val="00AB6141"/>
    <w:rsid w:val="00AB61F0"/>
    <w:rsid w:val="00AB62DB"/>
    <w:rsid w:val="00AB6308"/>
    <w:rsid w:val="00AB6344"/>
    <w:rsid w:val="00AB6346"/>
    <w:rsid w:val="00AB64A2"/>
    <w:rsid w:val="00AB6541"/>
    <w:rsid w:val="00AB6713"/>
    <w:rsid w:val="00AB6868"/>
    <w:rsid w:val="00AB6881"/>
    <w:rsid w:val="00AB68E8"/>
    <w:rsid w:val="00AB6A05"/>
    <w:rsid w:val="00AB6C51"/>
    <w:rsid w:val="00AB6DDD"/>
    <w:rsid w:val="00AB704F"/>
    <w:rsid w:val="00AB7107"/>
    <w:rsid w:val="00AB75F5"/>
    <w:rsid w:val="00AB773D"/>
    <w:rsid w:val="00AB7807"/>
    <w:rsid w:val="00AB7837"/>
    <w:rsid w:val="00AB7916"/>
    <w:rsid w:val="00AB7A1C"/>
    <w:rsid w:val="00AB7C88"/>
    <w:rsid w:val="00AB7C99"/>
    <w:rsid w:val="00AB7CDE"/>
    <w:rsid w:val="00AB7D22"/>
    <w:rsid w:val="00AB7F28"/>
    <w:rsid w:val="00AC01F1"/>
    <w:rsid w:val="00AC0209"/>
    <w:rsid w:val="00AC0399"/>
    <w:rsid w:val="00AC03B2"/>
    <w:rsid w:val="00AC0459"/>
    <w:rsid w:val="00AC08D7"/>
    <w:rsid w:val="00AC0A71"/>
    <w:rsid w:val="00AC1003"/>
    <w:rsid w:val="00AC10D6"/>
    <w:rsid w:val="00AC1277"/>
    <w:rsid w:val="00AC14FE"/>
    <w:rsid w:val="00AC1894"/>
    <w:rsid w:val="00AC1927"/>
    <w:rsid w:val="00AC19B4"/>
    <w:rsid w:val="00AC19D7"/>
    <w:rsid w:val="00AC1BAA"/>
    <w:rsid w:val="00AC1CFE"/>
    <w:rsid w:val="00AC1E91"/>
    <w:rsid w:val="00AC1EC4"/>
    <w:rsid w:val="00AC20F7"/>
    <w:rsid w:val="00AC2163"/>
    <w:rsid w:val="00AC2227"/>
    <w:rsid w:val="00AC222E"/>
    <w:rsid w:val="00AC273E"/>
    <w:rsid w:val="00AC2784"/>
    <w:rsid w:val="00AC29C3"/>
    <w:rsid w:val="00AC2C2F"/>
    <w:rsid w:val="00AC2C3C"/>
    <w:rsid w:val="00AC2C6B"/>
    <w:rsid w:val="00AC2EBD"/>
    <w:rsid w:val="00AC2F93"/>
    <w:rsid w:val="00AC3016"/>
    <w:rsid w:val="00AC303F"/>
    <w:rsid w:val="00AC3184"/>
    <w:rsid w:val="00AC3197"/>
    <w:rsid w:val="00AC32A6"/>
    <w:rsid w:val="00AC3670"/>
    <w:rsid w:val="00AC3858"/>
    <w:rsid w:val="00AC3936"/>
    <w:rsid w:val="00AC3940"/>
    <w:rsid w:val="00AC3958"/>
    <w:rsid w:val="00AC39B1"/>
    <w:rsid w:val="00AC3B40"/>
    <w:rsid w:val="00AC3C4F"/>
    <w:rsid w:val="00AC3D56"/>
    <w:rsid w:val="00AC3E63"/>
    <w:rsid w:val="00AC3E7C"/>
    <w:rsid w:val="00AC3FEE"/>
    <w:rsid w:val="00AC4118"/>
    <w:rsid w:val="00AC41D9"/>
    <w:rsid w:val="00AC4280"/>
    <w:rsid w:val="00AC45E2"/>
    <w:rsid w:val="00AC4644"/>
    <w:rsid w:val="00AC466B"/>
    <w:rsid w:val="00AC47FE"/>
    <w:rsid w:val="00AC48FB"/>
    <w:rsid w:val="00AC49EF"/>
    <w:rsid w:val="00AC4C9B"/>
    <w:rsid w:val="00AC4D0C"/>
    <w:rsid w:val="00AC4FA9"/>
    <w:rsid w:val="00AC5258"/>
    <w:rsid w:val="00AC52ED"/>
    <w:rsid w:val="00AC52F7"/>
    <w:rsid w:val="00AC5327"/>
    <w:rsid w:val="00AC54C1"/>
    <w:rsid w:val="00AC54E0"/>
    <w:rsid w:val="00AC551C"/>
    <w:rsid w:val="00AC5672"/>
    <w:rsid w:val="00AC56A2"/>
    <w:rsid w:val="00AC56C4"/>
    <w:rsid w:val="00AC56DE"/>
    <w:rsid w:val="00AC5763"/>
    <w:rsid w:val="00AC584F"/>
    <w:rsid w:val="00AC59E9"/>
    <w:rsid w:val="00AC5B67"/>
    <w:rsid w:val="00AC5B6F"/>
    <w:rsid w:val="00AC5B8F"/>
    <w:rsid w:val="00AC5E43"/>
    <w:rsid w:val="00AC5F5D"/>
    <w:rsid w:val="00AC6011"/>
    <w:rsid w:val="00AC604F"/>
    <w:rsid w:val="00AC6308"/>
    <w:rsid w:val="00AC63F7"/>
    <w:rsid w:val="00AC6536"/>
    <w:rsid w:val="00AC657E"/>
    <w:rsid w:val="00AC6B57"/>
    <w:rsid w:val="00AC6E3B"/>
    <w:rsid w:val="00AC6F16"/>
    <w:rsid w:val="00AC70B3"/>
    <w:rsid w:val="00AC721F"/>
    <w:rsid w:val="00AC727C"/>
    <w:rsid w:val="00AC73DB"/>
    <w:rsid w:val="00AC76A4"/>
    <w:rsid w:val="00AC7793"/>
    <w:rsid w:val="00AC7953"/>
    <w:rsid w:val="00AC79CD"/>
    <w:rsid w:val="00AC79F2"/>
    <w:rsid w:val="00AC7C82"/>
    <w:rsid w:val="00AC7F4E"/>
    <w:rsid w:val="00AC7FDF"/>
    <w:rsid w:val="00AD0084"/>
    <w:rsid w:val="00AD012E"/>
    <w:rsid w:val="00AD01FD"/>
    <w:rsid w:val="00AD0262"/>
    <w:rsid w:val="00AD03AE"/>
    <w:rsid w:val="00AD0406"/>
    <w:rsid w:val="00AD0686"/>
    <w:rsid w:val="00AD0733"/>
    <w:rsid w:val="00AD076D"/>
    <w:rsid w:val="00AD08E5"/>
    <w:rsid w:val="00AD09F0"/>
    <w:rsid w:val="00AD0AA4"/>
    <w:rsid w:val="00AD0AB6"/>
    <w:rsid w:val="00AD0BD6"/>
    <w:rsid w:val="00AD0C30"/>
    <w:rsid w:val="00AD0C31"/>
    <w:rsid w:val="00AD0CAE"/>
    <w:rsid w:val="00AD0CB9"/>
    <w:rsid w:val="00AD0E21"/>
    <w:rsid w:val="00AD0F71"/>
    <w:rsid w:val="00AD102B"/>
    <w:rsid w:val="00AD10E7"/>
    <w:rsid w:val="00AD1182"/>
    <w:rsid w:val="00AD14A7"/>
    <w:rsid w:val="00AD1517"/>
    <w:rsid w:val="00AD16E9"/>
    <w:rsid w:val="00AD17E4"/>
    <w:rsid w:val="00AD1A2D"/>
    <w:rsid w:val="00AD1A73"/>
    <w:rsid w:val="00AD1B47"/>
    <w:rsid w:val="00AD1D23"/>
    <w:rsid w:val="00AD1DA1"/>
    <w:rsid w:val="00AD1F11"/>
    <w:rsid w:val="00AD1FFE"/>
    <w:rsid w:val="00AD23A5"/>
    <w:rsid w:val="00AD24F9"/>
    <w:rsid w:val="00AD2769"/>
    <w:rsid w:val="00AD27E2"/>
    <w:rsid w:val="00AD28A7"/>
    <w:rsid w:val="00AD2944"/>
    <w:rsid w:val="00AD2ACF"/>
    <w:rsid w:val="00AD2B56"/>
    <w:rsid w:val="00AD2CA0"/>
    <w:rsid w:val="00AD2DBC"/>
    <w:rsid w:val="00AD32BB"/>
    <w:rsid w:val="00AD35C4"/>
    <w:rsid w:val="00AD361B"/>
    <w:rsid w:val="00AD36A6"/>
    <w:rsid w:val="00AD3730"/>
    <w:rsid w:val="00AD3826"/>
    <w:rsid w:val="00AD386A"/>
    <w:rsid w:val="00AD3A40"/>
    <w:rsid w:val="00AD3A9E"/>
    <w:rsid w:val="00AD3AAE"/>
    <w:rsid w:val="00AD3AEF"/>
    <w:rsid w:val="00AD3B84"/>
    <w:rsid w:val="00AD3C17"/>
    <w:rsid w:val="00AD4058"/>
    <w:rsid w:val="00AD40C5"/>
    <w:rsid w:val="00AD4968"/>
    <w:rsid w:val="00AD4987"/>
    <w:rsid w:val="00AD49F2"/>
    <w:rsid w:val="00AD4A63"/>
    <w:rsid w:val="00AD4BB6"/>
    <w:rsid w:val="00AD4BFE"/>
    <w:rsid w:val="00AD4C10"/>
    <w:rsid w:val="00AD4CC9"/>
    <w:rsid w:val="00AD4E08"/>
    <w:rsid w:val="00AD509A"/>
    <w:rsid w:val="00AD50A2"/>
    <w:rsid w:val="00AD51D6"/>
    <w:rsid w:val="00AD548A"/>
    <w:rsid w:val="00AD5580"/>
    <w:rsid w:val="00AD584C"/>
    <w:rsid w:val="00AD5984"/>
    <w:rsid w:val="00AD599D"/>
    <w:rsid w:val="00AD5B7C"/>
    <w:rsid w:val="00AD5BB9"/>
    <w:rsid w:val="00AD5BE4"/>
    <w:rsid w:val="00AD5C4B"/>
    <w:rsid w:val="00AD5E8E"/>
    <w:rsid w:val="00AD605E"/>
    <w:rsid w:val="00AD60F3"/>
    <w:rsid w:val="00AD617E"/>
    <w:rsid w:val="00AD6280"/>
    <w:rsid w:val="00AD648B"/>
    <w:rsid w:val="00AD6607"/>
    <w:rsid w:val="00AD67FB"/>
    <w:rsid w:val="00AD6809"/>
    <w:rsid w:val="00AD6B79"/>
    <w:rsid w:val="00AD6D8A"/>
    <w:rsid w:val="00AD6F04"/>
    <w:rsid w:val="00AD7261"/>
    <w:rsid w:val="00AD72E1"/>
    <w:rsid w:val="00AD74BE"/>
    <w:rsid w:val="00AD74C3"/>
    <w:rsid w:val="00AD7867"/>
    <w:rsid w:val="00AD7B78"/>
    <w:rsid w:val="00AD7D4E"/>
    <w:rsid w:val="00AE00CF"/>
    <w:rsid w:val="00AE0133"/>
    <w:rsid w:val="00AE026E"/>
    <w:rsid w:val="00AE0328"/>
    <w:rsid w:val="00AE03B8"/>
    <w:rsid w:val="00AE0462"/>
    <w:rsid w:val="00AE0742"/>
    <w:rsid w:val="00AE074E"/>
    <w:rsid w:val="00AE0898"/>
    <w:rsid w:val="00AE0993"/>
    <w:rsid w:val="00AE09AA"/>
    <w:rsid w:val="00AE0B8D"/>
    <w:rsid w:val="00AE0E77"/>
    <w:rsid w:val="00AE0EEC"/>
    <w:rsid w:val="00AE0FC2"/>
    <w:rsid w:val="00AE1118"/>
    <w:rsid w:val="00AE15C4"/>
    <w:rsid w:val="00AE16A8"/>
    <w:rsid w:val="00AE1728"/>
    <w:rsid w:val="00AE1903"/>
    <w:rsid w:val="00AE19E7"/>
    <w:rsid w:val="00AE1A42"/>
    <w:rsid w:val="00AE1C71"/>
    <w:rsid w:val="00AE1D08"/>
    <w:rsid w:val="00AE1EF6"/>
    <w:rsid w:val="00AE21EC"/>
    <w:rsid w:val="00AE24C9"/>
    <w:rsid w:val="00AE2721"/>
    <w:rsid w:val="00AE27F8"/>
    <w:rsid w:val="00AE28B2"/>
    <w:rsid w:val="00AE2ADB"/>
    <w:rsid w:val="00AE2AEF"/>
    <w:rsid w:val="00AE2C66"/>
    <w:rsid w:val="00AE2C8C"/>
    <w:rsid w:val="00AE3091"/>
    <w:rsid w:val="00AE30DA"/>
    <w:rsid w:val="00AE3136"/>
    <w:rsid w:val="00AE3268"/>
    <w:rsid w:val="00AE331F"/>
    <w:rsid w:val="00AE3320"/>
    <w:rsid w:val="00AE3349"/>
    <w:rsid w:val="00AE3451"/>
    <w:rsid w:val="00AE38EE"/>
    <w:rsid w:val="00AE39EE"/>
    <w:rsid w:val="00AE3A11"/>
    <w:rsid w:val="00AE3B5D"/>
    <w:rsid w:val="00AE402F"/>
    <w:rsid w:val="00AE404F"/>
    <w:rsid w:val="00AE421A"/>
    <w:rsid w:val="00AE43EB"/>
    <w:rsid w:val="00AE458E"/>
    <w:rsid w:val="00AE46A0"/>
    <w:rsid w:val="00AE47DB"/>
    <w:rsid w:val="00AE497C"/>
    <w:rsid w:val="00AE4CDA"/>
    <w:rsid w:val="00AE4D94"/>
    <w:rsid w:val="00AE4EAB"/>
    <w:rsid w:val="00AE4F28"/>
    <w:rsid w:val="00AE592C"/>
    <w:rsid w:val="00AE5A89"/>
    <w:rsid w:val="00AE5AB4"/>
    <w:rsid w:val="00AE5AE2"/>
    <w:rsid w:val="00AE5B2C"/>
    <w:rsid w:val="00AE5B8B"/>
    <w:rsid w:val="00AE5C78"/>
    <w:rsid w:val="00AE5D31"/>
    <w:rsid w:val="00AE5D6F"/>
    <w:rsid w:val="00AE5DEC"/>
    <w:rsid w:val="00AE5F93"/>
    <w:rsid w:val="00AE5FEE"/>
    <w:rsid w:val="00AE604E"/>
    <w:rsid w:val="00AE6065"/>
    <w:rsid w:val="00AE618D"/>
    <w:rsid w:val="00AE62FB"/>
    <w:rsid w:val="00AE63BF"/>
    <w:rsid w:val="00AE6821"/>
    <w:rsid w:val="00AE699C"/>
    <w:rsid w:val="00AE6AA2"/>
    <w:rsid w:val="00AE700A"/>
    <w:rsid w:val="00AE7121"/>
    <w:rsid w:val="00AE7182"/>
    <w:rsid w:val="00AE733D"/>
    <w:rsid w:val="00AE7430"/>
    <w:rsid w:val="00AE77D1"/>
    <w:rsid w:val="00AE781C"/>
    <w:rsid w:val="00AE78D9"/>
    <w:rsid w:val="00AE7A17"/>
    <w:rsid w:val="00AE7A2B"/>
    <w:rsid w:val="00AE7A6A"/>
    <w:rsid w:val="00AE7D43"/>
    <w:rsid w:val="00AE7DA5"/>
    <w:rsid w:val="00AE7E77"/>
    <w:rsid w:val="00AE7E7C"/>
    <w:rsid w:val="00AF0006"/>
    <w:rsid w:val="00AF0125"/>
    <w:rsid w:val="00AF0237"/>
    <w:rsid w:val="00AF0303"/>
    <w:rsid w:val="00AF05A9"/>
    <w:rsid w:val="00AF0629"/>
    <w:rsid w:val="00AF079D"/>
    <w:rsid w:val="00AF090A"/>
    <w:rsid w:val="00AF0E53"/>
    <w:rsid w:val="00AF0F48"/>
    <w:rsid w:val="00AF0F52"/>
    <w:rsid w:val="00AF11FE"/>
    <w:rsid w:val="00AF1250"/>
    <w:rsid w:val="00AF143E"/>
    <w:rsid w:val="00AF16A1"/>
    <w:rsid w:val="00AF18DE"/>
    <w:rsid w:val="00AF1A92"/>
    <w:rsid w:val="00AF1B24"/>
    <w:rsid w:val="00AF1BFB"/>
    <w:rsid w:val="00AF1C1E"/>
    <w:rsid w:val="00AF1D07"/>
    <w:rsid w:val="00AF1D75"/>
    <w:rsid w:val="00AF1E0C"/>
    <w:rsid w:val="00AF1E3E"/>
    <w:rsid w:val="00AF1FA0"/>
    <w:rsid w:val="00AF21A6"/>
    <w:rsid w:val="00AF23F0"/>
    <w:rsid w:val="00AF24A2"/>
    <w:rsid w:val="00AF2793"/>
    <w:rsid w:val="00AF2845"/>
    <w:rsid w:val="00AF2CB1"/>
    <w:rsid w:val="00AF2DAF"/>
    <w:rsid w:val="00AF2E6F"/>
    <w:rsid w:val="00AF2ED5"/>
    <w:rsid w:val="00AF2F23"/>
    <w:rsid w:val="00AF2F4A"/>
    <w:rsid w:val="00AF2FE7"/>
    <w:rsid w:val="00AF2FFE"/>
    <w:rsid w:val="00AF30E8"/>
    <w:rsid w:val="00AF30FB"/>
    <w:rsid w:val="00AF32D2"/>
    <w:rsid w:val="00AF364A"/>
    <w:rsid w:val="00AF3775"/>
    <w:rsid w:val="00AF380B"/>
    <w:rsid w:val="00AF3AFC"/>
    <w:rsid w:val="00AF3B2A"/>
    <w:rsid w:val="00AF3D0C"/>
    <w:rsid w:val="00AF3D31"/>
    <w:rsid w:val="00AF3EEA"/>
    <w:rsid w:val="00AF4131"/>
    <w:rsid w:val="00AF41DC"/>
    <w:rsid w:val="00AF4310"/>
    <w:rsid w:val="00AF452A"/>
    <w:rsid w:val="00AF4553"/>
    <w:rsid w:val="00AF46BD"/>
    <w:rsid w:val="00AF4786"/>
    <w:rsid w:val="00AF47A8"/>
    <w:rsid w:val="00AF483D"/>
    <w:rsid w:val="00AF48AA"/>
    <w:rsid w:val="00AF4925"/>
    <w:rsid w:val="00AF4960"/>
    <w:rsid w:val="00AF4F1B"/>
    <w:rsid w:val="00AF508E"/>
    <w:rsid w:val="00AF51D0"/>
    <w:rsid w:val="00AF53E7"/>
    <w:rsid w:val="00AF5553"/>
    <w:rsid w:val="00AF55FA"/>
    <w:rsid w:val="00AF569C"/>
    <w:rsid w:val="00AF5A21"/>
    <w:rsid w:val="00AF5A9A"/>
    <w:rsid w:val="00AF5E72"/>
    <w:rsid w:val="00AF5E7D"/>
    <w:rsid w:val="00AF6193"/>
    <w:rsid w:val="00AF61B0"/>
    <w:rsid w:val="00AF620D"/>
    <w:rsid w:val="00AF622E"/>
    <w:rsid w:val="00AF65CA"/>
    <w:rsid w:val="00AF65ED"/>
    <w:rsid w:val="00AF68C4"/>
    <w:rsid w:val="00AF69BD"/>
    <w:rsid w:val="00AF6A6E"/>
    <w:rsid w:val="00AF6BDD"/>
    <w:rsid w:val="00AF6DF1"/>
    <w:rsid w:val="00AF6EF6"/>
    <w:rsid w:val="00AF6F3B"/>
    <w:rsid w:val="00AF6FAD"/>
    <w:rsid w:val="00AF7023"/>
    <w:rsid w:val="00AF7160"/>
    <w:rsid w:val="00AF728D"/>
    <w:rsid w:val="00AF746B"/>
    <w:rsid w:val="00AF755E"/>
    <w:rsid w:val="00AF7625"/>
    <w:rsid w:val="00AF7993"/>
    <w:rsid w:val="00AF7A9C"/>
    <w:rsid w:val="00AF7BB5"/>
    <w:rsid w:val="00B00032"/>
    <w:rsid w:val="00B00124"/>
    <w:rsid w:val="00B00281"/>
    <w:rsid w:val="00B00335"/>
    <w:rsid w:val="00B0034B"/>
    <w:rsid w:val="00B0039F"/>
    <w:rsid w:val="00B0055E"/>
    <w:rsid w:val="00B00683"/>
    <w:rsid w:val="00B006FB"/>
    <w:rsid w:val="00B00853"/>
    <w:rsid w:val="00B008D5"/>
    <w:rsid w:val="00B00927"/>
    <w:rsid w:val="00B00A3F"/>
    <w:rsid w:val="00B00C4B"/>
    <w:rsid w:val="00B00F84"/>
    <w:rsid w:val="00B0105A"/>
    <w:rsid w:val="00B011AB"/>
    <w:rsid w:val="00B0120E"/>
    <w:rsid w:val="00B0134B"/>
    <w:rsid w:val="00B01568"/>
    <w:rsid w:val="00B016A8"/>
    <w:rsid w:val="00B01708"/>
    <w:rsid w:val="00B0174C"/>
    <w:rsid w:val="00B0177F"/>
    <w:rsid w:val="00B0180E"/>
    <w:rsid w:val="00B01AE2"/>
    <w:rsid w:val="00B01AF2"/>
    <w:rsid w:val="00B01D32"/>
    <w:rsid w:val="00B02126"/>
    <w:rsid w:val="00B025A8"/>
    <w:rsid w:val="00B02614"/>
    <w:rsid w:val="00B0269A"/>
    <w:rsid w:val="00B0281F"/>
    <w:rsid w:val="00B02911"/>
    <w:rsid w:val="00B02F64"/>
    <w:rsid w:val="00B0324D"/>
    <w:rsid w:val="00B03520"/>
    <w:rsid w:val="00B03832"/>
    <w:rsid w:val="00B0388B"/>
    <w:rsid w:val="00B03984"/>
    <w:rsid w:val="00B03A7A"/>
    <w:rsid w:val="00B03B85"/>
    <w:rsid w:val="00B03D13"/>
    <w:rsid w:val="00B03E4E"/>
    <w:rsid w:val="00B03E56"/>
    <w:rsid w:val="00B0408E"/>
    <w:rsid w:val="00B04121"/>
    <w:rsid w:val="00B04195"/>
    <w:rsid w:val="00B042A3"/>
    <w:rsid w:val="00B043F6"/>
    <w:rsid w:val="00B04539"/>
    <w:rsid w:val="00B04A44"/>
    <w:rsid w:val="00B04C1E"/>
    <w:rsid w:val="00B04C3B"/>
    <w:rsid w:val="00B04C66"/>
    <w:rsid w:val="00B04C92"/>
    <w:rsid w:val="00B04CAB"/>
    <w:rsid w:val="00B04E03"/>
    <w:rsid w:val="00B054E8"/>
    <w:rsid w:val="00B0569C"/>
    <w:rsid w:val="00B0577E"/>
    <w:rsid w:val="00B059FE"/>
    <w:rsid w:val="00B05A0F"/>
    <w:rsid w:val="00B05B85"/>
    <w:rsid w:val="00B05BCF"/>
    <w:rsid w:val="00B05D41"/>
    <w:rsid w:val="00B05D64"/>
    <w:rsid w:val="00B05DD5"/>
    <w:rsid w:val="00B05E41"/>
    <w:rsid w:val="00B05E99"/>
    <w:rsid w:val="00B05F22"/>
    <w:rsid w:val="00B060D0"/>
    <w:rsid w:val="00B064F1"/>
    <w:rsid w:val="00B065C2"/>
    <w:rsid w:val="00B066BC"/>
    <w:rsid w:val="00B06955"/>
    <w:rsid w:val="00B06988"/>
    <w:rsid w:val="00B069A8"/>
    <w:rsid w:val="00B06B16"/>
    <w:rsid w:val="00B06D99"/>
    <w:rsid w:val="00B06FDD"/>
    <w:rsid w:val="00B0704C"/>
    <w:rsid w:val="00B07097"/>
    <w:rsid w:val="00B07612"/>
    <w:rsid w:val="00B0765B"/>
    <w:rsid w:val="00B0778E"/>
    <w:rsid w:val="00B079D3"/>
    <w:rsid w:val="00B07BD0"/>
    <w:rsid w:val="00B07CD6"/>
    <w:rsid w:val="00B07E52"/>
    <w:rsid w:val="00B07E8C"/>
    <w:rsid w:val="00B10147"/>
    <w:rsid w:val="00B101AC"/>
    <w:rsid w:val="00B10446"/>
    <w:rsid w:val="00B104F8"/>
    <w:rsid w:val="00B1055F"/>
    <w:rsid w:val="00B1059D"/>
    <w:rsid w:val="00B10E90"/>
    <w:rsid w:val="00B10EEC"/>
    <w:rsid w:val="00B1107D"/>
    <w:rsid w:val="00B11141"/>
    <w:rsid w:val="00B112F9"/>
    <w:rsid w:val="00B1157B"/>
    <w:rsid w:val="00B11701"/>
    <w:rsid w:val="00B11832"/>
    <w:rsid w:val="00B118BC"/>
    <w:rsid w:val="00B119BB"/>
    <w:rsid w:val="00B11D2A"/>
    <w:rsid w:val="00B11D78"/>
    <w:rsid w:val="00B11D97"/>
    <w:rsid w:val="00B11DC8"/>
    <w:rsid w:val="00B12071"/>
    <w:rsid w:val="00B12188"/>
    <w:rsid w:val="00B121B4"/>
    <w:rsid w:val="00B12351"/>
    <w:rsid w:val="00B1236F"/>
    <w:rsid w:val="00B12373"/>
    <w:rsid w:val="00B125E2"/>
    <w:rsid w:val="00B126BD"/>
    <w:rsid w:val="00B12719"/>
    <w:rsid w:val="00B12797"/>
    <w:rsid w:val="00B12914"/>
    <w:rsid w:val="00B12E58"/>
    <w:rsid w:val="00B12E82"/>
    <w:rsid w:val="00B1317C"/>
    <w:rsid w:val="00B13211"/>
    <w:rsid w:val="00B132DC"/>
    <w:rsid w:val="00B13363"/>
    <w:rsid w:val="00B13366"/>
    <w:rsid w:val="00B133FF"/>
    <w:rsid w:val="00B134F2"/>
    <w:rsid w:val="00B13664"/>
    <w:rsid w:val="00B13771"/>
    <w:rsid w:val="00B1377A"/>
    <w:rsid w:val="00B13847"/>
    <w:rsid w:val="00B13903"/>
    <w:rsid w:val="00B13A9B"/>
    <w:rsid w:val="00B13AA6"/>
    <w:rsid w:val="00B13B9A"/>
    <w:rsid w:val="00B13D20"/>
    <w:rsid w:val="00B13DBA"/>
    <w:rsid w:val="00B142FA"/>
    <w:rsid w:val="00B14379"/>
    <w:rsid w:val="00B1439C"/>
    <w:rsid w:val="00B144D2"/>
    <w:rsid w:val="00B14534"/>
    <w:rsid w:val="00B1462D"/>
    <w:rsid w:val="00B146E3"/>
    <w:rsid w:val="00B14773"/>
    <w:rsid w:val="00B14AF9"/>
    <w:rsid w:val="00B1531C"/>
    <w:rsid w:val="00B154EA"/>
    <w:rsid w:val="00B1556E"/>
    <w:rsid w:val="00B15900"/>
    <w:rsid w:val="00B15A53"/>
    <w:rsid w:val="00B15C0D"/>
    <w:rsid w:val="00B15D60"/>
    <w:rsid w:val="00B15FB9"/>
    <w:rsid w:val="00B15FC7"/>
    <w:rsid w:val="00B15FFB"/>
    <w:rsid w:val="00B16037"/>
    <w:rsid w:val="00B161B6"/>
    <w:rsid w:val="00B1631A"/>
    <w:rsid w:val="00B163C5"/>
    <w:rsid w:val="00B163D0"/>
    <w:rsid w:val="00B165CF"/>
    <w:rsid w:val="00B168A7"/>
    <w:rsid w:val="00B16A4A"/>
    <w:rsid w:val="00B16C4A"/>
    <w:rsid w:val="00B16C82"/>
    <w:rsid w:val="00B16DBA"/>
    <w:rsid w:val="00B16EDB"/>
    <w:rsid w:val="00B17206"/>
    <w:rsid w:val="00B172EA"/>
    <w:rsid w:val="00B173D3"/>
    <w:rsid w:val="00B17532"/>
    <w:rsid w:val="00B17646"/>
    <w:rsid w:val="00B17951"/>
    <w:rsid w:val="00B17A19"/>
    <w:rsid w:val="00B17C3D"/>
    <w:rsid w:val="00B17E95"/>
    <w:rsid w:val="00B17EEB"/>
    <w:rsid w:val="00B201E7"/>
    <w:rsid w:val="00B20243"/>
    <w:rsid w:val="00B204F5"/>
    <w:rsid w:val="00B205C9"/>
    <w:rsid w:val="00B20602"/>
    <w:rsid w:val="00B20662"/>
    <w:rsid w:val="00B2073B"/>
    <w:rsid w:val="00B20954"/>
    <w:rsid w:val="00B2095D"/>
    <w:rsid w:val="00B20ABD"/>
    <w:rsid w:val="00B20D16"/>
    <w:rsid w:val="00B2102B"/>
    <w:rsid w:val="00B21154"/>
    <w:rsid w:val="00B211E8"/>
    <w:rsid w:val="00B21228"/>
    <w:rsid w:val="00B212F0"/>
    <w:rsid w:val="00B2132C"/>
    <w:rsid w:val="00B21417"/>
    <w:rsid w:val="00B21705"/>
    <w:rsid w:val="00B218E2"/>
    <w:rsid w:val="00B21AD0"/>
    <w:rsid w:val="00B21B71"/>
    <w:rsid w:val="00B21F16"/>
    <w:rsid w:val="00B222D7"/>
    <w:rsid w:val="00B223AC"/>
    <w:rsid w:val="00B22512"/>
    <w:rsid w:val="00B225C5"/>
    <w:rsid w:val="00B22639"/>
    <w:rsid w:val="00B22701"/>
    <w:rsid w:val="00B22876"/>
    <w:rsid w:val="00B228EE"/>
    <w:rsid w:val="00B22917"/>
    <w:rsid w:val="00B22988"/>
    <w:rsid w:val="00B229B3"/>
    <w:rsid w:val="00B22B8F"/>
    <w:rsid w:val="00B22D21"/>
    <w:rsid w:val="00B22D4B"/>
    <w:rsid w:val="00B22E77"/>
    <w:rsid w:val="00B22F85"/>
    <w:rsid w:val="00B23112"/>
    <w:rsid w:val="00B23152"/>
    <w:rsid w:val="00B231BC"/>
    <w:rsid w:val="00B232F0"/>
    <w:rsid w:val="00B232F9"/>
    <w:rsid w:val="00B233C0"/>
    <w:rsid w:val="00B23520"/>
    <w:rsid w:val="00B235C1"/>
    <w:rsid w:val="00B23735"/>
    <w:rsid w:val="00B237A3"/>
    <w:rsid w:val="00B23844"/>
    <w:rsid w:val="00B2395F"/>
    <w:rsid w:val="00B23989"/>
    <w:rsid w:val="00B2399B"/>
    <w:rsid w:val="00B2410F"/>
    <w:rsid w:val="00B24112"/>
    <w:rsid w:val="00B242BC"/>
    <w:rsid w:val="00B244F5"/>
    <w:rsid w:val="00B24557"/>
    <w:rsid w:val="00B2491C"/>
    <w:rsid w:val="00B249BE"/>
    <w:rsid w:val="00B24BE1"/>
    <w:rsid w:val="00B24F6E"/>
    <w:rsid w:val="00B25011"/>
    <w:rsid w:val="00B25156"/>
    <w:rsid w:val="00B2517D"/>
    <w:rsid w:val="00B25189"/>
    <w:rsid w:val="00B252BC"/>
    <w:rsid w:val="00B25433"/>
    <w:rsid w:val="00B2554F"/>
    <w:rsid w:val="00B2578E"/>
    <w:rsid w:val="00B25817"/>
    <w:rsid w:val="00B25AA4"/>
    <w:rsid w:val="00B25AED"/>
    <w:rsid w:val="00B260FF"/>
    <w:rsid w:val="00B26235"/>
    <w:rsid w:val="00B26298"/>
    <w:rsid w:val="00B26368"/>
    <w:rsid w:val="00B2648A"/>
    <w:rsid w:val="00B26525"/>
    <w:rsid w:val="00B2654E"/>
    <w:rsid w:val="00B266F2"/>
    <w:rsid w:val="00B26726"/>
    <w:rsid w:val="00B2687E"/>
    <w:rsid w:val="00B2691F"/>
    <w:rsid w:val="00B26949"/>
    <w:rsid w:val="00B2696C"/>
    <w:rsid w:val="00B26A22"/>
    <w:rsid w:val="00B26B00"/>
    <w:rsid w:val="00B26B37"/>
    <w:rsid w:val="00B26D71"/>
    <w:rsid w:val="00B2711C"/>
    <w:rsid w:val="00B27208"/>
    <w:rsid w:val="00B27222"/>
    <w:rsid w:val="00B27288"/>
    <w:rsid w:val="00B27464"/>
    <w:rsid w:val="00B27506"/>
    <w:rsid w:val="00B27571"/>
    <w:rsid w:val="00B27624"/>
    <w:rsid w:val="00B27632"/>
    <w:rsid w:val="00B2764B"/>
    <w:rsid w:val="00B27DA1"/>
    <w:rsid w:val="00B27F33"/>
    <w:rsid w:val="00B27F60"/>
    <w:rsid w:val="00B27FED"/>
    <w:rsid w:val="00B27FF1"/>
    <w:rsid w:val="00B300C4"/>
    <w:rsid w:val="00B3021A"/>
    <w:rsid w:val="00B303F8"/>
    <w:rsid w:val="00B30434"/>
    <w:rsid w:val="00B30484"/>
    <w:rsid w:val="00B304EA"/>
    <w:rsid w:val="00B30526"/>
    <w:rsid w:val="00B3099D"/>
    <w:rsid w:val="00B30A51"/>
    <w:rsid w:val="00B30BE7"/>
    <w:rsid w:val="00B30BFE"/>
    <w:rsid w:val="00B30D2F"/>
    <w:rsid w:val="00B310BA"/>
    <w:rsid w:val="00B311AD"/>
    <w:rsid w:val="00B31226"/>
    <w:rsid w:val="00B31311"/>
    <w:rsid w:val="00B316D4"/>
    <w:rsid w:val="00B31AB4"/>
    <w:rsid w:val="00B31BF9"/>
    <w:rsid w:val="00B31CBE"/>
    <w:rsid w:val="00B31E4E"/>
    <w:rsid w:val="00B31E55"/>
    <w:rsid w:val="00B31F90"/>
    <w:rsid w:val="00B320B8"/>
    <w:rsid w:val="00B321BC"/>
    <w:rsid w:val="00B32231"/>
    <w:rsid w:val="00B322D4"/>
    <w:rsid w:val="00B32458"/>
    <w:rsid w:val="00B3294E"/>
    <w:rsid w:val="00B32996"/>
    <w:rsid w:val="00B32BBC"/>
    <w:rsid w:val="00B32C70"/>
    <w:rsid w:val="00B32EF6"/>
    <w:rsid w:val="00B33246"/>
    <w:rsid w:val="00B3370F"/>
    <w:rsid w:val="00B33947"/>
    <w:rsid w:val="00B339BF"/>
    <w:rsid w:val="00B33BD6"/>
    <w:rsid w:val="00B33CE6"/>
    <w:rsid w:val="00B33F85"/>
    <w:rsid w:val="00B33F9C"/>
    <w:rsid w:val="00B34080"/>
    <w:rsid w:val="00B340F1"/>
    <w:rsid w:val="00B3448D"/>
    <w:rsid w:val="00B344FA"/>
    <w:rsid w:val="00B34542"/>
    <w:rsid w:val="00B345F2"/>
    <w:rsid w:val="00B346F3"/>
    <w:rsid w:val="00B348CF"/>
    <w:rsid w:val="00B349AA"/>
    <w:rsid w:val="00B34A0A"/>
    <w:rsid w:val="00B34B73"/>
    <w:rsid w:val="00B34BB0"/>
    <w:rsid w:val="00B34CF8"/>
    <w:rsid w:val="00B34E54"/>
    <w:rsid w:val="00B34F04"/>
    <w:rsid w:val="00B34FCB"/>
    <w:rsid w:val="00B34FDB"/>
    <w:rsid w:val="00B35003"/>
    <w:rsid w:val="00B352CD"/>
    <w:rsid w:val="00B3535B"/>
    <w:rsid w:val="00B3550A"/>
    <w:rsid w:val="00B3567F"/>
    <w:rsid w:val="00B356CC"/>
    <w:rsid w:val="00B3579A"/>
    <w:rsid w:val="00B357CB"/>
    <w:rsid w:val="00B3581F"/>
    <w:rsid w:val="00B358E1"/>
    <w:rsid w:val="00B35932"/>
    <w:rsid w:val="00B3608A"/>
    <w:rsid w:val="00B36256"/>
    <w:rsid w:val="00B3632E"/>
    <w:rsid w:val="00B36413"/>
    <w:rsid w:val="00B36445"/>
    <w:rsid w:val="00B3649F"/>
    <w:rsid w:val="00B3657E"/>
    <w:rsid w:val="00B365F0"/>
    <w:rsid w:val="00B36C7E"/>
    <w:rsid w:val="00B36D9B"/>
    <w:rsid w:val="00B36F46"/>
    <w:rsid w:val="00B36FA6"/>
    <w:rsid w:val="00B36FBC"/>
    <w:rsid w:val="00B37009"/>
    <w:rsid w:val="00B37015"/>
    <w:rsid w:val="00B37106"/>
    <w:rsid w:val="00B37237"/>
    <w:rsid w:val="00B375EA"/>
    <w:rsid w:val="00B37738"/>
    <w:rsid w:val="00B37DED"/>
    <w:rsid w:val="00B37F64"/>
    <w:rsid w:val="00B40081"/>
    <w:rsid w:val="00B400F4"/>
    <w:rsid w:val="00B40119"/>
    <w:rsid w:val="00B401AB"/>
    <w:rsid w:val="00B401C8"/>
    <w:rsid w:val="00B4031B"/>
    <w:rsid w:val="00B4032D"/>
    <w:rsid w:val="00B404D5"/>
    <w:rsid w:val="00B405E3"/>
    <w:rsid w:val="00B4069C"/>
    <w:rsid w:val="00B40804"/>
    <w:rsid w:val="00B40AF8"/>
    <w:rsid w:val="00B40AFA"/>
    <w:rsid w:val="00B40CE3"/>
    <w:rsid w:val="00B40CE7"/>
    <w:rsid w:val="00B41040"/>
    <w:rsid w:val="00B41099"/>
    <w:rsid w:val="00B411CF"/>
    <w:rsid w:val="00B411D1"/>
    <w:rsid w:val="00B41569"/>
    <w:rsid w:val="00B41740"/>
    <w:rsid w:val="00B41AF4"/>
    <w:rsid w:val="00B41C61"/>
    <w:rsid w:val="00B41C74"/>
    <w:rsid w:val="00B41CDE"/>
    <w:rsid w:val="00B41EC8"/>
    <w:rsid w:val="00B41EC9"/>
    <w:rsid w:val="00B4207C"/>
    <w:rsid w:val="00B421F3"/>
    <w:rsid w:val="00B4234C"/>
    <w:rsid w:val="00B4242F"/>
    <w:rsid w:val="00B4246A"/>
    <w:rsid w:val="00B42697"/>
    <w:rsid w:val="00B42749"/>
    <w:rsid w:val="00B428DE"/>
    <w:rsid w:val="00B4296B"/>
    <w:rsid w:val="00B42D41"/>
    <w:rsid w:val="00B42D85"/>
    <w:rsid w:val="00B42D89"/>
    <w:rsid w:val="00B42DCC"/>
    <w:rsid w:val="00B42ED9"/>
    <w:rsid w:val="00B42F39"/>
    <w:rsid w:val="00B43041"/>
    <w:rsid w:val="00B43077"/>
    <w:rsid w:val="00B434EF"/>
    <w:rsid w:val="00B43543"/>
    <w:rsid w:val="00B43593"/>
    <w:rsid w:val="00B43B00"/>
    <w:rsid w:val="00B43C1A"/>
    <w:rsid w:val="00B43D6E"/>
    <w:rsid w:val="00B43F85"/>
    <w:rsid w:val="00B43F9F"/>
    <w:rsid w:val="00B43FAA"/>
    <w:rsid w:val="00B4422E"/>
    <w:rsid w:val="00B442CE"/>
    <w:rsid w:val="00B442E1"/>
    <w:rsid w:val="00B44312"/>
    <w:rsid w:val="00B444DE"/>
    <w:rsid w:val="00B445AD"/>
    <w:rsid w:val="00B44774"/>
    <w:rsid w:val="00B448B6"/>
    <w:rsid w:val="00B44BAD"/>
    <w:rsid w:val="00B44C99"/>
    <w:rsid w:val="00B44CC1"/>
    <w:rsid w:val="00B44E14"/>
    <w:rsid w:val="00B44E1D"/>
    <w:rsid w:val="00B44E40"/>
    <w:rsid w:val="00B44E4F"/>
    <w:rsid w:val="00B45278"/>
    <w:rsid w:val="00B452BC"/>
    <w:rsid w:val="00B45406"/>
    <w:rsid w:val="00B4571C"/>
    <w:rsid w:val="00B4584F"/>
    <w:rsid w:val="00B4590D"/>
    <w:rsid w:val="00B4599A"/>
    <w:rsid w:val="00B45B5E"/>
    <w:rsid w:val="00B45B78"/>
    <w:rsid w:val="00B45DFC"/>
    <w:rsid w:val="00B45E78"/>
    <w:rsid w:val="00B45FBF"/>
    <w:rsid w:val="00B460EE"/>
    <w:rsid w:val="00B461C4"/>
    <w:rsid w:val="00B4639B"/>
    <w:rsid w:val="00B46561"/>
    <w:rsid w:val="00B46788"/>
    <w:rsid w:val="00B46984"/>
    <w:rsid w:val="00B46B5B"/>
    <w:rsid w:val="00B46E5F"/>
    <w:rsid w:val="00B46EED"/>
    <w:rsid w:val="00B47255"/>
    <w:rsid w:val="00B4748C"/>
    <w:rsid w:val="00B47621"/>
    <w:rsid w:val="00B476CF"/>
    <w:rsid w:val="00B478F7"/>
    <w:rsid w:val="00B47AB1"/>
    <w:rsid w:val="00B47B61"/>
    <w:rsid w:val="00B47B83"/>
    <w:rsid w:val="00B47F2C"/>
    <w:rsid w:val="00B50178"/>
    <w:rsid w:val="00B503B6"/>
    <w:rsid w:val="00B5061A"/>
    <w:rsid w:val="00B50638"/>
    <w:rsid w:val="00B50701"/>
    <w:rsid w:val="00B50740"/>
    <w:rsid w:val="00B507DA"/>
    <w:rsid w:val="00B507F5"/>
    <w:rsid w:val="00B50B11"/>
    <w:rsid w:val="00B50B20"/>
    <w:rsid w:val="00B50B59"/>
    <w:rsid w:val="00B50B5F"/>
    <w:rsid w:val="00B50C31"/>
    <w:rsid w:val="00B50D56"/>
    <w:rsid w:val="00B510DD"/>
    <w:rsid w:val="00B5114A"/>
    <w:rsid w:val="00B5135C"/>
    <w:rsid w:val="00B51405"/>
    <w:rsid w:val="00B514ED"/>
    <w:rsid w:val="00B51687"/>
    <w:rsid w:val="00B51912"/>
    <w:rsid w:val="00B519EA"/>
    <w:rsid w:val="00B51A39"/>
    <w:rsid w:val="00B51AD7"/>
    <w:rsid w:val="00B51B40"/>
    <w:rsid w:val="00B51DC3"/>
    <w:rsid w:val="00B51F1D"/>
    <w:rsid w:val="00B51F2F"/>
    <w:rsid w:val="00B5202E"/>
    <w:rsid w:val="00B520B0"/>
    <w:rsid w:val="00B52121"/>
    <w:rsid w:val="00B521F4"/>
    <w:rsid w:val="00B524F8"/>
    <w:rsid w:val="00B52576"/>
    <w:rsid w:val="00B526F3"/>
    <w:rsid w:val="00B52708"/>
    <w:rsid w:val="00B5293A"/>
    <w:rsid w:val="00B52AF9"/>
    <w:rsid w:val="00B52D1D"/>
    <w:rsid w:val="00B52DFC"/>
    <w:rsid w:val="00B52F66"/>
    <w:rsid w:val="00B5303C"/>
    <w:rsid w:val="00B531FB"/>
    <w:rsid w:val="00B53642"/>
    <w:rsid w:val="00B536F7"/>
    <w:rsid w:val="00B53853"/>
    <w:rsid w:val="00B53A0E"/>
    <w:rsid w:val="00B53D0B"/>
    <w:rsid w:val="00B53DD1"/>
    <w:rsid w:val="00B53DF9"/>
    <w:rsid w:val="00B5403F"/>
    <w:rsid w:val="00B54187"/>
    <w:rsid w:val="00B54198"/>
    <w:rsid w:val="00B5427B"/>
    <w:rsid w:val="00B5446A"/>
    <w:rsid w:val="00B546B5"/>
    <w:rsid w:val="00B549ED"/>
    <w:rsid w:val="00B54BB3"/>
    <w:rsid w:val="00B54C9B"/>
    <w:rsid w:val="00B54CF0"/>
    <w:rsid w:val="00B54CF4"/>
    <w:rsid w:val="00B54EA5"/>
    <w:rsid w:val="00B54EE6"/>
    <w:rsid w:val="00B54FC9"/>
    <w:rsid w:val="00B5505E"/>
    <w:rsid w:val="00B550B7"/>
    <w:rsid w:val="00B553FE"/>
    <w:rsid w:val="00B55777"/>
    <w:rsid w:val="00B558A3"/>
    <w:rsid w:val="00B558AA"/>
    <w:rsid w:val="00B55947"/>
    <w:rsid w:val="00B55A45"/>
    <w:rsid w:val="00B55A6B"/>
    <w:rsid w:val="00B55AA5"/>
    <w:rsid w:val="00B55B1A"/>
    <w:rsid w:val="00B55D4F"/>
    <w:rsid w:val="00B55E73"/>
    <w:rsid w:val="00B55E9E"/>
    <w:rsid w:val="00B55EBF"/>
    <w:rsid w:val="00B55FAE"/>
    <w:rsid w:val="00B55FC1"/>
    <w:rsid w:val="00B56257"/>
    <w:rsid w:val="00B562BC"/>
    <w:rsid w:val="00B562E3"/>
    <w:rsid w:val="00B56587"/>
    <w:rsid w:val="00B565AE"/>
    <w:rsid w:val="00B56782"/>
    <w:rsid w:val="00B56865"/>
    <w:rsid w:val="00B56908"/>
    <w:rsid w:val="00B56A25"/>
    <w:rsid w:val="00B56B58"/>
    <w:rsid w:val="00B56CEC"/>
    <w:rsid w:val="00B56D38"/>
    <w:rsid w:val="00B56E92"/>
    <w:rsid w:val="00B57214"/>
    <w:rsid w:val="00B57278"/>
    <w:rsid w:val="00B576CC"/>
    <w:rsid w:val="00B5778A"/>
    <w:rsid w:val="00B57B67"/>
    <w:rsid w:val="00B57CDE"/>
    <w:rsid w:val="00B57CE0"/>
    <w:rsid w:val="00B57D11"/>
    <w:rsid w:val="00B57E7D"/>
    <w:rsid w:val="00B57FF5"/>
    <w:rsid w:val="00B6002A"/>
    <w:rsid w:val="00B604FE"/>
    <w:rsid w:val="00B60997"/>
    <w:rsid w:val="00B60ACC"/>
    <w:rsid w:val="00B60C91"/>
    <w:rsid w:val="00B60CE1"/>
    <w:rsid w:val="00B60F50"/>
    <w:rsid w:val="00B61283"/>
    <w:rsid w:val="00B61426"/>
    <w:rsid w:val="00B61452"/>
    <w:rsid w:val="00B615D7"/>
    <w:rsid w:val="00B61726"/>
    <w:rsid w:val="00B61744"/>
    <w:rsid w:val="00B6189F"/>
    <w:rsid w:val="00B61A55"/>
    <w:rsid w:val="00B61D0F"/>
    <w:rsid w:val="00B61E8E"/>
    <w:rsid w:val="00B61F21"/>
    <w:rsid w:val="00B6218C"/>
    <w:rsid w:val="00B62203"/>
    <w:rsid w:val="00B6231B"/>
    <w:rsid w:val="00B6249C"/>
    <w:rsid w:val="00B625FE"/>
    <w:rsid w:val="00B6281C"/>
    <w:rsid w:val="00B62874"/>
    <w:rsid w:val="00B628B8"/>
    <w:rsid w:val="00B62B37"/>
    <w:rsid w:val="00B62C07"/>
    <w:rsid w:val="00B62C3A"/>
    <w:rsid w:val="00B62FCF"/>
    <w:rsid w:val="00B62FD3"/>
    <w:rsid w:val="00B631CF"/>
    <w:rsid w:val="00B6351A"/>
    <w:rsid w:val="00B63586"/>
    <w:rsid w:val="00B63619"/>
    <w:rsid w:val="00B63651"/>
    <w:rsid w:val="00B636F2"/>
    <w:rsid w:val="00B63784"/>
    <w:rsid w:val="00B63A7A"/>
    <w:rsid w:val="00B63B5F"/>
    <w:rsid w:val="00B63F5B"/>
    <w:rsid w:val="00B64051"/>
    <w:rsid w:val="00B6408C"/>
    <w:rsid w:val="00B64118"/>
    <w:rsid w:val="00B64174"/>
    <w:rsid w:val="00B641C3"/>
    <w:rsid w:val="00B64245"/>
    <w:rsid w:val="00B642CA"/>
    <w:rsid w:val="00B6446D"/>
    <w:rsid w:val="00B64475"/>
    <w:rsid w:val="00B64563"/>
    <w:rsid w:val="00B64647"/>
    <w:rsid w:val="00B6470E"/>
    <w:rsid w:val="00B6490E"/>
    <w:rsid w:val="00B64A5E"/>
    <w:rsid w:val="00B64C0E"/>
    <w:rsid w:val="00B64D0B"/>
    <w:rsid w:val="00B64DE6"/>
    <w:rsid w:val="00B64F1D"/>
    <w:rsid w:val="00B65089"/>
    <w:rsid w:val="00B65101"/>
    <w:rsid w:val="00B65401"/>
    <w:rsid w:val="00B65430"/>
    <w:rsid w:val="00B65448"/>
    <w:rsid w:val="00B65810"/>
    <w:rsid w:val="00B65AA4"/>
    <w:rsid w:val="00B65BDF"/>
    <w:rsid w:val="00B65C24"/>
    <w:rsid w:val="00B65D5F"/>
    <w:rsid w:val="00B65DD8"/>
    <w:rsid w:val="00B65E33"/>
    <w:rsid w:val="00B66044"/>
    <w:rsid w:val="00B6626B"/>
    <w:rsid w:val="00B66283"/>
    <w:rsid w:val="00B66375"/>
    <w:rsid w:val="00B663E8"/>
    <w:rsid w:val="00B66715"/>
    <w:rsid w:val="00B668E4"/>
    <w:rsid w:val="00B669C6"/>
    <w:rsid w:val="00B669DD"/>
    <w:rsid w:val="00B66AFE"/>
    <w:rsid w:val="00B66D8C"/>
    <w:rsid w:val="00B66E3F"/>
    <w:rsid w:val="00B66F90"/>
    <w:rsid w:val="00B670B0"/>
    <w:rsid w:val="00B6748E"/>
    <w:rsid w:val="00B6768D"/>
    <w:rsid w:val="00B676A5"/>
    <w:rsid w:val="00B67729"/>
    <w:rsid w:val="00B67746"/>
    <w:rsid w:val="00B67759"/>
    <w:rsid w:val="00B678FE"/>
    <w:rsid w:val="00B67AF5"/>
    <w:rsid w:val="00B67B36"/>
    <w:rsid w:val="00B67BAD"/>
    <w:rsid w:val="00B67DE7"/>
    <w:rsid w:val="00B70068"/>
    <w:rsid w:val="00B700EF"/>
    <w:rsid w:val="00B70275"/>
    <w:rsid w:val="00B70409"/>
    <w:rsid w:val="00B704D9"/>
    <w:rsid w:val="00B70528"/>
    <w:rsid w:val="00B70717"/>
    <w:rsid w:val="00B70807"/>
    <w:rsid w:val="00B709A1"/>
    <w:rsid w:val="00B70C4F"/>
    <w:rsid w:val="00B70C7F"/>
    <w:rsid w:val="00B70E9F"/>
    <w:rsid w:val="00B710E2"/>
    <w:rsid w:val="00B712B0"/>
    <w:rsid w:val="00B7130E"/>
    <w:rsid w:val="00B7146E"/>
    <w:rsid w:val="00B716DC"/>
    <w:rsid w:val="00B716DD"/>
    <w:rsid w:val="00B716EC"/>
    <w:rsid w:val="00B716FE"/>
    <w:rsid w:val="00B71772"/>
    <w:rsid w:val="00B719C7"/>
    <w:rsid w:val="00B71C7B"/>
    <w:rsid w:val="00B71D8A"/>
    <w:rsid w:val="00B71DBB"/>
    <w:rsid w:val="00B71EFA"/>
    <w:rsid w:val="00B71F0A"/>
    <w:rsid w:val="00B7237A"/>
    <w:rsid w:val="00B7277E"/>
    <w:rsid w:val="00B72868"/>
    <w:rsid w:val="00B72967"/>
    <w:rsid w:val="00B72C0E"/>
    <w:rsid w:val="00B72C38"/>
    <w:rsid w:val="00B72CEC"/>
    <w:rsid w:val="00B72D82"/>
    <w:rsid w:val="00B72E14"/>
    <w:rsid w:val="00B72E30"/>
    <w:rsid w:val="00B72E50"/>
    <w:rsid w:val="00B73063"/>
    <w:rsid w:val="00B73133"/>
    <w:rsid w:val="00B73294"/>
    <w:rsid w:val="00B734C2"/>
    <w:rsid w:val="00B739A8"/>
    <w:rsid w:val="00B73B98"/>
    <w:rsid w:val="00B73D26"/>
    <w:rsid w:val="00B740CA"/>
    <w:rsid w:val="00B740F7"/>
    <w:rsid w:val="00B749EC"/>
    <w:rsid w:val="00B74A12"/>
    <w:rsid w:val="00B74A1E"/>
    <w:rsid w:val="00B74A5C"/>
    <w:rsid w:val="00B74A5E"/>
    <w:rsid w:val="00B74C9D"/>
    <w:rsid w:val="00B74D9F"/>
    <w:rsid w:val="00B74F02"/>
    <w:rsid w:val="00B74F24"/>
    <w:rsid w:val="00B75115"/>
    <w:rsid w:val="00B75183"/>
    <w:rsid w:val="00B7523F"/>
    <w:rsid w:val="00B752D6"/>
    <w:rsid w:val="00B753A4"/>
    <w:rsid w:val="00B754A6"/>
    <w:rsid w:val="00B755CC"/>
    <w:rsid w:val="00B75752"/>
    <w:rsid w:val="00B75771"/>
    <w:rsid w:val="00B7592D"/>
    <w:rsid w:val="00B75965"/>
    <w:rsid w:val="00B75A48"/>
    <w:rsid w:val="00B75B30"/>
    <w:rsid w:val="00B75EA3"/>
    <w:rsid w:val="00B7606A"/>
    <w:rsid w:val="00B76121"/>
    <w:rsid w:val="00B7617A"/>
    <w:rsid w:val="00B761C8"/>
    <w:rsid w:val="00B763E7"/>
    <w:rsid w:val="00B76402"/>
    <w:rsid w:val="00B7658D"/>
    <w:rsid w:val="00B7678C"/>
    <w:rsid w:val="00B76847"/>
    <w:rsid w:val="00B76B4E"/>
    <w:rsid w:val="00B76B9E"/>
    <w:rsid w:val="00B76BEA"/>
    <w:rsid w:val="00B76D77"/>
    <w:rsid w:val="00B76E13"/>
    <w:rsid w:val="00B76F01"/>
    <w:rsid w:val="00B77063"/>
    <w:rsid w:val="00B77162"/>
    <w:rsid w:val="00B771B3"/>
    <w:rsid w:val="00B771DB"/>
    <w:rsid w:val="00B7731E"/>
    <w:rsid w:val="00B77350"/>
    <w:rsid w:val="00B7757C"/>
    <w:rsid w:val="00B77691"/>
    <w:rsid w:val="00B7783A"/>
    <w:rsid w:val="00B77901"/>
    <w:rsid w:val="00B77914"/>
    <w:rsid w:val="00B77986"/>
    <w:rsid w:val="00B77AFA"/>
    <w:rsid w:val="00B77BA7"/>
    <w:rsid w:val="00B77F34"/>
    <w:rsid w:val="00B8003D"/>
    <w:rsid w:val="00B80063"/>
    <w:rsid w:val="00B800E9"/>
    <w:rsid w:val="00B80406"/>
    <w:rsid w:val="00B8051B"/>
    <w:rsid w:val="00B8074F"/>
    <w:rsid w:val="00B80791"/>
    <w:rsid w:val="00B8085B"/>
    <w:rsid w:val="00B808FC"/>
    <w:rsid w:val="00B80CFB"/>
    <w:rsid w:val="00B80EEE"/>
    <w:rsid w:val="00B81046"/>
    <w:rsid w:val="00B8111B"/>
    <w:rsid w:val="00B811CF"/>
    <w:rsid w:val="00B81213"/>
    <w:rsid w:val="00B81229"/>
    <w:rsid w:val="00B8178B"/>
    <w:rsid w:val="00B81AB8"/>
    <w:rsid w:val="00B81B83"/>
    <w:rsid w:val="00B81D5C"/>
    <w:rsid w:val="00B81E92"/>
    <w:rsid w:val="00B82271"/>
    <w:rsid w:val="00B824B1"/>
    <w:rsid w:val="00B82810"/>
    <w:rsid w:val="00B82813"/>
    <w:rsid w:val="00B829E2"/>
    <w:rsid w:val="00B82B61"/>
    <w:rsid w:val="00B82C37"/>
    <w:rsid w:val="00B82D15"/>
    <w:rsid w:val="00B82D49"/>
    <w:rsid w:val="00B82DFE"/>
    <w:rsid w:val="00B82ECF"/>
    <w:rsid w:val="00B82F31"/>
    <w:rsid w:val="00B82F5A"/>
    <w:rsid w:val="00B8311E"/>
    <w:rsid w:val="00B8317D"/>
    <w:rsid w:val="00B83252"/>
    <w:rsid w:val="00B8328B"/>
    <w:rsid w:val="00B83294"/>
    <w:rsid w:val="00B832E4"/>
    <w:rsid w:val="00B8381A"/>
    <w:rsid w:val="00B839AF"/>
    <w:rsid w:val="00B83BBE"/>
    <w:rsid w:val="00B83DCC"/>
    <w:rsid w:val="00B83EA1"/>
    <w:rsid w:val="00B83F00"/>
    <w:rsid w:val="00B8406C"/>
    <w:rsid w:val="00B8415B"/>
    <w:rsid w:val="00B842B9"/>
    <w:rsid w:val="00B842C6"/>
    <w:rsid w:val="00B84524"/>
    <w:rsid w:val="00B846EB"/>
    <w:rsid w:val="00B8476F"/>
    <w:rsid w:val="00B84A82"/>
    <w:rsid w:val="00B84CD4"/>
    <w:rsid w:val="00B84D60"/>
    <w:rsid w:val="00B84F38"/>
    <w:rsid w:val="00B84F65"/>
    <w:rsid w:val="00B8502B"/>
    <w:rsid w:val="00B850B3"/>
    <w:rsid w:val="00B85127"/>
    <w:rsid w:val="00B85306"/>
    <w:rsid w:val="00B85634"/>
    <w:rsid w:val="00B85827"/>
    <w:rsid w:val="00B858A5"/>
    <w:rsid w:val="00B858E8"/>
    <w:rsid w:val="00B8598C"/>
    <w:rsid w:val="00B85AC1"/>
    <w:rsid w:val="00B85B98"/>
    <w:rsid w:val="00B85D62"/>
    <w:rsid w:val="00B85EDB"/>
    <w:rsid w:val="00B86059"/>
    <w:rsid w:val="00B8623C"/>
    <w:rsid w:val="00B862A4"/>
    <w:rsid w:val="00B86369"/>
    <w:rsid w:val="00B86483"/>
    <w:rsid w:val="00B8654A"/>
    <w:rsid w:val="00B86655"/>
    <w:rsid w:val="00B86761"/>
    <w:rsid w:val="00B8680C"/>
    <w:rsid w:val="00B86ABE"/>
    <w:rsid w:val="00B86AF8"/>
    <w:rsid w:val="00B86C41"/>
    <w:rsid w:val="00B86ED3"/>
    <w:rsid w:val="00B86EF5"/>
    <w:rsid w:val="00B8719A"/>
    <w:rsid w:val="00B871FD"/>
    <w:rsid w:val="00B8723B"/>
    <w:rsid w:val="00B87408"/>
    <w:rsid w:val="00B875C8"/>
    <w:rsid w:val="00B875F1"/>
    <w:rsid w:val="00B87680"/>
    <w:rsid w:val="00B876C0"/>
    <w:rsid w:val="00B876CB"/>
    <w:rsid w:val="00B87B03"/>
    <w:rsid w:val="00B87BB9"/>
    <w:rsid w:val="00B87BBD"/>
    <w:rsid w:val="00B87F3F"/>
    <w:rsid w:val="00B90196"/>
    <w:rsid w:val="00B9020A"/>
    <w:rsid w:val="00B902EA"/>
    <w:rsid w:val="00B903E3"/>
    <w:rsid w:val="00B9052E"/>
    <w:rsid w:val="00B906B2"/>
    <w:rsid w:val="00B90868"/>
    <w:rsid w:val="00B90EA4"/>
    <w:rsid w:val="00B9100E"/>
    <w:rsid w:val="00B910BE"/>
    <w:rsid w:val="00B911B8"/>
    <w:rsid w:val="00B91242"/>
    <w:rsid w:val="00B912B0"/>
    <w:rsid w:val="00B9136C"/>
    <w:rsid w:val="00B915C5"/>
    <w:rsid w:val="00B916A0"/>
    <w:rsid w:val="00B916F6"/>
    <w:rsid w:val="00B91976"/>
    <w:rsid w:val="00B91B56"/>
    <w:rsid w:val="00B91C99"/>
    <w:rsid w:val="00B91D10"/>
    <w:rsid w:val="00B91D51"/>
    <w:rsid w:val="00B91E74"/>
    <w:rsid w:val="00B91F68"/>
    <w:rsid w:val="00B91FED"/>
    <w:rsid w:val="00B921E6"/>
    <w:rsid w:val="00B9233C"/>
    <w:rsid w:val="00B92584"/>
    <w:rsid w:val="00B92859"/>
    <w:rsid w:val="00B928C9"/>
    <w:rsid w:val="00B92B2F"/>
    <w:rsid w:val="00B92E35"/>
    <w:rsid w:val="00B92E5C"/>
    <w:rsid w:val="00B92F7B"/>
    <w:rsid w:val="00B93112"/>
    <w:rsid w:val="00B936BD"/>
    <w:rsid w:val="00B939E5"/>
    <w:rsid w:val="00B93B2A"/>
    <w:rsid w:val="00B93BC2"/>
    <w:rsid w:val="00B93D13"/>
    <w:rsid w:val="00B93E00"/>
    <w:rsid w:val="00B93FF3"/>
    <w:rsid w:val="00B940F1"/>
    <w:rsid w:val="00B940FC"/>
    <w:rsid w:val="00B9425A"/>
    <w:rsid w:val="00B9443A"/>
    <w:rsid w:val="00B945FD"/>
    <w:rsid w:val="00B9471F"/>
    <w:rsid w:val="00B94840"/>
    <w:rsid w:val="00B94871"/>
    <w:rsid w:val="00B94AAD"/>
    <w:rsid w:val="00B94AAF"/>
    <w:rsid w:val="00B94AE9"/>
    <w:rsid w:val="00B94D60"/>
    <w:rsid w:val="00B95092"/>
    <w:rsid w:val="00B9515F"/>
    <w:rsid w:val="00B95239"/>
    <w:rsid w:val="00B95636"/>
    <w:rsid w:val="00B95832"/>
    <w:rsid w:val="00B9595C"/>
    <w:rsid w:val="00B959DE"/>
    <w:rsid w:val="00B95B0B"/>
    <w:rsid w:val="00B95B63"/>
    <w:rsid w:val="00B95B8F"/>
    <w:rsid w:val="00B95BD4"/>
    <w:rsid w:val="00B95C49"/>
    <w:rsid w:val="00B95C7C"/>
    <w:rsid w:val="00B95D8E"/>
    <w:rsid w:val="00B95F10"/>
    <w:rsid w:val="00B96000"/>
    <w:rsid w:val="00B960BC"/>
    <w:rsid w:val="00B96185"/>
    <w:rsid w:val="00B962C6"/>
    <w:rsid w:val="00B963EC"/>
    <w:rsid w:val="00B966B7"/>
    <w:rsid w:val="00B96777"/>
    <w:rsid w:val="00B967C6"/>
    <w:rsid w:val="00B967CF"/>
    <w:rsid w:val="00B96879"/>
    <w:rsid w:val="00B9690C"/>
    <w:rsid w:val="00B96A4E"/>
    <w:rsid w:val="00B96C2C"/>
    <w:rsid w:val="00B96CC4"/>
    <w:rsid w:val="00B973CC"/>
    <w:rsid w:val="00B974FF"/>
    <w:rsid w:val="00B975EB"/>
    <w:rsid w:val="00B975FD"/>
    <w:rsid w:val="00B976F3"/>
    <w:rsid w:val="00B976F4"/>
    <w:rsid w:val="00B97782"/>
    <w:rsid w:val="00B9793C"/>
    <w:rsid w:val="00B97984"/>
    <w:rsid w:val="00B979A8"/>
    <w:rsid w:val="00B97A9B"/>
    <w:rsid w:val="00B97B5E"/>
    <w:rsid w:val="00B97CBD"/>
    <w:rsid w:val="00B97D4B"/>
    <w:rsid w:val="00B97D6E"/>
    <w:rsid w:val="00B97E39"/>
    <w:rsid w:val="00B97E90"/>
    <w:rsid w:val="00BA02FB"/>
    <w:rsid w:val="00BA03AB"/>
    <w:rsid w:val="00BA0553"/>
    <w:rsid w:val="00BA06BF"/>
    <w:rsid w:val="00BA0742"/>
    <w:rsid w:val="00BA07FA"/>
    <w:rsid w:val="00BA09CE"/>
    <w:rsid w:val="00BA0C65"/>
    <w:rsid w:val="00BA0CE8"/>
    <w:rsid w:val="00BA0F48"/>
    <w:rsid w:val="00BA15D9"/>
    <w:rsid w:val="00BA182C"/>
    <w:rsid w:val="00BA18ED"/>
    <w:rsid w:val="00BA19C0"/>
    <w:rsid w:val="00BA1A51"/>
    <w:rsid w:val="00BA1B3B"/>
    <w:rsid w:val="00BA1B4E"/>
    <w:rsid w:val="00BA1B57"/>
    <w:rsid w:val="00BA1BB1"/>
    <w:rsid w:val="00BA1E81"/>
    <w:rsid w:val="00BA1EA7"/>
    <w:rsid w:val="00BA21EF"/>
    <w:rsid w:val="00BA2231"/>
    <w:rsid w:val="00BA224E"/>
    <w:rsid w:val="00BA225D"/>
    <w:rsid w:val="00BA22DC"/>
    <w:rsid w:val="00BA2384"/>
    <w:rsid w:val="00BA23CB"/>
    <w:rsid w:val="00BA2955"/>
    <w:rsid w:val="00BA299A"/>
    <w:rsid w:val="00BA2AD7"/>
    <w:rsid w:val="00BA2BA5"/>
    <w:rsid w:val="00BA2CED"/>
    <w:rsid w:val="00BA2D75"/>
    <w:rsid w:val="00BA2EC4"/>
    <w:rsid w:val="00BA2FF8"/>
    <w:rsid w:val="00BA312F"/>
    <w:rsid w:val="00BA3326"/>
    <w:rsid w:val="00BA33B9"/>
    <w:rsid w:val="00BA3534"/>
    <w:rsid w:val="00BA35C7"/>
    <w:rsid w:val="00BA36E5"/>
    <w:rsid w:val="00BA38EB"/>
    <w:rsid w:val="00BA3ADD"/>
    <w:rsid w:val="00BA3C5A"/>
    <w:rsid w:val="00BA3E74"/>
    <w:rsid w:val="00BA3F5E"/>
    <w:rsid w:val="00BA4019"/>
    <w:rsid w:val="00BA411E"/>
    <w:rsid w:val="00BA4279"/>
    <w:rsid w:val="00BA429F"/>
    <w:rsid w:val="00BA4352"/>
    <w:rsid w:val="00BA4666"/>
    <w:rsid w:val="00BA475C"/>
    <w:rsid w:val="00BA4778"/>
    <w:rsid w:val="00BA4878"/>
    <w:rsid w:val="00BA4B67"/>
    <w:rsid w:val="00BA4BB1"/>
    <w:rsid w:val="00BA4D1F"/>
    <w:rsid w:val="00BA4D74"/>
    <w:rsid w:val="00BA4D8F"/>
    <w:rsid w:val="00BA4DDA"/>
    <w:rsid w:val="00BA4F14"/>
    <w:rsid w:val="00BA4F9D"/>
    <w:rsid w:val="00BA4FC4"/>
    <w:rsid w:val="00BA5173"/>
    <w:rsid w:val="00BA5303"/>
    <w:rsid w:val="00BA5358"/>
    <w:rsid w:val="00BA54AC"/>
    <w:rsid w:val="00BA5561"/>
    <w:rsid w:val="00BA55A5"/>
    <w:rsid w:val="00BA5746"/>
    <w:rsid w:val="00BA5897"/>
    <w:rsid w:val="00BA59F3"/>
    <w:rsid w:val="00BA5DE7"/>
    <w:rsid w:val="00BA609F"/>
    <w:rsid w:val="00BA62C8"/>
    <w:rsid w:val="00BA6592"/>
    <w:rsid w:val="00BA662E"/>
    <w:rsid w:val="00BA6697"/>
    <w:rsid w:val="00BA6817"/>
    <w:rsid w:val="00BA68B8"/>
    <w:rsid w:val="00BA698A"/>
    <w:rsid w:val="00BA6B79"/>
    <w:rsid w:val="00BA6D65"/>
    <w:rsid w:val="00BA6EFB"/>
    <w:rsid w:val="00BA7454"/>
    <w:rsid w:val="00BA7691"/>
    <w:rsid w:val="00BA770A"/>
    <w:rsid w:val="00BA779B"/>
    <w:rsid w:val="00BA7851"/>
    <w:rsid w:val="00BA7853"/>
    <w:rsid w:val="00BA7DA2"/>
    <w:rsid w:val="00BA7E70"/>
    <w:rsid w:val="00BA7F09"/>
    <w:rsid w:val="00BA7F1A"/>
    <w:rsid w:val="00BB0290"/>
    <w:rsid w:val="00BB0359"/>
    <w:rsid w:val="00BB05D3"/>
    <w:rsid w:val="00BB05DF"/>
    <w:rsid w:val="00BB0758"/>
    <w:rsid w:val="00BB08E4"/>
    <w:rsid w:val="00BB0980"/>
    <w:rsid w:val="00BB0BD0"/>
    <w:rsid w:val="00BB0C54"/>
    <w:rsid w:val="00BB0D6B"/>
    <w:rsid w:val="00BB0E22"/>
    <w:rsid w:val="00BB0EE4"/>
    <w:rsid w:val="00BB0F66"/>
    <w:rsid w:val="00BB1114"/>
    <w:rsid w:val="00BB148C"/>
    <w:rsid w:val="00BB1530"/>
    <w:rsid w:val="00BB162B"/>
    <w:rsid w:val="00BB16C4"/>
    <w:rsid w:val="00BB1746"/>
    <w:rsid w:val="00BB180C"/>
    <w:rsid w:val="00BB1819"/>
    <w:rsid w:val="00BB1AF9"/>
    <w:rsid w:val="00BB1B39"/>
    <w:rsid w:val="00BB1C1E"/>
    <w:rsid w:val="00BB1E43"/>
    <w:rsid w:val="00BB1EF3"/>
    <w:rsid w:val="00BB1F8E"/>
    <w:rsid w:val="00BB2099"/>
    <w:rsid w:val="00BB20A8"/>
    <w:rsid w:val="00BB20AA"/>
    <w:rsid w:val="00BB20DE"/>
    <w:rsid w:val="00BB21A5"/>
    <w:rsid w:val="00BB25FB"/>
    <w:rsid w:val="00BB2D4A"/>
    <w:rsid w:val="00BB32A5"/>
    <w:rsid w:val="00BB3378"/>
    <w:rsid w:val="00BB33C2"/>
    <w:rsid w:val="00BB3436"/>
    <w:rsid w:val="00BB3599"/>
    <w:rsid w:val="00BB35F1"/>
    <w:rsid w:val="00BB37D4"/>
    <w:rsid w:val="00BB37F0"/>
    <w:rsid w:val="00BB3A0C"/>
    <w:rsid w:val="00BB3A10"/>
    <w:rsid w:val="00BB3B8C"/>
    <w:rsid w:val="00BB3B9A"/>
    <w:rsid w:val="00BB3E46"/>
    <w:rsid w:val="00BB3EE2"/>
    <w:rsid w:val="00BB40F3"/>
    <w:rsid w:val="00BB43B0"/>
    <w:rsid w:val="00BB4484"/>
    <w:rsid w:val="00BB4802"/>
    <w:rsid w:val="00BB494C"/>
    <w:rsid w:val="00BB49D4"/>
    <w:rsid w:val="00BB4A8A"/>
    <w:rsid w:val="00BB4AFB"/>
    <w:rsid w:val="00BB4B97"/>
    <w:rsid w:val="00BB4C5C"/>
    <w:rsid w:val="00BB4CCA"/>
    <w:rsid w:val="00BB4F8C"/>
    <w:rsid w:val="00BB4FA8"/>
    <w:rsid w:val="00BB5098"/>
    <w:rsid w:val="00BB50F4"/>
    <w:rsid w:val="00BB5135"/>
    <w:rsid w:val="00BB540E"/>
    <w:rsid w:val="00BB556B"/>
    <w:rsid w:val="00BB57EF"/>
    <w:rsid w:val="00BB5AFB"/>
    <w:rsid w:val="00BB5C16"/>
    <w:rsid w:val="00BB5D7D"/>
    <w:rsid w:val="00BB5EBE"/>
    <w:rsid w:val="00BB5FE6"/>
    <w:rsid w:val="00BB601A"/>
    <w:rsid w:val="00BB60EC"/>
    <w:rsid w:val="00BB61A2"/>
    <w:rsid w:val="00BB62B6"/>
    <w:rsid w:val="00BB6379"/>
    <w:rsid w:val="00BB6468"/>
    <w:rsid w:val="00BB646F"/>
    <w:rsid w:val="00BB6506"/>
    <w:rsid w:val="00BB6554"/>
    <w:rsid w:val="00BB6575"/>
    <w:rsid w:val="00BB66B6"/>
    <w:rsid w:val="00BB678E"/>
    <w:rsid w:val="00BB686F"/>
    <w:rsid w:val="00BB68D5"/>
    <w:rsid w:val="00BB6AA9"/>
    <w:rsid w:val="00BB6C45"/>
    <w:rsid w:val="00BB6D38"/>
    <w:rsid w:val="00BB6E65"/>
    <w:rsid w:val="00BB6EA4"/>
    <w:rsid w:val="00BB7043"/>
    <w:rsid w:val="00BB7183"/>
    <w:rsid w:val="00BB71F9"/>
    <w:rsid w:val="00BB72EB"/>
    <w:rsid w:val="00BB732E"/>
    <w:rsid w:val="00BB733A"/>
    <w:rsid w:val="00BB733F"/>
    <w:rsid w:val="00BB7377"/>
    <w:rsid w:val="00BB7420"/>
    <w:rsid w:val="00BB74AE"/>
    <w:rsid w:val="00BB7653"/>
    <w:rsid w:val="00BB7672"/>
    <w:rsid w:val="00BB7973"/>
    <w:rsid w:val="00BB79E5"/>
    <w:rsid w:val="00BB7A5C"/>
    <w:rsid w:val="00BB7AED"/>
    <w:rsid w:val="00BB7B35"/>
    <w:rsid w:val="00BB7DFD"/>
    <w:rsid w:val="00BB7E1A"/>
    <w:rsid w:val="00BB7EED"/>
    <w:rsid w:val="00BB7EFF"/>
    <w:rsid w:val="00BC00C3"/>
    <w:rsid w:val="00BC00D6"/>
    <w:rsid w:val="00BC02A0"/>
    <w:rsid w:val="00BC057C"/>
    <w:rsid w:val="00BC069B"/>
    <w:rsid w:val="00BC06E9"/>
    <w:rsid w:val="00BC07B3"/>
    <w:rsid w:val="00BC0C9E"/>
    <w:rsid w:val="00BC0E43"/>
    <w:rsid w:val="00BC0E5E"/>
    <w:rsid w:val="00BC0F8E"/>
    <w:rsid w:val="00BC0F91"/>
    <w:rsid w:val="00BC10D3"/>
    <w:rsid w:val="00BC117F"/>
    <w:rsid w:val="00BC1244"/>
    <w:rsid w:val="00BC1418"/>
    <w:rsid w:val="00BC14A0"/>
    <w:rsid w:val="00BC150B"/>
    <w:rsid w:val="00BC15EC"/>
    <w:rsid w:val="00BC1655"/>
    <w:rsid w:val="00BC1672"/>
    <w:rsid w:val="00BC170C"/>
    <w:rsid w:val="00BC189B"/>
    <w:rsid w:val="00BC1967"/>
    <w:rsid w:val="00BC1A5D"/>
    <w:rsid w:val="00BC1A85"/>
    <w:rsid w:val="00BC1B51"/>
    <w:rsid w:val="00BC1BAF"/>
    <w:rsid w:val="00BC1C21"/>
    <w:rsid w:val="00BC1ECF"/>
    <w:rsid w:val="00BC2014"/>
    <w:rsid w:val="00BC21DC"/>
    <w:rsid w:val="00BC224F"/>
    <w:rsid w:val="00BC22A3"/>
    <w:rsid w:val="00BC22F5"/>
    <w:rsid w:val="00BC25D6"/>
    <w:rsid w:val="00BC2637"/>
    <w:rsid w:val="00BC27BE"/>
    <w:rsid w:val="00BC2846"/>
    <w:rsid w:val="00BC2CCE"/>
    <w:rsid w:val="00BC2F36"/>
    <w:rsid w:val="00BC305E"/>
    <w:rsid w:val="00BC358F"/>
    <w:rsid w:val="00BC367C"/>
    <w:rsid w:val="00BC376F"/>
    <w:rsid w:val="00BC3AF1"/>
    <w:rsid w:val="00BC3DB2"/>
    <w:rsid w:val="00BC3DE3"/>
    <w:rsid w:val="00BC4004"/>
    <w:rsid w:val="00BC4086"/>
    <w:rsid w:val="00BC425B"/>
    <w:rsid w:val="00BC427E"/>
    <w:rsid w:val="00BC4298"/>
    <w:rsid w:val="00BC4458"/>
    <w:rsid w:val="00BC4694"/>
    <w:rsid w:val="00BC46AE"/>
    <w:rsid w:val="00BC4742"/>
    <w:rsid w:val="00BC48D4"/>
    <w:rsid w:val="00BC4AE5"/>
    <w:rsid w:val="00BC4F6E"/>
    <w:rsid w:val="00BC5018"/>
    <w:rsid w:val="00BC50E3"/>
    <w:rsid w:val="00BC50F4"/>
    <w:rsid w:val="00BC5130"/>
    <w:rsid w:val="00BC51EB"/>
    <w:rsid w:val="00BC5378"/>
    <w:rsid w:val="00BC550A"/>
    <w:rsid w:val="00BC551D"/>
    <w:rsid w:val="00BC5553"/>
    <w:rsid w:val="00BC56E9"/>
    <w:rsid w:val="00BC578F"/>
    <w:rsid w:val="00BC5A21"/>
    <w:rsid w:val="00BC5AB3"/>
    <w:rsid w:val="00BC5C6A"/>
    <w:rsid w:val="00BC5CB6"/>
    <w:rsid w:val="00BC5E91"/>
    <w:rsid w:val="00BC5F97"/>
    <w:rsid w:val="00BC5FDD"/>
    <w:rsid w:val="00BC6283"/>
    <w:rsid w:val="00BC6347"/>
    <w:rsid w:val="00BC634B"/>
    <w:rsid w:val="00BC644D"/>
    <w:rsid w:val="00BC65D0"/>
    <w:rsid w:val="00BC6683"/>
    <w:rsid w:val="00BC6798"/>
    <w:rsid w:val="00BC67D3"/>
    <w:rsid w:val="00BC68CA"/>
    <w:rsid w:val="00BC6931"/>
    <w:rsid w:val="00BC6C83"/>
    <w:rsid w:val="00BC6D64"/>
    <w:rsid w:val="00BC706C"/>
    <w:rsid w:val="00BC7318"/>
    <w:rsid w:val="00BC74D4"/>
    <w:rsid w:val="00BC7651"/>
    <w:rsid w:val="00BC7A1C"/>
    <w:rsid w:val="00BC7A3B"/>
    <w:rsid w:val="00BC7B38"/>
    <w:rsid w:val="00BC7B68"/>
    <w:rsid w:val="00BC7E27"/>
    <w:rsid w:val="00BC7E49"/>
    <w:rsid w:val="00BD00F8"/>
    <w:rsid w:val="00BD0193"/>
    <w:rsid w:val="00BD025A"/>
    <w:rsid w:val="00BD0329"/>
    <w:rsid w:val="00BD032D"/>
    <w:rsid w:val="00BD04CE"/>
    <w:rsid w:val="00BD0684"/>
    <w:rsid w:val="00BD085B"/>
    <w:rsid w:val="00BD0B97"/>
    <w:rsid w:val="00BD0CA8"/>
    <w:rsid w:val="00BD0F26"/>
    <w:rsid w:val="00BD13FA"/>
    <w:rsid w:val="00BD158D"/>
    <w:rsid w:val="00BD16AC"/>
    <w:rsid w:val="00BD1746"/>
    <w:rsid w:val="00BD18BB"/>
    <w:rsid w:val="00BD1993"/>
    <w:rsid w:val="00BD1A74"/>
    <w:rsid w:val="00BD1B82"/>
    <w:rsid w:val="00BD1CF5"/>
    <w:rsid w:val="00BD1E8A"/>
    <w:rsid w:val="00BD20AA"/>
    <w:rsid w:val="00BD2319"/>
    <w:rsid w:val="00BD25BE"/>
    <w:rsid w:val="00BD2637"/>
    <w:rsid w:val="00BD27A9"/>
    <w:rsid w:val="00BD28A5"/>
    <w:rsid w:val="00BD290B"/>
    <w:rsid w:val="00BD2B74"/>
    <w:rsid w:val="00BD2B79"/>
    <w:rsid w:val="00BD2E8D"/>
    <w:rsid w:val="00BD2E94"/>
    <w:rsid w:val="00BD2FD2"/>
    <w:rsid w:val="00BD30BC"/>
    <w:rsid w:val="00BD32C8"/>
    <w:rsid w:val="00BD32F5"/>
    <w:rsid w:val="00BD34F7"/>
    <w:rsid w:val="00BD3760"/>
    <w:rsid w:val="00BD3780"/>
    <w:rsid w:val="00BD37E1"/>
    <w:rsid w:val="00BD387B"/>
    <w:rsid w:val="00BD38E2"/>
    <w:rsid w:val="00BD3BA9"/>
    <w:rsid w:val="00BD3BC6"/>
    <w:rsid w:val="00BD4093"/>
    <w:rsid w:val="00BD41BB"/>
    <w:rsid w:val="00BD4344"/>
    <w:rsid w:val="00BD4590"/>
    <w:rsid w:val="00BD472E"/>
    <w:rsid w:val="00BD4992"/>
    <w:rsid w:val="00BD4C40"/>
    <w:rsid w:val="00BD4CC9"/>
    <w:rsid w:val="00BD4DCC"/>
    <w:rsid w:val="00BD4FC0"/>
    <w:rsid w:val="00BD506F"/>
    <w:rsid w:val="00BD5107"/>
    <w:rsid w:val="00BD52BB"/>
    <w:rsid w:val="00BD55EB"/>
    <w:rsid w:val="00BD59D4"/>
    <w:rsid w:val="00BD5BAB"/>
    <w:rsid w:val="00BD5C8E"/>
    <w:rsid w:val="00BD5CA2"/>
    <w:rsid w:val="00BD5D58"/>
    <w:rsid w:val="00BD5F16"/>
    <w:rsid w:val="00BD5F4A"/>
    <w:rsid w:val="00BD5F66"/>
    <w:rsid w:val="00BD5FF4"/>
    <w:rsid w:val="00BD624F"/>
    <w:rsid w:val="00BD6261"/>
    <w:rsid w:val="00BD632D"/>
    <w:rsid w:val="00BD63D8"/>
    <w:rsid w:val="00BD63F2"/>
    <w:rsid w:val="00BD659F"/>
    <w:rsid w:val="00BD662D"/>
    <w:rsid w:val="00BD6661"/>
    <w:rsid w:val="00BD67BA"/>
    <w:rsid w:val="00BD68F3"/>
    <w:rsid w:val="00BD699B"/>
    <w:rsid w:val="00BD6A3A"/>
    <w:rsid w:val="00BD6ACA"/>
    <w:rsid w:val="00BD6B94"/>
    <w:rsid w:val="00BD6D0C"/>
    <w:rsid w:val="00BD6F0A"/>
    <w:rsid w:val="00BD6F72"/>
    <w:rsid w:val="00BD72C3"/>
    <w:rsid w:val="00BD72CE"/>
    <w:rsid w:val="00BD72D4"/>
    <w:rsid w:val="00BD7310"/>
    <w:rsid w:val="00BD735F"/>
    <w:rsid w:val="00BD7454"/>
    <w:rsid w:val="00BD74F0"/>
    <w:rsid w:val="00BD76B9"/>
    <w:rsid w:val="00BD7A48"/>
    <w:rsid w:val="00BD7C5D"/>
    <w:rsid w:val="00BD7E91"/>
    <w:rsid w:val="00BD7F79"/>
    <w:rsid w:val="00BD7FAA"/>
    <w:rsid w:val="00BE005D"/>
    <w:rsid w:val="00BE0267"/>
    <w:rsid w:val="00BE02E3"/>
    <w:rsid w:val="00BE037D"/>
    <w:rsid w:val="00BE07D3"/>
    <w:rsid w:val="00BE0883"/>
    <w:rsid w:val="00BE08E2"/>
    <w:rsid w:val="00BE0AC1"/>
    <w:rsid w:val="00BE0AEB"/>
    <w:rsid w:val="00BE0BA9"/>
    <w:rsid w:val="00BE0BCA"/>
    <w:rsid w:val="00BE0DE0"/>
    <w:rsid w:val="00BE0E99"/>
    <w:rsid w:val="00BE0F4B"/>
    <w:rsid w:val="00BE10F9"/>
    <w:rsid w:val="00BE1193"/>
    <w:rsid w:val="00BE1204"/>
    <w:rsid w:val="00BE15B9"/>
    <w:rsid w:val="00BE1841"/>
    <w:rsid w:val="00BE1946"/>
    <w:rsid w:val="00BE1B75"/>
    <w:rsid w:val="00BE1D81"/>
    <w:rsid w:val="00BE1DCF"/>
    <w:rsid w:val="00BE1F64"/>
    <w:rsid w:val="00BE1FDB"/>
    <w:rsid w:val="00BE20F7"/>
    <w:rsid w:val="00BE21B6"/>
    <w:rsid w:val="00BE228E"/>
    <w:rsid w:val="00BE22C0"/>
    <w:rsid w:val="00BE22E9"/>
    <w:rsid w:val="00BE2304"/>
    <w:rsid w:val="00BE24EB"/>
    <w:rsid w:val="00BE2888"/>
    <w:rsid w:val="00BE293F"/>
    <w:rsid w:val="00BE2952"/>
    <w:rsid w:val="00BE2996"/>
    <w:rsid w:val="00BE29F5"/>
    <w:rsid w:val="00BE2BC2"/>
    <w:rsid w:val="00BE2C17"/>
    <w:rsid w:val="00BE2C1E"/>
    <w:rsid w:val="00BE2F79"/>
    <w:rsid w:val="00BE300D"/>
    <w:rsid w:val="00BE300F"/>
    <w:rsid w:val="00BE304B"/>
    <w:rsid w:val="00BE30DF"/>
    <w:rsid w:val="00BE3107"/>
    <w:rsid w:val="00BE3190"/>
    <w:rsid w:val="00BE32A2"/>
    <w:rsid w:val="00BE347D"/>
    <w:rsid w:val="00BE3497"/>
    <w:rsid w:val="00BE35E3"/>
    <w:rsid w:val="00BE3632"/>
    <w:rsid w:val="00BE3676"/>
    <w:rsid w:val="00BE36C6"/>
    <w:rsid w:val="00BE3775"/>
    <w:rsid w:val="00BE3826"/>
    <w:rsid w:val="00BE3A63"/>
    <w:rsid w:val="00BE3B24"/>
    <w:rsid w:val="00BE3E2C"/>
    <w:rsid w:val="00BE412D"/>
    <w:rsid w:val="00BE430C"/>
    <w:rsid w:val="00BE4511"/>
    <w:rsid w:val="00BE4794"/>
    <w:rsid w:val="00BE495C"/>
    <w:rsid w:val="00BE49CE"/>
    <w:rsid w:val="00BE4A9D"/>
    <w:rsid w:val="00BE4ABD"/>
    <w:rsid w:val="00BE4BC5"/>
    <w:rsid w:val="00BE4CA8"/>
    <w:rsid w:val="00BE553B"/>
    <w:rsid w:val="00BE5612"/>
    <w:rsid w:val="00BE5661"/>
    <w:rsid w:val="00BE5663"/>
    <w:rsid w:val="00BE56DF"/>
    <w:rsid w:val="00BE5B84"/>
    <w:rsid w:val="00BE5C81"/>
    <w:rsid w:val="00BE5E85"/>
    <w:rsid w:val="00BE60F9"/>
    <w:rsid w:val="00BE617A"/>
    <w:rsid w:val="00BE6311"/>
    <w:rsid w:val="00BE6353"/>
    <w:rsid w:val="00BE6365"/>
    <w:rsid w:val="00BE63D4"/>
    <w:rsid w:val="00BE650F"/>
    <w:rsid w:val="00BE654D"/>
    <w:rsid w:val="00BE6766"/>
    <w:rsid w:val="00BE67B1"/>
    <w:rsid w:val="00BE67C2"/>
    <w:rsid w:val="00BE67FB"/>
    <w:rsid w:val="00BE6810"/>
    <w:rsid w:val="00BE681F"/>
    <w:rsid w:val="00BE6ABA"/>
    <w:rsid w:val="00BE6AE1"/>
    <w:rsid w:val="00BE6AE6"/>
    <w:rsid w:val="00BE6E80"/>
    <w:rsid w:val="00BE7073"/>
    <w:rsid w:val="00BE7146"/>
    <w:rsid w:val="00BE75D9"/>
    <w:rsid w:val="00BE76E4"/>
    <w:rsid w:val="00BE7707"/>
    <w:rsid w:val="00BE7839"/>
    <w:rsid w:val="00BE7D7C"/>
    <w:rsid w:val="00BE7E0C"/>
    <w:rsid w:val="00BE7E4F"/>
    <w:rsid w:val="00BE7FED"/>
    <w:rsid w:val="00BF02BF"/>
    <w:rsid w:val="00BF0404"/>
    <w:rsid w:val="00BF058A"/>
    <w:rsid w:val="00BF0881"/>
    <w:rsid w:val="00BF08E6"/>
    <w:rsid w:val="00BF1156"/>
    <w:rsid w:val="00BF1311"/>
    <w:rsid w:val="00BF1377"/>
    <w:rsid w:val="00BF15DC"/>
    <w:rsid w:val="00BF170E"/>
    <w:rsid w:val="00BF1745"/>
    <w:rsid w:val="00BF17FA"/>
    <w:rsid w:val="00BF18BD"/>
    <w:rsid w:val="00BF18F2"/>
    <w:rsid w:val="00BF1C12"/>
    <w:rsid w:val="00BF1E31"/>
    <w:rsid w:val="00BF1EB6"/>
    <w:rsid w:val="00BF20C7"/>
    <w:rsid w:val="00BF21CF"/>
    <w:rsid w:val="00BF23DD"/>
    <w:rsid w:val="00BF24A4"/>
    <w:rsid w:val="00BF24B4"/>
    <w:rsid w:val="00BF24BD"/>
    <w:rsid w:val="00BF2512"/>
    <w:rsid w:val="00BF2650"/>
    <w:rsid w:val="00BF2668"/>
    <w:rsid w:val="00BF27A5"/>
    <w:rsid w:val="00BF289B"/>
    <w:rsid w:val="00BF28F4"/>
    <w:rsid w:val="00BF2E89"/>
    <w:rsid w:val="00BF3344"/>
    <w:rsid w:val="00BF387A"/>
    <w:rsid w:val="00BF3975"/>
    <w:rsid w:val="00BF3C8B"/>
    <w:rsid w:val="00BF3DE7"/>
    <w:rsid w:val="00BF3E66"/>
    <w:rsid w:val="00BF4271"/>
    <w:rsid w:val="00BF42AA"/>
    <w:rsid w:val="00BF430B"/>
    <w:rsid w:val="00BF432F"/>
    <w:rsid w:val="00BF4455"/>
    <w:rsid w:val="00BF450C"/>
    <w:rsid w:val="00BF468A"/>
    <w:rsid w:val="00BF4700"/>
    <w:rsid w:val="00BF4783"/>
    <w:rsid w:val="00BF4887"/>
    <w:rsid w:val="00BF4915"/>
    <w:rsid w:val="00BF4A80"/>
    <w:rsid w:val="00BF4B8F"/>
    <w:rsid w:val="00BF4C8F"/>
    <w:rsid w:val="00BF4DF0"/>
    <w:rsid w:val="00BF502C"/>
    <w:rsid w:val="00BF5082"/>
    <w:rsid w:val="00BF5114"/>
    <w:rsid w:val="00BF5489"/>
    <w:rsid w:val="00BF5559"/>
    <w:rsid w:val="00BF558D"/>
    <w:rsid w:val="00BF55F6"/>
    <w:rsid w:val="00BF567C"/>
    <w:rsid w:val="00BF578B"/>
    <w:rsid w:val="00BF592A"/>
    <w:rsid w:val="00BF5B4D"/>
    <w:rsid w:val="00BF5EF9"/>
    <w:rsid w:val="00BF5F62"/>
    <w:rsid w:val="00BF603D"/>
    <w:rsid w:val="00BF6221"/>
    <w:rsid w:val="00BF629A"/>
    <w:rsid w:val="00BF62BD"/>
    <w:rsid w:val="00BF64C7"/>
    <w:rsid w:val="00BF65EB"/>
    <w:rsid w:val="00BF678C"/>
    <w:rsid w:val="00BF6826"/>
    <w:rsid w:val="00BF6883"/>
    <w:rsid w:val="00BF699D"/>
    <w:rsid w:val="00BF6A71"/>
    <w:rsid w:val="00BF6A89"/>
    <w:rsid w:val="00BF6C8D"/>
    <w:rsid w:val="00BF6F62"/>
    <w:rsid w:val="00BF7038"/>
    <w:rsid w:val="00BF7192"/>
    <w:rsid w:val="00BF7441"/>
    <w:rsid w:val="00BF764F"/>
    <w:rsid w:val="00BF7974"/>
    <w:rsid w:val="00BF7A4A"/>
    <w:rsid w:val="00BF7B8B"/>
    <w:rsid w:val="00BF7CB6"/>
    <w:rsid w:val="00C001E8"/>
    <w:rsid w:val="00C00468"/>
    <w:rsid w:val="00C004A9"/>
    <w:rsid w:val="00C0057E"/>
    <w:rsid w:val="00C005ED"/>
    <w:rsid w:val="00C0060A"/>
    <w:rsid w:val="00C008A6"/>
    <w:rsid w:val="00C008DB"/>
    <w:rsid w:val="00C00A1F"/>
    <w:rsid w:val="00C00AD3"/>
    <w:rsid w:val="00C00C3C"/>
    <w:rsid w:val="00C00C57"/>
    <w:rsid w:val="00C00F58"/>
    <w:rsid w:val="00C0113A"/>
    <w:rsid w:val="00C0120C"/>
    <w:rsid w:val="00C012DC"/>
    <w:rsid w:val="00C01325"/>
    <w:rsid w:val="00C0162E"/>
    <w:rsid w:val="00C01652"/>
    <w:rsid w:val="00C017D7"/>
    <w:rsid w:val="00C019B7"/>
    <w:rsid w:val="00C01B78"/>
    <w:rsid w:val="00C01E0D"/>
    <w:rsid w:val="00C02160"/>
    <w:rsid w:val="00C021D4"/>
    <w:rsid w:val="00C0237E"/>
    <w:rsid w:val="00C02708"/>
    <w:rsid w:val="00C0271D"/>
    <w:rsid w:val="00C02C43"/>
    <w:rsid w:val="00C02DB9"/>
    <w:rsid w:val="00C02F6B"/>
    <w:rsid w:val="00C0308C"/>
    <w:rsid w:val="00C03132"/>
    <w:rsid w:val="00C032B8"/>
    <w:rsid w:val="00C034B1"/>
    <w:rsid w:val="00C034CA"/>
    <w:rsid w:val="00C0364C"/>
    <w:rsid w:val="00C03761"/>
    <w:rsid w:val="00C0383A"/>
    <w:rsid w:val="00C03C95"/>
    <w:rsid w:val="00C03CCA"/>
    <w:rsid w:val="00C03D25"/>
    <w:rsid w:val="00C03E1E"/>
    <w:rsid w:val="00C04002"/>
    <w:rsid w:val="00C040EB"/>
    <w:rsid w:val="00C0414C"/>
    <w:rsid w:val="00C041C9"/>
    <w:rsid w:val="00C041D4"/>
    <w:rsid w:val="00C04599"/>
    <w:rsid w:val="00C046AD"/>
    <w:rsid w:val="00C04CFF"/>
    <w:rsid w:val="00C04F67"/>
    <w:rsid w:val="00C05013"/>
    <w:rsid w:val="00C051D0"/>
    <w:rsid w:val="00C0530C"/>
    <w:rsid w:val="00C05375"/>
    <w:rsid w:val="00C0543F"/>
    <w:rsid w:val="00C05497"/>
    <w:rsid w:val="00C0554C"/>
    <w:rsid w:val="00C05625"/>
    <w:rsid w:val="00C05713"/>
    <w:rsid w:val="00C05780"/>
    <w:rsid w:val="00C057DD"/>
    <w:rsid w:val="00C05B16"/>
    <w:rsid w:val="00C05D8F"/>
    <w:rsid w:val="00C05F24"/>
    <w:rsid w:val="00C06016"/>
    <w:rsid w:val="00C0602F"/>
    <w:rsid w:val="00C062A0"/>
    <w:rsid w:val="00C063D4"/>
    <w:rsid w:val="00C0642F"/>
    <w:rsid w:val="00C064CC"/>
    <w:rsid w:val="00C06788"/>
    <w:rsid w:val="00C067BC"/>
    <w:rsid w:val="00C067E9"/>
    <w:rsid w:val="00C06A54"/>
    <w:rsid w:val="00C06A55"/>
    <w:rsid w:val="00C06B91"/>
    <w:rsid w:val="00C06BB6"/>
    <w:rsid w:val="00C06DB7"/>
    <w:rsid w:val="00C06E45"/>
    <w:rsid w:val="00C0715A"/>
    <w:rsid w:val="00C0726C"/>
    <w:rsid w:val="00C072EF"/>
    <w:rsid w:val="00C074B8"/>
    <w:rsid w:val="00C07704"/>
    <w:rsid w:val="00C0781A"/>
    <w:rsid w:val="00C07B06"/>
    <w:rsid w:val="00C07B44"/>
    <w:rsid w:val="00C07D94"/>
    <w:rsid w:val="00C07DE0"/>
    <w:rsid w:val="00C07F3B"/>
    <w:rsid w:val="00C07FA0"/>
    <w:rsid w:val="00C10047"/>
    <w:rsid w:val="00C100E6"/>
    <w:rsid w:val="00C1010E"/>
    <w:rsid w:val="00C1021B"/>
    <w:rsid w:val="00C102A8"/>
    <w:rsid w:val="00C10459"/>
    <w:rsid w:val="00C1047B"/>
    <w:rsid w:val="00C10841"/>
    <w:rsid w:val="00C108AB"/>
    <w:rsid w:val="00C10E81"/>
    <w:rsid w:val="00C10F06"/>
    <w:rsid w:val="00C10F27"/>
    <w:rsid w:val="00C10FE7"/>
    <w:rsid w:val="00C11000"/>
    <w:rsid w:val="00C113F1"/>
    <w:rsid w:val="00C11715"/>
    <w:rsid w:val="00C11753"/>
    <w:rsid w:val="00C11923"/>
    <w:rsid w:val="00C11A2D"/>
    <w:rsid w:val="00C11D28"/>
    <w:rsid w:val="00C11DAC"/>
    <w:rsid w:val="00C11DB8"/>
    <w:rsid w:val="00C11E24"/>
    <w:rsid w:val="00C11F8E"/>
    <w:rsid w:val="00C121B9"/>
    <w:rsid w:val="00C12204"/>
    <w:rsid w:val="00C12319"/>
    <w:rsid w:val="00C12C2F"/>
    <w:rsid w:val="00C12EDC"/>
    <w:rsid w:val="00C130C6"/>
    <w:rsid w:val="00C13160"/>
    <w:rsid w:val="00C13185"/>
    <w:rsid w:val="00C13197"/>
    <w:rsid w:val="00C1377A"/>
    <w:rsid w:val="00C137B8"/>
    <w:rsid w:val="00C1390B"/>
    <w:rsid w:val="00C13BBF"/>
    <w:rsid w:val="00C13CAC"/>
    <w:rsid w:val="00C13CF4"/>
    <w:rsid w:val="00C13E03"/>
    <w:rsid w:val="00C13E5E"/>
    <w:rsid w:val="00C13E75"/>
    <w:rsid w:val="00C143D5"/>
    <w:rsid w:val="00C1458A"/>
    <w:rsid w:val="00C14870"/>
    <w:rsid w:val="00C14AEB"/>
    <w:rsid w:val="00C14B56"/>
    <w:rsid w:val="00C14C02"/>
    <w:rsid w:val="00C14C4F"/>
    <w:rsid w:val="00C14DC6"/>
    <w:rsid w:val="00C14E5A"/>
    <w:rsid w:val="00C1515A"/>
    <w:rsid w:val="00C1573D"/>
    <w:rsid w:val="00C15782"/>
    <w:rsid w:val="00C157DA"/>
    <w:rsid w:val="00C15B0C"/>
    <w:rsid w:val="00C15BA2"/>
    <w:rsid w:val="00C15D23"/>
    <w:rsid w:val="00C15D56"/>
    <w:rsid w:val="00C1614D"/>
    <w:rsid w:val="00C1625E"/>
    <w:rsid w:val="00C1635E"/>
    <w:rsid w:val="00C16432"/>
    <w:rsid w:val="00C16571"/>
    <w:rsid w:val="00C1663E"/>
    <w:rsid w:val="00C167A9"/>
    <w:rsid w:val="00C1685B"/>
    <w:rsid w:val="00C16866"/>
    <w:rsid w:val="00C16A0E"/>
    <w:rsid w:val="00C16A79"/>
    <w:rsid w:val="00C16BE6"/>
    <w:rsid w:val="00C16C8A"/>
    <w:rsid w:val="00C16CBB"/>
    <w:rsid w:val="00C16CFB"/>
    <w:rsid w:val="00C16D3A"/>
    <w:rsid w:val="00C16DB1"/>
    <w:rsid w:val="00C171EA"/>
    <w:rsid w:val="00C17241"/>
    <w:rsid w:val="00C172EF"/>
    <w:rsid w:val="00C1739C"/>
    <w:rsid w:val="00C175B3"/>
    <w:rsid w:val="00C17B38"/>
    <w:rsid w:val="00C17B98"/>
    <w:rsid w:val="00C17C8A"/>
    <w:rsid w:val="00C17CCD"/>
    <w:rsid w:val="00C20472"/>
    <w:rsid w:val="00C204F3"/>
    <w:rsid w:val="00C2051D"/>
    <w:rsid w:val="00C206C4"/>
    <w:rsid w:val="00C2073D"/>
    <w:rsid w:val="00C20765"/>
    <w:rsid w:val="00C20BF0"/>
    <w:rsid w:val="00C20CC4"/>
    <w:rsid w:val="00C20D30"/>
    <w:rsid w:val="00C20FD1"/>
    <w:rsid w:val="00C2117D"/>
    <w:rsid w:val="00C2142C"/>
    <w:rsid w:val="00C21480"/>
    <w:rsid w:val="00C214AA"/>
    <w:rsid w:val="00C214F9"/>
    <w:rsid w:val="00C2157C"/>
    <w:rsid w:val="00C2162D"/>
    <w:rsid w:val="00C217A3"/>
    <w:rsid w:val="00C21A2A"/>
    <w:rsid w:val="00C22036"/>
    <w:rsid w:val="00C22150"/>
    <w:rsid w:val="00C22168"/>
    <w:rsid w:val="00C22233"/>
    <w:rsid w:val="00C223B1"/>
    <w:rsid w:val="00C224A5"/>
    <w:rsid w:val="00C226AF"/>
    <w:rsid w:val="00C2270F"/>
    <w:rsid w:val="00C2271D"/>
    <w:rsid w:val="00C22796"/>
    <w:rsid w:val="00C227F6"/>
    <w:rsid w:val="00C228DE"/>
    <w:rsid w:val="00C22A3E"/>
    <w:rsid w:val="00C22B66"/>
    <w:rsid w:val="00C22CB4"/>
    <w:rsid w:val="00C22E56"/>
    <w:rsid w:val="00C23219"/>
    <w:rsid w:val="00C23303"/>
    <w:rsid w:val="00C234A7"/>
    <w:rsid w:val="00C23816"/>
    <w:rsid w:val="00C238AD"/>
    <w:rsid w:val="00C23E20"/>
    <w:rsid w:val="00C23E7F"/>
    <w:rsid w:val="00C23F31"/>
    <w:rsid w:val="00C23F97"/>
    <w:rsid w:val="00C24017"/>
    <w:rsid w:val="00C240EE"/>
    <w:rsid w:val="00C24275"/>
    <w:rsid w:val="00C2428A"/>
    <w:rsid w:val="00C2445E"/>
    <w:rsid w:val="00C247BD"/>
    <w:rsid w:val="00C2483D"/>
    <w:rsid w:val="00C248FB"/>
    <w:rsid w:val="00C24A44"/>
    <w:rsid w:val="00C2519C"/>
    <w:rsid w:val="00C2522D"/>
    <w:rsid w:val="00C2527A"/>
    <w:rsid w:val="00C253AB"/>
    <w:rsid w:val="00C25661"/>
    <w:rsid w:val="00C256EC"/>
    <w:rsid w:val="00C2596F"/>
    <w:rsid w:val="00C259F9"/>
    <w:rsid w:val="00C25AD2"/>
    <w:rsid w:val="00C25BC8"/>
    <w:rsid w:val="00C2613E"/>
    <w:rsid w:val="00C261D0"/>
    <w:rsid w:val="00C26574"/>
    <w:rsid w:val="00C26D32"/>
    <w:rsid w:val="00C26E0A"/>
    <w:rsid w:val="00C26E38"/>
    <w:rsid w:val="00C26E84"/>
    <w:rsid w:val="00C26EAD"/>
    <w:rsid w:val="00C27006"/>
    <w:rsid w:val="00C2704C"/>
    <w:rsid w:val="00C27588"/>
    <w:rsid w:val="00C275CA"/>
    <w:rsid w:val="00C275EA"/>
    <w:rsid w:val="00C27702"/>
    <w:rsid w:val="00C2774F"/>
    <w:rsid w:val="00C27872"/>
    <w:rsid w:val="00C279B0"/>
    <w:rsid w:val="00C279B2"/>
    <w:rsid w:val="00C27A05"/>
    <w:rsid w:val="00C27C54"/>
    <w:rsid w:val="00C27CE4"/>
    <w:rsid w:val="00C27DBD"/>
    <w:rsid w:val="00C30044"/>
    <w:rsid w:val="00C300DC"/>
    <w:rsid w:val="00C300F3"/>
    <w:rsid w:val="00C30457"/>
    <w:rsid w:val="00C304B8"/>
    <w:rsid w:val="00C30635"/>
    <w:rsid w:val="00C30787"/>
    <w:rsid w:val="00C308ED"/>
    <w:rsid w:val="00C30A5E"/>
    <w:rsid w:val="00C30C53"/>
    <w:rsid w:val="00C30CAF"/>
    <w:rsid w:val="00C30D8A"/>
    <w:rsid w:val="00C30F63"/>
    <w:rsid w:val="00C31049"/>
    <w:rsid w:val="00C31103"/>
    <w:rsid w:val="00C3113F"/>
    <w:rsid w:val="00C31556"/>
    <w:rsid w:val="00C31640"/>
    <w:rsid w:val="00C31746"/>
    <w:rsid w:val="00C31974"/>
    <w:rsid w:val="00C31989"/>
    <w:rsid w:val="00C319CF"/>
    <w:rsid w:val="00C31B0E"/>
    <w:rsid w:val="00C31B23"/>
    <w:rsid w:val="00C31B27"/>
    <w:rsid w:val="00C31C18"/>
    <w:rsid w:val="00C31C44"/>
    <w:rsid w:val="00C31F17"/>
    <w:rsid w:val="00C31FB9"/>
    <w:rsid w:val="00C32159"/>
    <w:rsid w:val="00C32188"/>
    <w:rsid w:val="00C32223"/>
    <w:rsid w:val="00C32391"/>
    <w:rsid w:val="00C32441"/>
    <w:rsid w:val="00C3244F"/>
    <w:rsid w:val="00C327B3"/>
    <w:rsid w:val="00C328A2"/>
    <w:rsid w:val="00C32913"/>
    <w:rsid w:val="00C3296B"/>
    <w:rsid w:val="00C32988"/>
    <w:rsid w:val="00C32A2F"/>
    <w:rsid w:val="00C32AAE"/>
    <w:rsid w:val="00C32C2B"/>
    <w:rsid w:val="00C32ED4"/>
    <w:rsid w:val="00C32F2B"/>
    <w:rsid w:val="00C3331F"/>
    <w:rsid w:val="00C33332"/>
    <w:rsid w:val="00C33333"/>
    <w:rsid w:val="00C333D0"/>
    <w:rsid w:val="00C3380F"/>
    <w:rsid w:val="00C3387E"/>
    <w:rsid w:val="00C339C6"/>
    <w:rsid w:val="00C33BCB"/>
    <w:rsid w:val="00C33EB6"/>
    <w:rsid w:val="00C33FC6"/>
    <w:rsid w:val="00C3408F"/>
    <w:rsid w:val="00C340AC"/>
    <w:rsid w:val="00C341F5"/>
    <w:rsid w:val="00C3437D"/>
    <w:rsid w:val="00C3447A"/>
    <w:rsid w:val="00C3454E"/>
    <w:rsid w:val="00C34597"/>
    <w:rsid w:val="00C347C9"/>
    <w:rsid w:val="00C34852"/>
    <w:rsid w:val="00C34A0C"/>
    <w:rsid w:val="00C34A5E"/>
    <w:rsid w:val="00C34A81"/>
    <w:rsid w:val="00C34B47"/>
    <w:rsid w:val="00C34CC9"/>
    <w:rsid w:val="00C34EBA"/>
    <w:rsid w:val="00C34F57"/>
    <w:rsid w:val="00C35378"/>
    <w:rsid w:val="00C3551C"/>
    <w:rsid w:val="00C35564"/>
    <w:rsid w:val="00C35595"/>
    <w:rsid w:val="00C357E8"/>
    <w:rsid w:val="00C358CC"/>
    <w:rsid w:val="00C35961"/>
    <w:rsid w:val="00C35C3F"/>
    <w:rsid w:val="00C35CAE"/>
    <w:rsid w:val="00C35E96"/>
    <w:rsid w:val="00C360F3"/>
    <w:rsid w:val="00C36231"/>
    <w:rsid w:val="00C36671"/>
    <w:rsid w:val="00C368D3"/>
    <w:rsid w:val="00C36AE7"/>
    <w:rsid w:val="00C36C6F"/>
    <w:rsid w:val="00C36CB8"/>
    <w:rsid w:val="00C36CD8"/>
    <w:rsid w:val="00C36EC1"/>
    <w:rsid w:val="00C370E9"/>
    <w:rsid w:val="00C371A0"/>
    <w:rsid w:val="00C37663"/>
    <w:rsid w:val="00C37887"/>
    <w:rsid w:val="00C378F8"/>
    <w:rsid w:val="00C37A13"/>
    <w:rsid w:val="00C37AA4"/>
    <w:rsid w:val="00C37C6F"/>
    <w:rsid w:val="00C37C96"/>
    <w:rsid w:val="00C37EF5"/>
    <w:rsid w:val="00C37F28"/>
    <w:rsid w:val="00C37F2E"/>
    <w:rsid w:val="00C403C1"/>
    <w:rsid w:val="00C403F2"/>
    <w:rsid w:val="00C4054B"/>
    <w:rsid w:val="00C405DB"/>
    <w:rsid w:val="00C40701"/>
    <w:rsid w:val="00C407E2"/>
    <w:rsid w:val="00C408CF"/>
    <w:rsid w:val="00C40BAB"/>
    <w:rsid w:val="00C410E7"/>
    <w:rsid w:val="00C4110C"/>
    <w:rsid w:val="00C41498"/>
    <w:rsid w:val="00C414CC"/>
    <w:rsid w:val="00C41638"/>
    <w:rsid w:val="00C416AE"/>
    <w:rsid w:val="00C416D4"/>
    <w:rsid w:val="00C41716"/>
    <w:rsid w:val="00C41742"/>
    <w:rsid w:val="00C41895"/>
    <w:rsid w:val="00C4198A"/>
    <w:rsid w:val="00C41AC5"/>
    <w:rsid w:val="00C41B47"/>
    <w:rsid w:val="00C41C67"/>
    <w:rsid w:val="00C41C6F"/>
    <w:rsid w:val="00C41C8C"/>
    <w:rsid w:val="00C41D21"/>
    <w:rsid w:val="00C41E06"/>
    <w:rsid w:val="00C424E2"/>
    <w:rsid w:val="00C42972"/>
    <w:rsid w:val="00C42A66"/>
    <w:rsid w:val="00C42A6A"/>
    <w:rsid w:val="00C42BFC"/>
    <w:rsid w:val="00C42DD7"/>
    <w:rsid w:val="00C42DF9"/>
    <w:rsid w:val="00C431C0"/>
    <w:rsid w:val="00C433C7"/>
    <w:rsid w:val="00C4363F"/>
    <w:rsid w:val="00C436F6"/>
    <w:rsid w:val="00C437C1"/>
    <w:rsid w:val="00C4398E"/>
    <w:rsid w:val="00C43BDB"/>
    <w:rsid w:val="00C445F6"/>
    <w:rsid w:val="00C44673"/>
    <w:rsid w:val="00C44775"/>
    <w:rsid w:val="00C448D2"/>
    <w:rsid w:val="00C448E1"/>
    <w:rsid w:val="00C44B27"/>
    <w:rsid w:val="00C44B9E"/>
    <w:rsid w:val="00C44DCF"/>
    <w:rsid w:val="00C44FEC"/>
    <w:rsid w:val="00C4502C"/>
    <w:rsid w:val="00C45293"/>
    <w:rsid w:val="00C4558C"/>
    <w:rsid w:val="00C4568E"/>
    <w:rsid w:val="00C45B74"/>
    <w:rsid w:val="00C45B90"/>
    <w:rsid w:val="00C45ED4"/>
    <w:rsid w:val="00C4603E"/>
    <w:rsid w:val="00C46046"/>
    <w:rsid w:val="00C46083"/>
    <w:rsid w:val="00C461E6"/>
    <w:rsid w:val="00C46324"/>
    <w:rsid w:val="00C46785"/>
    <w:rsid w:val="00C468FA"/>
    <w:rsid w:val="00C46A90"/>
    <w:rsid w:val="00C46D43"/>
    <w:rsid w:val="00C46F9E"/>
    <w:rsid w:val="00C47023"/>
    <w:rsid w:val="00C470D3"/>
    <w:rsid w:val="00C47311"/>
    <w:rsid w:val="00C47364"/>
    <w:rsid w:val="00C473BA"/>
    <w:rsid w:val="00C4757B"/>
    <w:rsid w:val="00C476E3"/>
    <w:rsid w:val="00C4786E"/>
    <w:rsid w:val="00C478A6"/>
    <w:rsid w:val="00C47CE9"/>
    <w:rsid w:val="00C47F9A"/>
    <w:rsid w:val="00C5018E"/>
    <w:rsid w:val="00C503B0"/>
    <w:rsid w:val="00C50546"/>
    <w:rsid w:val="00C5055F"/>
    <w:rsid w:val="00C506BA"/>
    <w:rsid w:val="00C507BC"/>
    <w:rsid w:val="00C5080B"/>
    <w:rsid w:val="00C50865"/>
    <w:rsid w:val="00C509D7"/>
    <w:rsid w:val="00C50B5A"/>
    <w:rsid w:val="00C50BBA"/>
    <w:rsid w:val="00C50C22"/>
    <w:rsid w:val="00C50D72"/>
    <w:rsid w:val="00C50DB2"/>
    <w:rsid w:val="00C50E6D"/>
    <w:rsid w:val="00C50F93"/>
    <w:rsid w:val="00C51056"/>
    <w:rsid w:val="00C51303"/>
    <w:rsid w:val="00C5153C"/>
    <w:rsid w:val="00C5168A"/>
    <w:rsid w:val="00C51694"/>
    <w:rsid w:val="00C51829"/>
    <w:rsid w:val="00C518D5"/>
    <w:rsid w:val="00C5197D"/>
    <w:rsid w:val="00C51BB2"/>
    <w:rsid w:val="00C51D18"/>
    <w:rsid w:val="00C51D5F"/>
    <w:rsid w:val="00C51DDB"/>
    <w:rsid w:val="00C51F7D"/>
    <w:rsid w:val="00C520FF"/>
    <w:rsid w:val="00C5218A"/>
    <w:rsid w:val="00C52264"/>
    <w:rsid w:val="00C5226C"/>
    <w:rsid w:val="00C52446"/>
    <w:rsid w:val="00C52474"/>
    <w:rsid w:val="00C52574"/>
    <w:rsid w:val="00C526EA"/>
    <w:rsid w:val="00C526ED"/>
    <w:rsid w:val="00C529D5"/>
    <w:rsid w:val="00C52E07"/>
    <w:rsid w:val="00C5300A"/>
    <w:rsid w:val="00C533EA"/>
    <w:rsid w:val="00C534A8"/>
    <w:rsid w:val="00C5361D"/>
    <w:rsid w:val="00C536A5"/>
    <w:rsid w:val="00C53A40"/>
    <w:rsid w:val="00C541F2"/>
    <w:rsid w:val="00C54231"/>
    <w:rsid w:val="00C5427A"/>
    <w:rsid w:val="00C543DE"/>
    <w:rsid w:val="00C5440F"/>
    <w:rsid w:val="00C5442A"/>
    <w:rsid w:val="00C54600"/>
    <w:rsid w:val="00C54693"/>
    <w:rsid w:val="00C54794"/>
    <w:rsid w:val="00C547BC"/>
    <w:rsid w:val="00C547E0"/>
    <w:rsid w:val="00C5483A"/>
    <w:rsid w:val="00C54AB4"/>
    <w:rsid w:val="00C54AC4"/>
    <w:rsid w:val="00C54ACB"/>
    <w:rsid w:val="00C54AE8"/>
    <w:rsid w:val="00C54BB8"/>
    <w:rsid w:val="00C54DD6"/>
    <w:rsid w:val="00C54F34"/>
    <w:rsid w:val="00C54F66"/>
    <w:rsid w:val="00C54F98"/>
    <w:rsid w:val="00C55282"/>
    <w:rsid w:val="00C5528C"/>
    <w:rsid w:val="00C5533B"/>
    <w:rsid w:val="00C556F7"/>
    <w:rsid w:val="00C558B6"/>
    <w:rsid w:val="00C558CF"/>
    <w:rsid w:val="00C5594D"/>
    <w:rsid w:val="00C55A20"/>
    <w:rsid w:val="00C55B30"/>
    <w:rsid w:val="00C55D9F"/>
    <w:rsid w:val="00C55E41"/>
    <w:rsid w:val="00C55E70"/>
    <w:rsid w:val="00C55F2E"/>
    <w:rsid w:val="00C56025"/>
    <w:rsid w:val="00C56266"/>
    <w:rsid w:val="00C562F3"/>
    <w:rsid w:val="00C5637D"/>
    <w:rsid w:val="00C564DB"/>
    <w:rsid w:val="00C564E3"/>
    <w:rsid w:val="00C56F9B"/>
    <w:rsid w:val="00C57056"/>
    <w:rsid w:val="00C570AF"/>
    <w:rsid w:val="00C574BD"/>
    <w:rsid w:val="00C5752F"/>
    <w:rsid w:val="00C57587"/>
    <w:rsid w:val="00C5763F"/>
    <w:rsid w:val="00C5771A"/>
    <w:rsid w:val="00C577B9"/>
    <w:rsid w:val="00C577BB"/>
    <w:rsid w:val="00C577C6"/>
    <w:rsid w:val="00C577FE"/>
    <w:rsid w:val="00C579CC"/>
    <w:rsid w:val="00C57A90"/>
    <w:rsid w:val="00C57B8A"/>
    <w:rsid w:val="00C57D16"/>
    <w:rsid w:val="00C57D36"/>
    <w:rsid w:val="00C57D94"/>
    <w:rsid w:val="00C57E60"/>
    <w:rsid w:val="00C57E8F"/>
    <w:rsid w:val="00C57FF0"/>
    <w:rsid w:val="00C600C6"/>
    <w:rsid w:val="00C6014F"/>
    <w:rsid w:val="00C60166"/>
    <w:rsid w:val="00C603C4"/>
    <w:rsid w:val="00C60469"/>
    <w:rsid w:val="00C6054F"/>
    <w:rsid w:val="00C605D5"/>
    <w:rsid w:val="00C608CA"/>
    <w:rsid w:val="00C6099C"/>
    <w:rsid w:val="00C60A1F"/>
    <w:rsid w:val="00C60B4E"/>
    <w:rsid w:val="00C60C1C"/>
    <w:rsid w:val="00C60C28"/>
    <w:rsid w:val="00C60CC7"/>
    <w:rsid w:val="00C60CD7"/>
    <w:rsid w:val="00C60E41"/>
    <w:rsid w:val="00C60EAF"/>
    <w:rsid w:val="00C60EFD"/>
    <w:rsid w:val="00C60F95"/>
    <w:rsid w:val="00C61132"/>
    <w:rsid w:val="00C61290"/>
    <w:rsid w:val="00C6135F"/>
    <w:rsid w:val="00C613E8"/>
    <w:rsid w:val="00C61543"/>
    <w:rsid w:val="00C618E5"/>
    <w:rsid w:val="00C61A18"/>
    <w:rsid w:val="00C61A97"/>
    <w:rsid w:val="00C61BB0"/>
    <w:rsid w:val="00C61CF6"/>
    <w:rsid w:val="00C61D16"/>
    <w:rsid w:val="00C61EF2"/>
    <w:rsid w:val="00C61F29"/>
    <w:rsid w:val="00C6202E"/>
    <w:rsid w:val="00C6208C"/>
    <w:rsid w:val="00C62163"/>
    <w:rsid w:val="00C625A5"/>
    <w:rsid w:val="00C6277F"/>
    <w:rsid w:val="00C627C8"/>
    <w:rsid w:val="00C627F2"/>
    <w:rsid w:val="00C62ADA"/>
    <w:rsid w:val="00C62EBA"/>
    <w:rsid w:val="00C63017"/>
    <w:rsid w:val="00C63051"/>
    <w:rsid w:val="00C630A7"/>
    <w:rsid w:val="00C631AA"/>
    <w:rsid w:val="00C63217"/>
    <w:rsid w:val="00C632D4"/>
    <w:rsid w:val="00C63387"/>
    <w:rsid w:val="00C63717"/>
    <w:rsid w:val="00C63AB6"/>
    <w:rsid w:val="00C63D8A"/>
    <w:rsid w:val="00C63ED4"/>
    <w:rsid w:val="00C63EDE"/>
    <w:rsid w:val="00C640EE"/>
    <w:rsid w:val="00C6416B"/>
    <w:rsid w:val="00C64295"/>
    <w:rsid w:val="00C642C8"/>
    <w:rsid w:val="00C642D7"/>
    <w:rsid w:val="00C64784"/>
    <w:rsid w:val="00C6484B"/>
    <w:rsid w:val="00C64B33"/>
    <w:rsid w:val="00C64D84"/>
    <w:rsid w:val="00C64F77"/>
    <w:rsid w:val="00C65030"/>
    <w:rsid w:val="00C65141"/>
    <w:rsid w:val="00C651B4"/>
    <w:rsid w:val="00C65206"/>
    <w:rsid w:val="00C65260"/>
    <w:rsid w:val="00C653D1"/>
    <w:rsid w:val="00C654FC"/>
    <w:rsid w:val="00C65568"/>
    <w:rsid w:val="00C655DE"/>
    <w:rsid w:val="00C6560C"/>
    <w:rsid w:val="00C65786"/>
    <w:rsid w:val="00C65990"/>
    <w:rsid w:val="00C659E3"/>
    <w:rsid w:val="00C659EA"/>
    <w:rsid w:val="00C65A77"/>
    <w:rsid w:val="00C65A95"/>
    <w:rsid w:val="00C65C36"/>
    <w:rsid w:val="00C65C8F"/>
    <w:rsid w:val="00C65DB0"/>
    <w:rsid w:val="00C65DD2"/>
    <w:rsid w:val="00C65E01"/>
    <w:rsid w:val="00C65E76"/>
    <w:rsid w:val="00C65ED4"/>
    <w:rsid w:val="00C6616F"/>
    <w:rsid w:val="00C66183"/>
    <w:rsid w:val="00C662B7"/>
    <w:rsid w:val="00C664ED"/>
    <w:rsid w:val="00C665E7"/>
    <w:rsid w:val="00C665E9"/>
    <w:rsid w:val="00C66715"/>
    <w:rsid w:val="00C6671D"/>
    <w:rsid w:val="00C66848"/>
    <w:rsid w:val="00C66D8D"/>
    <w:rsid w:val="00C66FD3"/>
    <w:rsid w:val="00C670C9"/>
    <w:rsid w:val="00C67212"/>
    <w:rsid w:val="00C67675"/>
    <w:rsid w:val="00C677A6"/>
    <w:rsid w:val="00C67863"/>
    <w:rsid w:val="00C678AF"/>
    <w:rsid w:val="00C67A13"/>
    <w:rsid w:val="00C67A76"/>
    <w:rsid w:val="00C67EC7"/>
    <w:rsid w:val="00C700BA"/>
    <w:rsid w:val="00C701C7"/>
    <w:rsid w:val="00C7025C"/>
    <w:rsid w:val="00C7050B"/>
    <w:rsid w:val="00C706C0"/>
    <w:rsid w:val="00C7077A"/>
    <w:rsid w:val="00C7098A"/>
    <w:rsid w:val="00C70A93"/>
    <w:rsid w:val="00C70B3A"/>
    <w:rsid w:val="00C70BF2"/>
    <w:rsid w:val="00C70CA4"/>
    <w:rsid w:val="00C70CD6"/>
    <w:rsid w:val="00C70DD8"/>
    <w:rsid w:val="00C7110C"/>
    <w:rsid w:val="00C71236"/>
    <w:rsid w:val="00C714E9"/>
    <w:rsid w:val="00C719DE"/>
    <w:rsid w:val="00C71A05"/>
    <w:rsid w:val="00C71C8F"/>
    <w:rsid w:val="00C71DA3"/>
    <w:rsid w:val="00C71DCA"/>
    <w:rsid w:val="00C71E13"/>
    <w:rsid w:val="00C7216E"/>
    <w:rsid w:val="00C72342"/>
    <w:rsid w:val="00C724F5"/>
    <w:rsid w:val="00C7257B"/>
    <w:rsid w:val="00C72750"/>
    <w:rsid w:val="00C72765"/>
    <w:rsid w:val="00C72876"/>
    <w:rsid w:val="00C72982"/>
    <w:rsid w:val="00C72A08"/>
    <w:rsid w:val="00C72B0A"/>
    <w:rsid w:val="00C72D40"/>
    <w:rsid w:val="00C72EED"/>
    <w:rsid w:val="00C72F72"/>
    <w:rsid w:val="00C730F4"/>
    <w:rsid w:val="00C73166"/>
    <w:rsid w:val="00C73457"/>
    <w:rsid w:val="00C7348D"/>
    <w:rsid w:val="00C73515"/>
    <w:rsid w:val="00C73611"/>
    <w:rsid w:val="00C736EF"/>
    <w:rsid w:val="00C73788"/>
    <w:rsid w:val="00C737D3"/>
    <w:rsid w:val="00C737FC"/>
    <w:rsid w:val="00C73853"/>
    <w:rsid w:val="00C738A1"/>
    <w:rsid w:val="00C73A1D"/>
    <w:rsid w:val="00C73A88"/>
    <w:rsid w:val="00C73CA2"/>
    <w:rsid w:val="00C73D38"/>
    <w:rsid w:val="00C73E49"/>
    <w:rsid w:val="00C73E7E"/>
    <w:rsid w:val="00C73F6F"/>
    <w:rsid w:val="00C741D0"/>
    <w:rsid w:val="00C7423B"/>
    <w:rsid w:val="00C74356"/>
    <w:rsid w:val="00C74478"/>
    <w:rsid w:val="00C744CA"/>
    <w:rsid w:val="00C747D7"/>
    <w:rsid w:val="00C74BC3"/>
    <w:rsid w:val="00C74D6E"/>
    <w:rsid w:val="00C74DC7"/>
    <w:rsid w:val="00C7506E"/>
    <w:rsid w:val="00C750D3"/>
    <w:rsid w:val="00C751EC"/>
    <w:rsid w:val="00C75215"/>
    <w:rsid w:val="00C75223"/>
    <w:rsid w:val="00C7524B"/>
    <w:rsid w:val="00C7530D"/>
    <w:rsid w:val="00C755A7"/>
    <w:rsid w:val="00C7573A"/>
    <w:rsid w:val="00C7583F"/>
    <w:rsid w:val="00C7591B"/>
    <w:rsid w:val="00C75972"/>
    <w:rsid w:val="00C75C0D"/>
    <w:rsid w:val="00C75F0C"/>
    <w:rsid w:val="00C75FB1"/>
    <w:rsid w:val="00C7615F"/>
    <w:rsid w:val="00C76483"/>
    <w:rsid w:val="00C764B0"/>
    <w:rsid w:val="00C76789"/>
    <w:rsid w:val="00C7691B"/>
    <w:rsid w:val="00C769E5"/>
    <w:rsid w:val="00C76ADC"/>
    <w:rsid w:val="00C76C23"/>
    <w:rsid w:val="00C76F3E"/>
    <w:rsid w:val="00C7705C"/>
    <w:rsid w:val="00C771D3"/>
    <w:rsid w:val="00C7728B"/>
    <w:rsid w:val="00C77396"/>
    <w:rsid w:val="00C77657"/>
    <w:rsid w:val="00C77727"/>
    <w:rsid w:val="00C77741"/>
    <w:rsid w:val="00C77A96"/>
    <w:rsid w:val="00C77B66"/>
    <w:rsid w:val="00C77B69"/>
    <w:rsid w:val="00C77BC5"/>
    <w:rsid w:val="00C77C03"/>
    <w:rsid w:val="00C77D28"/>
    <w:rsid w:val="00C77D4A"/>
    <w:rsid w:val="00C77F5C"/>
    <w:rsid w:val="00C77F8C"/>
    <w:rsid w:val="00C80256"/>
    <w:rsid w:val="00C802A2"/>
    <w:rsid w:val="00C80479"/>
    <w:rsid w:val="00C80799"/>
    <w:rsid w:val="00C80864"/>
    <w:rsid w:val="00C80A70"/>
    <w:rsid w:val="00C80B22"/>
    <w:rsid w:val="00C80D43"/>
    <w:rsid w:val="00C80D65"/>
    <w:rsid w:val="00C812EC"/>
    <w:rsid w:val="00C81387"/>
    <w:rsid w:val="00C81398"/>
    <w:rsid w:val="00C81A8E"/>
    <w:rsid w:val="00C81BA8"/>
    <w:rsid w:val="00C81CCD"/>
    <w:rsid w:val="00C81DE1"/>
    <w:rsid w:val="00C81EE2"/>
    <w:rsid w:val="00C824AF"/>
    <w:rsid w:val="00C824E8"/>
    <w:rsid w:val="00C82520"/>
    <w:rsid w:val="00C8261C"/>
    <w:rsid w:val="00C82843"/>
    <w:rsid w:val="00C82881"/>
    <w:rsid w:val="00C8288C"/>
    <w:rsid w:val="00C8294E"/>
    <w:rsid w:val="00C82A27"/>
    <w:rsid w:val="00C82A87"/>
    <w:rsid w:val="00C82EB6"/>
    <w:rsid w:val="00C82F21"/>
    <w:rsid w:val="00C82F74"/>
    <w:rsid w:val="00C8301D"/>
    <w:rsid w:val="00C83232"/>
    <w:rsid w:val="00C833AF"/>
    <w:rsid w:val="00C839D2"/>
    <w:rsid w:val="00C83D8A"/>
    <w:rsid w:val="00C83DC2"/>
    <w:rsid w:val="00C83DCC"/>
    <w:rsid w:val="00C83E72"/>
    <w:rsid w:val="00C84243"/>
    <w:rsid w:val="00C847B1"/>
    <w:rsid w:val="00C848D2"/>
    <w:rsid w:val="00C848F6"/>
    <w:rsid w:val="00C8497A"/>
    <w:rsid w:val="00C849A8"/>
    <w:rsid w:val="00C85032"/>
    <w:rsid w:val="00C85398"/>
    <w:rsid w:val="00C85399"/>
    <w:rsid w:val="00C8544B"/>
    <w:rsid w:val="00C8576E"/>
    <w:rsid w:val="00C857F8"/>
    <w:rsid w:val="00C85947"/>
    <w:rsid w:val="00C85A04"/>
    <w:rsid w:val="00C85A14"/>
    <w:rsid w:val="00C85B4C"/>
    <w:rsid w:val="00C85BA9"/>
    <w:rsid w:val="00C85C02"/>
    <w:rsid w:val="00C85DD3"/>
    <w:rsid w:val="00C85EAE"/>
    <w:rsid w:val="00C86072"/>
    <w:rsid w:val="00C86141"/>
    <w:rsid w:val="00C8616D"/>
    <w:rsid w:val="00C86197"/>
    <w:rsid w:val="00C861F8"/>
    <w:rsid w:val="00C862A6"/>
    <w:rsid w:val="00C86783"/>
    <w:rsid w:val="00C86859"/>
    <w:rsid w:val="00C868E8"/>
    <w:rsid w:val="00C869D2"/>
    <w:rsid w:val="00C86AE6"/>
    <w:rsid w:val="00C86F25"/>
    <w:rsid w:val="00C86F9F"/>
    <w:rsid w:val="00C8707B"/>
    <w:rsid w:val="00C8713E"/>
    <w:rsid w:val="00C8720D"/>
    <w:rsid w:val="00C87288"/>
    <w:rsid w:val="00C87425"/>
    <w:rsid w:val="00C87475"/>
    <w:rsid w:val="00C874B1"/>
    <w:rsid w:val="00C8754F"/>
    <w:rsid w:val="00C8765A"/>
    <w:rsid w:val="00C876AC"/>
    <w:rsid w:val="00C87E47"/>
    <w:rsid w:val="00C87E54"/>
    <w:rsid w:val="00C90122"/>
    <w:rsid w:val="00C9013A"/>
    <w:rsid w:val="00C90223"/>
    <w:rsid w:val="00C902AB"/>
    <w:rsid w:val="00C906D7"/>
    <w:rsid w:val="00C909F2"/>
    <w:rsid w:val="00C90A26"/>
    <w:rsid w:val="00C90AA9"/>
    <w:rsid w:val="00C90B71"/>
    <w:rsid w:val="00C90E75"/>
    <w:rsid w:val="00C90F20"/>
    <w:rsid w:val="00C9117E"/>
    <w:rsid w:val="00C911B1"/>
    <w:rsid w:val="00C9136E"/>
    <w:rsid w:val="00C91624"/>
    <w:rsid w:val="00C917DA"/>
    <w:rsid w:val="00C918B4"/>
    <w:rsid w:val="00C91ACA"/>
    <w:rsid w:val="00C921F8"/>
    <w:rsid w:val="00C9223D"/>
    <w:rsid w:val="00C923AB"/>
    <w:rsid w:val="00C92476"/>
    <w:rsid w:val="00C9271A"/>
    <w:rsid w:val="00C927DB"/>
    <w:rsid w:val="00C92A30"/>
    <w:rsid w:val="00C92AB2"/>
    <w:rsid w:val="00C92C14"/>
    <w:rsid w:val="00C93322"/>
    <w:rsid w:val="00C93572"/>
    <w:rsid w:val="00C936BA"/>
    <w:rsid w:val="00C9378E"/>
    <w:rsid w:val="00C9387F"/>
    <w:rsid w:val="00C9397F"/>
    <w:rsid w:val="00C939CB"/>
    <w:rsid w:val="00C93A72"/>
    <w:rsid w:val="00C93A91"/>
    <w:rsid w:val="00C93B3A"/>
    <w:rsid w:val="00C93C81"/>
    <w:rsid w:val="00C93D0C"/>
    <w:rsid w:val="00C93D60"/>
    <w:rsid w:val="00C93E0D"/>
    <w:rsid w:val="00C93F3F"/>
    <w:rsid w:val="00C93F54"/>
    <w:rsid w:val="00C93F86"/>
    <w:rsid w:val="00C94196"/>
    <w:rsid w:val="00C9429D"/>
    <w:rsid w:val="00C943B6"/>
    <w:rsid w:val="00C944E5"/>
    <w:rsid w:val="00C947A2"/>
    <w:rsid w:val="00C94857"/>
    <w:rsid w:val="00C948F1"/>
    <w:rsid w:val="00C9491A"/>
    <w:rsid w:val="00C94C7F"/>
    <w:rsid w:val="00C94CBE"/>
    <w:rsid w:val="00C94D20"/>
    <w:rsid w:val="00C94E13"/>
    <w:rsid w:val="00C94F32"/>
    <w:rsid w:val="00C95084"/>
    <w:rsid w:val="00C950D8"/>
    <w:rsid w:val="00C950EA"/>
    <w:rsid w:val="00C95479"/>
    <w:rsid w:val="00C954D1"/>
    <w:rsid w:val="00C954DE"/>
    <w:rsid w:val="00C9566D"/>
    <w:rsid w:val="00C95830"/>
    <w:rsid w:val="00C95D1B"/>
    <w:rsid w:val="00C95D23"/>
    <w:rsid w:val="00C95EA0"/>
    <w:rsid w:val="00C95EB4"/>
    <w:rsid w:val="00C95EE9"/>
    <w:rsid w:val="00C96038"/>
    <w:rsid w:val="00C96311"/>
    <w:rsid w:val="00C96374"/>
    <w:rsid w:val="00C9644B"/>
    <w:rsid w:val="00C96718"/>
    <w:rsid w:val="00C9688D"/>
    <w:rsid w:val="00C9691F"/>
    <w:rsid w:val="00C96AC5"/>
    <w:rsid w:val="00C96E9B"/>
    <w:rsid w:val="00C96EAC"/>
    <w:rsid w:val="00C96F3C"/>
    <w:rsid w:val="00C96FA8"/>
    <w:rsid w:val="00C96FF3"/>
    <w:rsid w:val="00C97026"/>
    <w:rsid w:val="00C970B6"/>
    <w:rsid w:val="00C970C6"/>
    <w:rsid w:val="00C97143"/>
    <w:rsid w:val="00C9720B"/>
    <w:rsid w:val="00C97482"/>
    <w:rsid w:val="00C974FE"/>
    <w:rsid w:val="00C97656"/>
    <w:rsid w:val="00C976C4"/>
    <w:rsid w:val="00C9784F"/>
    <w:rsid w:val="00C97B33"/>
    <w:rsid w:val="00C97B88"/>
    <w:rsid w:val="00C97E38"/>
    <w:rsid w:val="00CA012A"/>
    <w:rsid w:val="00CA0326"/>
    <w:rsid w:val="00CA04E2"/>
    <w:rsid w:val="00CA0514"/>
    <w:rsid w:val="00CA0566"/>
    <w:rsid w:val="00CA06CB"/>
    <w:rsid w:val="00CA0879"/>
    <w:rsid w:val="00CA098D"/>
    <w:rsid w:val="00CA0B04"/>
    <w:rsid w:val="00CA0B1B"/>
    <w:rsid w:val="00CA0BC1"/>
    <w:rsid w:val="00CA0DB9"/>
    <w:rsid w:val="00CA0DD6"/>
    <w:rsid w:val="00CA0E6D"/>
    <w:rsid w:val="00CA0EA1"/>
    <w:rsid w:val="00CA11FB"/>
    <w:rsid w:val="00CA1214"/>
    <w:rsid w:val="00CA130D"/>
    <w:rsid w:val="00CA1470"/>
    <w:rsid w:val="00CA1655"/>
    <w:rsid w:val="00CA1748"/>
    <w:rsid w:val="00CA1A39"/>
    <w:rsid w:val="00CA1C18"/>
    <w:rsid w:val="00CA1D39"/>
    <w:rsid w:val="00CA1E89"/>
    <w:rsid w:val="00CA1F77"/>
    <w:rsid w:val="00CA1FC5"/>
    <w:rsid w:val="00CA1FCC"/>
    <w:rsid w:val="00CA2BCB"/>
    <w:rsid w:val="00CA2D1F"/>
    <w:rsid w:val="00CA30B9"/>
    <w:rsid w:val="00CA30FB"/>
    <w:rsid w:val="00CA3181"/>
    <w:rsid w:val="00CA3186"/>
    <w:rsid w:val="00CA328C"/>
    <w:rsid w:val="00CA3373"/>
    <w:rsid w:val="00CA33CB"/>
    <w:rsid w:val="00CA347D"/>
    <w:rsid w:val="00CA379D"/>
    <w:rsid w:val="00CA37AB"/>
    <w:rsid w:val="00CA38A4"/>
    <w:rsid w:val="00CA3968"/>
    <w:rsid w:val="00CA3974"/>
    <w:rsid w:val="00CA398B"/>
    <w:rsid w:val="00CA39CE"/>
    <w:rsid w:val="00CA3C3D"/>
    <w:rsid w:val="00CA3DEA"/>
    <w:rsid w:val="00CA3EA9"/>
    <w:rsid w:val="00CA3F5C"/>
    <w:rsid w:val="00CA4083"/>
    <w:rsid w:val="00CA408A"/>
    <w:rsid w:val="00CA40A6"/>
    <w:rsid w:val="00CA428F"/>
    <w:rsid w:val="00CA42B1"/>
    <w:rsid w:val="00CA42D8"/>
    <w:rsid w:val="00CA476E"/>
    <w:rsid w:val="00CA4C71"/>
    <w:rsid w:val="00CA4C80"/>
    <w:rsid w:val="00CA4D4D"/>
    <w:rsid w:val="00CA4D7C"/>
    <w:rsid w:val="00CA4FB4"/>
    <w:rsid w:val="00CA5028"/>
    <w:rsid w:val="00CA50BD"/>
    <w:rsid w:val="00CA50D1"/>
    <w:rsid w:val="00CA50E6"/>
    <w:rsid w:val="00CA5306"/>
    <w:rsid w:val="00CA5397"/>
    <w:rsid w:val="00CA545C"/>
    <w:rsid w:val="00CA557E"/>
    <w:rsid w:val="00CA55D5"/>
    <w:rsid w:val="00CA57E5"/>
    <w:rsid w:val="00CA58B8"/>
    <w:rsid w:val="00CA59AC"/>
    <w:rsid w:val="00CA5A74"/>
    <w:rsid w:val="00CA5B6C"/>
    <w:rsid w:val="00CA5D17"/>
    <w:rsid w:val="00CA62B8"/>
    <w:rsid w:val="00CA657A"/>
    <w:rsid w:val="00CA66F3"/>
    <w:rsid w:val="00CA6776"/>
    <w:rsid w:val="00CA6A17"/>
    <w:rsid w:val="00CA6A85"/>
    <w:rsid w:val="00CA6C5B"/>
    <w:rsid w:val="00CA6DDD"/>
    <w:rsid w:val="00CA7119"/>
    <w:rsid w:val="00CA7152"/>
    <w:rsid w:val="00CA734C"/>
    <w:rsid w:val="00CA7365"/>
    <w:rsid w:val="00CA7461"/>
    <w:rsid w:val="00CA7568"/>
    <w:rsid w:val="00CA756E"/>
    <w:rsid w:val="00CA759C"/>
    <w:rsid w:val="00CA75BE"/>
    <w:rsid w:val="00CA7686"/>
    <w:rsid w:val="00CA7826"/>
    <w:rsid w:val="00CA7A09"/>
    <w:rsid w:val="00CA7AC2"/>
    <w:rsid w:val="00CA7CC3"/>
    <w:rsid w:val="00CA7CE2"/>
    <w:rsid w:val="00CA7D68"/>
    <w:rsid w:val="00CA7DCB"/>
    <w:rsid w:val="00CA7E28"/>
    <w:rsid w:val="00CA7E33"/>
    <w:rsid w:val="00CA7EAF"/>
    <w:rsid w:val="00CB0067"/>
    <w:rsid w:val="00CB0136"/>
    <w:rsid w:val="00CB03A8"/>
    <w:rsid w:val="00CB043A"/>
    <w:rsid w:val="00CB04AC"/>
    <w:rsid w:val="00CB06E5"/>
    <w:rsid w:val="00CB0773"/>
    <w:rsid w:val="00CB098E"/>
    <w:rsid w:val="00CB0C12"/>
    <w:rsid w:val="00CB0D57"/>
    <w:rsid w:val="00CB0D8B"/>
    <w:rsid w:val="00CB0DAE"/>
    <w:rsid w:val="00CB0FF0"/>
    <w:rsid w:val="00CB127C"/>
    <w:rsid w:val="00CB128E"/>
    <w:rsid w:val="00CB13F0"/>
    <w:rsid w:val="00CB17F8"/>
    <w:rsid w:val="00CB18A4"/>
    <w:rsid w:val="00CB18AA"/>
    <w:rsid w:val="00CB1C69"/>
    <w:rsid w:val="00CB1C97"/>
    <w:rsid w:val="00CB1F9D"/>
    <w:rsid w:val="00CB2010"/>
    <w:rsid w:val="00CB21C2"/>
    <w:rsid w:val="00CB229B"/>
    <w:rsid w:val="00CB2327"/>
    <w:rsid w:val="00CB2347"/>
    <w:rsid w:val="00CB248C"/>
    <w:rsid w:val="00CB2657"/>
    <w:rsid w:val="00CB26E5"/>
    <w:rsid w:val="00CB26EA"/>
    <w:rsid w:val="00CB27A7"/>
    <w:rsid w:val="00CB28F8"/>
    <w:rsid w:val="00CB2AB4"/>
    <w:rsid w:val="00CB2B7F"/>
    <w:rsid w:val="00CB2C86"/>
    <w:rsid w:val="00CB2D6E"/>
    <w:rsid w:val="00CB3297"/>
    <w:rsid w:val="00CB344E"/>
    <w:rsid w:val="00CB3497"/>
    <w:rsid w:val="00CB3526"/>
    <w:rsid w:val="00CB35E2"/>
    <w:rsid w:val="00CB381E"/>
    <w:rsid w:val="00CB3970"/>
    <w:rsid w:val="00CB39FE"/>
    <w:rsid w:val="00CB3D32"/>
    <w:rsid w:val="00CB4009"/>
    <w:rsid w:val="00CB402B"/>
    <w:rsid w:val="00CB4133"/>
    <w:rsid w:val="00CB4180"/>
    <w:rsid w:val="00CB4194"/>
    <w:rsid w:val="00CB4319"/>
    <w:rsid w:val="00CB4362"/>
    <w:rsid w:val="00CB46A1"/>
    <w:rsid w:val="00CB4732"/>
    <w:rsid w:val="00CB4776"/>
    <w:rsid w:val="00CB47D5"/>
    <w:rsid w:val="00CB4832"/>
    <w:rsid w:val="00CB4880"/>
    <w:rsid w:val="00CB48EF"/>
    <w:rsid w:val="00CB495D"/>
    <w:rsid w:val="00CB4A86"/>
    <w:rsid w:val="00CB4BB9"/>
    <w:rsid w:val="00CB4BF4"/>
    <w:rsid w:val="00CB4DAE"/>
    <w:rsid w:val="00CB4E58"/>
    <w:rsid w:val="00CB503C"/>
    <w:rsid w:val="00CB5142"/>
    <w:rsid w:val="00CB51CF"/>
    <w:rsid w:val="00CB51E3"/>
    <w:rsid w:val="00CB51FE"/>
    <w:rsid w:val="00CB5228"/>
    <w:rsid w:val="00CB5581"/>
    <w:rsid w:val="00CB57D4"/>
    <w:rsid w:val="00CB58EC"/>
    <w:rsid w:val="00CB597C"/>
    <w:rsid w:val="00CB5A14"/>
    <w:rsid w:val="00CB5B1A"/>
    <w:rsid w:val="00CB5BDF"/>
    <w:rsid w:val="00CB5DBC"/>
    <w:rsid w:val="00CB5E22"/>
    <w:rsid w:val="00CB5F7E"/>
    <w:rsid w:val="00CB5FF0"/>
    <w:rsid w:val="00CB60D8"/>
    <w:rsid w:val="00CB6100"/>
    <w:rsid w:val="00CB6144"/>
    <w:rsid w:val="00CB615C"/>
    <w:rsid w:val="00CB627A"/>
    <w:rsid w:val="00CB6A1E"/>
    <w:rsid w:val="00CB6D02"/>
    <w:rsid w:val="00CB6DC9"/>
    <w:rsid w:val="00CB6DD4"/>
    <w:rsid w:val="00CB709A"/>
    <w:rsid w:val="00CB71C9"/>
    <w:rsid w:val="00CB7221"/>
    <w:rsid w:val="00CB72F6"/>
    <w:rsid w:val="00CB751C"/>
    <w:rsid w:val="00CB7865"/>
    <w:rsid w:val="00CB7876"/>
    <w:rsid w:val="00CB78F1"/>
    <w:rsid w:val="00CB7BC3"/>
    <w:rsid w:val="00CB7BFB"/>
    <w:rsid w:val="00CB7D77"/>
    <w:rsid w:val="00CC0069"/>
    <w:rsid w:val="00CC01AF"/>
    <w:rsid w:val="00CC0918"/>
    <w:rsid w:val="00CC093D"/>
    <w:rsid w:val="00CC09B3"/>
    <w:rsid w:val="00CC0AA6"/>
    <w:rsid w:val="00CC0AAB"/>
    <w:rsid w:val="00CC0DE6"/>
    <w:rsid w:val="00CC0FF0"/>
    <w:rsid w:val="00CC112D"/>
    <w:rsid w:val="00CC115D"/>
    <w:rsid w:val="00CC1241"/>
    <w:rsid w:val="00CC1342"/>
    <w:rsid w:val="00CC13A6"/>
    <w:rsid w:val="00CC170C"/>
    <w:rsid w:val="00CC181B"/>
    <w:rsid w:val="00CC19D4"/>
    <w:rsid w:val="00CC1BBA"/>
    <w:rsid w:val="00CC1C92"/>
    <w:rsid w:val="00CC1CCB"/>
    <w:rsid w:val="00CC1E51"/>
    <w:rsid w:val="00CC1EB7"/>
    <w:rsid w:val="00CC1FE8"/>
    <w:rsid w:val="00CC20EB"/>
    <w:rsid w:val="00CC21AF"/>
    <w:rsid w:val="00CC2316"/>
    <w:rsid w:val="00CC2592"/>
    <w:rsid w:val="00CC2642"/>
    <w:rsid w:val="00CC28DB"/>
    <w:rsid w:val="00CC291D"/>
    <w:rsid w:val="00CC29BA"/>
    <w:rsid w:val="00CC29EB"/>
    <w:rsid w:val="00CC2A85"/>
    <w:rsid w:val="00CC2FA3"/>
    <w:rsid w:val="00CC3064"/>
    <w:rsid w:val="00CC3266"/>
    <w:rsid w:val="00CC32F5"/>
    <w:rsid w:val="00CC3502"/>
    <w:rsid w:val="00CC35AE"/>
    <w:rsid w:val="00CC3760"/>
    <w:rsid w:val="00CC37C2"/>
    <w:rsid w:val="00CC3828"/>
    <w:rsid w:val="00CC38AE"/>
    <w:rsid w:val="00CC39A2"/>
    <w:rsid w:val="00CC3C21"/>
    <w:rsid w:val="00CC3E3D"/>
    <w:rsid w:val="00CC3F5A"/>
    <w:rsid w:val="00CC4189"/>
    <w:rsid w:val="00CC42D7"/>
    <w:rsid w:val="00CC4371"/>
    <w:rsid w:val="00CC4471"/>
    <w:rsid w:val="00CC44F5"/>
    <w:rsid w:val="00CC4527"/>
    <w:rsid w:val="00CC4543"/>
    <w:rsid w:val="00CC4605"/>
    <w:rsid w:val="00CC478B"/>
    <w:rsid w:val="00CC47B7"/>
    <w:rsid w:val="00CC4C6A"/>
    <w:rsid w:val="00CC4C90"/>
    <w:rsid w:val="00CC4D3C"/>
    <w:rsid w:val="00CC4D58"/>
    <w:rsid w:val="00CC4D6F"/>
    <w:rsid w:val="00CC4EA0"/>
    <w:rsid w:val="00CC4F28"/>
    <w:rsid w:val="00CC500D"/>
    <w:rsid w:val="00CC51C1"/>
    <w:rsid w:val="00CC543F"/>
    <w:rsid w:val="00CC563A"/>
    <w:rsid w:val="00CC585B"/>
    <w:rsid w:val="00CC5A55"/>
    <w:rsid w:val="00CC5C0E"/>
    <w:rsid w:val="00CC5E6F"/>
    <w:rsid w:val="00CC61A8"/>
    <w:rsid w:val="00CC64F6"/>
    <w:rsid w:val="00CC6684"/>
    <w:rsid w:val="00CC66F1"/>
    <w:rsid w:val="00CC6757"/>
    <w:rsid w:val="00CC690B"/>
    <w:rsid w:val="00CC6934"/>
    <w:rsid w:val="00CC69B5"/>
    <w:rsid w:val="00CC69CC"/>
    <w:rsid w:val="00CC70D4"/>
    <w:rsid w:val="00CC717B"/>
    <w:rsid w:val="00CC7379"/>
    <w:rsid w:val="00CC7466"/>
    <w:rsid w:val="00CC75E0"/>
    <w:rsid w:val="00CC76D3"/>
    <w:rsid w:val="00CC76FC"/>
    <w:rsid w:val="00CC77F3"/>
    <w:rsid w:val="00CC78AC"/>
    <w:rsid w:val="00CC7CEE"/>
    <w:rsid w:val="00CC7DEA"/>
    <w:rsid w:val="00CC7E6E"/>
    <w:rsid w:val="00CC7F2A"/>
    <w:rsid w:val="00CD0320"/>
    <w:rsid w:val="00CD03AE"/>
    <w:rsid w:val="00CD0696"/>
    <w:rsid w:val="00CD0775"/>
    <w:rsid w:val="00CD077B"/>
    <w:rsid w:val="00CD07D1"/>
    <w:rsid w:val="00CD0881"/>
    <w:rsid w:val="00CD0940"/>
    <w:rsid w:val="00CD0979"/>
    <w:rsid w:val="00CD09FC"/>
    <w:rsid w:val="00CD0AE8"/>
    <w:rsid w:val="00CD0D48"/>
    <w:rsid w:val="00CD0F85"/>
    <w:rsid w:val="00CD106B"/>
    <w:rsid w:val="00CD1098"/>
    <w:rsid w:val="00CD1171"/>
    <w:rsid w:val="00CD128F"/>
    <w:rsid w:val="00CD12B4"/>
    <w:rsid w:val="00CD1356"/>
    <w:rsid w:val="00CD13F2"/>
    <w:rsid w:val="00CD1498"/>
    <w:rsid w:val="00CD16F0"/>
    <w:rsid w:val="00CD1770"/>
    <w:rsid w:val="00CD186C"/>
    <w:rsid w:val="00CD18C7"/>
    <w:rsid w:val="00CD1CB9"/>
    <w:rsid w:val="00CD1CC3"/>
    <w:rsid w:val="00CD1DA8"/>
    <w:rsid w:val="00CD1DC0"/>
    <w:rsid w:val="00CD1EF5"/>
    <w:rsid w:val="00CD2313"/>
    <w:rsid w:val="00CD232A"/>
    <w:rsid w:val="00CD2333"/>
    <w:rsid w:val="00CD2390"/>
    <w:rsid w:val="00CD2555"/>
    <w:rsid w:val="00CD2652"/>
    <w:rsid w:val="00CD28F5"/>
    <w:rsid w:val="00CD2BCB"/>
    <w:rsid w:val="00CD319C"/>
    <w:rsid w:val="00CD31EC"/>
    <w:rsid w:val="00CD321C"/>
    <w:rsid w:val="00CD3572"/>
    <w:rsid w:val="00CD35AE"/>
    <w:rsid w:val="00CD35E4"/>
    <w:rsid w:val="00CD37AE"/>
    <w:rsid w:val="00CD3934"/>
    <w:rsid w:val="00CD3975"/>
    <w:rsid w:val="00CD3E13"/>
    <w:rsid w:val="00CD43C5"/>
    <w:rsid w:val="00CD4679"/>
    <w:rsid w:val="00CD4761"/>
    <w:rsid w:val="00CD4977"/>
    <w:rsid w:val="00CD49A0"/>
    <w:rsid w:val="00CD4D20"/>
    <w:rsid w:val="00CD4E46"/>
    <w:rsid w:val="00CD4F28"/>
    <w:rsid w:val="00CD5088"/>
    <w:rsid w:val="00CD50EA"/>
    <w:rsid w:val="00CD5125"/>
    <w:rsid w:val="00CD523D"/>
    <w:rsid w:val="00CD539F"/>
    <w:rsid w:val="00CD5598"/>
    <w:rsid w:val="00CD5684"/>
    <w:rsid w:val="00CD5C16"/>
    <w:rsid w:val="00CD5E5C"/>
    <w:rsid w:val="00CD600D"/>
    <w:rsid w:val="00CD60BF"/>
    <w:rsid w:val="00CD62C7"/>
    <w:rsid w:val="00CD6393"/>
    <w:rsid w:val="00CD639F"/>
    <w:rsid w:val="00CD6CD1"/>
    <w:rsid w:val="00CD6E93"/>
    <w:rsid w:val="00CD71EC"/>
    <w:rsid w:val="00CD7306"/>
    <w:rsid w:val="00CD734E"/>
    <w:rsid w:val="00CD739C"/>
    <w:rsid w:val="00CD7780"/>
    <w:rsid w:val="00CD78D0"/>
    <w:rsid w:val="00CD795E"/>
    <w:rsid w:val="00CD7A31"/>
    <w:rsid w:val="00CD7C0F"/>
    <w:rsid w:val="00CD7C6A"/>
    <w:rsid w:val="00CD7D91"/>
    <w:rsid w:val="00CD7F76"/>
    <w:rsid w:val="00CE005C"/>
    <w:rsid w:val="00CE00A6"/>
    <w:rsid w:val="00CE0127"/>
    <w:rsid w:val="00CE0182"/>
    <w:rsid w:val="00CE0213"/>
    <w:rsid w:val="00CE0282"/>
    <w:rsid w:val="00CE0559"/>
    <w:rsid w:val="00CE0826"/>
    <w:rsid w:val="00CE0973"/>
    <w:rsid w:val="00CE0B02"/>
    <w:rsid w:val="00CE0B90"/>
    <w:rsid w:val="00CE0BAF"/>
    <w:rsid w:val="00CE0C5B"/>
    <w:rsid w:val="00CE0CCD"/>
    <w:rsid w:val="00CE0D4C"/>
    <w:rsid w:val="00CE0D90"/>
    <w:rsid w:val="00CE0DF2"/>
    <w:rsid w:val="00CE0F29"/>
    <w:rsid w:val="00CE0F52"/>
    <w:rsid w:val="00CE105C"/>
    <w:rsid w:val="00CE1391"/>
    <w:rsid w:val="00CE145A"/>
    <w:rsid w:val="00CE1596"/>
    <w:rsid w:val="00CE1754"/>
    <w:rsid w:val="00CE1899"/>
    <w:rsid w:val="00CE19A0"/>
    <w:rsid w:val="00CE1F0D"/>
    <w:rsid w:val="00CE208A"/>
    <w:rsid w:val="00CE21EA"/>
    <w:rsid w:val="00CE21EB"/>
    <w:rsid w:val="00CE25B4"/>
    <w:rsid w:val="00CE29DB"/>
    <w:rsid w:val="00CE2A20"/>
    <w:rsid w:val="00CE2BB2"/>
    <w:rsid w:val="00CE2CB5"/>
    <w:rsid w:val="00CE2D8C"/>
    <w:rsid w:val="00CE312F"/>
    <w:rsid w:val="00CE3207"/>
    <w:rsid w:val="00CE3508"/>
    <w:rsid w:val="00CE354D"/>
    <w:rsid w:val="00CE36B4"/>
    <w:rsid w:val="00CE3826"/>
    <w:rsid w:val="00CE3E50"/>
    <w:rsid w:val="00CE3E94"/>
    <w:rsid w:val="00CE3FCE"/>
    <w:rsid w:val="00CE4028"/>
    <w:rsid w:val="00CE42CA"/>
    <w:rsid w:val="00CE452B"/>
    <w:rsid w:val="00CE46E3"/>
    <w:rsid w:val="00CE4815"/>
    <w:rsid w:val="00CE493E"/>
    <w:rsid w:val="00CE4940"/>
    <w:rsid w:val="00CE49D8"/>
    <w:rsid w:val="00CE49FF"/>
    <w:rsid w:val="00CE4B50"/>
    <w:rsid w:val="00CE4C02"/>
    <w:rsid w:val="00CE4D85"/>
    <w:rsid w:val="00CE4FFB"/>
    <w:rsid w:val="00CE5020"/>
    <w:rsid w:val="00CE5215"/>
    <w:rsid w:val="00CE5412"/>
    <w:rsid w:val="00CE54F7"/>
    <w:rsid w:val="00CE558A"/>
    <w:rsid w:val="00CE58DC"/>
    <w:rsid w:val="00CE5A15"/>
    <w:rsid w:val="00CE5AE9"/>
    <w:rsid w:val="00CE5C0D"/>
    <w:rsid w:val="00CE5D18"/>
    <w:rsid w:val="00CE6440"/>
    <w:rsid w:val="00CE64D4"/>
    <w:rsid w:val="00CE685B"/>
    <w:rsid w:val="00CE68D7"/>
    <w:rsid w:val="00CE6CD7"/>
    <w:rsid w:val="00CE6E42"/>
    <w:rsid w:val="00CE6E80"/>
    <w:rsid w:val="00CE73C0"/>
    <w:rsid w:val="00CE740F"/>
    <w:rsid w:val="00CE75D6"/>
    <w:rsid w:val="00CE7657"/>
    <w:rsid w:val="00CE7693"/>
    <w:rsid w:val="00CE76C2"/>
    <w:rsid w:val="00CE76C3"/>
    <w:rsid w:val="00CE77CF"/>
    <w:rsid w:val="00CE781F"/>
    <w:rsid w:val="00CE7840"/>
    <w:rsid w:val="00CE785C"/>
    <w:rsid w:val="00CE7888"/>
    <w:rsid w:val="00CE7AF1"/>
    <w:rsid w:val="00CE7D3F"/>
    <w:rsid w:val="00CE7EE9"/>
    <w:rsid w:val="00CE7EF6"/>
    <w:rsid w:val="00CE7F28"/>
    <w:rsid w:val="00CF02C3"/>
    <w:rsid w:val="00CF0472"/>
    <w:rsid w:val="00CF04CF"/>
    <w:rsid w:val="00CF04EA"/>
    <w:rsid w:val="00CF058B"/>
    <w:rsid w:val="00CF073A"/>
    <w:rsid w:val="00CF0930"/>
    <w:rsid w:val="00CF0A4A"/>
    <w:rsid w:val="00CF0B42"/>
    <w:rsid w:val="00CF0B44"/>
    <w:rsid w:val="00CF0B62"/>
    <w:rsid w:val="00CF0D3F"/>
    <w:rsid w:val="00CF0E31"/>
    <w:rsid w:val="00CF0E9B"/>
    <w:rsid w:val="00CF11AC"/>
    <w:rsid w:val="00CF12C7"/>
    <w:rsid w:val="00CF1347"/>
    <w:rsid w:val="00CF13E6"/>
    <w:rsid w:val="00CF14CF"/>
    <w:rsid w:val="00CF1797"/>
    <w:rsid w:val="00CF1834"/>
    <w:rsid w:val="00CF18EE"/>
    <w:rsid w:val="00CF1998"/>
    <w:rsid w:val="00CF1BEC"/>
    <w:rsid w:val="00CF1E48"/>
    <w:rsid w:val="00CF2263"/>
    <w:rsid w:val="00CF226D"/>
    <w:rsid w:val="00CF25F6"/>
    <w:rsid w:val="00CF2963"/>
    <w:rsid w:val="00CF29EF"/>
    <w:rsid w:val="00CF2A3F"/>
    <w:rsid w:val="00CF2CFF"/>
    <w:rsid w:val="00CF2E3B"/>
    <w:rsid w:val="00CF327C"/>
    <w:rsid w:val="00CF33B0"/>
    <w:rsid w:val="00CF33CD"/>
    <w:rsid w:val="00CF3631"/>
    <w:rsid w:val="00CF36BE"/>
    <w:rsid w:val="00CF37BC"/>
    <w:rsid w:val="00CF38C1"/>
    <w:rsid w:val="00CF3933"/>
    <w:rsid w:val="00CF39B9"/>
    <w:rsid w:val="00CF3D62"/>
    <w:rsid w:val="00CF3DB3"/>
    <w:rsid w:val="00CF4163"/>
    <w:rsid w:val="00CF45BB"/>
    <w:rsid w:val="00CF45C6"/>
    <w:rsid w:val="00CF49AD"/>
    <w:rsid w:val="00CF4AC1"/>
    <w:rsid w:val="00CF4C22"/>
    <w:rsid w:val="00CF4D68"/>
    <w:rsid w:val="00CF4F38"/>
    <w:rsid w:val="00CF5152"/>
    <w:rsid w:val="00CF51B0"/>
    <w:rsid w:val="00CF52AE"/>
    <w:rsid w:val="00CF52C8"/>
    <w:rsid w:val="00CF5659"/>
    <w:rsid w:val="00CF5704"/>
    <w:rsid w:val="00CF579A"/>
    <w:rsid w:val="00CF5B71"/>
    <w:rsid w:val="00CF5B96"/>
    <w:rsid w:val="00CF5DEC"/>
    <w:rsid w:val="00CF5E20"/>
    <w:rsid w:val="00CF60A1"/>
    <w:rsid w:val="00CF61D9"/>
    <w:rsid w:val="00CF62A4"/>
    <w:rsid w:val="00CF6BD4"/>
    <w:rsid w:val="00CF6CA8"/>
    <w:rsid w:val="00CF6E1F"/>
    <w:rsid w:val="00CF6E20"/>
    <w:rsid w:val="00CF6E8D"/>
    <w:rsid w:val="00CF6F5E"/>
    <w:rsid w:val="00CF6F8B"/>
    <w:rsid w:val="00CF718A"/>
    <w:rsid w:val="00CF72D3"/>
    <w:rsid w:val="00CF72E0"/>
    <w:rsid w:val="00CF73BF"/>
    <w:rsid w:val="00CF7A36"/>
    <w:rsid w:val="00CF7AA5"/>
    <w:rsid w:val="00CF7CAF"/>
    <w:rsid w:val="00D00025"/>
    <w:rsid w:val="00D0004D"/>
    <w:rsid w:val="00D001B7"/>
    <w:rsid w:val="00D001F9"/>
    <w:rsid w:val="00D0022C"/>
    <w:rsid w:val="00D00409"/>
    <w:rsid w:val="00D0062F"/>
    <w:rsid w:val="00D006F4"/>
    <w:rsid w:val="00D007EA"/>
    <w:rsid w:val="00D0080B"/>
    <w:rsid w:val="00D00939"/>
    <w:rsid w:val="00D00984"/>
    <w:rsid w:val="00D00AC2"/>
    <w:rsid w:val="00D00AC5"/>
    <w:rsid w:val="00D00BA0"/>
    <w:rsid w:val="00D00BFC"/>
    <w:rsid w:val="00D00F50"/>
    <w:rsid w:val="00D0108A"/>
    <w:rsid w:val="00D010B4"/>
    <w:rsid w:val="00D01126"/>
    <w:rsid w:val="00D01208"/>
    <w:rsid w:val="00D01258"/>
    <w:rsid w:val="00D013EB"/>
    <w:rsid w:val="00D013F3"/>
    <w:rsid w:val="00D01436"/>
    <w:rsid w:val="00D0156E"/>
    <w:rsid w:val="00D015BF"/>
    <w:rsid w:val="00D01764"/>
    <w:rsid w:val="00D018A5"/>
    <w:rsid w:val="00D018F8"/>
    <w:rsid w:val="00D01CCA"/>
    <w:rsid w:val="00D01EA3"/>
    <w:rsid w:val="00D01F80"/>
    <w:rsid w:val="00D01FBE"/>
    <w:rsid w:val="00D01FCB"/>
    <w:rsid w:val="00D01FD7"/>
    <w:rsid w:val="00D01FF9"/>
    <w:rsid w:val="00D02105"/>
    <w:rsid w:val="00D02328"/>
    <w:rsid w:val="00D026D4"/>
    <w:rsid w:val="00D02710"/>
    <w:rsid w:val="00D027EE"/>
    <w:rsid w:val="00D02818"/>
    <w:rsid w:val="00D02851"/>
    <w:rsid w:val="00D028CC"/>
    <w:rsid w:val="00D02934"/>
    <w:rsid w:val="00D029CC"/>
    <w:rsid w:val="00D02ADB"/>
    <w:rsid w:val="00D02ADE"/>
    <w:rsid w:val="00D02BC8"/>
    <w:rsid w:val="00D02CB7"/>
    <w:rsid w:val="00D02F02"/>
    <w:rsid w:val="00D02FA2"/>
    <w:rsid w:val="00D030C6"/>
    <w:rsid w:val="00D03498"/>
    <w:rsid w:val="00D03666"/>
    <w:rsid w:val="00D03979"/>
    <w:rsid w:val="00D039AB"/>
    <w:rsid w:val="00D03A9B"/>
    <w:rsid w:val="00D03D27"/>
    <w:rsid w:val="00D04177"/>
    <w:rsid w:val="00D04191"/>
    <w:rsid w:val="00D0437D"/>
    <w:rsid w:val="00D043D7"/>
    <w:rsid w:val="00D045BC"/>
    <w:rsid w:val="00D04732"/>
    <w:rsid w:val="00D04745"/>
    <w:rsid w:val="00D04955"/>
    <w:rsid w:val="00D04A93"/>
    <w:rsid w:val="00D04B70"/>
    <w:rsid w:val="00D04D30"/>
    <w:rsid w:val="00D04D67"/>
    <w:rsid w:val="00D04F15"/>
    <w:rsid w:val="00D04FDF"/>
    <w:rsid w:val="00D050AF"/>
    <w:rsid w:val="00D05148"/>
    <w:rsid w:val="00D05182"/>
    <w:rsid w:val="00D052B1"/>
    <w:rsid w:val="00D05406"/>
    <w:rsid w:val="00D05431"/>
    <w:rsid w:val="00D0553D"/>
    <w:rsid w:val="00D055D0"/>
    <w:rsid w:val="00D05761"/>
    <w:rsid w:val="00D0582E"/>
    <w:rsid w:val="00D05832"/>
    <w:rsid w:val="00D05D38"/>
    <w:rsid w:val="00D05E88"/>
    <w:rsid w:val="00D05F2A"/>
    <w:rsid w:val="00D05F31"/>
    <w:rsid w:val="00D0602F"/>
    <w:rsid w:val="00D0624B"/>
    <w:rsid w:val="00D063AC"/>
    <w:rsid w:val="00D0640A"/>
    <w:rsid w:val="00D06476"/>
    <w:rsid w:val="00D064BC"/>
    <w:rsid w:val="00D065B2"/>
    <w:rsid w:val="00D066B1"/>
    <w:rsid w:val="00D0692F"/>
    <w:rsid w:val="00D069B7"/>
    <w:rsid w:val="00D06A6F"/>
    <w:rsid w:val="00D06B1E"/>
    <w:rsid w:val="00D06CB5"/>
    <w:rsid w:val="00D06D93"/>
    <w:rsid w:val="00D06F68"/>
    <w:rsid w:val="00D070C6"/>
    <w:rsid w:val="00D072F1"/>
    <w:rsid w:val="00D0735D"/>
    <w:rsid w:val="00D07636"/>
    <w:rsid w:val="00D078EE"/>
    <w:rsid w:val="00D079EA"/>
    <w:rsid w:val="00D07A84"/>
    <w:rsid w:val="00D07B62"/>
    <w:rsid w:val="00D07D6A"/>
    <w:rsid w:val="00D103BB"/>
    <w:rsid w:val="00D1047A"/>
    <w:rsid w:val="00D1079C"/>
    <w:rsid w:val="00D109BE"/>
    <w:rsid w:val="00D10A30"/>
    <w:rsid w:val="00D10D20"/>
    <w:rsid w:val="00D10DFD"/>
    <w:rsid w:val="00D11120"/>
    <w:rsid w:val="00D112C3"/>
    <w:rsid w:val="00D11B63"/>
    <w:rsid w:val="00D11E00"/>
    <w:rsid w:val="00D11E4E"/>
    <w:rsid w:val="00D11EEB"/>
    <w:rsid w:val="00D121A3"/>
    <w:rsid w:val="00D122C4"/>
    <w:rsid w:val="00D123B9"/>
    <w:rsid w:val="00D123C4"/>
    <w:rsid w:val="00D126A3"/>
    <w:rsid w:val="00D126EE"/>
    <w:rsid w:val="00D12733"/>
    <w:rsid w:val="00D1288E"/>
    <w:rsid w:val="00D128B9"/>
    <w:rsid w:val="00D12BCC"/>
    <w:rsid w:val="00D12C5B"/>
    <w:rsid w:val="00D12C7D"/>
    <w:rsid w:val="00D12CB5"/>
    <w:rsid w:val="00D12DA9"/>
    <w:rsid w:val="00D13281"/>
    <w:rsid w:val="00D1328E"/>
    <w:rsid w:val="00D13315"/>
    <w:rsid w:val="00D13327"/>
    <w:rsid w:val="00D133B7"/>
    <w:rsid w:val="00D135A0"/>
    <w:rsid w:val="00D135B4"/>
    <w:rsid w:val="00D135D5"/>
    <w:rsid w:val="00D1361C"/>
    <w:rsid w:val="00D13637"/>
    <w:rsid w:val="00D1363B"/>
    <w:rsid w:val="00D13770"/>
    <w:rsid w:val="00D1388D"/>
    <w:rsid w:val="00D13A39"/>
    <w:rsid w:val="00D13A3C"/>
    <w:rsid w:val="00D1400E"/>
    <w:rsid w:val="00D14077"/>
    <w:rsid w:val="00D1435C"/>
    <w:rsid w:val="00D143AE"/>
    <w:rsid w:val="00D14497"/>
    <w:rsid w:val="00D14548"/>
    <w:rsid w:val="00D1469C"/>
    <w:rsid w:val="00D148DC"/>
    <w:rsid w:val="00D14986"/>
    <w:rsid w:val="00D14A4D"/>
    <w:rsid w:val="00D14A5B"/>
    <w:rsid w:val="00D14AA0"/>
    <w:rsid w:val="00D14ACD"/>
    <w:rsid w:val="00D14B60"/>
    <w:rsid w:val="00D14B6C"/>
    <w:rsid w:val="00D14CB4"/>
    <w:rsid w:val="00D14E42"/>
    <w:rsid w:val="00D14F5E"/>
    <w:rsid w:val="00D14F84"/>
    <w:rsid w:val="00D14FE3"/>
    <w:rsid w:val="00D15049"/>
    <w:rsid w:val="00D1553F"/>
    <w:rsid w:val="00D15545"/>
    <w:rsid w:val="00D15695"/>
    <w:rsid w:val="00D157AE"/>
    <w:rsid w:val="00D15A6A"/>
    <w:rsid w:val="00D15B04"/>
    <w:rsid w:val="00D15B7A"/>
    <w:rsid w:val="00D15E95"/>
    <w:rsid w:val="00D16118"/>
    <w:rsid w:val="00D161D7"/>
    <w:rsid w:val="00D1624B"/>
    <w:rsid w:val="00D16451"/>
    <w:rsid w:val="00D165EB"/>
    <w:rsid w:val="00D1662A"/>
    <w:rsid w:val="00D1676B"/>
    <w:rsid w:val="00D16B9B"/>
    <w:rsid w:val="00D16BFF"/>
    <w:rsid w:val="00D16CA5"/>
    <w:rsid w:val="00D170A4"/>
    <w:rsid w:val="00D1717E"/>
    <w:rsid w:val="00D17214"/>
    <w:rsid w:val="00D172A5"/>
    <w:rsid w:val="00D17319"/>
    <w:rsid w:val="00D17421"/>
    <w:rsid w:val="00D17594"/>
    <w:rsid w:val="00D175EA"/>
    <w:rsid w:val="00D17758"/>
    <w:rsid w:val="00D177D9"/>
    <w:rsid w:val="00D17DE7"/>
    <w:rsid w:val="00D200F5"/>
    <w:rsid w:val="00D20104"/>
    <w:rsid w:val="00D2022D"/>
    <w:rsid w:val="00D20526"/>
    <w:rsid w:val="00D2061F"/>
    <w:rsid w:val="00D20C63"/>
    <w:rsid w:val="00D20C6A"/>
    <w:rsid w:val="00D20F36"/>
    <w:rsid w:val="00D20FE4"/>
    <w:rsid w:val="00D210BC"/>
    <w:rsid w:val="00D211B4"/>
    <w:rsid w:val="00D21208"/>
    <w:rsid w:val="00D21222"/>
    <w:rsid w:val="00D21372"/>
    <w:rsid w:val="00D21688"/>
    <w:rsid w:val="00D21719"/>
    <w:rsid w:val="00D21C08"/>
    <w:rsid w:val="00D21C23"/>
    <w:rsid w:val="00D21FF3"/>
    <w:rsid w:val="00D22095"/>
    <w:rsid w:val="00D2215D"/>
    <w:rsid w:val="00D22253"/>
    <w:rsid w:val="00D22710"/>
    <w:rsid w:val="00D22806"/>
    <w:rsid w:val="00D228F6"/>
    <w:rsid w:val="00D22AC8"/>
    <w:rsid w:val="00D22EBA"/>
    <w:rsid w:val="00D22F2A"/>
    <w:rsid w:val="00D22F2E"/>
    <w:rsid w:val="00D230A5"/>
    <w:rsid w:val="00D2350D"/>
    <w:rsid w:val="00D23511"/>
    <w:rsid w:val="00D235FA"/>
    <w:rsid w:val="00D23772"/>
    <w:rsid w:val="00D23848"/>
    <w:rsid w:val="00D2393D"/>
    <w:rsid w:val="00D23982"/>
    <w:rsid w:val="00D23B70"/>
    <w:rsid w:val="00D23BB5"/>
    <w:rsid w:val="00D23BE1"/>
    <w:rsid w:val="00D23C1F"/>
    <w:rsid w:val="00D23E1A"/>
    <w:rsid w:val="00D23E5F"/>
    <w:rsid w:val="00D23F0A"/>
    <w:rsid w:val="00D2401E"/>
    <w:rsid w:val="00D2411D"/>
    <w:rsid w:val="00D24286"/>
    <w:rsid w:val="00D242C9"/>
    <w:rsid w:val="00D247F6"/>
    <w:rsid w:val="00D2486A"/>
    <w:rsid w:val="00D24880"/>
    <w:rsid w:val="00D24885"/>
    <w:rsid w:val="00D2490B"/>
    <w:rsid w:val="00D24A46"/>
    <w:rsid w:val="00D24A7B"/>
    <w:rsid w:val="00D24D50"/>
    <w:rsid w:val="00D252AC"/>
    <w:rsid w:val="00D2534D"/>
    <w:rsid w:val="00D253AB"/>
    <w:rsid w:val="00D25541"/>
    <w:rsid w:val="00D25AA4"/>
    <w:rsid w:val="00D25AB0"/>
    <w:rsid w:val="00D25EA9"/>
    <w:rsid w:val="00D25F0C"/>
    <w:rsid w:val="00D25F79"/>
    <w:rsid w:val="00D2630E"/>
    <w:rsid w:val="00D2638D"/>
    <w:rsid w:val="00D264AE"/>
    <w:rsid w:val="00D2655D"/>
    <w:rsid w:val="00D265A9"/>
    <w:rsid w:val="00D2667A"/>
    <w:rsid w:val="00D267FC"/>
    <w:rsid w:val="00D269D6"/>
    <w:rsid w:val="00D26DD3"/>
    <w:rsid w:val="00D26E92"/>
    <w:rsid w:val="00D27185"/>
    <w:rsid w:val="00D27269"/>
    <w:rsid w:val="00D27374"/>
    <w:rsid w:val="00D273CC"/>
    <w:rsid w:val="00D273FE"/>
    <w:rsid w:val="00D27553"/>
    <w:rsid w:val="00D27678"/>
    <w:rsid w:val="00D27794"/>
    <w:rsid w:val="00D277C1"/>
    <w:rsid w:val="00D278A3"/>
    <w:rsid w:val="00D27904"/>
    <w:rsid w:val="00D27958"/>
    <w:rsid w:val="00D27A22"/>
    <w:rsid w:val="00D27B66"/>
    <w:rsid w:val="00D27C5F"/>
    <w:rsid w:val="00D27DF3"/>
    <w:rsid w:val="00D27F81"/>
    <w:rsid w:val="00D302C6"/>
    <w:rsid w:val="00D30441"/>
    <w:rsid w:val="00D30482"/>
    <w:rsid w:val="00D304BD"/>
    <w:rsid w:val="00D30558"/>
    <w:rsid w:val="00D306DE"/>
    <w:rsid w:val="00D309BD"/>
    <w:rsid w:val="00D309D6"/>
    <w:rsid w:val="00D30C96"/>
    <w:rsid w:val="00D30CE4"/>
    <w:rsid w:val="00D30E05"/>
    <w:rsid w:val="00D31480"/>
    <w:rsid w:val="00D31888"/>
    <w:rsid w:val="00D31C0B"/>
    <w:rsid w:val="00D31D1D"/>
    <w:rsid w:val="00D31EBA"/>
    <w:rsid w:val="00D31F5F"/>
    <w:rsid w:val="00D31F74"/>
    <w:rsid w:val="00D32258"/>
    <w:rsid w:val="00D32335"/>
    <w:rsid w:val="00D32437"/>
    <w:rsid w:val="00D3245B"/>
    <w:rsid w:val="00D32505"/>
    <w:rsid w:val="00D326A4"/>
    <w:rsid w:val="00D327A4"/>
    <w:rsid w:val="00D329CC"/>
    <w:rsid w:val="00D32A9A"/>
    <w:rsid w:val="00D32B2B"/>
    <w:rsid w:val="00D32BAF"/>
    <w:rsid w:val="00D32BF6"/>
    <w:rsid w:val="00D32C2B"/>
    <w:rsid w:val="00D32CF8"/>
    <w:rsid w:val="00D32DC9"/>
    <w:rsid w:val="00D32F60"/>
    <w:rsid w:val="00D33101"/>
    <w:rsid w:val="00D333C9"/>
    <w:rsid w:val="00D333D3"/>
    <w:rsid w:val="00D33455"/>
    <w:rsid w:val="00D33595"/>
    <w:rsid w:val="00D33736"/>
    <w:rsid w:val="00D33796"/>
    <w:rsid w:val="00D33933"/>
    <w:rsid w:val="00D33CE0"/>
    <w:rsid w:val="00D33F4E"/>
    <w:rsid w:val="00D33F5F"/>
    <w:rsid w:val="00D33F9C"/>
    <w:rsid w:val="00D342F8"/>
    <w:rsid w:val="00D34342"/>
    <w:rsid w:val="00D3454D"/>
    <w:rsid w:val="00D345B0"/>
    <w:rsid w:val="00D3467D"/>
    <w:rsid w:val="00D346EB"/>
    <w:rsid w:val="00D34941"/>
    <w:rsid w:val="00D34958"/>
    <w:rsid w:val="00D34AC8"/>
    <w:rsid w:val="00D34CAC"/>
    <w:rsid w:val="00D34EFA"/>
    <w:rsid w:val="00D34F64"/>
    <w:rsid w:val="00D34F7B"/>
    <w:rsid w:val="00D35121"/>
    <w:rsid w:val="00D3518A"/>
    <w:rsid w:val="00D3523C"/>
    <w:rsid w:val="00D3531C"/>
    <w:rsid w:val="00D35359"/>
    <w:rsid w:val="00D3535A"/>
    <w:rsid w:val="00D35680"/>
    <w:rsid w:val="00D3573F"/>
    <w:rsid w:val="00D35984"/>
    <w:rsid w:val="00D35A87"/>
    <w:rsid w:val="00D35AB6"/>
    <w:rsid w:val="00D35AD9"/>
    <w:rsid w:val="00D35E02"/>
    <w:rsid w:val="00D35F16"/>
    <w:rsid w:val="00D36071"/>
    <w:rsid w:val="00D3607A"/>
    <w:rsid w:val="00D3607B"/>
    <w:rsid w:val="00D3622D"/>
    <w:rsid w:val="00D363D3"/>
    <w:rsid w:val="00D365AB"/>
    <w:rsid w:val="00D367D1"/>
    <w:rsid w:val="00D36B8D"/>
    <w:rsid w:val="00D36BEF"/>
    <w:rsid w:val="00D36C21"/>
    <w:rsid w:val="00D36C8F"/>
    <w:rsid w:val="00D36CAB"/>
    <w:rsid w:val="00D36CFA"/>
    <w:rsid w:val="00D36D63"/>
    <w:rsid w:val="00D37089"/>
    <w:rsid w:val="00D370D3"/>
    <w:rsid w:val="00D37253"/>
    <w:rsid w:val="00D3745D"/>
    <w:rsid w:val="00D3754E"/>
    <w:rsid w:val="00D3763A"/>
    <w:rsid w:val="00D378B9"/>
    <w:rsid w:val="00D378FB"/>
    <w:rsid w:val="00D379D5"/>
    <w:rsid w:val="00D379DE"/>
    <w:rsid w:val="00D37B3F"/>
    <w:rsid w:val="00D37B86"/>
    <w:rsid w:val="00D37F61"/>
    <w:rsid w:val="00D37FB4"/>
    <w:rsid w:val="00D40052"/>
    <w:rsid w:val="00D40083"/>
    <w:rsid w:val="00D400BC"/>
    <w:rsid w:val="00D4014D"/>
    <w:rsid w:val="00D4018E"/>
    <w:rsid w:val="00D40218"/>
    <w:rsid w:val="00D4029A"/>
    <w:rsid w:val="00D402C2"/>
    <w:rsid w:val="00D405AC"/>
    <w:rsid w:val="00D40736"/>
    <w:rsid w:val="00D40854"/>
    <w:rsid w:val="00D40BFC"/>
    <w:rsid w:val="00D40C27"/>
    <w:rsid w:val="00D40C6D"/>
    <w:rsid w:val="00D40DC3"/>
    <w:rsid w:val="00D40F95"/>
    <w:rsid w:val="00D41021"/>
    <w:rsid w:val="00D41237"/>
    <w:rsid w:val="00D413BA"/>
    <w:rsid w:val="00D41435"/>
    <w:rsid w:val="00D41467"/>
    <w:rsid w:val="00D41485"/>
    <w:rsid w:val="00D415FC"/>
    <w:rsid w:val="00D417E3"/>
    <w:rsid w:val="00D41D33"/>
    <w:rsid w:val="00D41DEE"/>
    <w:rsid w:val="00D41E74"/>
    <w:rsid w:val="00D41EFF"/>
    <w:rsid w:val="00D4211A"/>
    <w:rsid w:val="00D42178"/>
    <w:rsid w:val="00D422A4"/>
    <w:rsid w:val="00D42508"/>
    <w:rsid w:val="00D4250F"/>
    <w:rsid w:val="00D425B6"/>
    <w:rsid w:val="00D425C3"/>
    <w:rsid w:val="00D4265F"/>
    <w:rsid w:val="00D42978"/>
    <w:rsid w:val="00D42D07"/>
    <w:rsid w:val="00D4309C"/>
    <w:rsid w:val="00D43115"/>
    <w:rsid w:val="00D43253"/>
    <w:rsid w:val="00D43267"/>
    <w:rsid w:val="00D43426"/>
    <w:rsid w:val="00D43643"/>
    <w:rsid w:val="00D439D9"/>
    <w:rsid w:val="00D43D4E"/>
    <w:rsid w:val="00D43E28"/>
    <w:rsid w:val="00D43E33"/>
    <w:rsid w:val="00D43EEB"/>
    <w:rsid w:val="00D44011"/>
    <w:rsid w:val="00D440C3"/>
    <w:rsid w:val="00D443F2"/>
    <w:rsid w:val="00D444C0"/>
    <w:rsid w:val="00D447A4"/>
    <w:rsid w:val="00D447DB"/>
    <w:rsid w:val="00D4496F"/>
    <w:rsid w:val="00D44ABC"/>
    <w:rsid w:val="00D44B1C"/>
    <w:rsid w:val="00D44BA6"/>
    <w:rsid w:val="00D44ED7"/>
    <w:rsid w:val="00D44FC7"/>
    <w:rsid w:val="00D45330"/>
    <w:rsid w:val="00D4537D"/>
    <w:rsid w:val="00D45512"/>
    <w:rsid w:val="00D45635"/>
    <w:rsid w:val="00D45A89"/>
    <w:rsid w:val="00D45D93"/>
    <w:rsid w:val="00D45F00"/>
    <w:rsid w:val="00D45F1A"/>
    <w:rsid w:val="00D45FF1"/>
    <w:rsid w:val="00D4600D"/>
    <w:rsid w:val="00D46018"/>
    <w:rsid w:val="00D46197"/>
    <w:rsid w:val="00D4697B"/>
    <w:rsid w:val="00D46BA2"/>
    <w:rsid w:val="00D471A1"/>
    <w:rsid w:val="00D47300"/>
    <w:rsid w:val="00D47452"/>
    <w:rsid w:val="00D47520"/>
    <w:rsid w:val="00D476B8"/>
    <w:rsid w:val="00D476C3"/>
    <w:rsid w:val="00D478F2"/>
    <w:rsid w:val="00D47984"/>
    <w:rsid w:val="00D479DC"/>
    <w:rsid w:val="00D47A50"/>
    <w:rsid w:val="00D47A91"/>
    <w:rsid w:val="00D47D8F"/>
    <w:rsid w:val="00D47EC5"/>
    <w:rsid w:val="00D47FE3"/>
    <w:rsid w:val="00D50031"/>
    <w:rsid w:val="00D500BE"/>
    <w:rsid w:val="00D50510"/>
    <w:rsid w:val="00D50642"/>
    <w:rsid w:val="00D5075D"/>
    <w:rsid w:val="00D50B76"/>
    <w:rsid w:val="00D50DCF"/>
    <w:rsid w:val="00D50F79"/>
    <w:rsid w:val="00D50FD9"/>
    <w:rsid w:val="00D5109F"/>
    <w:rsid w:val="00D512F8"/>
    <w:rsid w:val="00D5150A"/>
    <w:rsid w:val="00D51666"/>
    <w:rsid w:val="00D51C36"/>
    <w:rsid w:val="00D51D52"/>
    <w:rsid w:val="00D51F34"/>
    <w:rsid w:val="00D51F3C"/>
    <w:rsid w:val="00D51F6F"/>
    <w:rsid w:val="00D51F84"/>
    <w:rsid w:val="00D51F9C"/>
    <w:rsid w:val="00D5204E"/>
    <w:rsid w:val="00D52091"/>
    <w:rsid w:val="00D5210B"/>
    <w:rsid w:val="00D52287"/>
    <w:rsid w:val="00D525D4"/>
    <w:rsid w:val="00D52684"/>
    <w:rsid w:val="00D52768"/>
    <w:rsid w:val="00D52978"/>
    <w:rsid w:val="00D52B47"/>
    <w:rsid w:val="00D52BD8"/>
    <w:rsid w:val="00D52C53"/>
    <w:rsid w:val="00D52DA9"/>
    <w:rsid w:val="00D52DB4"/>
    <w:rsid w:val="00D52ED5"/>
    <w:rsid w:val="00D530C6"/>
    <w:rsid w:val="00D5315C"/>
    <w:rsid w:val="00D531EB"/>
    <w:rsid w:val="00D53520"/>
    <w:rsid w:val="00D5373D"/>
    <w:rsid w:val="00D53844"/>
    <w:rsid w:val="00D538A4"/>
    <w:rsid w:val="00D539E2"/>
    <w:rsid w:val="00D53C16"/>
    <w:rsid w:val="00D53CCA"/>
    <w:rsid w:val="00D53D00"/>
    <w:rsid w:val="00D53F1B"/>
    <w:rsid w:val="00D54392"/>
    <w:rsid w:val="00D54421"/>
    <w:rsid w:val="00D547C4"/>
    <w:rsid w:val="00D547DE"/>
    <w:rsid w:val="00D5480D"/>
    <w:rsid w:val="00D5485F"/>
    <w:rsid w:val="00D54881"/>
    <w:rsid w:val="00D54BD3"/>
    <w:rsid w:val="00D54C48"/>
    <w:rsid w:val="00D54C73"/>
    <w:rsid w:val="00D54FB4"/>
    <w:rsid w:val="00D5502A"/>
    <w:rsid w:val="00D55080"/>
    <w:rsid w:val="00D55101"/>
    <w:rsid w:val="00D5515E"/>
    <w:rsid w:val="00D552CB"/>
    <w:rsid w:val="00D553E7"/>
    <w:rsid w:val="00D55444"/>
    <w:rsid w:val="00D55521"/>
    <w:rsid w:val="00D55603"/>
    <w:rsid w:val="00D556F8"/>
    <w:rsid w:val="00D55772"/>
    <w:rsid w:val="00D55833"/>
    <w:rsid w:val="00D55A0C"/>
    <w:rsid w:val="00D55AE6"/>
    <w:rsid w:val="00D55B13"/>
    <w:rsid w:val="00D55BBD"/>
    <w:rsid w:val="00D55C53"/>
    <w:rsid w:val="00D55D4C"/>
    <w:rsid w:val="00D55ED3"/>
    <w:rsid w:val="00D563CF"/>
    <w:rsid w:val="00D56440"/>
    <w:rsid w:val="00D56471"/>
    <w:rsid w:val="00D56622"/>
    <w:rsid w:val="00D566AF"/>
    <w:rsid w:val="00D56889"/>
    <w:rsid w:val="00D56A08"/>
    <w:rsid w:val="00D56C41"/>
    <w:rsid w:val="00D56DD2"/>
    <w:rsid w:val="00D57075"/>
    <w:rsid w:val="00D57247"/>
    <w:rsid w:val="00D572B7"/>
    <w:rsid w:val="00D57412"/>
    <w:rsid w:val="00D57474"/>
    <w:rsid w:val="00D578D2"/>
    <w:rsid w:val="00D579AA"/>
    <w:rsid w:val="00D57B09"/>
    <w:rsid w:val="00D57C86"/>
    <w:rsid w:val="00D57C96"/>
    <w:rsid w:val="00D57FE0"/>
    <w:rsid w:val="00D601CA"/>
    <w:rsid w:val="00D60395"/>
    <w:rsid w:val="00D604D4"/>
    <w:rsid w:val="00D60706"/>
    <w:rsid w:val="00D607C7"/>
    <w:rsid w:val="00D60858"/>
    <w:rsid w:val="00D60986"/>
    <w:rsid w:val="00D609F6"/>
    <w:rsid w:val="00D60E92"/>
    <w:rsid w:val="00D60F4A"/>
    <w:rsid w:val="00D60F61"/>
    <w:rsid w:val="00D60F9C"/>
    <w:rsid w:val="00D6108E"/>
    <w:rsid w:val="00D61181"/>
    <w:rsid w:val="00D61185"/>
    <w:rsid w:val="00D61251"/>
    <w:rsid w:val="00D61289"/>
    <w:rsid w:val="00D6198F"/>
    <w:rsid w:val="00D61B29"/>
    <w:rsid w:val="00D61C93"/>
    <w:rsid w:val="00D61CBE"/>
    <w:rsid w:val="00D61D8A"/>
    <w:rsid w:val="00D61E68"/>
    <w:rsid w:val="00D61F9F"/>
    <w:rsid w:val="00D62033"/>
    <w:rsid w:val="00D620A3"/>
    <w:rsid w:val="00D6214E"/>
    <w:rsid w:val="00D62610"/>
    <w:rsid w:val="00D628E8"/>
    <w:rsid w:val="00D62997"/>
    <w:rsid w:val="00D62A56"/>
    <w:rsid w:val="00D62A59"/>
    <w:rsid w:val="00D62D20"/>
    <w:rsid w:val="00D62DBE"/>
    <w:rsid w:val="00D62F0A"/>
    <w:rsid w:val="00D62F97"/>
    <w:rsid w:val="00D62FE3"/>
    <w:rsid w:val="00D63016"/>
    <w:rsid w:val="00D6360D"/>
    <w:rsid w:val="00D6364D"/>
    <w:rsid w:val="00D636C6"/>
    <w:rsid w:val="00D6384D"/>
    <w:rsid w:val="00D639F1"/>
    <w:rsid w:val="00D63BFE"/>
    <w:rsid w:val="00D63CD5"/>
    <w:rsid w:val="00D64167"/>
    <w:rsid w:val="00D641F9"/>
    <w:rsid w:val="00D64301"/>
    <w:rsid w:val="00D6431B"/>
    <w:rsid w:val="00D64414"/>
    <w:rsid w:val="00D64421"/>
    <w:rsid w:val="00D6471B"/>
    <w:rsid w:val="00D64851"/>
    <w:rsid w:val="00D64907"/>
    <w:rsid w:val="00D64966"/>
    <w:rsid w:val="00D649CB"/>
    <w:rsid w:val="00D64BEA"/>
    <w:rsid w:val="00D64BFF"/>
    <w:rsid w:val="00D64E16"/>
    <w:rsid w:val="00D65022"/>
    <w:rsid w:val="00D651EA"/>
    <w:rsid w:val="00D654DE"/>
    <w:rsid w:val="00D6552E"/>
    <w:rsid w:val="00D65574"/>
    <w:rsid w:val="00D655C4"/>
    <w:rsid w:val="00D656D8"/>
    <w:rsid w:val="00D657BB"/>
    <w:rsid w:val="00D65893"/>
    <w:rsid w:val="00D659EC"/>
    <w:rsid w:val="00D65B89"/>
    <w:rsid w:val="00D65C3E"/>
    <w:rsid w:val="00D65E6A"/>
    <w:rsid w:val="00D6611E"/>
    <w:rsid w:val="00D66238"/>
    <w:rsid w:val="00D66324"/>
    <w:rsid w:val="00D66373"/>
    <w:rsid w:val="00D665B7"/>
    <w:rsid w:val="00D6709A"/>
    <w:rsid w:val="00D671D2"/>
    <w:rsid w:val="00D67696"/>
    <w:rsid w:val="00D67709"/>
    <w:rsid w:val="00D67736"/>
    <w:rsid w:val="00D67835"/>
    <w:rsid w:val="00D67AB9"/>
    <w:rsid w:val="00D67B97"/>
    <w:rsid w:val="00D67F3B"/>
    <w:rsid w:val="00D700D5"/>
    <w:rsid w:val="00D7070D"/>
    <w:rsid w:val="00D70873"/>
    <w:rsid w:val="00D709F2"/>
    <w:rsid w:val="00D70BEC"/>
    <w:rsid w:val="00D70D9B"/>
    <w:rsid w:val="00D70E3A"/>
    <w:rsid w:val="00D70F2D"/>
    <w:rsid w:val="00D7103F"/>
    <w:rsid w:val="00D7105E"/>
    <w:rsid w:val="00D710F8"/>
    <w:rsid w:val="00D712D3"/>
    <w:rsid w:val="00D71528"/>
    <w:rsid w:val="00D71771"/>
    <w:rsid w:val="00D71AE7"/>
    <w:rsid w:val="00D71B6A"/>
    <w:rsid w:val="00D71D2E"/>
    <w:rsid w:val="00D71E16"/>
    <w:rsid w:val="00D71F54"/>
    <w:rsid w:val="00D72015"/>
    <w:rsid w:val="00D72036"/>
    <w:rsid w:val="00D720B2"/>
    <w:rsid w:val="00D720D4"/>
    <w:rsid w:val="00D720F1"/>
    <w:rsid w:val="00D7227B"/>
    <w:rsid w:val="00D7227E"/>
    <w:rsid w:val="00D7259F"/>
    <w:rsid w:val="00D726F9"/>
    <w:rsid w:val="00D727ED"/>
    <w:rsid w:val="00D72800"/>
    <w:rsid w:val="00D7293D"/>
    <w:rsid w:val="00D72A5E"/>
    <w:rsid w:val="00D72AA2"/>
    <w:rsid w:val="00D72AD9"/>
    <w:rsid w:val="00D72BC6"/>
    <w:rsid w:val="00D72CCF"/>
    <w:rsid w:val="00D72ED1"/>
    <w:rsid w:val="00D72F83"/>
    <w:rsid w:val="00D72FA5"/>
    <w:rsid w:val="00D7304E"/>
    <w:rsid w:val="00D7308D"/>
    <w:rsid w:val="00D730D8"/>
    <w:rsid w:val="00D733AF"/>
    <w:rsid w:val="00D73468"/>
    <w:rsid w:val="00D73551"/>
    <w:rsid w:val="00D7362E"/>
    <w:rsid w:val="00D7379B"/>
    <w:rsid w:val="00D73868"/>
    <w:rsid w:val="00D73A25"/>
    <w:rsid w:val="00D73A7E"/>
    <w:rsid w:val="00D73F56"/>
    <w:rsid w:val="00D74336"/>
    <w:rsid w:val="00D746FE"/>
    <w:rsid w:val="00D7479F"/>
    <w:rsid w:val="00D748C3"/>
    <w:rsid w:val="00D7490C"/>
    <w:rsid w:val="00D74C7D"/>
    <w:rsid w:val="00D75093"/>
    <w:rsid w:val="00D752C2"/>
    <w:rsid w:val="00D75323"/>
    <w:rsid w:val="00D7537B"/>
    <w:rsid w:val="00D753D8"/>
    <w:rsid w:val="00D754DE"/>
    <w:rsid w:val="00D75639"/>
    <w:rsid w:val="00D75881"/>
    <w:rsid w:val="00D75893"/>
    <w:rsid w:val="00D758C9"/>
    <w:rsid w:val="00D759B3"/>
    <w:rsid w:val="00D75B9D"/>
    <w:rsid w:val="00D75D31"/>
    <w:rsid w:val="00D75D4A"/>
    <w:rsid w:val="00D75E15"/>
    <w:rsid w:val="00D75E26"/>
    <w:rsid w:val="00D75E37"/>
    <w:rsid w:val="00D75EEF"/>
    <w:rsid w:val="00D75F05"/>
    <w:rsid w:val="00D75F33"/>
    <w:rsid w:val="00D75F57"/>
    <w:rsid w:val="00D75F6D"/>
    <w:rsid w:val="00D76028"/>
    <w:rsid w:val="00D7608F"/>
    <w:rsid w:val="00D761D7"/>
    <w:rsid w:val="00D76504"/>
    <w:rsid w:val="00D7651E"/>
    <w:rsid w:val="00D767EE"/>
    <w:rsid w:val="00D76893"/>
    <w:rsid w:val="00D768A3"/>
    <w:rsid w:val="00D769A2"/>
    <w:rsid w:val="00D76A4B"/>
    <w:rsid w:val="00D76BEF"/>
    <w:rsid w:val="00D76C88"/>
    <w:rsid w:val="00D76D7C"/>
    <w:rsid w:val="00D76EFE"/>
    <w:rsid w:val="00D76F08"/>
    <w:rsid w:val="00D76FDF"/>
    <w:rsid w:val="00D77081"/>
    <w:rsid w:val="00D770A2"/>
    <w:rsid w:val="00D77168"/>
    <w:rsid w:val="00D774E7"/>
    <w:rsid w:val="00D775C9"/>
    <w:rsid w:val="00D776B6"/>
    <w:rsid w:val="00D779F3"/>
    <w:rsid w:val="00D77C16"/>
    <w:rsid w:val="00D77CAD"/>
    <w:rsid w:val="00D80077"/>
    <w:rsid w:val="00D805D9"/>
    <w:rsid w:val="00D80644"/>
    <w:rsid w:val="00D806B7"/>
    <w:rsid w:val="00D80808"/>
    <w:rsid w:val="00D80879"/>
    <w:rsid w:val="00D80B09"/>
    <w:rsid w:val="00D80BE4"/>
    <w:rsid w:val="00D80CC4"/>
    <w:rsid w:val="00D80CDA"/>
    <w:rsid w:val="00D80CDC"/>
    <w:rsid w:val="00D80D77"/>
    <w:rsid w:val="00D80D7C"/>
    <w:rsid w:val="00D80EC6"/>
    <w:rsid w:val="00D80F89"/>
    <w:rsid w:val="00D812DF"/>
    <w:rsid w:val="00D814A8"/>
    <w:rsid w:val="00D8173D"/>
    <w:rsid w:val="00D81817"/>
    <w:rsid w:val="00D81D33"/>
    <w:rsid w:val="00D81D3B"/>
    <w:rsid w:val="00D81DF2"/>
    <w:rsid w:val="00D81FB6"/>
    <w:rsid w:val="00D82111"/>
    <w:rsid w:val="00D823B4"/>
    <w:rsid w:val="00D82468"/>
    <w:rsid w:val="00D82470"/>
    <w:rsid w:val="00D825BA"/>
    <w:rsid w:val="00D82647"/>
    <w:rsid w:val="00D827FF"/>
    <w:rsid w:val="00D82848"/>
    <w:rsid w:val="00D828FF"/>
    <w:rsid w:val="00D82961"/>
    <w:rsid w:val="00D82CA4"/>
    <w:rsid w:val="00D82CDF"/>
    <w:rsid w:val="00D82EA0"/>
    <w:rsid w:val="00D82EAB"/>
    <w:rsid w:val="00D8325E"/>
    <w:rsid w:val="00D83286"/>
    <w:rsid w:val="00D832DC"/>
    <w:rsid w:val="00D833AA"/>
    <w:rsid w:val="00D833B0"/>
    <w:rsid w:val="00D83603"/>
    <w:rsid w:val="00D83720"/>
    <w:rsid w:val="00D839DA"/>
    <w:rsid w:val="00D83A01"/>
    <w:rsid w:val="00D83AFF"/>
    <w:rsid w:val="00D83C17"/>
    <w:rsid w:val="00D83EA3"/>
    <w:rsid w:val="00D840D7"/>
    <w:rsid w:val="00D8424F"/>
    <w:rsid w:val="00D849D1"/>
    <w:rsid w:val="00D84A0A"/>
    <w:rsid w:val="00D84A51"/>
    <w:rsid w:val="00D84AED"/>
    <w:rsid w:val="00D84F93"/>
    <w:rsid w:val="00D84FD9"/>
    <w:rsid w:val="00D85105"/>
    <w:rsid w:val="00D8512C"/>
    <w:rsid w:val="00D851AE"/>
    <w:rsid w:val="00D8540B"/>
    <w:rsid w:val="00D85464"/>
    <w:rsid w:val="00D857E3"/>
    <w:rsid w:val="00D85830"/>
    <w:rsid w:val="00D8587F"/>
    <w:rsid w:val="00D8588C"/>
    <w:rsid w:val="00D85B77"/>
    <w:rsid w:val="00D85BC2"/>
    <w:rsid w:val="00D85D06"/>
    <w:rsid w:val="00D85EB6"/>
    <w:rsid w:val="00D8618F"/>
    <w:rsid w:val="00D861AA"/>
    <w:rsid w:val="00D86521"/>
    <w:rsid w:val="00D86561"/>
    <w:rsid w:val="00D865DB"/>
    <w:rsid w:val="00D866BA"/>
    <w:rsid w:val="00D86AD1"/>
    <w:rsid w:val="00D86BCA"/>
    <w:rsid w:val="00D86C68"/>
    <w:rsid w:val="00D86DD0"/>
    <w:rsid w:val="00D87028"/>
    <w:rsid w:val="00D870B1"/>
    <w:rsid w:val="00D8711C"/>
    <w:rsid w:val="00D87190"/>
    <w:rsid w:val="00D8727E"/>
    <w:rsid w:val="00D87432"/>
    <w:rsid w:val="00D87720"/>
    <w:rsid w:val="00D87770"/>
    <w:rsid w:val="00D87794"/>
    <w:rsid w:val="00D87795"/>
    <w:rsid w:val="00D8781C"/>
    <w:rsid w:val="00D87A33"/>
    <w:rsid w:val="00D87CC7"/>
    <w:rsid w:val="00D87DC7"/>
    <w:rsid w:val="00D87E2D"/>
    <w:rsid w:val="00D87E72"/>
    <w:rsid w:val="00D87FD9"/>
    <w:rsid w:val="00D9001A"/>
    <w:rsid w:val="00D901E6"/>
    <w:rsid w:val="00D9026F"/>
    <w:rsid w:val="00D90394"/>
    <w:rsid w:val="00D90615"/>
    <w:rsid w:val="00D90879"/>
    <w:rsid w:val="00D90B9B"/>
    <w:rsid w:val="00D90BEE"/>
    <w:rsid w:val="00D90DE6"/>
    <w:rsid w:val="00D90DEF"/>
    <w:rsid w:val="00D91008"/>
    <w:rsid w:val="00D91167"/>
    <w:rsid w:val="00D91175"/>
    <w:rsid w:val="00D91345"/>
    <w:rsid w:val="00D91410"/>
    <w:rsid w:val="00D914DF"/>
    <w:rsid w:val="00D915C5"/>
    <w:rsid w:val="00D916A3"/>
    <w:rsid w:val="00D916CC"/>
    <w:rsid w:val="00D91A7D"/>
    <w:rsid w:val="00D91B60"/>
    <w:rsid w:val="00D91C0F"/>
    <w:rsid w:val="00D91D89"/>
    <w:rsid w:val="00D91F91"/>
    <w:rsid w:val="00D921AE"/>
    <w:rsid w:val="00D9220E"/>
    <w:rsid w:val="00D92ABE"/>
    <w:rsid w:val="00D92CFD"/>
    <w:rsid w:val="00D92F6C"/>
    <w:rsid w:val="00D93103"/>
    <w:rsid w:val="00D9324D"/>
    <w:rsid w:val="00D93270"/>
    <w:rsid w:val="00D93379"/>
    <w:rsid w:val="00D9385F"/>
    <w:rsid w:val="00D93876"/>
    <w:rsid w:val="00D93AA0"/>
    <w:rsid w:val="00D93E11"/>
    <w:rsid w:val="00D93EA6"/>
    <w:rsid w:val="00D93FD7"/>
    <w:rsid w:val="00D940AC"/>
    <w:rsid w:val="00D943B5"/>
    <w:rsid w:val="00D9452F"/>
    <w:rsid w:val="00D94692"/>
    <w:rsid w:val="00D946C1"/>
    <w:rsid w:val="00D946E0"/>
    <w:rsid w:val="00D948F2"/>
    <w:rsid w:val="00D949F2"/>
    <w:rsid w:val="00D94D52"/>
    <w:rsid w:val="00D951F7"/>
    <w:rsid w:val="00D95214"/>
    <w:rsid w:val="00D953F9"/>
    <w:rsid w:val="00D9566C"/>
    <w:rsid w:val="00D9576A"/>
    <w:rsid w:val="00D95893"/>
    <w:rsid w:val="00D958F8"/>
    <w:rsid w:val="00D9592C"/>
    <w:rsid w:val="00D959D1"/>
    <w:rsid w:val="00D95BBF"/>
    <w:rsid w:val="00D95DC2"/>
    <w:rsid w:val="00D95ED3"/>
    <w:rsid w:val="00D95FB4"/>
    <w:rsid w:val="00D962A1"/>
    <w:rsid w:val="00D964C6"/>
    <w:rsid w:val="00D965E4"/>
    <w:rsid w:val="00D96815"/>
    <w:rsid w:val="00D96A53"/>
    <w:rsid w:val="00D96BBF"/>
    <w:rsid w:val="00D96D38"/>
    <w:rsid w:val="00D96E16"/>
    <w:rsid w:val="00D96EBA"/>
    <w:rsid w:val="00D96F47"/>
    <w:rsid w:val="00D96F9D"/>
    <w:rsid w:val="00D9700B"/>
    <w:rsid w:val="00D970FF"/>
    <w:rsid w:val="00D971E8"/>
    <w:rsid w:val="00D9724A"/>
    <w:rsid w:val="00D972E2"/>
    <w:rsid w:val="00D9754F"/>
    <w:rsid w:val="00D97896"/>
    <w:rsid w:val="00D978BD"/>
    <w:rsid w:val="00D97A89"/>
    <w:rsid w:val="00D97AB0"/>
    <w:rsid w:val="00D97BA8"/>
    <w:rsid w:val="00DA00F0"/>
    <w:rsid w:val="00DA0676"/>
    <w:rsid w:val="00DA07BC"/>
    <w:rsid w:val="00DA0886"/>
    <w:rsid w:val="00DA08C8"/>
    <w:rsid w:val="00DA0A61"/>
    <w:rsid w:val="00DA0BDE"/>
    <w:rsid w:val="00DA0DC7"/>
    <w:rsid w:val="00DA0DED"/>
    <w:rsid w:val="00DA0F58"/>
    <w:rsid w:val="00DA0F64"/>
    <w:rsid w:val="00DA0FF4"/>
    <w:rsid w:val="00DA1073"/>
    <w:rsid w:val="00DA1362"/>
    <w:rsid w:val="00DA13B7"/>
    <w:rsid w:val="00DA187F"/>
    <w:rsid w:val="00DA1A59"/>
    <w:rsid w:val="00DA1AA3"/>
    <w:rsid w:val="00DA1C9B"/>
    <w:rsid w:val="00DA205E"/>
    <w:rsid w:val="00DA213C"/>
    <w:rsid w:val="00DA21B0"/>
    <w:rsid w:val="00DA24BD"/>
    <w:rsid w:val="00DA2895"/>
    <w:rsid w:val="00DA2A98"/>
    <w:rsid w:val="00DA2B3F"/>
    <w:rsid w:val="00DA2B5F"/>
    <w:rsid w:val="00DA330E"/>
    <w:rsid w:val="00DA3328"/>
    <w:rsid w:val="00DA345A"/>
    <w:rsid w:val="00DA3759"/>
    <w:rsid w:val="00DA3866"/>
    <w:rsid w:val="00DA3B7F"/>
    <w:rsid w:val="00DA3C0A"/>
    <w:rsid w:val="00DA3C19"/>
    <w:rsid w:val="00DA3DD7"/>
    <w:rsid w:val="00DA3DEC"/>
    <w:rsid w:val="00DA3DF3"/>
    <w:rsid w:val="00DA3ED8"/>
    <w:rsid w:val="00DA40EA"/>
    <w:rsid w:val="00DA42C5"/>
    <w:rsid w:val="00DA435E"/>
    <w:rsid w:val="00DA44CF"/>
    <w:rsid w:val="00DA48C2"/>
    <w:rsid w:val="00DA494D"/>
    <w:rsid w:val="00DA4B2B"/>
    <w:rsid w:val="00DA4C08"/>
    <w:rsid w:val="00DA4E85"/>
    <w:rsid w:val="00DA4F3B"/>
    <w:rsid w:val="00DA5139"/>
    <w:rsid w:val="00DA5286"/>
    <w:rsid w:val="00DA53D9"/>
    <w:rsid w:val="00DA53EF"/>
    <w:rsid w:val="00DA57B8"/>
    <w:rsid w:val="00DA5AA5"/>
    <w:rsid w:val="00DA5B5B"/>
    <w:rsid w:val="00DA5B69"/>
    <w:rsid w:val="00DA5DC9"/>
    <w:rsid w:val="00DA5DD6"/>
    <w:rsid w:val="00DA5EF9"/>
    <w:rsid w:val="00DA5F02"/>
    <w:rsid w:val="00DA6112"/>
    <w:rsid w:val="00DA6127"/>
    <w:rsid w:val="00DA6176"/>
    <w:rsid w:val="00DA618B"/>
    <w:rsid w:val="00DA624A"/>
    <w:rsid w:val="00DA63D5"/>
    <w:rsid w:val="00DA6817"/>
    <w:rsid w:val="00DA6866"/>
    <w:rsid w:val="00DA6C2F"/>
    <w:rsid w:val="00DA6E1C"/>
    <w:rsid w:val="00DA6E69"/>
    <w:rsid w:val="00DA7058"/>
    <w:rsid w:val="00DA712E"/>
    <w:rsid w:val="00DA7312"/>
    <w:rsid w:val="00DA73E6"/>
    <w:rsid w:val="00DA744C"/>
    <w:rsid w:val="00DA75EB"/>
    <w:rsid w:val="00DA764E"/>
    <w:rsid w:val="00DA7861"/>
    <w:rsid w:val="00DA78C0"/>
    <w:rsid w:val="00DA7B56"/>
    <w:rsid w:val="00DA7B65"/>
    <w:rsid w:val="00DA7BCC"/>
    <w:rsid w:val="00DA7C1C"/>
    <w:rsid w:val="00DB001E"/>
    <w:rsid w:val="00DB04C3"/>
    <w:rsid w:val="00DB04CC"/>
    <w:rsid w:val="00DB05F9"/>
    <w:rsid w:val="00DB0771"/>
    <w:rsid w:val="00DB077E"/>
    <w:rsid w:val="00DB0989"/>
    <w:rsid w:val="00DB09D1"/>
    <w:rsid w:val="00DB104D"/>
    <w:rsid w:val="00DB10CD"/>
    <w:rsid w:val="00DB1153"/>
    <w:rsid w:val="00DB121D"/>
    <w:rsid w:val="00DB1544"/>
    <w:rsid w:val="00DB16C9"/>
    <w:rsid w:val="00DB1870"/>
    <w:rsid w:val="00DB1A15"/>
    <w:rsid w:val="00DB1A25"/>
    <w:rsid w:val="00DB1B56"/>
    <w:rsid w:val="00DB1CBB"/>
    <w:rsid w:val="00DB1E80"/>
    <w:rsid w:val="00DB2009"/>
    <w:rsid w:val="00DB22BB"/>
    <w:rsid w:val="00DB236E"/>
    <w:rsid w:val="00DB250B"/>
    <w:rsid w:val="00DB2596"/>
    <w:rsid w:val="00DB28FD"/>
    <w:rsid w:val="00DB29BF"/>
    <w:rsid w:val="00DB2C5B"/>
    <w:rsid w:val="00DB2FCA"/>
    <w:rsid w:val="00DB3212"/>
    <w:rsid w:val="00DB335D"/>
    <w:rsid w:val="00DB33E2"/>
    <w:rsid w:val="00DB3407"/>
    <w:rsid w:val="00DB3573"/>
    <w:rsid w:val="00DB3969"/>
    <w:rsid w:val="00DB3C0A"/>
    <w:rsid w:val="00DB3F28"/>
    <w:rsid w:val="00DB40E8"/>
    <w:rsid w:val="00DB41DD"/>
    <w:rsid w:val="00DB428C"/>
    <w:rsid w:val="00DB42ED"/>
    <w:rsid w:val="00DB453A"/>
    <w:rsid w:val="00DB4896"/>
    <w:rsid w:val="00DB49FF"/>
    <w:rsid w:val="00DB4D6B"/>
    <w:rsid w:val="00DB4E2D"/>
    <w:rsid w:val="00DB5029"/>
    <w:rsid w:val="00DB5092"/>
    <w:rsid w:val="00DB509F"/>
    <w:rsid w:val="00DB511B"/>
    <w:rsid w:val="00DB513A"/>
    <w:rsid w:val="00DB518C"/>
    <w:rsid w:val="00DB5297"/>
    <w:rsid w:val="00DB55B6"/>
    <w:rsid w:val="00DB580A"/>
    <w:rsid w:val="00DB5918"/>
    <w:rsid w:val="00DB591D"/>
    <w:rsid w:val="00DB595E"/>
    <w:rsid w:val="00DB59CA"/>
    <w:rsid w:val="00DB5A8D"/>
    <w:rsid w:val="00DB5BE5"/>
    <w:rsid w:val="00DB5D3A"/>
    <w:rsid w:val="00DB5DAA"/>
    <w:rsid w:val="00DB5DE7"/>
    <w:rsid w:val="00DB5E79"/>
    <w:rsid w:val="00DB5F04"/>
    <w:rsid w:val="00DB604E"/>
    <w:rsid w:val="00DB60D8"/>
    <w:rsid w:val="00DB60F2"/>
    <w:rsid w:val="00DB613F"/>
    <w:rsid w:val="00DB6155"/>
    <w:rsid w:val="00DB62B5"/>
    <w:rsid w:val="00DB63D4"/>
    <w:rsid w:val="00DB6595"/>
    <w:rsid w:val="00DB6734"/>
    <w:rsid w:val="00DB69A5"/>
    <w:rsid w:val="00DB6A39"/>
    <w:rsid w:val="00DB6B00"/>
    <w:rsid w:val="00DB6B03"/>
    <w:rsid w:val="00DB6B44"/>
    <w:rsid w:val="00DB6C3D"/>
    <w:rsid w:val="00DB6CF3"/>
    <w:rsid w:val="00DB6F92"/>
    <w:rsid w:val="00DB70EF"/>
    <w:rsid w:val="00DB7105"/>
    <w:rsid w:val="00DB73EB"/>
    <w:rsid w:val="00DB747E"/>
    <w:rsid w:val="00DB75A9"/>
    <w:rsid w:val="00DB778C"/>
    <w:rsid w:val="00DB7871"/>
    <w:rsid w:val="00DB7B16"/>
    <w:rsid w:val="00DB7B5A"/>
    <w:rsid w:val="00DB7B9E"/>
    <w:rsid w:val="00DB7D42"/>
    <w:rsid w:val="00DB7D6B"/>
    <w:rsid w:val="00DB7FD6"/>
    <w:rsid w:val="00DB7FE0"/>
    <w:rsid w:val="00DB7FE9"/>
    <w:rsid w:val="00DC022E"/>
    <w:rsid w:val="00DC031A"/>
    <w:rsid w:val="00DC0A2B"/>
    <w:rsid w:val="00DC139D"/>
    <w:rsid w:val="00DC1544"/>
    <w:rsid w:val="00DC177A"/>
    <w:rsid w:val="00DC1C4E"/>
    <w:rsid w:val="00DC1F36"/>
    <w:rsid w:val="00DC1F91"/>
    <w:rsid w:val="00DC21D9"/>
    <w:rsid w:val="00DC23E3"/>
    <w:rsid w:val="00DC24A1"/>
    <w:rsid w:val="00DC263C"/>
    <w:rsid w:val="00DC283A"/>
    <w:rsid w:val="00DC286C"/>
    <w:rsid w:val="00DC2B1E"/>
    <w:rsid w:val="00DC2C18"/>
    <w:rsid w:val="00DC2C48"/>
    <w:rsid w:val="00DC2C59"/>
    <w:rsid w:val="00DC2DC1"/>
    <w:rsid w:val="00DC2E4D"/>
    <w:rsid w:val="00DC2EB4"/>
    <w:rsid w:val="00DC31B2"/>
    <w:rsid w:val="00DC32DB"/>
    <w:rsid w:val="00DC32E9"/>
    <w:rsid w:val="00DC3689"/>
    <w:rsid w:val="00DC36D5"/>
    <w:rsid w:val="00DC36E1"/>
    <w:rsid w:val="00DC37C2"/>
    <w:rsid w:val="00DC3986"/>
    <w:rsid w:val="00DC3B59"/>
    <w:rsid w:val="00DC3CC5"/>
    <w:rsid w:val="00DC3DAE"/>
    <w:rsid w:val="00DC4030"/>
    <w:rsid w:val="00DC4108"/>
    <w:rsid w:val="00DC4687"/>
    <w:rsid w:val="00DC468B"/>
    <w:rsid w:val="00DC4692"/>
    <w:rsid w:val="00DC49BD"/>
    <w:rsid w:val="00DC4A53"/>
    <w:rsid w:val="00DC4A94"/>
    <w:rsid w:val="00DC4AED"/>
    <w:rsid w:val="00DC4BC4"/>
    <w:rsid w:val="00DC4ECC"/>
    <w:rsid w:val="00DC508C"/>
    <w:rsid w:val="00DC5133"/>
    <w:rsid w:val="00DC5905"/>
    <w:rsid w:val="00DC5B9D"/>
    <w:rsid w:val="00DC5BB2"/>
    <w:rsid w:val="00DC5C67"/>
    <w:rsid w:val="00DC5F5B"/>
    <w:rsid w:val="00DC6045"/>
    <w:rsid w:val="00DC6100"/>
    <w:rsid w:val="00DC62CF"/>
    <w:rsid w:val="00DC630D"/>
    <w:rsid w:val="00DC669F"/>
    <w:rsid w:val="00DC67BF"/>
    <w:rsid w:val="00DC68D5"/>
    <w:rsid w:val="00DC6932"/>
    <w:rsid w:val="00DC6A4A"/>
    <w:rsid w:val="00DC6A66"/>
    <w:rsid w:val="00DC6B7F"/>
    <w:rsid w:val="00DC6DA1"/>
    <w:rsid w:val="00DC6DFC"/>
    <w:rsid w:val="00DC6E75"/>
    <w:rsid w:val="00DC6ED6"/>
    <w:rsid w:val="00DC6EF6"/>
    <w:rsid w:val="00DC6F6D"/>
    <w:rsid w:val="00DC72F4"/>
    <w:rsid w:val="00DC7390"/>
    <w:rsid w:val="00DC7422"/>
    <w:rsid w:val="00DC749D"/>
    <w:rsid w:val="00DC7500"/>
    <w:rsid w:val="00DC7518"/>
    <w:rsid w:val="00DC771A"/>
    <w:rsid w:val="00DC7CAA"/>
    <w:rsid w:val="00DC7DB6"/>
    <w:rsid w:val="00DC7F25"/>
    <w:rsid w:val="00DD0038"/>
    <w:rsid w:val="00DD011F"/>
    <w:rsid w:val="00DD0219"/>
    <w:rsid w:val="00DD0220"/>
    <w:rsid w:val="00DD0232"/>
    <w:rsid w:val="00DD037F"/>
    <w:rsid w:val="00DD03B2"/>
    <w:rsid w:val="00DD05DB"/>
    <w:rsid w:val="00DD0675"/>
    <w:rsid w:val="00DD069B"/>
    <w:rsid w:val="00DD0718"/>
    <w:rsid w:val="00DD07E0"/>
    <w:rsid w:val="00DD08F7"/>
    <w:rsid w:val="00DD08FA"/>
    <w:rsid w:val="00DD09C0"/>
    <w:rsid w:val="00DD0AC0"/>
    <w:rsid w:val="00DD0BBF"/>
    <w:rsid w:val="00DD0C0B"/>
    <w:rsid w:val="00DD1148"/>
    <w:rsid w:val="00DD1273"/>
    <w:rsid w:val="00DD12C4"/>
    <w:rsid w:val="00DD13E8"/>
    <w:rsid w:val="00DD16E5"/>
    <w:rsid w:val="00DD17A3"/>
    <w:rsid w:val="00DD1937"/>
    <w:rsid w:val="00DD19AF"/>
    <w:rsid w:val="00DD1B15"/>
    <w:rsid w:val="00DD1B40"/>
    <w:rsid w:val="00DD1B4D"/>
    <w:rsid w:val="00DD1D7F"/>
    <w:rsid w:val="00DD1E03"/>
    <w:rsid w:val="00DD1F80"/>
    <w:rsid w:val="00DD2130"/>
    <w:rsid w:val="00DD21B7"/>
    <w:rsid w:val="00DD25FC"/>
    <w:rsid w:val="00DD2703"/>
    <w:rsid w:val="00DD270A"/>
    <w:rsid w:val="00DD2873"/>
    <w:rsid w:val="00DD28D8"/>
    <w:rsid w:val="00DD290B"/>
    <w:rsid w:val="00DD2EBE"/>
    <w:rsid w:val="00DD305C"/>
    <w:rsid w:val="00DD3186"/>
    <w:rsid w:val="00DD32C2"/>
    <w:rsid w:val="00DD358A"/>
    <w:rsid w:val="00DD3B95"/>
    <w:rsid w:val="00DD3D22"/>
    <w:rsid w:val="00DD3D4F"/>
    <w:rsid w:val="00DD3EA7"/>
    <w:rsid w:val="00DD3F05"/>
    <w:rsid w:val="00DD3F8B"/>
    <w:rsid w:val="00DD414A"/>
    <w:rsid w:val="00DD41B5"/>
    <w:rsid w:val="00DD41CD"/>
    <w:rsid w:val="00DD42B4"/>
    <w:rsid w:val="00DD438C"/>
    <w:rsid w:val="00DD43C1"/>
    <w:rsid w:val="00DD461D"/>
    <w:rsid w:val="00DD4704"/>
    <w:rsid w:val="00DD4956"/>
    <w:rsid w:val="00DD49CA"/>
    <w:rsid w:val="00DD4AED"/>
    <w:rsid w:val="00DD4B32"/>
    <w:rsid w:val="00DD4B9C"/>
    <w:rsid w:val="00DD4C53"/>
    <w:rsid w:val="00DD4E8B"/>
    <w:rsid w:val="00DD5199"/>
    <w:rsid w:val="00DD51DF"/>
    <w:rsid w:val="00DD5399"/>
    <w:rsid w:val="00DD5631"/>
    <w:rsid w:val="00DD5980"/>
    <w:rsid w:val="00DD5B8C"/>
    <w:rsid w:val="00DD5DA1"/>
    <w:rsid w:val="00DD60B8"/>
    <w:rsid w:val="00DD6335"/>
    <w:rsid w:val="00DD633D"/>
    <w:rsid w:val="00DD6424"/>
    <w:rsid w:val="00DD6470"/>
    <w:rsid w:val="00DD6964"/>
    <w:rsid w:val="00DD6966"/>
    <w:rsid w:val="00DD6ADC"/>
    <w:rsid w:val="00DD6B52"/>
    <w:rsid w:val="00DD6C69"/>
    <w:rsid w:val="00DD6F25"/>
    <w:rsid w:val="00DD7327"/>
    <w:rsid w:val="00DD7351"/>
    <w:rsid w:val="00DD7387"/>
    <w:rsid w:val="00DD739F"/>
    <w:rsid w:val="00DD757A"/>
    <w:rsid w:val="00DD75AD"/>
    <w:rsid w:val="00DD763A"/>
    <w:rsid w:val="00DD78DB"/>
    <w:rsid w:val="00DD79B0"/>
    <w:rsid w:val="00DD7AE8"/>
    <w:rsid w:val="00DD7BC0"/>
    <w:rsid w:val="00DD7DB7"/>
    <w:rsid w:val="00DD7E40"/>
    <w:rsid w:val="00DD7EA8"/>
    <w:rsid w:val="00DD7F98"/>
    <w:rsid w:val="00DE00B1"/>
    <w:rsid w:val="00DE0207"/>
    <w:rsid w:val="00DE06C9"/>
    <w:rsid w:val="00DE0962"/>
    <w:rsid w:val="00DE0978"/>
    <w:rsid w:val="00DE0998"/>
    <w:rsid w:val="00DE0BAB"/>
    <w:rsid w:val="00DE0CFB"/>
    <w:rsid w:val="00DE0E88"/>
    <w:rsid w:val="00DE0F7D"/>
    <w:rsid w:val="00DE1269"/>
    <w:rsid w:val="00DE1414"/>
    <w:rsid w:val="00DE1479"/>
    <w:rsid w:val="00DE152E"/>
    <w:rsid w:val="00DE15BC"/>
    <w:rsid w:val="00DE17EE"/>
    <w:rsid w:val="00DE1876"/>
    <w:rsid w:val="00DE19CF"/>
    <w:rsid w:val="00DE1B0D"/>
    <w:rsid w:val="00DE1B6B"/>
    <w:rsid w:val="00DE1B92"/>
    <w:rsid w:val="00DE1B9E"/>
    <w:rsid w:val="00DE1CB0"/>
    <w:rsid w:val="00DE1D85"/>
    <w:rsid w:val="00DE1EE4"/>
    <w:rsid w:val="00DE221D"/>
    <w:rsid w:val="00DE2361"/>
    <w:rsid w:val="00DE2463"/>
    <w:rsid w:val="00DE26A8"/>
    <w:rsid w:val="00DE27C6"/>
    <w:rsid w:val="00DE2C9D"/>
    <w:rsid w:val="00DE2E24"/>
    <w:rsid w:val="00DE2E2A"/>
    <w:rsid w:val="00DE2EC2"/>
    <w:rsid w:val="00DE2EDA"/>
    <w:rsid w:val="00DE328D"/>
    <w:rsid w:val="00DE336C"/>
    <w:rsid w:val="00DE3581"/>
    <w:rsid w:val="00DE35B5"/>
    <w:rsid w:val="00DE3691"/>
    <w:rsid w:val="00DE37E0"/>
    <w:rsid w:val="00DE3868"/>
    <w:rsid w:val="00DE3B30"/>
    <w:rsid w:val="00DE3B71"/>
    <w:rsid w:val="00DE3C9C"/>
    <w:rsid w:val="00DE3DE4"/>
    <w:rsid w:val="00DE3EB7"/>
    <w:rsid w:val="00DE4044"/>
    <w:rsid w:val="00DE40EB"/>
    <w:rsid w:val="00DE42F7"/>
    <w:rsid w:val="00DE4460"/>
    <w:rsid w:val="00DE4660"/>
    <w:rsid w:val="00DE46D9"/>
    <w:rsid w:val="00DE46F6"/>
    <w:rsid w:val="00DE470D"/>
    <w:rsid w:val="00DE4965"/>
    <w:rsid w:val="00DE4A15"/>
    <w:rsid w:val="00DE4BD8"/>
    <w:rsid w:val="00DE4BFD"/>
    <w:rsid w:val="00DE4C2E"/>
    <w:rsid w:val="00DE4C4F"/>
    <w:rsid w:val="00DE4D26"/>
    <w:rsid w:val="00DE4D36"/>
    <w:rsid w:val="00DE4E47"/>
    <w:rsid w:val="00DE4FB0"/>
    <w:rsid w:val="00DE520F"/>
    <w:rsid w:val="00DE5214"/>
    <w:rsid w:val="00DE52C0"/>
    <w:rsid w:val="00DE53B4"/>
    <w:rsid w:val="00DE5573"/>
    <w:rsid w:val="00DE5AE1"/>
    <w:rsid w:val="00DE5ECC"/>
    <w:rsid w:val="00DE6108"/>
    <w:rsid w:val="00DE611E"/>
    <w:rsid w:val="00DE6145"/>
    <w:rsid w:val="00DE6156"/>
    <w:rsid w:val="00DE6222"/>
    <w:rsid w:val="00DE6243"/>
    <w:rsid w:val="00DE6395"/>
    <w:rsid w:val="00DE640F"/>
    <w:rsid w:val="00DE6662"/>
    <w:rsid w:val="00DE6925"/>
    <w:rsid w:val="00DE6973"/>
    <w:rsid w:val="00DE69D2"/>
    <w:rsid w:val="00DE6ADC"/>
    <w:rsid w:val="00DE6BEF"/>
    <w:rsid w:val="00DE6CE6"/>
    <w:rsid w:val="00DE6E25"/>
    <w:rsid w:val="00DE6E72"/>
    <w:rsid w:val="00DE6EC4"/>
    <w:rsid w:val="00DE6F55"/>
    <w:rsid w:val="00DE6F6B"/>
    <w:rsid w:val="00DE6FBB"/>
    <w:rsid w:val="00DE723A"/>
    <w:rsid w:val="00DE7327"/>
    <w:rsid w:val="00DE74E2"/>
    <w:rsid w:val="00DE7A39"/>
    <w:rsid w:val="00DE7C12"/>
    <w:rsid w:val="00DE7E1D"/>
    <w:rsid w:val="00DE7F05"/>
    <w:rsid w:val="00DF0003"/>
    <w:rsid w:val="00DF00A1"/>
    <w:rsid w:val="00DF01A6"/>
    <w:rsid w:val="00DF01FE"/>
    <w:rsid w:val="00DF04DB"/>
    <w:rsid w:val="00DF05BD"/>
    <w:rsid w:val="00DF0672"/>
    <w:rsid w:val="00DF0722"/>
    <w:rsid w:val="00DF09DA"/>
    <w:rsid w:val="00DF0C67"/>
    <w:rsid w:val="00DF0CDB"/>
    <w:rsid w:val="00DF0D72"/>
    <w:rsid w:val="00DF0E71"/>
    <w:rsid w:val="00DF1115"/>
    <w:rsid w:val="00DF1320"/>
    <w:rsid w:val="00DF13CC"/>
    <w:rsid w:val="00DF13F6"/>
    <w:rsid w:val="00DF13F7"/>
    <w:rsid w:val="00DF14AA"/>
    <w:rsid w:val="00DF15B3"/>
    <w:rsid w:val="00DF1CE9"/>
    <w:rsid w:val="00DF1DC5"/>
    <w:rsid w:val="00DF1EE5"/>
    <w:rsid w:val="00DF1FE2"/>
    <w:rsid w:val="00DF208F"/>
    <w:rsid w:val="00DF2241"/>
    <w:rsid w:val="00DF22C1"/>
    <w:rsid w:val="00DF2350"/>
    <w:rsid w:val="00DF23A3"/>
    <w:rsid w:val="00DF25EF"/>
    <w:rsid w:val="00DF26EF"/>
    <w:rsid w:val="00DF2A58"/>
    <w:rsid w:val="00DF2B56"/>
    <w:rsid w:val="00DF2C7B"/>
    <w:rsid w:val="00DF2D6E"/>
    <w:rsid w:val="00DF2E9A"/>
    <w:rsid w:val="00DF2F08"/>
    <w:rsid w:val="00DF30EE"/>
    <w:rsid w:val="00DF3364"/>
    <w:rsid w:val="00DF340E"/>
    <w:rsid w:val="00DF382A"/>
    <w:rsid w:val="00DF3926"/>
    <w:rsid w:val="00DF39BD"/>
    <w:rsid w:val="00DF39C1"/>
    <w:rsid w:val="00DF3A25"/>
    <w:rsid w:val="00DF3B7E"/>
    <w:rsid w:val="00DF3BA4"/>
    <w:rsid w:val="00DF3DA8"/>
    <w:rsid w:val="00DF3EA3"/>
    <w:rsid w:val="00DF3EB1"/>
    <w:rsid w:val="00DF40A2"/>
    <w:rsid w:val="00DF419C"/>
    <w:rsid w:val="00DF439B"/>
    <w:rsid w:val="00DF445A"/>
    <w:rsid w:val="00DF4537"/>
    <w:rsid w:val="00DF460A"/>
    <w:rsid w:val="00DF46F1"/>
    <w:rsid w:val="00DF47B6"/>
    <w:rsid w:val="00DF497A"/>
    <w:rsid w:val="00DF49BD"/>
    <w:rsid w:val="00DF4A36"/>
    <w:rsid w:val="00DF4B13"/>
    <w:rsid w:val="00DF4C09"/>
    <w:rsid w:val="00DF4D4E"/>
    <w:rsid w:val="00DF4FFE"/>
    <w:rsid w:val="00DF503B"/>
    <w:rsid w:val="00DF5069"/>
    <w:rsid w:val="00DF51D5"/>
    <w:rsid w:val="00DF54C9"/>
    <w:rsid w:val="00DF56D7"/>
    <w:rsid w:val="00DF5731"/>
    <w:rsid w:val="00DF5772"/>
    <w:rsid w:val="00DF57DE"/>
    <w:rsid w:val="00DF5B62"/>
    <w:rsid w:val="00DF5C2B"/>
    <w:rsid w:val="00DF5FDF"/>
    <w:rsid w:val="00DF607D"/>
    <w:rsid w:val="00DF617B"/>
    <w:rsid w:val="00DF64B5"/>
    <w:rsid w:val="00DF64CE"/>
    <w:rsid w:val="00DF6594"/>
    <w:rsid w:val="00DF65BB"/>
    <w:rsid w:val="00DF664F"/>
    <w:rsid w:val="00DF6714"/>
    <w:rsid w:val="00DF6A71"/>
    <w:rsid w:val="00DF6A72"/>
    <w:rsid w:val="00DF6B0B"/>
    <w:rsid w:val="00DF6DB5"/>
    <w:rsid w:val="00DF6DBA"/>
    <w:rsid w:val="00DF6DD4"/>
    <w:rsid w:val="00DF6F1B"/>
    <w:rsid w:val="00DF6F83"/>
    <w:rsid w:val="00DF7036"/>
    <w:rsid w:val="00DF75CE"/>
    <w:rsid w:val="00DF77C8"/>
    <w:rsid w:val="00DF7992"/>
    <w:rsid w:val="00DF7A4F"/>
    <w:rsid w:val="00DF7AFD"/>
    <w:rsid w:val="00DF7C25"/>
    <w:rsid w:val="00DF7C9F"/>
    <w:rsid w:val="00DF7F00"/>
    <w:rsid w:val="00E001CD"/>
    <w:rsid w:val="00E0020A"/>
    <w:rsid w:val="00E00324"/>
    <w:rsid w:val="00E0049F"/>
    <w:rsid w:val="00E0069E"/>
    <w:rsid w:val="00E008F5"/>
    <w:rsid w:val="00E00924"/>
    <w:rsid w:val="00E00CEC"/>
    <w:rsid w:val="00E00D95"/>
    <w:rsid w:val="00E01003"/>
    <w:rsid w:val="00E01585"/>
    <w:rsid w:val="00E01659"/>
    <w:rsid w:val="00E01D10"/>
    <w:rsid w:val="00E01D5C"/>
    <w:rsid w:val="00E01D83"/>
    <w:rsid w:val="00E01DED"/>
    <w:rsid w:val="00E01E78"/>
    <w:rsid w:val="00E01EBE"/>
    <w:rsid w:val="00E01F19"/>
    <w:rsid w:val="00E0219D"/>
    <w:rsid w:val="00E02363"/>
    <w:rsid w:val="00E023AD"/>
    <w:rsid w:val="00E02525"/>
    <w:rsid w:val="00E02535"/>
    <w:rsid w:val="00E02638"/>
    <w:rsid w:val="00E027B1"/>
    <w:rsid w:val="00E027C8"/>
    <w:rsid w:val="00E027CF"/>
    <w:rsid w:val="00E028D7"/>
    <w:rsid w:val="00E02932"/>
    <w:rsid w:val="00E02A5D"/>
    <w:rsid w:val="00E02A60"/>
    <w:rsid w:val="00E02B30"/>
    <w:rsid w:val="00E02C42"/>
    <w:rsid w:val="00E02D2E"/>
    <w:rsid w:val="00E02D45"/>
    <w:rsid w:val="00E02D4E"/>
    <w:rsid w:val="00E02DFD"/>
    <w:rsid w:val="00E02E08"/>
    <w:rsid w:val="00E02EE8"/>
    <w:rsid w:val="00E02EFE"/>
    <w:rsid w:val="00E02F12"/>
    <w:rsid w:val="00E02F3D"/>
    <w:rsid w:val="00E0312D"/>
    <w:rsid w:val="00E03143"/>
    <w:rsid w:val="00E03204"/>
    <w:rsid w:val="00E03680"/>
    <w:rsid w:val="00E0372D"/>
    <w:rsid w:val="00E03808"/>
    <w:rsid w:val="00E0398C"/>
    <w:rsid w:val="00E03E9F"/>
    <w:rsid w:val="00E03F13"/>
    <w:rsid w:val="00E03F50"/>
    <w:rsid w:val="00E041A8"/>
    <w:rsid w:val="00E0426D"/>
    <w:rsid w:val="00E04296"/>
    <w:rsid w:val="00E042CB"/>
    <w:rsid w:val="00E042CC"/>
    <w:rsid w:val="00E04495"/>
    <w:rsid w:val="00E046BB"/>
    <w:rsid w:val="00E0482A"/>
    <w:rsid w:val="00E0485A"/>
    <w:rsid w:val="00E049AD"/>
    <w:rsid w:val="00E04A96"/>
    <w:rsid w:val="00E04AA8"/>
    <w:rsid w:val="00E04B1B"/>
    <w:rsid w:val="00E04CBA"/>
    <w:rsid w:val="00E04DA7"/>
    <w:rsid w:val="00E04E37"/>
    <w:rsid w:val="00E04EF5"/>
    <w:rsid w:val="00E04F09"/>
    <w:rsid w:val="00E04FF7"/>
    <w:rsid w:val="00E05216"/>
    <w:rsid w:val="00E05229"/>
    <w:rsid w:val="00E052B8"/>
    <w:rsid w:val="00E0544B"/>
    <w:rsid w:val="00E054FD"/>
    <w:rsid w:val="00E05738"/>
    <w:rsid w:val="00E057CD"/>
    <w:rsid w:val="00E057D5"/>
    <w:rsid w:val="00E05A65"/>
    <w:rsid w:val="00E05C8B"/>
    <w:rsid w:val="00E05D54"/>
    <w:rsid w:val="00E05FBA"/>
    <w:rsid w:val="00E0607C"/>
    <w:rsid w:val="00E062AF"/>
    <w:rsid w:val="00E0661D"/>
    <w:rsid w:val="00E06622"/>
    <w:rsid w:val="00E06908"/>
    <w:rsid w:val="00E06909"/>
    <w:rsid w:val="00E06956"/>
    <w:rsid w:val="00E0698A"/>
    <w:rsid w:val="00E069E1"/>
    <w:rsid w:val="00E06BEB"/>
    <w:rsid w:val="00E06D0E"/>
    <w:rsid w:val="00E06D70"/>
    <w:rsid w:val="00E07001"/>
    <w:rsid w:val="00E071A7"/>
    <w:rsid w:val="00E07287"/>
    <w:rsid w:val="00E072C6"/>
    <w:rsid w:val="00E07404"/>
    <w:rsid w:val="00E076B8"/>
    <w:rsid w:val="00E077AC"/>
    <w:rsid w:val="00E07AD8"/>
    <w:rsid w:val="00E07B67"/>
    <w:rsid w:val="00E07C30"/>
    <w:rsid w:val="00E07F08"/>
    <w:rsid w:val="00E10010"/>
    <w:rsid w:val="00E10239"/>
    <w:rsid w:val="00E10338"/>
    <w:rsid w:val="00E104CE"/>
    <w:rsid w:val="00E105B4"/>
    <w:rsid w:val="00E10981"/>
    <w:rsid w:val="00E10B91"/>
    <w:rsid w:val="00E10CA1"/>
    <w:rsid w:val="00E10CEF"/>
    <w:rsid w:val="00E10E81"/>
    <w:rsid w:val="00E1133E"/>
    <w:rsid w:val="00E11418"/>
    <w:rsid w:val="00E11494"/>
    <w:rsid w:val="00E11716"/>
    <w:rsid w:val="00E117D7"/>
    <w:rsid w:val="00E1180D"/>
    <w:rsid w:val="00E11A68"/>
    <w:rsid w:val="00E11BDA"/>
    <w:rsid w:val="00E11D24"/>
    <w:rsid w:val="00E11D76"/>
    <w:rsid w:val="00E11DFF"/>
    <w:rsid w:val="00E11EB5"/>
    <w:rsid w:val="00E12048"/>
    <w:rsid w:val="00E120A3"/>
    <w:rsid w:val="00E1234F"/>
    <w:rsid w:val="00E124E3"/>
    <w:rsid w:val="00E12665"/>
    <w:rsid w:val="00E12ACF"/>
    <w:rsid w:val="00E12BB4"/>
    <w:rsid w:val="00E12F29"/>
    <w:rsid w:val="00E12FF8"/>
    <w:rsid w:val="00E130D5"/>
    <w:rsid w:val="00E133C0"/>
    <w:rsid w:val="00E1347D"/>
    <w:rsid w:val="00E1352E"/>
    <w:rsid w:val="00E1363A"/>
    <w:rsid w:val="00E136F6"/>
    <w:rsid w:val="00E1393C"/>
    <w:rsid w:val="00E13A6F"/>
    <w:rsid w:val="00E13B8F"/>
    <w:rsid w:val="00E13F09"/>
    <w:rsid w:val="00E1400E"/>
    <w:rsid w:val="00E14017"/>
    <w:rsid w:val="00E14135"/>
    <w:rsid w:val="00E14152"/>
    <w:rsid w:val="00E1417B"/>
    <w:rsid w:val="00E14276"/>
    <w:rsid w:val="00E142BD"/>
    <w:rsid w:val="00E14329"/>
    <w:rsid w:val="00E14346"/>
    <w:rsid w:val="00E14484"/>
    <w:rsid w:val="00E14486"/>
    <w:rsid w:val="00E144DE"/>
    <w:rsid w:val="00E14589"/>
    <w:rsid w:val="00E145EB"/>
    <w:rsid w:val="00E1469B"/>
    <w:rsid w:val="00E14B60"/>
    <w:rsid w:val="00E14B97"/>
    <w:rsid w:val="00E14C00"/>
    <w:rsid w:val="00E14D25"/>
    <w:rsid w:val="00E14F12"/>
    <w:rsid w:val="00E1527D"/>
    <w:rsid w:val="00E1527E"/>
    <w:rsid w:val="00E15331"/>
    <w:rsid w:val="00E1539F"/>
    <w:rsid w:val="00E155A8"/>
    <w:rsid w:val="00E15867"/>
    <w:rsid w:val="00E1592B"/>
    <w:rsid w:val="00E1593B"/>
    <w:rsid w:val="00E15A67"/>
    <w:rsid w:val="00E15A6C"/>
    <w:rsid w:val="00E15C92"/>
    <w:rsid w:val="00E15DEE"/>
    <w:rsid w:val="00E1603F"/>
    <w:rsid w:val="00E16076"/>
    <w:rsid w:val="00E16123"/>
    <w:rsid w:val="00E162F8"/>
    <w:rsid w:val="00E1631D"/>
    <w:rsid w:val="00E164AD"/>
    <w:rsid w:val="00E1669C"/>
    <w:rsid w:val="00E16961"/>
    <w:rsid w:val="00E169A1"/>
    <w:rsid w:val="00E169A8"/>
    <w:rsid w:val="00E16A08"/>
    <w:rsid w:val="00E16C71"/>
    <w:rsid w:val="00E16E94"/>
    <w:rsid w:val="00E16F2C"/>
    <w:rsid w:val="00E16FF7"/>
    <w:rsid w:val="00E171E1"/>
    <w:rsid w:val="00E1728F"/>
    <w:rsid w:val="00E1731E"/>
    <w:rsid w:val="00E17458"/>
    <w:rsid w:val="00E175B7"/>
    <w:rsid w:val="00E176FC"/>
    <w:rsid w:val="00E17764"/>
    <w:rsid w:val="00E17818"/>
    <w:rsid w:val="00E17A4D"/>
    <w:rsid w:val="00E17B4E"/>
    <w:rsid w:val="00E17B79"/>
    <w:rsid w:val="00E17C14"/>
    <w:rsid w:val="00E17C7F"/>
    <w:rsid w:val="00E17D78"/>
    <w:rsid w:val="00E17E51"/>
    <w:rsid w:val="00E17F5C"/>
    <w:rsid w:val="00E20150"/>
    <w:rsid w:val="00E20234"/>
    <w:rsid w:val="00E202CB"/>
    <w:rsid w:val="00E203A1"/>
    <w:rsid w:val="00E2053E"/>
    <w:rsid w:val="00E20571"/>
    <w:rsid w:val="00E205B8"/>
    <w:rsid w:val="00E2063D"/>
    <w:rsid w:val="00E20744"/>
    <w:rsid w:val="00E20764"/>
    <w:rsid w:val="00E208B4"/>
    <w:rsid w:val="00E20A83"/>
    <w:rsid w:val="00E20B0E"/>
    <w:rsid w:val="00E20BAB"/>
    <w:rsid w:val="00E20C9E"/>
    <w:rsid w:val="00E20D7B"/>
    <w:rsid w:val="00E2159F"/>
    <w:rsid w:val="00E2163C"/>
    <w:rsid w:val="00E21668"/>
    <w:rsid w:val="00E21C51"/>
    <w:rsid w:val="00E21C8F"/>
    <w:rsid w:val="00E21F0A"/>
    <w:rsid w:val="00E21F4B"/>
    <w:rsid w:val="00E22472"/>
    <w:rsid w:val="00E22503"/>
    <w:rsid w:val="00E2254D"/>
    <w:rsid w:val="00E2260E"/>
    <w:rsid w:val="00E227C4"/>
    <w:rsid w:val="00E22826"/>
    <w:rsid w:val="00E22831"/>
    <w:rsid w:val="00E228E0"/>
    <w:rsid w:val="00E2296D"/>
    <w:rsid w:val="00E22A1C"/>
    <w:rsid w:val="00E22AD0"/>
    <w:rsid w:val="00E22BD0"/>
    <w:rsid w:val="00E22C3C"/>
    <w:rsid w:val="00E22D07"/>
    <w:rsid w:val="00E22D80"/>
    <w:rsid w:val="00E22FC1"/>
    <w:rsid w:val="00E2313C"/>
    <w:rsid w:val="00E23274"/>
    <w:rsid w:val="00E23332"/>
    <w:rsid w:val="00E23343"/>
    <w:rsid w:val="00E233C8"/>
    <w:rsid w:val="00E233E9"/>
    <w:rsid w:val="00E23672"/>
    <w:rsid w:val="00E2369B"/>
    <w:rsid w:val="00E23730"/>
    <w:rsid w:val="00E2393E"/>
    <w:rsid w:val="00E23C37"/>
    <w:rsid w:val="00E24105"/>
    <w:rsid w:val="00E24295"/>
    <w:rsid w:val="00E24316"/>
    <w:rsid w:val="00E243D7"/>
    <w:rsid w:val="00E2458E"/>
    <w:rsid w:val="00E24600"/>
    <w:rsid w:val="00E2469B"/>
    <w:rsid w:val="00E24743"/>
    <w:rsid w:val="00E24882"/>
    <w:rsid w:val="00E24914"/>
    <w:rsid w:val="00E249B3"/>
    <w:rsid w:val="00E24B9D"/>
    <w:rsid w:val="00E24C8F"/>
    <w:rsid w:val="00E24F75"/>
    <w:rsid w:val="00E2506D"/>
    <w:rsid w:val="00E25095"/>
    <w:rsid w:val="00E25235"/>
    <w:rsid w:val="00E2524E"/>
    <w:rsid w:val="00E25309"/>
    <w:rsid w:val="00E2533F"/>
    <w:rsid w:val="00E25490"/>
    <w:rsid w:val="00E2557D"/>
    <w:rsid w:val="00E2569F"/>
    <w:rsid w:val="00E25799"/>
    <w:rsid w:val="00E25A21"/>
    <w:rsid w:val="00E25A47"/>
    <w:rsid w:val="00E25BF6"/>
    <w:rsid w:val="00E25C4C"/>
    <w:rsid w:val="00E25C7D"/>
    <w:rsid w:val="00E25D74"/>
    <w:rsid w:val="00E25EE5"/>
    <w:rsid w:val="00E25EFB"/>
    <w:rsid w:val="00E26308"/>
    <w:rsid w:val="00E265A3"/>
    <w:rsid w:val="00E26614"/>
    <w:rsid w:val="00E26755"/>
    <w:rsid w:val="00E26825"/>
    <w:rsid w:val="00E26B31"/>
    <w:rsid w:val="00E26D88"/>
    <w:rsid w:val="00E26E1B"/>
    <w:rsid w:val="00E270C5"/>
    <w:rsid w:val="00E27120"/>
    <w:rsid w:val="00E2721F"/>
    <w:rsid w:val="00E2723C"/>
    <w:rsid w:val="00E27B21"/>
    <w:rsid w:val="00E27CAC"/>
    <w:rsid w:val="00E27CC8"/>
    <w:rsid w:val="00E27F8A"/>
    <w:rsid w:val="00E300D9"/>
    <w:rsid w:val="00E301DC"/>
    <w:rsid w:val="00E30270"/>
    <w:rsid w:val="00E304B9"/>
    <w:rsid w:val="00E3050C"/>
    <w:rsid w:val="00E305CC"/>
    <w:rsid w:val="00E305FB"/>
    <w:rsid w:val="00E3065E"/>
    <w:rsid w:val="00E3094C"/>
    <w:rsid w:val="00E3099F"/>
    <w:rsid w:val="00E309FB"/>
    <w:rsid w:val="00E30D5C"/>
    <w:rsid w:val="00E30D83"/>
    <w:rsid w:val="00E30F6A"/>
    <w:rsid w:val="00E3126B"/>
    <w:rsid w:val="00E31272"/>
    <w:rsid w:val="00E31415"/>
    <w:rsid w:val="00E3159E"/>
    <w:rsid w:val="00E316B9"/>
    <w:rsid w:val="00E317EB"/>
    <w:rsid w:val="00E31903"/>
    <w:rsid w:val="00E31A6C"/>
    <w:rsid w:val="00E31AA4"/>
    <w:rsid w:val="00E31CE2"/>
    <w:rsid w:val="00E31E87"/>
    <w:rsid w:val="00E31F58"/>
    <w:rsid w:val="00E31F9C"/>
    <w:rsid w:val="00E32178"/>
    <w:rsid w:val="00E3224B"/>
    <w:rsid w:val="00E323DB"/>
    <w:rsid w:val="00E3250F"/>
    <w:rsid w:val="00E32688"/>
    <w:rsid w:val="00E326E4"/>
    <w:rsid w:val="00E32714"/>
    <w:rsid w:val="00E327F3"/>
    <w:rsid w:val="00E328C2"/>
    <w:rsid w:val="00E32A23"/>
    <w:rsid w:val="00E32AAC"/>
    <w:rsid w:val="00E32AFE"/>
    <w:rsid w:val="00E32B47"/>
    <w:rsid w:val="00E32B64"/>
    <w:rsid w:val="00E32E3D"/>
    <w:rsid w:val="00E33036"/>
    <w:rsid w:val="00E33087"/>
    <w:rsid w:val="00E330B1"/>
    <w:rsid w:val="00E33512"/>
    <w:rsid w:val="00E33528"/>
    <w:rsid w:val="00E337FC"/>
    <w:rsid w:val="00E33816"/>
    <w:rsid w:val="00E33928"/>
    <w:rsid w:val="00E339BA"/>
    <w:rsid w:val="00E33A19"/>
    <w:rsid w:val="00E33DF0"/>
    <w:rsid w:val="00E33E02"/>
    <w:rsid w:val="00E33ED9"/>
    <w:rsid w:val="00E33EF6"/>
    <w:rsid w:val="00E33F60"/>
    <w:rsid w:val="00E33F8B"/>
    <w:rsid w:val="00E34027"/>
    <w:rsid w:val="00E34295"/>
    <w:rsid w:val="00E34474"/>
    <w:rsid w:val="00E344E8"/>
    <w:rsid w:val="00E34682"/>
    <w:rsid w:val="00E346FC"/>
    <w:rsid w:val="00E347A3"/>
    <w:rsid w:val="00E34CDE"/>
    <w:rsid w:val="00E34D3E"/>
    <w:rsid w:val="00E34FA1"/>
    <w:rsid w:val="00E35230"/>
    <w:rsid w:val="00E3524F"/>
    <w:rsid w:val="00E35331"/>
    <w:rsid w:val="00E35360"/>
    <w:rsid w:val="00E35551"/>
    <w:rsid w:val="00E3576D"/>
    <w:rsid w:val="00E35895"/>
    <w:rsid w:val="00E35A35"/>
    <w:rsid w:val="00E35D2B"/>
    <w:rsid w:val="00E35DB0"/>
    <w:rsid w:val="00E3600C"/>
    <w:rsid w:val="00E361AB"/>
    <w:rsid w:val="00E36210"/>
    <w:rsid w:val="00E363E4"/>
    <w:rsid w:val="00E363F6"/>
    <w:rsid w:val="00E36894"/>
    <w:rsid w:val="00E369CC"/>
    <w:rsid w:val="00E36D1A"/>
    <w:rsid w:val="00E36DD6"/>
    <w:rsid w:val="00E36E49"/>
    <w:rsid w:val="00E36EC9"/>
    <w:rsid w:val="00E36F63"/>
    <w:rsid w:val="00E36F77"/>
    <w:rsid w:val="00E370F6"/>
    <w:rsid w:val="00E371E2"/>
    <w:rsid w:val="00E372D6"/>
    <w:rsid w:val="00E37311"/>
    <w:rsid w:val="00E3762E"/>
    <w:rsid w:val="00E37825"/>
    <w:rsid w:val="00E37A97"/>
    <w:rsid w:val="00E37B2E"/>
    <w:rsid w:val="00E37B36"/>
    <w:rsid w:val="00E37C15"/>
    <w:rsid w:val="00E37D6D"/>
    <w:rsid w:val="00E37E5E"/>
    <w:rsid w:val="00E37E6A"/>
    <w:rsid w:val="00E4017B"/>
    <w:rsid w:val="00E4034E"/>
    <w:rsid w:val="00E4048B"/>
    <w:rsid w:val="00E40517"/>
    <w:rsid w:val="00E40666"/>
    <w:rsid w:val="00E40770"/>
    <w:rsid w:val="00E40916"/>
    <w:rsid w:val="00E409B4"/>
    <w:rsid w:val="00E40B05"/>
    <w:rsid w:val="00E40E42"/>
    <w:rsid w:val="00E40EE7"/>
    <w:rsid w:val="00E40F22"/>
    <w:rsid w:val="00E41084"/>
    <w:rsid w:val="00E4160A"/>
    <w:rsid w:val="00E4161F"/>
    <w:rsid w:val="00E41710"/>
    <w:rsid w:val="00E417F5"/>
    <w:rsid w:val="00E4183B"/>
    <w:rsid w:val="00E41859"/>
    <w:rsid w:val="00E4192A"/>
    <w:rsid w:val="00E41C89"/>
    <w:rsid w:val="00E41ECE"/>
    <w:rsid w:val="00E420A6"/>
    <w:rsid w:val="00E4213E"/>
    <w:rsid w:val="00E42167"/>
    <w:rsid w:val="00E4252F"/>
    <w:rsid w:val="00E425F1"/>
    <w:rsid w:val="00E4265E"/>
    <w:rsid w:val="00E4292A"/>
    <w:rsid w:val="00E429AE"/>
    <w:rsid w:val="00E429CC"/>
    <w:rsid w:val="00E429DF"/>
    <w:rsid w:val="00E42A93"/>
    <w:rsid w:val="00E43041"/>
    <w:rsid w:val="00E431E9"/>
    <w:rsid w:val="00E4325F"/>
    <w:rsid w:val="00E432B5"/>
    <w:rsid w:val="00E4330C"/>
    <w:rsid w:val="00E4338E"/>
    <w:rsid w:val="00E434F9"/>
    <w:rsid w:val="00E4355D"/>
    <w:rsid w:val="00E4376D"/>
    <w:rsid w:val="00E4392B"/>
    <w:rsid w:val="00E43B65"/>
    <w:rsid w:val="00E43C04"/>
    <w:rsid w:val="00E43C66"/>
    <w:rsid w:val="00E43D09"/>
    <w:rsid w:val="00E43F6E"/>
    <w:rsid w:val="00E43F79"/>
    <w:rsid w:val="00E43FC6"/>
    <w:rsid w:val="00E4419F"/>
    <w:rsid w:val="00E4446A"/>
    <w:rsid w:val="00E44530"/>
    <w:rsid w:val="00E4453D"/>
    <w:rsid w:val="00E445A3"/>
    <w:rsid w:val="00E44745"/>
    <w:rsid w:val="00E4478C"/>
    <w:rsid w:val="00E44817"/>
    <w:rsid w:val="00E44930"/>
    <w:rsid w:val="00E449A3"/>
    <w:rsid w:val="00E44EC0"/>
    <w:rsid w:val="00E44F94"/>
    <w:rsid w:val="00E44FDB"/>
    <w:rsid w:val="00E45038"/>
    <w:rsid w:val="00E451D4"/>
    <w:rsid w:val="00E45268"/>
    <w:rsid w:val="00E4545B"/>
    <w:rsid w:val="00E45590"/>
    <w:rsid w:val="00E456ED"/>
    <w:rsid w:val="00E456F4"/>
    <w:rsid w:val="00E4577B"/>
    <w:rsid w:val="00E457B9"/>
    <w:rsid w:val="00E459C3"/>
    <w:rsid w:val="00E45BF6"/>
    <w:rsid w:val="00E45C62"/>
    <w:rsid w:val="00E45C7C"/>
    <w:rsid w:val="00E45DF0"/>
    <w:rsid w:val="00E45EA2"/>
    <w:rsid w:val="00E460BE"/>
    <w:rsid w:val="00E4638F"/>
    <w:rsid w:val="00E46542"/>
    <w:rsid w:val="00E465C4"/>
    <w:rsid w:val="00E46606"/>
    <w:rsid w:val="00E46840"/>
    <w:rsid w:val="00E46874"/>
    <w:rsid w:val="00E46899"/>
    <w:rsid w:val="00E46935"/>
    <w:rsid w:val="00E4693D"/>
    <w:rsid w:val="00E46E66"/>
    <w:rsid w:val="00E46F09"/>
    <w:rsid w:val="00E47026"/>
    <w:rsid w:val="00E47213"/>
    <w:rsid w:val="00E47320"/>
    <w:rsid w:val="00E473C2"/>
    <w:rsid w:val="00E47442"/>
    <w:rsid w:val="00E475C0"/>
    <w:rsid w:val="00E4762D"/>
    <w:rsid w:val="00E476C0"/>
    <w:rsid w:val="00E47A2E"/>
    <w:rsid w:val="00E47BAB"/>
    <w:rsid w:val="00E47F91"/>
    <w:rsid w:val="00E50108"/>
    <w:rsid w:val="00E50282"/>
    <w:rsid w:val="00E505BD"/>
    <w:rsid w:val="00E50681"/>
    <w:rsid w:val="00E5088D"/>
    <w:rsid w:val="00E508CD"/>
    <w:rsid w:val="00E50943"/>
    <w:rsid w:val="00E509B6"/>
    <w:rsid w:val="00E50BC2"/>
    <w:rsid w:val="00E50C86"/>
    <w:rsid w:val="00E50CC1"/>
    <w:rsid w:val="00E50DAF"/>
    <w:rsid w:val="00E511AE"/>
    <w:rsid w:val="00E514DB"/>
    <w:rsid w:val="00E51787"/>
    <w:rsid w:val="00E519A7"/>
    <w:rsid w:val="00E519F2"/>
    <w:rsid w:val="00E51A2F"/>
    <w:rsid w:val="00E51B38"/>
    <w:rsid w:val="00E51BDC"/>
    <w:rsid w:val="00E51D15"/>
    <w:rsid w:val="00E51DCA"/>
    <w:rsid w:val="00E51EB0"/>
    <w:rsid w:val="00E52087"/>
    <w:rsid w:val="00E521D7"/>
    <w:rsid w:val="00E522EB"/>
    <w:rsid w:val="00E52360"/>
    <w:rsid w:val="00E5249F"/>
    <w:rsid w:val="00E5275A"/>
    <w:rsid w:val="00E52790"/>
    <w:rsid w:val="00E528E6"/>
    <w:rsid w:val="00E52C1F"/>
    <w:rsid w:val="00E52DA0"/>
    <w:rsid w:val="00E52DE0"/>
    <w:rsid w:val="00E52DF5"/>
    <w:rsid w:val="00E5315B"/>
    <w:rsid w:val="00E53160"/>
    <w:rsid w:val="00E531E9"/>
    <w:rsid w:val="00E53334"/>
    <w:rsid w:val="00E53393"/>
    <w:rsid w:val="00E534A2"/>
    <w:rsid w:val="00E5364B"/>
    <w:rsid w:val="00E53794"/>
    <w:rsid w:val="00E537EA"/>
    <w:rsid w:val="00E53818"/>
    <w:rsid w:val="00E53CCC"/>
    <w:rsid w:val="00E53CD4"/>
    <w:rsid w:val="00E53CE8"/>
    <w:rsid w:val="00E53DA5"/>
    <w:rsid w:val="00E5410C"/>
    <w:rsid w:val="00E5428D"/>
    <w:rsid w:val="00E5438D"/>
    <w:rsid w:val="00E544D5"/>
    <w:rsid w:val="00E5451D"/>
    <w:rsid w:val="00E54682"/>
    <w:rsid w:val="00E547D1"/>
    <w:rsid w:val="00E548BA"/>
    <w:rsid w:val="00E54AE7"/>
    <w:rsid w:val="00E54BD1"/>
    <w:rsid w:val="00E54EAA"/>
    <w:rsid w:val="00E54F25"/>
    <w:rsid w:val="00E54FD5"/>
    <w:rsid w:val="00E550A2"/>
    <w:rsid w:val="00E55250"/>
    <w:rsid w:val="00E554C2"/>
    <w:rsid w:val="00E554CB"/>
    <w:rsid w:val="00E554D8"/>
    <w:rsid w:val="00E5574E"/>
    <w:rsid w:val="00E5581C"/>
    <w:rsid w:val="00E55A04"/>
    <w:rsid w:val="00E55A5F"/>
    <w:rsid w:val="00E55AFE"/>
    <w:rsid w:val="00E55B45"/>
    <w:rsid w:val="00E55B46"/>
    <w:rsid w:val="00E55F26"/>
    <w:rsid w:val="00E55F6F"/>
    <w:rsid w:val="00E55F95"/>
    <w:rsid w:val="00E563A4"/>
    <w:rsid w:val="00E5645F"/>
    <w:rsid w:val="00E564CA"/>
    <w:rsid w:val="00E564F4"/>
    <w:rsid w:val="00E565D0"/>
    <w:rsid w:val="00E567DF"/>
    <w:rsid w:val="00E5680D"/>
    <w:rsid w:val="00E569F9"/>
    <w:rsid w:val="00E56C40"/>
    <w:rsid w:val="00E56C7B"/>
    <w:rsid w:val="00E56EE2"/>
    <w:rsid w:val="00E57040"/>
    <w:rsid w:val="00E57067"/>
    <w:rsid w:val="00E572EE"/>
    <w:rsid w:val="00E574C6"/>
    <w:rsid w:val="00E576ED"/>
    <w:rsid w:val="00E576EE"/>
    <w:rsid w:val="00E577AB"/>
    <w:rsid w:val="00E5795C"/>
    <w:rsid w:val="00E57AE5"/>
    <w:rsid w:val="00E57CBA"/>
    <w:rsid w:val="00E57D1A"/>
    <w:rsid w:val="00E57D96"/>
    <w:rsid w:val="00E57DEA"/>
    <w:rsid w:val="00E57E51"/>
    <w:rsid w:val="00E57FC2"/>
    <w:rsid w:val="00E57FD0"/>
    <w:rsid w:val="00E60047"/>
    <w:rsid w:val="00E600D4"/>
    <w:rsid w:val="00E6018D"/>
    <w:rsid w:val="00E604F5"/>
    <w:rsid w:val="00E60B23"/>
    <w:rsid w:val="00E60C49"/>
    <w:rsid w:val="00E60D1C"/>
    <w:rsid w:val="00E61069"/>
    <w:rsid w:val="00E61318"/>
    <w:rsid w:val="00E6155F"/>
    <w:rsid w:val="00E61573"/>
    <w:rsid w:val="00E6163C"/>
    <w:rsid w:val="00E61768"/>
    <w:rsid w:val="00E617D4"/>
    <w:rsid w:val="00E6182A"/>
    <w:rsid w:val="00E61A85"/>
    <w:rsid w:val="00E61D90"/>
    <w:rsid w:val="00E61EEA"/>
    <w:rsid w:val="00E61FDC"/>
    <w:rsid w:val="00E62045"/>
    <w:rsid w:val="00E62456"/>
    <w:rsid w:val="00E62610"/>
    <w:rsid w:val="00E626DF"/>
    <w:rsid w:val="00E6285E"/>
    <w:rsid w:val="00E62A66"/>
    <w:rsid w:val="00E62E1E"/>
    <w:rsid w:val="00E62E33"/>
    <w:rsid w:val="00E62FA2"/>
    <w:rsid w:val="00E63191"/>
    <w:rsid w:val="00E634FA"/>
    <w:rsid w:val="00E635FF"/>
    <w:rsid w:val="00E6361A"/>
    <w:rsid w:val="00E63914"/>
    <w:rsid w:val="00E639BE"/>
    <w:rsid w:val="00E63A72"/>
    <w:rsid w:val="00E63BC1"/>
    <w:rsid w:val="00E63BD1"/>
    <w:rsid w:val="00E63F88"/>
    <w:rsid w:val="00E640DA"/>
    <w:rsid w:val="00E645CE"/>
    <w:rsid w:val="00E64701"/>
    <w:rsid w:val="00E64860"/>
    <w:rsid w:val="00E64B12"/>
    <w:rsid w:val="00E64C54"/>
    <w:rsid w:val="00E64CC0"/>
    <w:rsid w:val="00E64D06"/>
    <w:rsid w:val="00E64DB7"/>
    <w:rsid w:val="00E65193"/>
    <w:rsid w:val="00E65389"/>
    <w:rsid w:val="00E653C2"/>
    <w:rsid w:val="00E65468"/>
    <w:rsid w:val="00E65741"/>
    <w:rsid w:val="00E657CA"/>
    <w:rsid w:val="00E658B5"/>
    <w:rsid w:val="00E65C15"/>
    <w:rsid w:val="00E65D31"/>
    <w:rsid w:val="00E65D47"/>
    <w:rsid w:val="00E66435"/>
    <w:rsid w:val="00E668AE"/>
    <w:rsid w:val="00E66C31"/>
    <w:rsid w:val="00E66CBA"/>
    <w:rsid w:val="00E66CFF"/>
    <w:rsid w:val="00E66D47"/>
    <w:rsid w:val="00E66D7D"/>
    <w:rsid w:val="00E66FD9"/>
    <w:rsid w:val="00E67000"/>
    <w:rsid w:val="00E67010"/>
    <w:rsid w:val="00E6702E"/>
    <w:rsid w:val="00E6709D"/>
    <w:rsid w:val="00E67298"/>
    <w:rsid w:val="00E673D8"/>
    <w:rsid w:val="00E679F0"/>
    <w:rsid w:val="00E67A76"/>
    <w:rsid w:val="00E67AD0"/>
    <w:rsid w:val="00E67CC9"/>
    <w:rsid w:val="00E67D7D"/>
    <w:rsid w:val="00E67DBA"/>
    <w:rsid w:val="00E70074"/>
    <w:rsid w:val="00E700E1"/>
    <w:rsid w:val="00E7053D"/>
    <w:rsid w:val="00E70561"/>
    <w:rsid w:val="00E70603"/>
    <w:rsid w:val="00E706EF"/>
    <w:rsid w:val="00E70717"/>
    <w:rsid w:val="00E70A3F"/>
    <w:rsid w:val="00E70A81"/>
    <w:rsid w:val="00E70CFC"/>
    <w:rsid w:val="00E70E04"/>
    <w:rsid w:val="00E70E42"/>
    <w:rsid w:val="00E70F5C"/>
    <w:rsid w:val="00E70FB2"/>
    <w:rsid w:val="00E71136"/>
    <w:rsid w:val="00E71148"/>
    <w:rsid w:val="00E71464"/>
    <w:rsid w:val="00E714BD"/>
    <w:rsid w:val="00E714DF"/>
    <w:rsid w:val="00E715A9"/>
    <w:rsid w:val="00E718CC"/>
    <w:rsid w:val="00E71BEF"/>
    <w:rsid w:val="00E71CFC"/>
    <w:rsid w:val="00E71E5F"/>
    <w:rsid w:val="00E7203A"/>
    <w:rsid w:val="00E72277"/>
    <w:rsid w:val="00E723A3"/>
    <w:rsid w:val="00E726C7"/>
    <w:rsid w:val="00E728AB"/>
    <w:rsid w:val="00E72CD2"/>
    <w:rsid w:val="00E72D52"/>
    <w:rsid w:val="00E72F5A"/>
    <w:rsid w:val="00E72F5D"/>
    <w:rsid w:val="00E72FA6"/>
    <w:rsid w:val="00E73019"/>
    <w:rsid w:val="00E731A1"/>
    <w:rsid w:val="00E73311"/>
    <w:rsid w:val="00E7333C"/>
    <w:rsid w:val="00E73393"/>
    <w:rsid w:val="00E73427"/>
    <w:rsid w:val="00E73577"/>
    <w:rsid w:val="00E73617"/>
    <w:rsid w:val="00E736B6"/>
    <w:rsid w:val="00E73701"/>
    <w:rsid w:val="00E73847"/>
    <w:rsid w:val="00E73881"/>
    <w:rsid w:val="00E73899"/>
    <w:rsid w:val="00E738BC"/>
    <w:rsid w:val="00E739B2"/>
    <w:rsid w:val="00E73C4C"/>
    <w:rsid w:val="00E73C4E"/>
    <w:rsid w:val="00E73D2E"/>
    <w:rsid w:val="00E73D6A"/>
    <w:rsid w:val="00E73DF0"/>
    <w:rsid w:val="00E73F85"/>
    <w:rsid w:val="00E7427E"/>
    <w:rsid w:val="00E742B4"/>
    <w:rsid w:val="00E7459D"/>
    <w:rsid w:val="00E745A8"/>
    <w:rsid w:val="00E74731"/>
    <w:rsid w:val="00E747B9"/>
    <w:rsid w:val="00E74817"/>
    <w:rsid w:val="00E74974"/>
    <w:rsid w:val="00E7499D"/>
    <w:rsid w:val="00E74BC4"/>
    <w:rsid w:val="00E74D0C"/>
    <w:rsid w:val="00E74EA2"/>
    <w:rsid w:val="00E75070"/>
    <w:rsid w:val="00E751CE"/>
    <w:rsid w:val="00E752F1"/>
    <w:rsid w:val="00E75506"/>
    <w:rsid w:val="00E755EB"/>
    <w:rsid w:val="00E75772"/>
    <w:rsid w:val="00E759C5"/>
    <w:rsid w:val="00E75B68"/>
    <w:rsid w:val="00E75B84"/>
    <w:rsid w:val="00E75CE7"/>
    <w:rsid w:val="00E75FB9"/>
    <w:rsid w:val="00E76155"/>
    <w:rsid w:val="00E76159"/>
    <w:rsid w:val="00E761CD"/>
    <w:rsid w:val="00E765E2"/>
    <w:rsid w:val="00E766DE"/>
    <w:rsid w:val="00E76794"/>
    <w:rsid w:val="00E76A3A"/>
    <w:rsid w:val="00E76AC0"/>
    <w:rsid w:val="00E76B26"/>
    <w:rsid w:val="00E76B84"/>
    <w:rsid w:val="00E76ECC"/>
    <w:rsid w:val="00E76FA9"/>
    <w:rsid w:val="00E77127"/>
    <w:rsid w:val="00E77242"/>
    <w:rsid w:val="00E775F3"/>
    <w:rsid w:val="00E77800"/>
    <w:rsid w:val="00E77C09"/>
    <w:rsid w:val="00E77D1E"/>
    <w:rsid w:val="00E77E3F"/>
    <w:rsid w:val="00E80196"/>
    <w:rsid w:val="00E80437"/>
    <w:rsid w:val="00E804E2"/>
    <w:rsid w:val="00E80503"/>
    <w:rsid w:val="00E80584"/>
    <w:rsid w:val="00E805E5"/>
    <w:rsid w:val="00E805F0"/>
    <w:rsid w:val="00E8064A"/>
    <w:rsid w:val="00E80756"/>
    <w:rsid w:val="00E80813"/>
    <w:rsid w:val="00E808F1"/>
    <w:rsid w:val="00E809A4"/>
    <w:rsid w:val="00E809CD"/>
    <w:rsid w:val="00E80B3B"/>
    <w:rsid w:val="00E80C98"/>
    <w:rsid w:val="00E80D27"/>
    <w:rsid w:val="00E80E27"/>
    <w:rsid w:val="00E80E43"/>
    <w:rsid w:val="00E80E5A"/>
    <w:rsid w:val="00E80EC9"/>
    <w:rsid w:val="00E80F06"/>
    <w:rsid w:val="00E8124D"/>
    <w:rsid w:val="00E81253"/>
    <w:rsid w:val="00E81313"/>
    <w:rsid w:val="00E81359"/>
    <w:rsid w:val="00E813E5"/>
    <w:rsid w:val="00E81404"/>
    <w:rsid w:val="00E814EC"/>
    <w:rsid w:val="00E818AF"/>
    <w:rsid w:val="00E81912"/>
    <w:rsid w:val="00E81F14"/>
    <w:rsid w:val="00E822E5"/>
    <w:rsid w:val="00E824AD"/>
    <w:rsid w:val="00E824BA"/>
    <w:rsid w:val="00E824F6"/>
    <w:rsid w:val="00E82684"/>
    <w:rsid w:val="00E829B0"/>
    <w:rsid w:val="00E82A84"/>
    <w:rsid w:val="00E82ABC"/>
    <w:rsid w:val="00E82B1B"/>
    <w:rsid w:val="00E82D4B"/>
    <w:rsid w:val="00E82DEB"/>
    <w:rsid w:val="00E82E62"/>
    <w:rsid w:val="00E82EC4"/>
    <w:rsid w:val="00E82F7F"/>
    <w:rsid w:val="00E82FC0"/>
    <w:rsid w:val="00E8324A"/>
    <w:rsid w:val="00E8331C"/>
    <w:rsid w:val="00E83507"/>
    <w:rsid w:val="00E835EC"/>
    <w:rsid w:val="00E836C4"/>
    <w:rsid w:val="00E83718"/>
    <w:rsid w:val="00E837A8"/>
    <w:rsid w:val="00E83997"/>
    <w:rsid w:val="00E83E73"/>
    <w:rsid w:val="00E83E8D"/>
    <w:rsid w:val="00E83FA8"/>
    <w:rsid w:val="00E8410C"/>
    <w:rsid w:val="00E84244"/>
    <w:rsid w:val="00E84478"/>
    <w:rsid w:val="00E84492"/>
    <w:rsid w:val="00E846BA"/>
    <w:rsid w:val="00E84807"/>
    <w:rsid w:val="00E84884"/>
    <w:rsid w:val="00E848ED"/>
    <w:rsid w:val="00E849F1"/>
    <w:rsid w:val="00E84A36"/>
    <w:rsid w:val="00E84DD1"/>
    <w:rsid w:val="00E8503D"/>
    <w:rsid w:val="00E8512C"/>
    <w:rsid w:val="00E8519D"/>
    <w:rsid w:val="00E85392"/>
    <w:rsid w:val="00E85727"/>
    <w:rsid w:val="00E85765"/>
    <w:rsid w:val="00E85776"/>
    <w:rsid w:val="00E85808"/>
    <w:rsid w:val="00E858B1"/>
    <w:rsid w:val="00E8595C"/>
    <w:rsid w:val="00E85AC5"/>
    <w:rsid w:val="00E85C18"/>
    <w:rsid w:val="00E85C22"/>
    <w:rsid w:val="00E85C58"/>
    <w:rsid w:val="00E85D70"/>
    <w:rsid w:val="00E85DDD"/>
    <w:rsid w:val="00E8606C"/>
    <w:rsid w:val="00E860FF"/>
    <w:rsid w:val="00E86115"/>
    <w:rsid w:val="00E861F2"/>
    <w:rsid w:val="00E8635F"/>
    <w:rsid w:val="00E863AF"/>
    <w:rsid w:val="00E86437"/>
    <w:rsid w:val="00E8666A"/>
    <w:rsid w:val="00E86852"/>
    <w:rsid w:val="00E868A1"/>
    <w:rsid w:val="00E86B8A"/>
    <w:rsid w:val="00E86B8C"/>
    <w:rsid w:val="00E86BA3"/>
    <w:rsid w:val="00E86DE9"/>
    <w:rsid w:val="00E86E41"/>
    <w:rsid w:val="00E87366"/>
    <w:rsid w:val="00E87378"/>
    <w:rsid w:val="00E87394"/>
    <w:rsid w:val="00E873E2"/>
    <w:rsid w:val="00E87A38"/>
    <w:rsid w:val="00E87C11"/>
    <w:rsid w:val="00E87C64"/>
    <w:rsid w:val="00E87D86"/>
    <w:rsid w:val="00E900F9"/>
    <w:rsid w:val="00E9018B"/>
    <w:rsid w:val="00E902F4"/>
    <w:rsid w:val="00E90436"/>
    <w:rsid w:val="00E904E1"/>
    <w:rsid w:val="00E9053F"/>
    <w:rsid w:val="00E905A4"/>
    <w:rsid w:val="00E9077B"/>
    <w:rsid w:val="00E907FC"/>
    <w:rsid w:val="00E9091E"/>
    <w:rsid w:val="00E909F9"/>
    <w:rsid w:val="00E90AFE"/>
    <w:rsid w:val="00E90B01"/>
    <w:rsid w:val="00E90B4E"/>
    <w:rsid w:val="00E90D1B"/>
    <w:rsid w:val="00E90FB8"/>
    <w:rsid w:val="00E91024"/>
    <w:rsid w:val="00E910A8"/>
    <w:rsid w:val="00E9111C"/>
    <w:rsid w:val="00E911C6"/>
    <w:rsid w:val="00E91513"/>
    <w:rsid w:val="00E9157B"/>
    <w:rsid w:val="00E915E7"/>
    <w:rsid w:val="00E91658"/>
    <w:rsid w:val="00E91748"/>
    <w:rsid w:val="00E9179D"/>
    <w:rsid w:val="00E91970"/>
    <w:rsid w:val="00E91A99"/>
    <w:rsid w:val="00E91B1F"/>
    <w:rsid w:val="00E91BEA"/>
    <w:rsid w:val="00E91C74"/>
    <w:rsid w:val="00E91D01"/>
    <w:rsid w:val="00E91E2C"/>
    <w:rsid w:val="00E91F08"/>
    <w:rsid w:val="00E91F09"/>
    <w:rsid w:val="00E91F46"/>
    <w:rsid w:val="00E9218D"/>
    <w:rsid w:val="00E924A1"/>
    <w:rsid w:val="00E924D6"/>
    <w:rsid w:val="00E92847"/>
    <w:rsid w:val="00E928DC"/>
    <w:rsid w:val="00E92AF1"/>
    <w:rsid w:val="00E92B6F"/>
    <w:rsid w:val="00E92D6E"/>
    <w:rsid w:val="00E92D8C"/>
    <w:rsid w:val="00E92FBA"/>
    <w:rsid w:val="00E932C0"/>
    <w:rsid w:val="00E93368"/>
    <w:rsid w:val="00E93702"/>
    <w:rsid w:val="00E93781"/>
    <w:rsid w:val="00E9397F"/>
    <w:rsid w:val="00E93D6F"/>
    <w:rsid w:val="00E93F07"/>
    <w:rsid w:val="00E94118"/>
    <w:rsid w:val="00E94476"/>
    <w:rsid w:val="00E94758"/>
    <w:rsid w:val="00E94774"/>
    <w:rsid w:val="00E9490D"/>
    <w:rsid w:val="00E94D2B"/>
    <w:rsid w:val="00E94EBD"/>
    <w:rsid w:val="00E94FD6"/>
    <w:rsid w:val="00E94FF1"/>
    <w:rsid w:val="00E9528E"/>
    <w:rsid w:val="00E953B3"/>
    <w:rsid w:val="00E95672"/>
    <w:rsid w:val="00E95774"/>
    <w:rsid w:val="00E95997"/>
    <w:rsid w:val="00E9599D"/>
    <w:rsid w:val="00E95A85"/>
    <w:rsid w:val="00E95AAB"/>
    <w:rsid w:val="00E95AAC"/>
    <w:rsid w:val="00E95DE7"/>
    <w:rsid w:val="00E95FB8"/>
    <w:rsid w:val="00E96340"/>
    <w:rsid w:val="00E96375"/>
    <w:rsid w:val="00E96746"/>
    <w:rsid w:val="00E967B1"/>
    <w:rsid w:val="00E96B3E"/>
    <w:rsid w:val="00E96C14"/>
    <w:rsid w:val="00E96DD4"/>
    <w:rsid w:val="00E96E03"/>
    <w:rsid w:val="00E971BA"/>
    <w:rsid w:val="00E97250"/>
    <w:rsid w:val="00E97293"/>
    <w:rsid w:val="00E9737D"/>
    <w:rsid w:val="00E97437"/>
    <w:rsid w:val="00E9757B"/>
    <w:rsid w:val="00E9759C"/>
    <w:rsid w:val="00E9769E"/>
    <w:rsid w:val="00E977C0"/>
    <w:rsid w:val="00E979FC"/>
    <w:rsid w:val="00E97E04"/>
    <w:rsid w:val="00E97E05"/>
    <w:rsid w:val="00E97E19"/>
    <w:rsid w:val="00EA0030"/>
    <w:rsid w:val="00EA0320"/>
    <w:rsid w:val="00EA03D4"/>
    <w:rsid w:val="00EA0940"/>
    <w:rsid w:val="00EA0C56"/>
    <w:rsid w:val="00EA10A0"/>
    <w:rsid w:val="00EA134B"/>
    <w:rsid w:val="00EA160E"/>
    <w:rsid w:val="00EA180E"/>
    <w:rsid w:val="00EA1820"/>
    <w:rsid w:val="00EA1908"/>
    <w:rsid w:val="00EA196C"/>
    <w:rsid w:val="00EA1A76"/>
    <w:rsid w:val="00EA1EBE"/>
    <w:rsid w:val="00EA1EDB"/>
    <w:rsid w:val="00EA222C"/>
    <w:rsid w:val="00EA26BA"/>
    <w:rsid w:val="00EA283F"/>
    <w:rsid w:val="00EA2EE8"/>
    <w:rsid w:val="00EA336B"/>
    <w:rsid w:val="00EA339C"/>
    <w:rsid w:val="00EA3442"/>
    <w:rsid w:val="00EA3520"/>
    <w:rsid w:val="00EA369C"/>
    <w:rsid w:val="00EA3718"/>
    <w:rsid w:val="00EA3750"/>
    <w:rsid w:val="00EA382F"/>
    <w:rsid w:val="00EA3A2C"/>
    <w:rsid w:val="00EA3B7B"/>
    <w:rsid w:val="00EA3CA8"/>
    <w:rsid w:val="00EA3E7E"/>
    <w:rsid w:val="00EA3EE2"/>
    <w:rsid w:val="00EA3F51"/>
    <w:rsid w:val="00EA4190"/>
    <w:rsid w:val="00EA4280"/>
    <w:rsid w:val="00EA42B0"/>
    <w:rsid w:val="00EA43F4"/>
    <w:rsid w:val="00EA45A2"/>
    <w:rsid w:val="00EA4651"/>
    <w:rsid w:val="00EA489D"/>
    <w:rsid w:val="00EA4A3E"/>
    <w:rsid w:val="00EA4A48"/>
    <w:rsid w:val="00EA4B67"/>
    <w:rsid w:val="00EA4BC0"/>
    <w:rsid w:val="00EA4DA7"/>
    <w:rsid w:val="00EA5107"/>
    <w:rsid w:val="00EA518F"/>
    <w:rsid w:val="00EA5228"/>
    <w:rsid w:val="00EA5499"/>
    <w:rsid w:val="00EA54E5"/>
    <w:rsid w:val="00EA54EB"/>
    <w:rsid w:val="00EA5890"/>
    <w:rsid w:val="00EA5943"/>
    <w:rsid w:val="00EA59A3"/>
    <w:rsid w:val="00EA5BF0"/>
    <w:rsid w:val="00EA5C90"/>
    <w:rsid w:val="00EA5FFA"/>
    <w:rsid w:val="00EA61FF"/>
    <w:rsid w:val="00EA6279"/>
    <w:rsid w:val="00EA6322"/>
    <w:rsid w:val="00EA63D4"/>
    <w:rsid w:val="00EA6448"/>
    <w:rsid w:val="00EA66EC"/>
    <w:rsid w:val="00EA6827"/>
    <w:rsid w:val="00EA687E"/>
    <w:rsid w:val="00EA6C63"/>
    <w:rsid w:val="00EA6D9E"/>
    <w:rsid w:val="00EA6DE4"/>
    <w:rsid w:val="00EA6F30"/>
    <w:rsid w:val="00EA74F5"/>
    <w:rsid w:val="00EA7658"/>
    <w:rsid w:val="00EA781A"/>
    <w:rsid w:val="00EA7871"/>
    <w:rsid w:val="00EA7910"/>
    <w:rsid w:val="00EA7A00"/>
    <w:rsid w:val="00EA7AFA"/>
    <w:rsid w:val="00EA7E31"/>
    <w:rsid w:val="00EA7FCC"/>
    <w:rsid w:val="00EB0080"/>
    <w:rsid w:val="00EB0179"/>
    <w:rsid w:val="00EB0381"/>
    <w:rsid w:val="00EB0517"/>
    <w:rsid w:val="00EB0598"/>
    <w:rsid w:val="00EB05A4"/>
    <w:rsid w:val="00EB0A91"/>
    <w:rsid w:val="00EB0E5C"/>
    <w:rsid w:val="00EB0EDB"/>
    <w:rsid w:val="00EB0F42"/>
    <w:rsid w:val="00EB0F4B"/>
    <w:rsid w:val="00EB103B"/>
    <w:rsid w:val="00EB1048"/>
    <w:rsid w:val="00EB108F"/>
    <w:rsid w:val="00EB116A"/>
    <w:rsid w:val="00EB142E"/>
    <w:rsid w:val="00EB14E9"/>
    <w:rsid w:val="00EB165F"/>
    <w:rsid w:val="00EB1682"/>
    <w:rsid w:val="00EB1864"/>
    <w:rsid w:val="00EB1872"/>
    <w:rsid w:val="00EB18B3"/>
    <w:rsid w:val="00EB18E4"/>
    <w:rsid w:val="00EB193C"/>
    <w:rsid w:val="00EB1957"/>
    <w:rsid w:val="00EB19B5"/>
    <w:rsid w:val="00EB2044"/>
    <w:rsid w:val="00EB217E"/>
    <w:rsid w:val="00EB27B5"/>
    <w:rsid w:val="00EB27F2"/>
    <w:rsid w:val="00EB295A"/>
    <w:rsid w:val="00EB29CD"/>
    <w:rsid w:val="00EB2A53"/>
    <w:rsid w:val="00EB2BEC"/>
    <w:rsid w:val="00EB2C10"/>
    <w:rsid w:val="00EB2CAC"/>
    <w:rsid w:val="00EB2D0C"/>
    <w:rsid w:val="00EB2D61"/>
    <w:rsid w:val="00EB2E5C"/>
    <w:rsid w:val="00EB2FAC"/>
    <w:rsid w:val="00EB31F6"/>
    <w:rsid w:val="00EB35BD"/>
    <w:rsid w:val="00EB36FB"/>
    <w:rsid w:val="00EB37DD"/>
    <w:rsid w:val="00EB385A"/>
    <w:rsid w:val="00EB38EA"/>
    <w:rsid w:val="00EB3986"/>
    <w:rsid w:val="00EB3996"/>
    <w:rsid w:val="00EB3AB0"/>
    <w:rsid w:val="00EB3C5D"/>
    <w:rsid w:val="00EB3C80"/>
    <w:rsid w:val="00EB3FB2"/>
    <w:rsid w:val="00EB41EF"/>
    <w:rsid w:val="00EB43D0"/>
    <w:rsid w:val="00EB441E"/>
    <w:rsid w:val="00EB443C"/>
    <w:rsid w:val="00EB45FC"/>
    <w:rsid w:val="00EB49E0"/>
    <w:rsid w:val="00EB4A12"/>
    <w:rsid w:val="00EB4E48"/>
    <w:rsid w:val="00EB4F40"/>
    <w:rsid w:val="00EB50CB"/>
    <w:rsid w:val="00EB52D0"/>
    <w:rsid w:val="00EB54CE"/>
    <w:rsid w:val="00EB556C"/>
    <w:rsid w:val="00EB5869"/>
    <w:rsid w:val="00EB588B"/>
    <w:rsid w:val="00EB5AFD"/>
    <w:rsid w:val="00EB5B75"/>
    <w:rsid w:val="00EB5C03"/>
    <w:rsid w:val="00EB5CAF"/>
    <w:rsid w:val="00EB5D79"/>
    <w:rsid w:val="00EB5F8F"/>
    <w:rsid w:val="00EB5FD4"/>
    <w:rsid w:val="00EB6031"/>
    <w:rsid w:val="00EB60D8"/>
    <w:rsid w:val="00EB6366"/>
    <w:rsid w:val="00EB64BE"/>
    <w:rsid w:val="00EB667F"/>
    <w:rsid w:val="00EB68DD"/>
    <w:rsid w:val="00EB6A5B"/>
    <w:rsid w:val="00EB6AA5"/>
    <w:rsid w:val="00EB6B2F"/>
    <w:rsid w:val="00EB6D5A"/>
    <w:rsid w:val="00EB6E76"/>
    <w:rsid w:val="00EB7086"/>
    <w:rsid w:val="00EB7263"/>
    <w:rsid w:val="00EB72C0"/>
    <w:rsid w:val="00EB7402"/>
    <w:rsid w:val="00EB7575"/>
    <w:rsid w:val="00EB7586"/>
    <w:rsid w:val="00EB7681"/>
    <w:rsid w:val="00EB76E5"/>
    <w:rsid w:val="00EB77E9"/>
    <w:rsid w:val="00EB7948"/>
    <w:rsid w:val="00EB7DB7"/>
    <w:rsid w:val="00EB7E1D"/>
    <w:rsid w:val="00EB7EB9"/>
    <w:rsid w:val="00EC0096"/>
    <w:rsid w:val="00EC00B7"/>
    <w:rsid w:val="00EC00F2"/>
    <w:rsid w:val="00EC014F"/>
    <w:rsid w:val="00EC0309"/>
    <w:rsid w:val="00EC06E2"/>
    <w:rsid w:val="00EC0729"/>
    <w:rsid w:val="00EC09B0"/>
    <w:rsid w:val="00EC09B4"/>
    <w:rsid w:val="00EC0A52"/>
    <w:rsid w:val="00EC0ADF"/>
    <w:rsid w:val="00EC0EB8"/>
    <w:rsid w:val="00EC0F5A"/>
    <w:rsid w:val="00EC0F85"/>
    <w:rsid w:val="00EC0FCB"/>
    <w:rsid w:val="00EC1020"/>
    <w:rsid w:val="00EC10FE"/>
    <w:rsid w:val="00EC115C"/>
    <w:rsid w:val="00EC1441"/>
    <w:rsid w:val="00EC159C"/>
    <w:rsid w:val="00EC172C"/>
    <w:rsid w:val="00EC1823"/>
    <w:rsid w:val="00EC194C"/>
    <w:rsid w:val="00EC199F"/>
    <w:rsid w:val="00EC1A6A"/>
    <w:rsid w:val="00EC1B70"/>
    <w:rsid w:val="00EC1F1C"/>
    <w:rsid w:val="00EC2446"/>
    <w:rsid w:val="00EC2592"/>
    <w:rsid w:val="00EC26B4"/>
    <w:rsid w:val="00EC271A"/>
    <w:rsid w:val="00EC2763"/>
    <w:rsid w:val="00EC276B"/>
    <w:rsid w:val="00EC288B"/>
    <w:rsid w:val="00EC2A4B"/>
    <w:rsid w:val="00EC2ABE"/>
    <w:rsid w:val="00EC2BC4"/>
    <w:rsid w:val="00EC2BEE"/>
    <w:rsid w:val="00EC2D7A"/>
    <w:rsid w:val="00EC2D9B"/>
    <w:rsid w:val="00EC2DA1"/>
    <w:rsid w:val="00EC2ED2"/>
    <w:rsid w:val="00EC3021"/>
    <w:rsid w:val="00EC3088"/>
    <w:rsid w:val="00EC31F7"/>
    <w:rsid w:val="00EC34A1"/>
    <w:rsid w:val="00EC356C"/>
    <w:rsid w:val="00EC3586"/>
    <w:rsid w:val="00EC37F1"/>
    <w:rsid w:val="00EC3916"/>
    <w:rsid w:val="00EC3A04"/>
    <w:rsid w:val="00EC3B55"/>
    <w:rsid w:val="00EC3C4C"/>
    <w:rsid w:val="00EC3E10"/>
    <w:rsid w:val="00EC3FD6"/>
    <w:rsid w:val="00EC4224"/>
    <w:rsid w:val="00EC4283"/>
    <w:rsid w:val="00EC466C"/>
    <w:rsid w:val="00EC46D2"/>
    <w:rsid w:val="00EC4A2C"/>
    <w:rsid w:val="00EC4A3A"/>
    <w:rsid w:val="00EC4A43"/>
    <w:rsid w:val="00EC4A89"/>
    <w:rsid w:val="00EC4C35"/>
    <w:rsid w:val="00EC4C5D"/>
    <w:rsid w:val="00EC4CCF"/>
    <w:rsid w:val="00EC4D58"/>
    <w:rsid w:val="00EC4DD6"/>
    <w:rsid w:val="00EC4E12"/>
    <w:rsid w:val="00EC4ED9"/>
    <w:rsid w:val="00EC4EF7"/>
    <w:rsid w:val="00EC4F4E"/>
    <w:rsid w:val="00EC4F5C"/>
    <w:rsid w:val="00EC522D"/>
    <w:rsid w:val="00EC52AA"/>
    <w:rsid w:val="00EC53DD"/>
    <w:rsid w:val="00EC5561"/>
    <w:rsid w:val="00EC5665"/>
    <w:rsid w:val="00EC5771"/>
    <w:rsid w:val="00EC5791"/>
    <w:rsid w:val="00EC5793"/>
    <w:rsid w:val="00EC57E8"/>
    <w:rsid w:val="00EC5803"/>
    <w:rsid w:val="00EC598F"/>
    <w:rsid w:val="00EC60B0"/>
    <w:rsid w:val="00EC6229"/>
    <w:rsid w:val="00EC622C"/>
    <w:rsid w:val="00EC62FE"/>
    <w:rsid w:val="00EC636A"/>
    <w:rsid w:val="00EC6432"/>
    <w:rsid w:val="00EC65B0"/>
    <w:rsid w:val="00EC67AD"/>
    <w:rsid w:val="00EC68E6"/>
    <w:rsid w:val="00EC6C90"/>
    <w:rsid w:val="00EC6E24"/>
    <w:rsid w:val="00EC6EE1"/>
    <w:rsid w:val="00EC6F98"/>
    <w:rsid w:val="00EC7125"/>
    <w:rsid w:val="00EC71F3"/>
    <w:rsid w:val="00EC736D"/>
    <w:rsid w:val="00EC74F1"/>
    <w:rsid w:val="00EC7614"/>
    <w:rsid w:val="00EC770E"/>
    <w:rsid w:val="00EC7795"/>
    <w:rsid w:val="00EC78BE"/>
    <w:rsid w:val="00EC78D5"/>
    <w:rsid w:val="00EC7CB4"/>
    <w:rsid w:val="00EC7CCD"/>
    <w:rsid w:val="00EC7D05"/>
    <w:rsid w:val="00EC7FD1"/>
    <w:rsid w:val="00ED0075"/>
    <w:rsid w:val="00ED00BC"/>
    <w:rsid w:val="00ED01E3"/>
    <w:rsid w:val="00ED0522"/>
    <w:rsid w:val="00ED06FC"/>
    <w:rsid w:val="00ED09DA"/>
    <w:rsid w:val="00ED0AF7"/>
    <w:rsid w:val="00ED0DDB"/>
    <w:rsid w:val="00ED0E72"/>
    <w:rsid w:val="00ED0E73"/>
    <w:rsid w:val="00ED0F83"/>
    <w:rsid w:val="00ED11D8"/>
    <w:rsid w:val="00ED125C"/>
    <w:rsid w:val="00ED12B7"/>
    <w:rsid w:val="00ED1486"/>
    <w:rsid w:val="00ED1529"/>
    <w:rsid w:val="00ED168D"/>
    <w:rsid w:val="00ED189F"/>
    <w:rsid w:val="00ED193C"/>
    <w:rsid w:val="00ED1A0B"/>
    <w:rsid w:val="00ED2056"/>
    <w:rsid w:val="00ED213F"/>
    <w:rsid w:val="00ED2166"/>
    <w:rsid w:val="00ED2217"/>
    <w:rsid w:val="00ED226B"/>
    <w:rsid w:val="00ED234D"/>
    <w:rsid w:val="00ED2536"/>
    <w:rsid w:val="00ED272C"/>
    <w:rsid w:val="00ED27DA"/>
    <w:rsid w:val="00ED298B"/>
    <w:rsid w:val="00ED2B5A"/>
    <w:rsid w:val="00ED2FA9"/>
    <w:rsid w:val="00ED2FC4"/>
    <w:rsid w:val="00ED2FD5"/>
    <w:rsid w:val="00ED3233"/>
    <w:rsid w:val="00ED3478"/>
    <w:rsid w:val="00ED3637"/>
    <w:rsid w:val="00ED379C"/>
    <w:rsid w:val="00ED3869"/>
    <w:rsid w:val="00ED3A86"/>
    <w:rsid w:val="00ED3CA6"/>
    <w:rsid w:val="00ED3D0A"/>
    <w:rsid w:val="00ED3F10"/>
    <w:rsid w:val="00ED3F3F"/>
    <w:rsid w:val="00ED43D4"/>
    <w:rsid w:val="00ED44C7"/>
    <w:rsid w:val="00ED45A3"/>
    <w:rsid w:val="00ED46FE"/>
    <w:rsid w:val="00ED475E"/>
    <w:rsid w:val="00ED48FC"/>
    <w:rsid w:val="00ED4962"/>
    <w:rsid w:val="00ED4D93"/>
    <w:rsid w:val="00ED4E07"/>
    <w:rsid w:val="00ED4E31"/>
    <w:rsid w:val="00ED4F1D"/>
    <w:rsid w:val="00ED4FEE"/>
    <w:rsid w:val="00ED5025"/>
    <w:rsid w:val="00ED5AA2"/>
    <w:rsid w:val="00ED5C06"/>
    <w:rsid w:val="00ED5F80"/>
    <w:rsid w:val="00ED6048"/>
    <w:rsid w:val="00ED609D"/>
    <w:rsid w:val="00ED60F8"/>
    <w:rsid w:val="00ED6112"/>
    <w:rsid w:val="00ED62B3"/>
    <w:rsid w:val="00ED633B"/>
    <w:rsid w:val="00ED63D3"/>
    <w:rsid w:val="00ED64F0"/>
    <w:rsid w:val="00ED66B7"/>
    <w:rsid w:val="00ED6988"/>
    <w:rsid w:val="00ED6A7B"/>
    <w:rsid w:val="00ED6C90"/>
    <w:rsid w:val="00ED6C98"/>
    <w:rsid w:val="00ED7259"/>
    <w:rsid w:val="00ED75E3"/>
    <w:rsid w:val="00ED75EE"/>
    <w:rsid w:val="00ED7695"/>
    <w:rsid w:val="00ED77C3"/>
    <w:rsid w:val="00ED79E4"/>
    <w:rsid w:val="00ED7A17"/>
    <w:rsid w:val="00ED7AD9"/>
    <w:rsid w:val="00ED7B49"/>
    <w:rsid w:val="00ED7E70"/>
    <w:rsid w:val="00EE011A"/>
    <w:rsid w:val="00EE0788"/>
    <w:rsid w:val="00EE0792"/>
    <w:rsid w:val="00EE07C5"/>
    <w:rsid w:val="00EE0B6B"/>
    <w:rsid w:val="00EE0C5F"/>
    <w:rsid w:val="00EE0F8A"/>
    <w:rsid w:val="00EE10DB"/>
    <w:rsid w:val="00EE1175"/>
    <w:rsid w:val="00EE1309"/>
    <w:rsid w:val="00EE133E"/>
    <w:rsid w:val="00EE13CC"/>
    <w:rsid w:val="00EE1637"/>
    <w:rsid w:val="00EE1668"/>
    <w:rsid w:val="00EE177D"/>
    <w:rsid w:val="00EE1853"/>
    <w:rsid w:val="00EE192B"/>
    <w:rsid w:val="00EE19CE"/>
    <w:rsid w:val="00EE1AE0"/>
    <w:rsid w:val="00EE1C09"/>
    <w:rsid w:val="00EE1C84"/>
    <w:rsid w:val="00EE1DD1"/>
    <w:rsid w:val="00EE1DE9"/>
    <w:rsid w:val="00EE1EF2"/>
    <w:rsid w:val="00EE1FE8"/>
    <w:rsid w:val="00EE29AD"/>
    <w:rsid w:val="00EE2BC2"/>
    <w:rsid w:val="00EE2D79"/>
    <w:rsid w:val="00EE2E62"/>
    <w:rsid w:val="00EE2F0B"/>
    <w:rsid w:val="00EE2F46"/>
    <w:rsid w:val="00EE3039"/>
    <w:rsid w:val="00EE30AC"/>
    <w:rsid w:val="00EE3372"/>
    <w:rsid w:val="00EE33E7"/>
    <w:rsid w:val="00EE3476"/>
    <w:rsid w:val="00EE358F"/>
    <w:rsid w:val="00EE35A2"/>
    <w:rsid w:val="00EE3833"/>
    <w:rsid w:val="00EE383C"/>
    <w:rsid w:val="00EE3971"/>
    <w:rsid w:val="00EE39CB"/>
    <w:rsid w:val="00EE3BBB"/>
    <w:rsid w:val="00EE3D5A"/>
    <w:rsid w:val="00EE3DCA"/>
    <w:rsid w:val="00EE3E9D"/>
    <w:rsid w:val="00EE3F14"/>
    <w:rsid w:val="00EE42FB"/>
    <w:rsid w:val="00EE4599"/>
    <w:rsid w:val="00EE4ACA"/>
    <w:rsid w:val="00EE4D49"/>
    <w:rsid w:val="00EE4D80"/>
    <w:rsid w:val="00EE4E7E"/>
    <w:rsid w:val="00EE51A8"/>
    <w:rsid w:val="00EE52E0"/>
    <w:rsid w:val="00EE5383"/>
    <w:rsid w:val="00EE549A"/>
    <w:rsid w:val="00EE5530"/>
    <w:rsid w:val="00EE5578"/>
    <w:rsid w:val="00EE56BE"/>
    <w:rsid w:val="00EE56E2"/>
    <w:rsid w:val="00EE575C"/>
    <w:rsid w:val="00EE589A"/>
    <w:rsid w:val="00EE58B4"/>
    <w:rsid w:val="00EE5B12"/>
    <w:rsid w:val="00EE5CA8"/>
    <w:rsid w:val="00EE6126"/>
    <w:rsid w:val="00EE62C2"/>
    <w:rsid w:val="00EE641C"/>
    <w:rsid w:val="00EE64DA"/>
    <w:rsid w:val="00EE67F5"/>
    <w:rsid w:val="00EE6941"/>
    <w:rsid w:val="00EE69C0"/>
    <w:rsid w:val="00EE6A6C"/>
    <w:rsid w:val="00EE6A9B"/>
    <w:rsid w:val="00EE6CBB"/>
    <w:rsid w:val="00EE6DAF"/>
    <w:rsid w:val="00EE6FDD"/>
    <w:rsid w:val="00EE70BA"/>
    <w:rsid w:val="00EE7297"/>
    <w:rsid w:val="00EE7411"/>
    <w:rsid w:val="00EE75B8"/>
    <w:rsid w:val="00EE783F"/>
    <w:rsid w:val="00EE7B4D"/>
    <w:rsid w:val="00EE7BBF"/>
    <w:rsid w:val="00EE7D8E"/>
    <w:rsid w:val="00EE7DA8"/>
    <w:rsid w:val="00EF0021"/>
    <w:rsid w:val="00EF02AB"/>
    <w:rsid w:val="00EF035C"/>
    <w:rsid w:val="00EF059F"/>
    <w:rsid w:val="00EF074A"/>
    <w:rsid w:val="00EF08ED"/>
    <w:rsid w:val="00EF09B3"/>
    <w:rsid w:val="00EF0B23"/>
    <w:rsid w:val="00EF0C6A"/>
    <w:rsid w:val="00EF0CB1"/>
    <w:rsid w:val="00EF0CE5"/>
    <w:rsid w:val="00EF0E8F"/>
    <w:rsid w:val="00EF0EB1"/>
    <w:rsid w:val="00EF1050"/>
    <w:rsid w:val="00EF109F"/>
    <w:rsid w:val="00EF11AD"/>
    <w:rsid w:val="00EF16F2"/>
    <w:rsid w:val="00EF176A"/>
    <w:rsid w:val="00EF17F4"/>
    <w:rsid w:val="00EF19CB"/>
    <w:rsid w:val="00EF1AA9"/>
    <w:rsid w:val="00EF1BE9"/>
    <w:rsid w:val="00EF1C71"/>
    <w:rsid w:val="00EF1CE8"/>
    <w:rsid w:val="00EF1E22"/>
    <w:rsid w:val="00EF1E7D"/>
    <w:rsid w:val="00EF229D"/>
    <w:rsid w:val="00EF234D"/>
    <w:rsid w:val="00EF259B"/>
    <w:rsid w:val="00EF2687"/>
    <w:rsid w:val="00EF2702"/>
    <w:rsid w:val="00EF2A21"/>
    <w:rsid w:val="00EF2D49"/>
    <w:rsid w:val="00EF2D4A"/>
    <w:rsid w:val="00EF2DFD"/>
    <w:rsid w:val="00EF2E84"/>
    <w:rsid w:val="00EF2F75"/>
    <w:rsid w:val="00EF2FA2"/>
    <w:rsid w:val="00EF2FBC"/>
    <w:rsid w:val="00EF2FF6"/>
    <w:rsid w:val="00EF3024"/>
    <w:rsid w:val="00EF30B3"/>
    <w:rsid w:val="00EF3179"/>
    <w:rsid w:val="00EF3302"/>
    <w:rsid w:val="00EF357C"/>
    <w:rsid w:val="00EF3677"/>
    <w:rsid w:val="00EF3826"/>
    <w:rsid w:val="00EF39C1"/>
    <w:rsid w:val="00EF3A68"/>
    <w:rsid w:val="00EF3E77"/>
    <w:rsid w:val="00EF3F4C"/>
    <w:rsid w:val="00EF3FD8"/>
    <w:rsid w:val="00EF40F5"/>
    <w:rsid w:val="00EF40F6"/>
    <w:rsid w:val="00EF4139"/>
    <w:rsid w:val="00EF4179"/>
    <w:rsid w:val="00EF438D"/>
    <w:rsid w:val="00EF456E"/>
    <w:rsid w:val="00EF4647"/>
    <w:rsid w:val="00EF490B"/>
    <w:rsid w:val="00EF494A"/>
    <w:rsid w:val="00EF49BF"/>
    <w:rsid w:val="00EF4B4C"/>
    <w:rsid w:val="00EF4BB7"/>
    <w:rsid w:val="00EF4BF4"/>
    <w:rsid w:val="00EF4CA2"/>
    <w:rsid w:val="00EF4D27"/>
    <w:rsid w:val="00EF4D33"/>
    <w:rsid w:val="00EF4E3F"/>
    <w:rsid w:val="00EF4EF8"/>
    <w:rsid w:val="00EF4F78"/>
    <w:rsid w:val="00EF50B3"/>
    <w:rsid w:val="00EF52D1"/>
    <w:rsid w:val="00EF556D"/>
    <w:rsid w:val="00EF55EF"/>
    <w:rsid w:val="00EF58A7"/>
    <w:rsid w:val="00EF5CB5"/>
    <w:rsid w:val="00EF5D4D"/>
    <w:rsid w:val="00EF5F57"/>
    <w:rsid w:val="00EF60A2"/>
    <w:rsid w:val="00EF639C"/>
    <w:rsid w:val="00EF642B"/>
    <w:rsid w:val="00EF696C"/>
    <w:rsid w:val="00EF6B37"/>
    <w:rsid w:val="00EF6D2F"/>
    <w:rsid w:val="00EF6D80"/>
    <w:rsid w:val="00EF6DAE"/>
    <w:rsid w:val="00EF6DE6"/>
    <w:rsid w:val="00EF6E0B"/>
    <w:rsid w:val="00EF6EBB"/>
    <w:rsid w:val="00EF6ED9"/>
    <w:rsid w:val="00EF709F"/>
    <w:rsid w:val="00EF71DC"/>
    <w:rsid w:val="00EF7201"/>
    <w:rsid w:val="00EF757E"/>
    <w:rsid w:val="00EF7651"/>
    <w:rsid w:val="00EF774F"/>
    <w:rsid w:val="00EF7846"/>
    <w:rsid w:val="00EF7A6D"/>
    <w:rsid w:val="00EF7A85"/>
    <w:rsid w:val="00EF7AAE"/>
    <w:rsid w:val="00EF7B73"/>
    <w:rsid w:val="00EF7C6C"/>
    <w:rsid w:val="00EF7DC6"/>
    <w:rsid w:val="00EF7DDD"/>
    <w:rsid w:val="00F00210"/>
    <w:rsid w:val="00F002E6"/>
    <w:rsid w:val="00F002EC"/>
    <w:rsid w:val="00F003B8"/>
    <w:rsid w:val="00F00566"/>
    <w:rsid w:val="00F00601"/>
    <w:rsid w:val="00F0060B"/>
    <w:rsid w:val="00F0075C"/>
    <w:rsid w:val="00F00B5E"/>
    <w:rsid w:val="00F00C93"/>
    <w:rsid w:val="00F00DC9"/>
    <w:rsid w:val="00F00E08"/>
    <w:rsid w:val="00F00EC2"/>
    <w:rsid w:val="00F01168"/>
    <w:rsid w:val="00F01444"/>
    <w:rsid w:val="00F017BB"/>
    <w:rsid w:val="00F01A39"/>
    <w:rsid w:val="00F01A8C"/>
    <w:rsid w:val="00F01CC3"/>
    <w:rsid w:val="00F01F06"/>
    <w:rsid w:val="00F01F64"/>
    <w:rsid w:val="00F01F75"/>
    <w:rsid w:val="00F020B9"/>
    <w:rsid w:val="00F020FF"/>
    <w:rsid w:val="00F02119"/>
    <w:rsid w:val="00F023D6"/>
    <w:rsid w:val="00F02516"/>
    <w:rsid w:val="00F02609"/>
    <w:rsid w:val="00F02761"/>
    <w:rsid w:val="00F0288E"/>
    <w:rsid w:val="00F029CE"/>
    <w:rsid w:val="00F02EBC"/>
    <w:rsid w:val="00F02FB6"/>
    <w:rsid w:val="00F02FCC"/>
    <w:rsid w:val="00F032DA"/>
    <w:rsid w:val="00F033E7"/>
    <w:rsid w:val="00F0366E"/>
    <w:rsid w:val="00F0391E"/>
    <w:rsid w:val="00F03AA7"/>
    <w:rsid w:val="00F03EA9"/>
    <w:rsid w:val="00F03FE7"/>
    <w:rsid w:val="00F03FF8"/>
    <w:rsid w:val="00F04317"/>
    <w:rsid w:val="00F04450"/>
    <w:rsid w:val="00F0453D"/>
    <w:rsid w:val="00F04580"/>
    <w:rsid w:val="00F04607"/>
    <w:rsid w:val="00F04762"/>
    <w:rsid w:val="00F04793"/>
    <w:rsid w:val="00F048A1"/>
    <w:rsid w:val="00F04918"/>
    <w:rsid w:val="00F04A18"/>
    <w:rsid w:val="00F04BE3"/>
    <w:rsid w:val="00F04D6B"/>
    <w:rsid w:val="00F04DB0"/>
    <w:rsid w:val="00F04DC3"/>
    <w:rsid w:val="00F04F15"/>
    <w:rsid w:val="00F05272"/>
    <w:rsid w:val="00F05277"/>
    <w:rsid w:val="00F052A2"/>
    <w:rsid w:val="00F052FE"/>
    <w:rsid w:val="00F05320"/>
    <w:rsid w:val="00F05680"/>
    <w:rsid w:val="00F057C1"/>
    <w:rsid w:val="00F057FD"/>
    <w:rsid w:val="00F0582A"/>
    <w:rsid w:val="00F05B82"/>
    <w:rsid w:val="00F05FDD"/>
    <w:rsid w:val="00F06195"/>
    <w:rsid w:val="00F061CE"/>
    <w:rsid w:val="00F063DF"/>
    <w:rsid w:val="00F063E4"/>
    <w:rsid w:val="00F06492"/>
    <w:rsid w:val="00F06607"/>
    <w:rsid w:val="00F0661D"/>
    <w:rsid w:val="00F06C7B"/>
    <w:rsid w:val="00F06D34"/>
    <w:rsid w:val="00F06E80"/>
    <w:rsid w:val="00F072B3"/>
    <w:rsid w:val="00F072EB"/>
    <w:rsid w:val="00F07320"/>
    <w:rsid w:val="00F0733C"/>
    <w:rsid w:val="00F07373"/>
    <w:rsid w:val="00F073DD"/>
    <w:rsid w:val="00F073FF"/>
    <w:rsid w:val="00F074A0"/>
    <w:rsid w:val="00F07540"/>
    <w:rsid w:val="00F07585"/>
    <w:rsid w:val="00F0761C"/>
    <w:rsid w:val="00F07688"/>
    <w:rsid w:val="00F0770C"/>
    <w:rsid w:val="00F0772C"/>
    <w:rsid w:val="00F078BB"/>
    <w:rsid w:val="00F07DA4"/>
    <w:rsid w:val="00F07DD4"/>
    <w:rsid w:val="00F07F91"/>
    <w:rsid w:val="00F1017A"/>
    <w:rsid w:val="00F10483"/>
    <w:rsid w:val="00F104BB"/>
    <w:rsid w:val="00F106FD"/>
    <w:rsid w:val="00F1073D"/>
    <w:rsid w:val="00F1075D"/>
    <w:rsid w:val="00F10775"/>
    <w:rsid w:val="00F109CE"/>
    <w:rsid w:val="00F10AC2"/>
    <w:rsid w:val="00F10C09"/>
    <w:rsid w:val="00F10CBD"/>
    <w:rsid w:val="00F10CFD"/>
    <w:rsid w:val="00F10E4E"/>
    <w:rsid w:val="00F1120A"/>
    <w:rsid w:val="00F112A2"/>
    <w:rsid w:val="00F1153A"/>
    <w:rsid w:val="00F115FD"/>
    <w:rsid w:val="00F11666"/>
    <w:rsid w:val="00F11774"/>
    <w:rsid w:val="00F11857"/>
    <w:rsid w:val="00F11A93"/>
    <w:rsid w:val="00F11A9D"/>
    <w:rsid w:val="00F11D75"/>
    <w:rsid w:val="00F120EA"/>
    <w:rsid w:val="00F123FE"/>
    <w:rsid w:val="00F12419"/>
    <w:rsid w:val="00F1249D"/>
    <w:rsid w:val="00F12C56"/>
    <w:rsid w:val="00F12CC3"/>
    <w:rsid w:val="00F12CF5"/>
    <w:rsid w:val="00F12D0C"/>
    <w:rsid w:val="00F13207"/>
    <w:rsid w:val="00F1321B"/>
    <w:rsid w:val="00F133A8"/>
    <w:rsid w:val="00F1351E"/>
    <w:rsid w:val="00F1355F"/>
    <w:rsid w:val="00F1364D"/>
    <w:rsid w:val="00F13894"/>
    <w:rsid w:val="00F13910"/>
    <w:rsid w:val="00F139D5"/>
    <w:rsid w:val="00F13BCF"/>
    <w:rsid w:val="00F13CEC"/>
    <w:rsid w:val="00F13D82"/>
    <w:rsid w:val="00F13DFF"/>
    <w:rsid w:val="00F13E5F"/>
    <w:rsid w:val="00F13F6C"/>
    <w:rsid w:val="00F13FC7"/>
    <w:rsid w:val="00F1411E"/>
    <w:rsid w:val="00F14277"/>
    <w:rsid w:val="00F146FD"/>
    <w:rsid w:val="00F14739"/>
    <w:rsid w:val="00F14744"/>
    <w:rsid w:val="00F147F3"/>
    <w:rsid w:val="00F149F5"/>
    <w:rsid w:val="00F14B29"/>
    <w:rsid w:val="00F14B91"/>
    <w:rsid w:val="00F14E6B"/>
    <w:rsid w:val="00F14F96"/>
    <w:rsid w:val="00F1531D"/>
    <w:rsid w:val="00F1537B"/>
    <w:rsid w:val="00F15493"/>
    <w:rsid w:val="00F15657"/>
    <w:rsid w:val="00F15720"/>
    <w:rsid w:val="00F1590F"/>
    <w:rsid w:val="00F15B31"/>
    <w:rsid w:val="00F15C8D"/>
    <w:rsid w:val="00F15CB9"/>
    <w:rsid w:val="00F16530"/>
    <w:rsid w:val="00F1685A"/>
    <w:rsid w:val="00F168D3"/>
    <w:rsid w:val="00F168DE"/>
    <w:rsid w:val="00F16BAB"/>
    <w:rsid w:val="00F16CBE"/>
    <w:rsid w:val="00F16E72"/>
    <w:rsid w:val="00F16E82"/>
    <w:rsid w:val="00F16F24"/>
    <w:rsid w:val="00F17148"/>
    <w:rsid w:val="00F1717A"/>
    <w:rsid w:val="00F171AF"/>
    <w:rsid w:val="00F171D8"/>
    <w:rsid w:val="00F17205"/>
    <w:rsid w:val="00F1730D"/>
    <w:rsid w:val="00F17388"/>
    <w:rsid w:val="00F175CA"/>
    <w:rsid w:val="00F175FD"/>
    <w:rsid w:val="00F17709"/>
    <w:rsid w:val="00F17906"/>
    <w:rsid w:val="00F179A8"/>
    <w:rsid w:val="00F17E6F"/>
    <w:rsid w:val="00F17E84"/>
    <w:rsid w:val="00F204D7"/>
    <w:rsid w:val="00F204DF"/>
    <w:rsid w:val="00F204ED"/>
    <w:rsid w:val="00F207CE"/>
    <w:rsid w:val="00F20843"/>
    <w:rsid w:val="00F20A2F"/>
    <w:rsid w:val="00F20ADB"/>
    <w:rsid w:val="00F20BAE"/>
    <w:rsid w:val="00F20CA2"/>
    <w:rsid w:val="00F20CBE"/>
    <w:rsid w:val="00F20D0D"/>
    <w:rsid w:val="00F20F9E"/>
    <w:rsid w:val="00F210FE"/>
    <w:rsid w:val="00F21114"/>
    <w:rsid w:val="00F211D5"/>
    <w:rsid w:val="00F211F5"/>
    <w:rsid w:val="00F21251"/>
    <w:rsid w:val="00F2152C"/>
    <w:rsid w:val="00F2179E"/>
    <w:rsid w:val="00F217BD"/>
    <w:rsid w:val="00F218D6"/>
    <w:rsid w:val="00F219EF"/>
    <w:rsid w:val="00F21A60"/>
    <w:rsid w:val="00F21AB0"/>
    <w:rsid w:val="00F21CA9"/>
    <w:rsid w:val="00F21E2A"/>
    <w:rsid w:val="00F21E42"/>
    <w:rsid w:val="00F2247E"/>
    <w:rsid w:val="00F22504"/>
    <w:rsid w:val="00F225DD"/>
    <w:rsid w:val="00F22690"/>
    <w:rsid w:val="00F2270E"/>
    <w:rsid w:val="00F2275F"/>
    <w:rsid w:val="00F228CF"/>
    <w:rsid w:val="00F22966"/>
    <w:rsid w:val="00F229CF"/>
    <w:rsid w:val="00F229E4"/>
    <w:rsid w:val="00F22BA3"/>
    <w:rsid w:val="00F22EBD"/>
    <w:rsid w:val="00F22F3B"/>
    <w:rsid w:val="00F230A7"/>
    <w:rsid w:val="00F23111"/>
    <w:rsid w:val="00F2312D"/>
    <w:rsid w:val="00F23161"/>
    <w:rsid w:val="00F231DB"/>
    <w:rsid w:val="00F2329C"/>
    <w:rsid w:val="00F23406"/>
    <w:rsid w:val="00F2344D"/>
    <w:rsid w:val="00F234A3"/>
    <w:rsid w:val="00F2370B"/>
    <w:rsid w:val="00F23993"/>
    <w:rsid w:val="00F239B3"/>
    <w:rsid w:val="00F23A70"/>
    <w:rsid w:val="00F23C52"/>
    <w:rsid w:val="00F23D0D"/>
    <w:rsid w:val="00F24101"/>
    <w:rsid w:val="00F24278"/>
    <w:rsid w:val="00F2448E"/>
    <w:rsid w:val="00F24604"/>
    <w:rsid w:val="00F2460E"/>
    <w:rsid w:val="00F24722"/>
    <w:rsid w:val="00F24A24"/>
    <w:rsid w:val="00F24ED7"/>
    <w:rsid w:val="00F250A1"/>
    <w:rsid w:val="00F25360"/>
    <w:rsid w:val="00F253FF"/>
    <w:rsid w:val="00F254D2"/>
    <w:rsid w:val="00F25728"/>
    <w:rsid w:val="00F2572B"/>
    <w:rsid w:val="00F2598D"/>
    <w:rsid w:val="00F25A03"/>
    <w:rsid w:val="00F25B06"/>
    <w:rsid w:val="00F25B1D"/>
    <w:rsid w:val="00F25B48"/>
    <w:rsid w:val="00F26046"/>
    <w:rsid w:val="00F2618D"/>
    <w:rsid w:val="00F2628E"/>
    <w:rsid w:val="00F2631C"/>
    <w:rsid w:val="00F26671"/>
    <w:rsid w:val="00F269C9"/>
    <w:rsid w:val="00F26D5F"/>
    <w:rsid w:val="00F27082"/>
    <w:rsid w:val="00F27201"/>
    <w:rsid w:val="00F274C2"/>
    <w:rsid w:val="00F27569"/>
    <w:rsid w:val="00F2777C"/>
    <w:rsid w:val="00F2778A"/>
    <w:rsid w:val="00F277A2"/>
    <w:rsid w:val="00F2789B"/>
    <w:rsid w:val="00F2794B"/>
    <w:rsid w:val="00F27B1A"/>
    <w:rsid w:val="00F27CC0"/>
    <w:rsid w:val="00F27DA4"/>
    <w:rsid w:val="00F27DA9"/>
    <w:rsid w:val="00F3000D"/>
    <w:rsid w:val="00F302DE"/>
    <w:rsid w:val="00F3030D"/>
    <w:rsid w:val="00F3058D"/>
    <w:rsid w:val="00F30625"/>
    <w:rsid w:val="00F307C8"/>
    <w:rsid w:val="00F30A6B"/>
    <w:rsid w:val="00F30A9D"/>
    <w:rsid w:val="00F30BBF"/>
    <w:rsid w:val="00F30CA3"/>
    <w:rsid w:val="00F30E47"/>
    <w:rsid w:val="00F30FC3"/>
    <w:rsid w:val="00F310C8"/>
    <w:rsid w:val="00F311C0"/>
    <w:rsid w:val="00F312A1"/>
    <w:rsid w:val="00F313C9"/>
    <w:rsid w:val="00F3165F"/>
    <w:rsid w:val="00F3188B"/>
    <w:rsid w:val="00F31B00"/>
    <w:rsid w:val="00F31BE4"/>
    <w:rsid w:val="00F31DF0"/>
    <w:rsid w:val="00F31EF6"/>
    <w:rsid w:val="00F32389"/>
    <w:rsid w:val="00F32423"/>
    <w:rsid w:val="00F32841"/>
    <w:rsid w:val="00F32877"/>
    <w:rsid w:val="00F32AC5"/>
    <w:rsid w:val="00F32C7A"/>
    <w:rsid w:val="00F32D03"/>
    <w:rsid w:val="00F32D13"/>
    <w:rsid w:val="00F32D36"/>
    <w:rsid w:val="00F32F53"/>
    <w:rsid w:val="00F3307A"/>
    <w:rsid w:val="00F331A4"/>
    <w:rsid w:val="00F3326A"/>
    <w:rsid w:val="00F333AC"/>
    <w:rsid w:val="00F333C8"/>
    <w:rsid w:val="00F33431"/>
    <w:rsid w:val="00F33552"/>
    <w:rsid w:val="00F335CB"/>
    <w:rsid w:val="00F33BFE"/>
    <w:rsid w:val="00F33FA7"/>
    <w:rsid w:val="00F340E0"/>
    <w:rsid w:val="00F34139"/>
    <w:rsid w:val="00F342F4"/>
    <w:rsid w:val="00F34391"/>
    <w:rsid w:val="00F343A0"/>
    <w:rsid w:val="00F34661"/>
    <w:rsid w:val="00F3467C"/>
    <w:rsid w:val="00F3476D"/>
    <w:rsid w:val="00F34C58"/>
    <w:rsid w:val="00F34C8D"/>
    <w:rsid w:val="00F34EB1"/>
    <w:rsid w:val="00F34F6E"/>
    <w:rsid w:val="00F34F78"/>
    <w:rsid w:val="00F350C3"/>
    <w:rsid w:val="00F350CC"/>
    <w:rsid w:val="00F350DD"/>
    <w:rsid w:val="00F351BF"/>
    <w:rsid w:val="00F351E0"/>
    <w:rsid w:val="00F3530A"/>
    <w:rsid w:val="00F353A6"/>
    <w:rsid w:val="00F353E4"/>
    <w:rsid w:val="00F35504"/>
    <w:rsid w:val="00F358C7"/>
    <w:rsid w:val="00F358ED"/>
    <w:rsid w:val="00F35B8B"/>
    <w:rsid w:val="00F35BF0"/>
    <w:rsid w:val="00F35C5C"/>
    <w:rsid w:val="00F35CBE"/>
    <w:rsid w:val="00F35D1A"/>
    <w:rsid w:val="00F36177"/>
    <w:rsid w:val="00F36412"/>
    <w:rsid w:val="00F364EE"/>
    <w:rsid w:val="00F365C6"/>
    <w:rsid w:val="00F36A66"/>
    <w:rsid w:val="00F36B1A"/>
    <w:rsid w:val="00F36CD3"/>
    <w:rsid w:val="00F36D01"/>
    <w:rsid w:val="00F36E09"/>
    <w:rsid w:val="00F36ECD"/>
    <w:rsid w:val="00F37235"/>
    <w:rsid w:val="00F3723D"/>
    <w:rsid w:val="00F3725E"/>
    <w:rsid w:val="00F37268"/>
    <w:rsid w:val="00F37A1A"/>
    <w:rsid w:val="00F37AD0"/>
    <w:rsid w:val="00F37AE6"/>
    <w:rsid w:val="00F37BEC"/>
    <w:rsid w:val="00F4018B"/>
    <w:rsid w:val="00F403ED"/>
    <w:rsid w:val="00F40403"/>
    <w:rsid w:val="00F4044C"/>
    <w:rsid w:val="00F40611"/>
    <w:rsid w:val="00F40783"/>
    <w:rsid w:val="00F40BF0"/>
    <w:rsid w:val="00F40C08"/>
    <w:rsid w:val="00F40CC9"/>
    <w:rsid w:val="00F40D11"/>
    <w:rsid w:val="00F40DD0"/>
    <w:rsid w:val="00F40E44"/>
    <w:rsid w:val="00F40EB8"/>
    <w:rsid w:val="00F4111D"/>
    <w:rsid w:val="00F411EC"/>
    <w:rsid w:val="00F413C9"/>
    <w:rsid w:val="00F413DA"/>
    <w:rsid w:val="00F41401"/>
    <w:rsid w:val="00F415E8"/>
    <w:rsid w:val="00F4193B"/>
    <w:rsid w:val="00F41A69"/>
    <w:rsid w:val="00F41A92"/>
    <w:rsid w:val="00F41BE5"/>
    <w:rsid w:val="00F41DEC"/>
    <w:rsid w:val="00F41E05"/>
    <w:rsid w:val="00F422C9"/>
    <w:rsid w:val="00F42335"/>
    <w:rsid w:val="00F42487"/>
    <w:rsid w:val="00F4264D"/>
    <w:rsid w:val="00F42681"/>
    <w:rsid w:val="00F428B4"/>
    <w:rsid w:val="00F428F0"/>
    <w:rsid w:val="00F42B50"/>
    <w:rsid w:val="00F42BDF"/>
    <w:rsid w:val="00F42CCA"/>
    <w:rsid w:val="00F42D40"/>
    <w:rsid w:val="00F42DDC"/>
    <w:rsid w:val="00F43008"/>
    <w:rsid w:val="00F430F7"/>
    <w:rsid w:val="00F43682"/>
    <w:rsid w:val="00F437A3"/>
    <w:rsid w:val="00F4391B"/>
    <w:rsid w:val="00F439DA"/>
    <w:rsid w:val="00F43B54"/>
    <w:rsid w:val="00F43C9F"/>
    <w:rsid w:val="00F43CFC"/>
    <w:rsid w:val="00F43ED5"/>
    <w:rsid w:val="00F44111"/>
    <w:rsid w:val="00F441EA"/>
    <w:rsid w:val="00F442D9"/>
    <w:rsid w:val="00F44889"/>
    <w:rsid w:val="00F449C6"/>
    <w:rsid w:val="00F44B44"/>
    <w:rsid w:val="00F44CA8"/>
    <w:rsid w:val="00F45056"/>
    <w:rsid w:val="00F4519D"/>
    <w:rsid w:val="00F451F8"/>
    <w:rsid w:val="00F457CB"/>
    <w:rsid w:val="00F45862"/>
    <w:rsid w:val="00F45AFB"/>
    <w:rsid w:val="00F45B30"/>
    <w:rsid w:val="00F45D37"/>
    <w:rsid w:val="00F45D61"/>
    <w:rsid w:val="00F45E8F"/>
    <w:rsid w:val="00F45F57"/>
    <w:rsid w:val="00F45F7C"/>
    <w:rsid w:val="00F46029"/>
    <w:rsid w:val="00F4615F"/>
    <w:rsid w:val="00F461FB"/>
    <w:rsid w:val="00F462E8"/>
    <w:rsid w:val="00F46400"/>
    <w:rsid w:val="00F46459"/>
    <w:rsid w:val="00F4654B"/>
    <w:rsid w:val="00F46753"/>
    <w:rsid w:val="00F46871"/>
    <w:rsid w:val="00F46BCA"/>
    <w:rsid w:val="00F46C6F"/>
    <w:rsid w:val="00F46C9A"/>
    <w:rsid w:val="00F46CFE"/>
    <w:rsid w:val="00F46D44"/>
    <w:rsid w:val="00F46D56"/>
    <w:rsid w:val="00F46F63"/>
    <w:rsid w:val="00F471D3"/>
    <w:rsid w:val="00F47363"/>
    <w:rsid w:val="00F4739C"/>
    <w:rsid w:val="00F474F9"/>
    <w:rsid w:val="00F47692"/>
    <w:rsid w:val="00F47926"/>
    <w:rsid w:val="00F47CBF"/>
    <w:rsid w:val="00F47E44"/>
    <w:rsid w:val="00F50821"/>
    <w:rsid w:val="00F50844"/>
    <w:rsid w:val="00F50AC0"/>
    <w:rsid w:val="00F50B2F"/>
    <w:rsid w:val="00F50C21"/>
    <w:rsid w:val="00F50E1B"/>
    <w:rsid w:val="00F50FA3"/>
    <w:rsid w:val="00F5106A"/>
    <w:rsid w:val="00F5117C"/>
    <w:rsid w:val="00F51427"/>
    <w:rsid w:val="00F515AA"/>
    <w:rsid w:val="00F5167D"/>
    <w:rsid w:val="00F517E5"/>
    <w:rsid w:val="00F51862"/>
    <w:rsid w:val="00F51AAD"/>
    <w:rsid w:val="00F51B78"/>
    <w:rsid w:val="00F51C21"/>
    <w:rsid w:val="00F51EB4"/>
    <w:rsid w:val="00F51F26"/>
    <w:rsid w:val="00F524A3"/>
    <w:rsid w:val="00F52942"/>
    <w:rsid w:val="00F52B2D"/>
    <w:rsid w:val="00F52C83"/>
    <w:rsid w:val="00F52D2C"/>
    <w:rsid w:val="00F52D52"/>
    <w:rsid w:val="00F52D6F"/>
    <w:rsid w:val="00F52F8D"/>
    <w:rsid w:val="00F52F99"/>
    <w:rsid w:val="00F52FD4"/>
    <w:rsid w:val="00F53115"/>
    <w:rsid w:val="00F5329C"/>
    <w:rsid w:val="00F53415"/>
    <w:rsid w:val="00F53559"/>
    <w:rsid w:val="00F53564"/>
    <w:rsid w:val="00F53663"/>
    <w:rsid w:val="00F53A88"/>
    <w:rsid w:val="00F53CCA"/>
    <w:rsid w:val="00F53E17"/>
    <w:rsid w:val="00F53E4F"/>
    <w:rsid w:val="00F53EE1"/>
    <w:rsid w:val="00F53F78"/>
    <w:rsid w:val="00F541E6"/>
    <w:rsid w:val="00F541F8"/>
    <w:rsid w:val="00F54288"/>
    <w:rsid w:val="00F5443C"/>
    <w:rsid w:val="00F54541"/>
    <w:rsid w:val="00F549B3"/>
    <w:rsid w:val="00F54A78"/>
    <w:rsid w:val="00F54B11"/>
    <w:rsid w:val="00F54CD1"/>
    <w:rsid w:val="00F54F52"/>
    <w:rsid w:val="00F54FC4"/>
    <w:rsid w:val="00F55504"/>
    <w:rsid w:val="00F555C0"/>
    <w:rsid w:val="00F55B28"/>
    <w:rsid w:val="00F55C81"/>
    <w:rsid w:val="00F55EA5"/>
    <w:rsid w:val="00F561CB"/>
    <w:rsid w:val="00F561DF"/>
    <w:rsid w:val="00F56266"/>
    <w:rsid w:val="00F56293"/>
    <w:rsid w:val="00F563EF"/>
    <w:rsid w:val="00F56464"/>
    <w:rsid w:val="00F564A1"/>
    <w:rsid w:val="00F5663B"/>
    <w:rsid w:val="00F5687C"/>
    <w:rsid w:val="00F56965"/>
    <w:rsid w:val="00F56A3E"/>
    <w:rsid w:val="00F56AFA"/>
    <w:rsid w:val="00F56BAE"/>
    <w:rsid w:val="00F571D2"/>
    <w:rsid w:val="00F572A0"/>
    <w:rsid w:val="00F57439"/>
    <w:rsid w:val="00F57563"/>
    <w:rsid w:val="00F57615"/>
    <w:rsid w:val="00F5797A"/>
    <w:rsid w:val="00F57A7D"/>
    <w:rsid w:val="00F57C20"/>
    <w:rsid w:val="00F57CB9"/>
    <w:rsid w:val="00F57DC7"/>
    <w:rsid w:val="00F57F2F"/>
    <w:rsid w:val="00F57F7E"/>
    <w:rsid w:val="00F6009C"/>
    <w:rsid w:val="00F603B8"/>
    <w:rsid w:val="00F603FF"/>
    <w:rsid w:val="00F60436"/>
    <w:rsid w:val="00F6085A"/>
    <w:rsid w:val="00F60937"/>
    <w:rsid w:val="00F60C74"/>
    <w:rsid w:val="00F60D2F"/>
    <w:rsid w:val="00F60E7D"/>
    <w:rsid w:val="00F60EAD"/>
    <w:rsid w:val="00F6112D"/>
    <w:rsid w:val="00F6125D"/>
    <w:rsid w:val="00F612E5"/>
    <w:rsid w:val="00F6131B"/>
    <w:rsid w:val="00F6139F"/>
    <w:rsid w:val="00F617B8"/>
    <w:rsid w:val="00F617C4"/>
    <w:rsid w:val="00F61871"/>
    <w:rsid w:val="00F61AFB"/>
    <w:rsid w:val="00F61EF5"/>
    <w:rsid w:val="00F61F1B"/>
    <w:rsid w:val="00F61F61"/>
    <w:rsid w:val="00F622C2"/>
    <w:rsid w:val="00F6278E"/>
    <w:rsid w:val="00F628B7"/>
    <w:rsid w:val="00F62A3A"/>
    <w:rsid w:val="00F62ADC"/>
    <w:rsid w:val="00F62BC9"/>
    <w:rsid w:val="00F62C1A"/>
    <w:rsid w:val="00F62C5F"/>
    <w:rsid w:val="00F62CD8"/>
    <w:rsid w:val="00F62F6D"/>
    <w:rsid w:val="00F63223"/>
    <w:rsid w:val="00F63274"/>
    <w:rsid w:val="00F63366"/>
    <w:rsid w:val="00F63559"/>
    <w:rsid w:val="00F63903"/>
    <w:rsid w:val="00F63CA5"/>
    <w:rsid w:val="00F63E0A"/>
    <w:rsid w:val="00F63E75"/>
    <w:rsid w:val="00F63EF8"/>
    <w:rsid w:val="00F64128"/>
    <w:rsid w:val="00F64433"/>
    <w:rsid w:val="00F6458D"/>
    <w:rsid w:val="00F64645"/>
    <w:rsid w:val="00F64656"/>
    <w:rsid w:val="00F64A68"/>
    <w:rsid w:val="00F64C60"/>
    <w:rsid w:val="00F64CAE"/>
    <w:rsid w:val="00F64CCF"/>
    <w:rsid w:val="00F64D71"/>
    <w:rsid w:val="00F651BC"/>
    <w:rsid w:val="00F65241"/>
    <w:rsid w:val="00F653AD"/>
    <w:rsid w:val="00F65627"/>
    <w:rsid w:val="00F656F2"/>
    <w:rsid w:val="00F657E5"/>
    <w:rsid w:val="00F6584B"/>
    <w:rsid w:val="00F658BB"/>
    <w:rsid w:val="00F65909"/>
    <w:rsid w:val="00F65CD1"/>
    <w:rsid w:val="00F65DA3"/>
    <w:rsid w:val="00F65EBB"/>
    <w:rsid w:val="00F6608A"/>
    <w:rsid w:val="00F660BE"/>
    <w:rsid w:val="00F66127"/>
    <w:rsid w:val="00F6612A"/>
    <w:rsid w:val="00F66214"/>
    <w:rsid w:val="00F66236"/>
    <w:rsid w:val="00F663EB"/>
    <w:rsid w:val="00F6640C"/>
    <w:rsid w:val="00F66426"/>
    <w:rsid w:val="00F66510"/>
    <w:rsid w:val="00F666C3"/>
    <w:rsid w:val="00F66965"/>
    <w:rsid w:val="00F66B4A"/>
    <w:rsid w:val="00F66C6D"/>
    <w:rsid w:val="00F66D3A"/>
    <w:rsid w:val="00F66E8B"/>
    <w:rsid w:val="00F67037"/>
    <w:rsid w:val="00F670D9"/>
    <w:rsid w:val="00F6719E"/>
    <w:rsid w:val="00F672C4"/>
    <w:rsid w:val="00F67445"/>
    <w:rsid w:val="00F6745A"/>
    <w:rsid w:val="00F6756A"/>
    <w:rsid w:val="00F67729"/>
    <w:rsid w:val="00F677B2"/>
    <w:rsid w:val="00F67803"/>
    <w:rsid w:val="00F67C81"/>
    <w:rsid w:val="00F67DF1"/>
    <w:rsid w:val="00F67ECE"/>
    <w:rsid w:val="00F702C3"/>
    <w:rsid w:val="00F703B9"/>
    <w:rsid w:val="00F705F2"/>
    <w:rsid w:val="00F706C4"/>
    <w:rsid w:val="00F7072C"/>
    <w:rsid w:val="00F70807"/>
    <w:rsid w:val="00F70A27"/>
    <w:rsid w:val="00F70C97"/>
    <w:rsid w:val="00F70D14"/>
    <w:rsid w:val="00F70FA2"/>
    <w:rsid w:val="00F70FB4"/>
    <w:rsid w:val="00F70FB9"/>
    <w:rsid w:val="00F71298"/>
    <w:rsid w:val="00F7154C"/>
    <w:rsid w:val="00F716B3"/>
    <w:rsid w:val="00F719F9"/>
    <w:rsid w:val="00F71BBC"/>
    <w:rsid w:val="00F71D8F"/>
    <w:rsid w:val="00F71D98"/>
    <w:rsid w:val="00F71DEA"/>
    <w:rsid w:val="00F72546"/>
    <w:rsid w:val="00F726D4"/>
    <w:rsid w:val="00F7285E"/>
    <w:rsid w:val="00F729C9"/>
    <w:rsid w:val="00F72C3C"/>
    <w:rsid w:val="00F72E9D"/>
    <w:rsid w:val="00F72F12"/>
    <w:rsid w:val="00F7311A"/>
    <w:rsid w:val="00F733CD"/>
    <w:rsid w:val="00F73431"/>
    <w:rsid w:val="00F736C3"/>
    <w:rsid w:val="00F73741"/>
    <w:rsid w:val="00F73804"/>
    <w:rsid w:val="00F73A5A"/>
    <w:rsid w:val="00F73AE0"/>
    <w:rsid w:val="00F73AFE"/>
    <w:rsid w:val="00F73B64"/>
    <w:rsid w:val="00F73C7D"/>
    <w:rsid w:val="00F73C8C"/>
    <w:rsid w:val="00F73F61"/>
    <w:rsid w:val="00F7420C"/>
    <w:rsid w:val="00F74219"/>
    <w:rsid w:val="00F7427B"/>
    <w:rsid w:val="00F74550"/>
    <w:rsid w:val="00F74573"/>
    <w:rsid w:val="00F74603"/>
    <w:rsid w:val="00F748FE"/>
    <w:rsid w:val="00F74923"/>
    <w:rsid w:val="00F749BF"/>
    <w:rsid w:val="00F74A15"/>
    <w:rsid w:val="00F74C3C"/>
    <w:rsid w:val="00F74DDB"/>
    <w:rsid w:val="00F75097"/>
    <w:rsid w:val="00F751E8"/>
    <w:rsid w:val="00F75201"/>
    <w:rsid w:val="00F753AF"/>
    <w:rsid w:val="00F753FD"/>
    <w:rsid w:val="00F7558C"/>
    <w:rsid w:val="00F755EF"/>
    <w:rsid w:val="00F756C4"/>
    <w:rsid w:val="00F7579D"/>
    <w:rsid w:val="00F75B4B"/>
    <w:rsid w:val="00F75B99"/>
    <w:rsid w:val="00F75BD7"/>
    <w:rsid w:val="00F75E51"/>
    <w:rsid w:val="00F760B9"/>
    <w:rsid w:val="00F7628F"/>
    <w:rsid w:val="00F763D6"/>
    <w:rsid w:val="00F7651A"/>
    <w:rsid w:val="00F7664D"/>
    <w:rsid w:val="00F766CE"/>
    <w:rsid w:val="00F766E2"/>
    <w:rsid w:val="00F7693E"/>
    <w:rsid w:val="00F76E40"/>
    <w:rsid w:val="00F76E9A"/>
    <w:rsid w:val="00F76F35"/>
    <w:rsid w:val="00F77031"/>
    <w:rsid w:val="00F7704F"/>
    <w:rsid w:val="00F770BF"/>
    <w:rsid w:val="00F772A1"/>
    <w:rsid w:val="00F77571"/>
    <w:rsid w:val="00F77619"/>
    <w:rsid w:val="00F77715"/>
    <w:rsid w:val="00F777EF"/>
    <w:rsid w:val="00F77A81"/>
    <w:rsid w:val="00F77ACD"/>
    <w:rsid w:val="00F77E12"/>
    <w:rsid w:val="00F801FB"/>
    <w:rsid w:val="00F80211"/>
    <w:rsid w:val="00F80357"/>
    <w:rsid w:val="00F8063C"/>
    <w:rsid w:val="00F8080D"/>
    <w:rsid w:val="00F809E9"/>
    <w:rsid w:val="00F80AC5"/>
    <w:rsid w:val="00F80D23"/>
    <w:rsid w:val="00F80DD4"/>
    <w:rsid w:val="00F80FF1"/>
    <w:rsid w:val="00F8116D"/>
    <w:rsid w:val="00F81398"/>
    <w:rsid w:val="00F81615"/>
    <w:rsid w:val="00F81620"/>
    <w:rsid w:val="00F81686"/>
    <w:rsid w:val="00F81913"/>
    <w:rsid w:val="00F81B26"/>
    <w:rsid w:val="00F81BEF"/>
    <w:rsid w:val="00F81CF8"/>
    <w:rsid w:val="00F81E5A"/>
    <w:rsid w:val="00F81F92"/>
    <w:rsid w:val="00F820B9"/>
    <w:rsid w:val="00F82294"/>
    <w:rsid w:val="00F8232E"/>
    <w:rsid w:val="00F82739"/>
    <w:rsid w:val="00F829EE"/>
    <w:rsid w:val="00F82AA6"/>
    <w:rsid w:val="00F82C5C"/>
    <w:rsid w:val="00F82CDF"/>
    <w:rsid w:val="00F82EE1"/>
    <w:rsid w:val="00F8318C"/>
    <w:rsid w:val="00F832BB"/>
    <w:rsid w:val="00F83327"/>
    <w:rsid w:val="00F8332E"/>
    <w:rsid w:val="00F8335D"/>
    <w:rsid w:val="00F835BD"/>
    <w:rsid w:val="00F83734"/>
    <w:rsid w:val="00F83851"/>
    <w:rsid w:val="00F8389D"/>
    <w:rsid w:val="00F83BCE"/>
    <w:rsid w:val="00F83F7E"/>
    <w:rsid w:val="00F83FD4"/>
    <w:rsid w:val="00F840FE"/>
    <w:rsid w:val="00F8418B"/>
    <w:rsid w:val="00F841AD"/>
    <w:rsid w:val="00F84282"/>
    <w:rsid w:val="00F84587"/>
    <w:rsid w:val="00F846ED"/>
    <w:rsid w:val="00F847D3"/>
    <w:rsid w:val="00F84858"/>
    <w:rsid w:val="00F84968"/>
    <w:rsid w:val="00F84A29"/>
    <w:rsid w:val="00F84D5E"/>
    <w:rsid w:val="00F84F85"/>
    <w:rsid w:val="00F85230"/>
    <w:rsid w:val="00F85263"/>
    <w:rsid w:val="00F8540D"/>
    <w:rsid w:val="00F8544B"/>
    <w:rsid w:val="00F855FD"/>
    <w:rsid w:val="00F85793"/>
    <w:rsid w:val="00F857CB"/>
    <w:rsid w:val="00F858DC"/>
    <w:rsid w:val="00F85A94"/>
    <w:rsid w:val="00F85B32"/>
    <w:rsid w:val="00F85F86"/>
    <w:rsid w:val="00F86127"/>
    <w:rsid w:val="00F862C8"/>
    <w:rsid w:val="00F86329"/>
    <w:rsid w:val="00F86330"/>
    <w:rsid w:val="00F863FF"/>
    <w:rsid w:val="00F864BE"/>
    <w:rsid w:val="00F865BF"/>
    <w:rsid w:val="00F866B1"/>
    <w:rsid w:val="00F86917"/>
    <w:rsid w:val="00F869CB"/>
    <w:rsid w:val="00F86BA9"/>
    <w:rsid w:val="00F86DFC"/>
    <w:rsid w:val="00F86E51"/>
    <w:rsid w:val="00F86E87"/>
    <w:rsid w:val="00F871DB"/>
    <w:rsid w:val="00F874DA"/>
    <w:rsid w:val="00F876D5"/>
    <w:rsid w:val="00F87902"/>
    <w:rsid w:val="00F87905"/>
    <w:rsid w:val="00F87BD2"/>
    <w:rsid w:val="00F87D4D"/>
    <w:rsid w:val="00F87DC9"/>
    <w:rsid w:val="00F87F17"/>
    <w:rsid w:val="00F87F3F"/>
    <w:rsid w:val="00F900DA"/>
    <w:rsid w:val="00F9011F"/>
    <w:rsid w:val="00F90181"/>
    <w:rsid w:val="00F90239"/>
    <w:rsid w:val="00F9044E"/>
    <w:rsid w:val="00F9052C"/>
    <w:rsid w:val="00F90640"/>
    <w:rsid w:val="00F90839"/>
    <w:rsid w:val="00F90908"/>
    <w:rsid w:val="00F90A62"/>
    <w:rsid w:val="00F90D3E"/>
    <w:rsid w:val="00F90D78"/>
    <w:rsid w:val="00F90F7B"/>
    <w:rsid w:val="00F91031"/>
    <w:rsid w:val="00F91111"/>
    <w:rsid w:val="00F9112E"/>
    <w:rsid w:val="00F91410"/>
    <w:rsid w:val="00F914E1"/>
    <w:rsid w:val="00F91532"/>
    <w:rsid w:val="00F918C1"/>
    <w:rsid w:val="00F91903"/>
    <w:rsid w:val="00F91953"/>
    <w:rsid w:val="00F919F8"/>
    <w:rsid w:val="00F91A5E"/>
    <w:rsid w:val="00F91B55"/>
    <w:rsid w:val="00F91C51"/>
    <w:rsid w:val="00F91DF4"/>
    <w:rsid w:val="00F91E11"/>
    <w:rsid w:val="00F91F4D"/>
    <w:rsid w:val="00F91F95"/>
    <w:rsid w:val="00F91FE5"/>
    <w:rsid w:val="00F9206E"/>
    <w:rsid w:val="00F92145"/>
    <w:rsid w:val="00F9219B"/>
    <w:rsid w:val="00F921BB"/>
    <w:rsid w:val="00F92312"/>
    <w:rsid w:val="00F9277C"/>
    <w:rsid w:val="00F92A38"/>
    <w:rsid w:val="00F92A9F"/>
    <w:rsid w:val="00F92D8E"/>
    <w:rsid w:val="00F92E4C"/>
    <w:rsid w:val="00F92F04"/>
    <w:rsid w:val="00F92F11"/>
    <w:rsid w:val="00F930C2"/>
    <w:rsid w:val="00F932ED"/>
    <w:rsid w:val="00F933FB"/>
    <w:rsid w:val="00F938B0"/>
    <w:rsid w:val="00F9399A"/>
    <w:rsid w:val="00F939C1"/>
    <w:rsid w:val="00F93BAB"/>
    <w:rsid w:val="00F93D19"/>
    <w:rsid w:val="00F93EEC"/>
    <w:rsid w:val="00F93FCD"/>
    <w:rsid w:val="00F94082"/>
    <w:rsid w:val="00F941A1"/>
    <w:rsid w:val="00F94209"/>
    <w:rsid w:val="00F94310"/>
    <w:rsid w:val="00F94457"/>
    <w:rsid w:val="00F944CF"/>
    <w:rsid w:val="00F9481C"/>
    <w:rsid w:val="00F94835"/>
    <w:rsid w:val="00F949CF"/>
    <w:rsid w:val="00F94A6E"/>
    <w:rsid w:val="00F94BD7"/>
    <w:rsid w:val="00F94C3C"/>
    <w:rsid w:val="00F952CC"/>
    <w:rsid w:val="00F9547F"/>
    <w:rsid w:val="00F95791"/>
    <w:rsid w:val="00F957A6"/>
    <w:rsid w:val="00F957AC"/>
    <w:rsid w:val="00F957DE"/>
    <w:rsid w:val="00F957FD"/>
    <w:rsid w:val="00F959B5"/>
    <w:rsid w:val="00F95BB2"/>
    <w:rsid w:val="00F95D77"/>
    <w:rsid w:val="00F95F55"/>
    <w:rsid w:val="00F95F5A"/>
    <w:rsid w:val="00F95F5C"/>
    <w:rsid w:val="00F9600D"/>
    <w:rsid w:val="00F9627C"/>
    <w:rsid w:val="00F963B4"/>
    <w:rsid w:val="00F96810"/>
    <w:rsid w:val="00F969E6"/>
    <w:rsid w:val="00F96A1C"/>
    <w:rsid w:val="00F96AE7"/>
    <w:rsid w:val="00F96BC8"/>
    <w:rsid w:val="00F96E3E"/>
    <w:rsid w:val="00F96EC8"/>
    <w:rsid w:val="00F96F4C"/>
    <w:rsid w:val="00F96F95"/>
    <w:rsid w:val="00F9711F"/>
    <w:rsid w:val="00F97187"/>
    <w:rsid w:val="00F971CF"/>
    <w:rsid w:val="00F97271"/>
    <w:rsid w:val="00F97479"/>
    <w:rsid w:val="00F97501"/>
    <w:rsid w:val="00F97582"/>
    <w:rsid w:val="00F97718"/>
    <w:rsid w:val="00F9782A"/>
    <w:rsid w:val="00F97959"/>
    <w:rsid w:val="00F979FB"/>
    <w:rsid w:val="00F97A67"/>
    <w:rsid w:val="00F97B0E"/>
    <w:rsid w:val="00F97C59"/>
    <w:rsid w:val="00F97DBB"/>
    <w:rsid w:val="00FA00E4"/>
    <w:rsid w:val="00FA00F4"/>
    <w:rsid w:val="00FA0312"/>
    <w:rsid w:val="00FA0473"/>
    <w:rsid w:val="00FA0476"/>
    <w:rsid w:val="00FA04CE"/>
    <w:rsid w:val="00FA0750"/>
    <w:rsid w:val="00FA07F5"/>
    <w:rsid w:val="00FA0887"/>
    <w:rsid w:val="00FA08FD"/>
    <w:rsid w:val="00FA09F3"/>
    <w:rsid w:val="00FA09FB"/>
    <w:rsid w:val="00FA0AAA"/>
    <w:rsid w:val="00FA0AC4"/>
    <w:rsid w:val="00FA0BB2"/>
    <w:rsid w:val="00FA0C09"/>
    <w:rsid w:val="00FA0C53"/>
    <w:rsid w:val="00FA0EE3"/>
    <w:rsid w:val="00FA0F46"/>
    <w:rsid w:val="00FA120F"/>
    <w:rsid w:val="00FA135D"/>
    <w:rsid w:val="00FA13C3"/>
    <w:rsid w:val="00FA142B"/>
    <w:rsid w:val="00FA145C"/>
    <w:rsid w:val="00FA14E6"/>
    <w:rsid w:val="00FA18B5"/>
    <w:rsid w:val="00FA1981"/>
    <w:rsid w:val="00FA19FD"/>
    <w:rsid w:val="00FA1BC4"/>
    <w:rsid w:val="00FA1EF0"/>
    <w:rsid w:val="00FA1F7A"/>
    <w:rsid w:val="00FA209F"/>
    <w:rsid w:val="00FA2113"/>
    <w:rsid w:val="00FA225E"/>
    <w:rsid w:val="00FA238F"/>
    <w:rsid w:val="00FA2438"/>
    <w:rsid w:val="00FA2715"/>
    <w:rsid w:val="00FA284A"/>
    <w:rsid w:val="00FA2AD8"/>
    <w:rsid w:val="00FA2CF4"/>
    <w:rsid w:val="00FA2DDA"/>
    <w:rsid w:val="00FA2EBF"/>
    <w:rsid w:val="00FA324B"/>
    <w:rsid w:val="00FA3318"/>
    <w:rsid w:val="00FA3357"/>
    <w:rsid w:val="00FA33F5"/>
    <w:rsid w:val="00FA3609"/>
    <w:rsid w:val="00FA3613"/>
    <w:rsid w:val="00FA3876"/>
    <w:rsid w:val="00FA3949"/>
    <w:rsid w:val="00FA39A7"/>
    <w:rsid w:val="00FA3AAD"/>
    <w:rsid w:val="00FA3B1E"/>
    <w:rsid w:val="00FA4161"/>
    <w:rsid w:val="00FA41FB"/>
    <w:rsid w:val="00FA422C"/>
    <w:rsid w:val="00FA45F9"/>
    <w:rsid w:val="00FA467D"/>
    <w:rsid w:val="00FA4A95"/>
    <w:rsid w:val="00FA4B8C"/>
    <w:rsid w:val="00FA4BD3"/>
    <w:rsid w:val="00FA4DCE"/>
    <w:rsid w:val="00FA4F5F"/>
    <w:rsid w:val="00FA503E"/>
    <w:rsid w:val="00FA5629"/>
    <w:rsid w:val="00FA5808"/>
    <w:rsid w:val="00FA586D"/>
    <w:rsid w:val="00FA5A4E"/>
    <w:rsid w:val="00FA5C06"/>
    <w:rsid w:val="00FA5C08"/>
    <w:rsid w:val="00FA5F1C"/>
    <w:rsid w:val="00FA60B8"/>
    <w:rsid w:val="00FA61E1"/>
    <w:rsid w:val="00FA643E"/>
    <w:rsid w:val="00FA649C"/>
    <w:rsid w:val="00FA6588"/>
    <w:rsid w:val="00FA65B4"/>
    <w:rsid w:val="00FA67E5"/>
    <w:rsid w:val="00FA6911"/>
    <w:rsid w:val="00FA696E"/>
    <w:rsid w:val="00FA6B5C"/>
    <w:rsid w:val="00FA6BF5"/>
    <w:rsid w:val="00FA6D33"/>
    <w:rsid w:val="00FA6F7E"/>
    <w:rsid w:val="00FA6FA6"/>
    <w:rsid w:val="00FA71A0"/>
    <w:rsid w:val="00FA72D8"/>
    <w:rsid w:val="00FA7551"/>
    <w:rsid w:val="00FA774D"/>
    <w:rsid w:val="00FA79CB"/>
    <w:rsid w:val="00FA7DF4"/>
    <w:rsid w:val="00FA7F9B"/>
    <w:rsid w:val="00FB000C"/>
    <w:rsid w:val="00FB01A2"/>
    <w:rsid w:val="00FB0288"/>
    <w:rsid w:val="00FB028A"/>
    <w:rsid w:val="00FB0306"/>
    <w:rsid w:val="00FB0516"/>
    <w:rsid w:val="00FB05D9"/>
    <w:rsid w:val="00FB085A"/>
    <w:rsid w:val="00FB09F8"/>
    <w:rsid w:val="00FB0C98"/>
    <w:rsid w:val="00FB0FDF"/>
    <w:rsid w:val="00FB113C"/>
    <w:rsid w:val="00FB1240"/>
    <w:rsid w:val="00FB1258"/>
    <w:rsid w:val="00FB132B"/>
    <w:rsid w:val="00FB133C"/>
    <w:rsid w:val="00FB13C6"/>
    <w:rsid w:val="00FB146A"/>
    <w:rsid w:val="00FB14EE"/>
    <w:rsid w:val="00FB1709"/>
    <w:rsid w:val="00FB19FD"/>
    <w:rsid w:val="00FB1AB0"/>
    <w:rsid w:val="00FB1C6A"/>
    <w:rsid w:val="00FB1DB2"/>
    <w:rsid w:val="00FB1F3D"/>
    <w:rsid w:val="00FB2086"/>
    <w:rsid w:val="00FB212F"/>
    <w:rsid w:val="00FB2134"/>
    <w:rsid w:val="00FB21F1"/>
    <w:rsid w:val="00FB249D"/>
    <w:rsid w:val="00FB260A"/>
    <w:rsid w:val="00FB26E7"/>
    <w:rsid w:val="00FB2834"/>
    <w:rsid w:val="00FB2838"/>
    <w:rsid w:val="00FB29C9"/>
    <w:rsid w:val="00FB2B2F"/>
    <w:rsid w:val="00FB2C8E"/>
    <w:rsid w:val="00FB2E3C"/>
    <w:rsid w:val="00FB2EC1"/>
    <w:rsid w:val="00FB2EE8"/>
    <w:rsid w:val="00FB32C2"/>
    <w:rsid w:val="00FB32D7"/>
    <w:rsid w:val="00FB3360"/>
    <w:rsid w:val="00FB3448"/>
    <w:rsid w:val="00FB36D4"/>
    <w:rsid w:val="00FB38E3"/>
    <w:rsid w:val="00FB3BF9"/>
    <w:rsid w:val="00FB3CA7"/>
    <w:rsid w:val="00FB3E33"/>
    <w:rsid w:val="00FB3EAE"/>
    <w:rsid w:val="00FB4020"/>
    <w:rsid w:val="00FB4151"/>
    <w:rsid w:val="00FB419F"/>
    <w:rsid w:val="00FB4336"/>
    <w:rsid w:val="00FB4442"/>
    <w:rsid w:val="00FB4559"/>
    <w:rsid w:val="00FB4680"/>
    <w:rsid w:val="00FB4C22"/>
    <w:rsid w:val="00FB4C39"/>
    <w:rsid w:val="00FB4C8F"/>
    <w:rsid w:val="00FB4D86"/>
    <w:rsid w:val="00FB4D87"/>
    <w:rsid w:val="00FB4F9A"/>
    <w:rsid w:val="00FB4FC7"/>
    <w:rsid w:val="00FB51B8"/>
    <w:rsid w:val="00FB52BA"/>
    <w:rsid w:val="00FB56E1"/>
    <w:rsid w:val="00FB573A"/>
    <w:rsid w:val="00FB5AB9"/>
    <w:rsid w:val="00FB5AE9"/>
    <w:rsid w:val="00FB5BC6"/>
    <w:rsid w:val="00FB5DE3"/>
    <w:rsid w:val="00FB5FD9"/>
    <w:rsid w:val="00FB604E"/>
    <w:rsid w:val="00FB60FC"/>
    <w:rsid w:val="00FB61F5"/>
    <w:rsid w:val="00FB62F4"/>
    <w:rsid w:val="00FB659D"/>
    <w:rsid w:val="00FB69BC"/>
    <w:rsid w:val="00FB6B55"/>
    <w:rsid w:val="00FB6CE5"/>
    <w:rsid w:val="00FB7501"/>
    <w:rsid w:val="00FB75FC"/>
    <w:rsid w:val="00FB76D6"/>
    <w:rsid w:val="00FB7A49"/>
    <w:rsid w:val="00FB7BBB"/>
    <w:rsid w:val="00FB7CFC"/>
    <w:rsid w:val="00FB7DA8"/>
    <w:rsid w:val="00FB7DC1"/>
    <w:rsid w:val="00FC0214"/>
    <w:rsid w:val="00FC028E"/>
    <w:rsid w:val="00FC049B"/>
    <w:rsid w:val="00FC0858"/>
    <w:rsid w:val="00FC08BC"/>
    <w:rsid w:val="00FC0948"/>
    <w:rsid w:val="00FC0B67"/>
    <w:rsid w:val="00FC0DC4"/>
    <w:rsid w:val="00FC0E53"/>
    <w:rsid w:val="00FC0E6E"/>
    <w:rsid w:val="00FC0F8B"/>
    <w:rsid w:val="00FC1047"/>
    <w:rsid w:val="00FC1068"/>
    <w:rsid w:val="00FC1161"/>
    <w:rsid w:val="00FC124F"/>
    <w:rsid w:val="00FC12EF"/>
    <w:rsid w:val="00FC12FD"/>
    <w:rsid w:val="00FC1522"/>
    <w:rsid w:val="00FC1BDE"/>
    <w:rsid w:val="00FC1C1A"/>
    <w:rsid w:val="00FC1C58"/>
    <w:rsid w:val="00FC1CCC"/>
    <w:rsid w:val="00FC1DAD"/>
    <w:rsid w:val="00FC1F29"/>
    <w:rsid w:val="00FC2013"/>
    <w:rsid w:val="00FC2083"/>
    <w:rsid w:val="00FC21A5"/>
    <w:rsid w:val="00FC22F1"/>
    <w:rsid w:val="00FC22F5"/>
    <w:rsid w:val="00FC23BE"/>
    <w:rsid w:val="00FC23C8"/>
    <w:rsid w:val="00FC2938"/>
    <w:rsid w:val="00FC2B8E"/>
    <w:rsid w:val="00FC2CBA"/>
    <w:rsid w:val="00FC2CEA"/>
    <w:rsid w:val="00FC2DB7"/>
    <w:rsid w:val="00FC2F32"/>
    <w:rsid w:val="00FC2F5C"/>
    <w:rsid w:val="00FC2F8F"/>
    <w:rsid w:val="00FC3099"/>
    <w:rsid w:val="00FC3252"/>
    <w:rsid w:val="00FC3317"/>
    <w:rsid w:val="00FC3395"/>
    <w:rsid w:val="00FC3420"/>
    <w:rsid w:val="00FC342F"/>
    <w:rsid w:val="00FC3452"/>
    <w:rsid w:val="00FC397A"/>
    <w:rsid w:val="00FC3F2A"/>
    <w:rsid w:val="00FC3FAB"/>
    <w:rsid w:val="00FC422E"/>
    <w:rsid w:val="00FC4300"/>
    <w:rsid w:val="00FC4382"/>
    <w:rsid w:val="00FC43BF"/>
    <w:rsid w:val="00FC4434"/>
    <w:rsid w:val="00FC46DC"/>
    <w:rsid w:val="00FC4B6B"/>
    <w:rsid w:val="00FC4B6F"/>
    <w:rsid w:val="00FC4C24"/>
    <w:rsid w:val="00FC4C72"/>
    <w:rsid w:val="00FC4CCB"/>
    <w:rsid w:val="00FC4D9E"/>
    <w:rsid w:val="00FC4E80"/>
    <w:rsid w:val="00FC4F67"/>
    <w:rsid w:val="00FC50FC"/>
    <w:rsid w:val="00FC51A5"/>
    <w:rsid w:val="00FC53F1"/>
    <w:rsid w:val="00FC55D0"/>
    <w:rsid w:val="00FC5639"/>
    <w:rsid w:val="00FC5653"/>
    <w:rsid w:val="00FC5678"/>
    <w:rsid w:val="00FC58D3"/>
    <w:rsid w:val="00FC58D9"/>
    <w:rsid w:val="00FC5966"/>
    <w:rsid w:val="00FC5B95"/>
    <w:rsid w:val="00FC5BA4"/>
    <w:rsid w:val="00FC5DF3"/>
    <w:rsid w:val="00FC5E44"/>
    <w:rsid w:val="00FC5E48"/>
    <w:rsid w:val="00FC5F6E"/>
    <w:rsid w:val="00FC612D"/>
    <w:rsid w:val="00FC6142"/>
    <w:rsid w:val="00FC61E4"/>
    <w:rsid w:val="00FC6350"/>
    <w:rsid w:val="00FC635B"/>
    <w:rsid w:val="00FC6869"/>
    <w:rsid w:val="00FC688E"/>
    <w:rsid w:val="00FC6899"/>
    <w:rsid w:val="00FC6A91"/>
    <w:rsid w:val="00FC6D5B"/>
    <w:rsid w:val="00FC6FB8"/>
    <w:rsid w:val="00FC711B"/>
    <w:rsid w:val="00FC71B7"/>
    <w:rsid w:val="00FC7282"/>
    <w:rsid w:val="00FC73D4"/>
    <w:rsid w:val="00FC756E"/>
    <w:rsid w:val="00FC774B"/>
    <w:rsid w:val="00FC77C9"/>
    <w:rsid w:val="00FC78B8"/>
    <w:rsid w:val="00FC7913"/>
    <w:rsid w:val="00FC7C42"/>
    <w:rsid w:val="00FC7CD7"/>
    <w:rsid w:val="00FC7F34"/>
    <w:rsid w:val="00FD004A"/>
    <w:rsid w:val="00FD0155"/>
    <w:rsid w:val="00FD01E0"/>
    <w:rsid w:val="00FD0394"/>
    <w:rsid w:val="00FD06E7"/>
    <w:rsid w:val="00FD0729"/>
    <w:rsid w:val="00FD0B17"/>
    <w:rsid w:val="00FD0D03"/>
    <w:rsid w:val="00FD1078"/>
    <w:rsid w:val="00FD1172"/>
    <w:rsid w:val="00FD1188"/>
    <w:rsid w:val="00FD1232"/>
    <w:rsid w:val="00FD126C"/>
    <w:rsid w:val="00FD136B"/>
    <w:rsid w:val="00FD13EF"/>
    <w:rsid w:val="00FD1417"/>
    <w:rsid w:val="00FD1453"/>
    <w:rsid w:val="00FD1622"/>
    <w:rsid w:val="00FD175C"/>
    <w:rsid w:val="00FD18D6"/>
    <w:rsid w:val="00FD193B"/>
    <w:rsid w:val="00FD1983"/>
    <w:rsid w:val="00FD1A62"/>
    <w:rsid w:val="00FD1BB6"/>
    <w:rsid w:val="00FD1C2E"/>
    <w:rsid w:val="00FD1C32"/>
    <w:rsid w:val="00FD1EAB"/>
    <w:rsid w:val="00FD1FF1"/>
    <w:rsid w:val="00FD203E"/>
    <w:rsid w:val="00FD2091"/>
    <w:rsid w:val="00FD218C"/>
    <w:rsid w:val="00FD21FD"/>
    <w:rsid w:val="00FD220B"/>
    <w:rsid w:val="00FD2300"/>
    <w:rsid w:val="00FD25DD"/>
    <w:rsid w:val="00FD27B8"/>
    <w:rsid w:val="00FD2869"/>
    <w:rsid w:val="00FD2A3B"/>
    <w:rsid w:val="00FD2B85"/>
    <w:rsid w:val="00FD2DB4"/>
    <w:rsid w:val="00FD2F88"/>
    <w:rsid w:val="00FD2FCB"/>
    <w:rsid w:val="00FD3021"/>
    <w:rsid w:val="00FD30B0"/>
    <w:rsid w:val="00FD3277"/>
    <w:rsid w:val="00FD3304"/>
    <w:rsid w:val="00FD39C1"/>
    <w:rsid w:val="00FD39F9"/>
    <w:rsid w:val="00FD3A2C"/>
    <w:rsid w:val="00FD3BD8"/>
    <w:rsid w:val="00FD3CD2"/>
    <w:rsid w:val="00FD3D1F"/>
    <w:rsid w:val="00FD3D4D"/>
    <w:rsid w:val="00FD40F8"/>
    <w:rsid w:val="00FD4254"/>
    <w:rsid w:val="00FD4338"/>
    <w:rsid w:val="00FD43E5"/>
    <w:rsid w:val="00FD449E"/>
    <w:rsid w:val="00FD4534"/>
    <w:rsid w:val="00FD4994"/>
    <w:rsid w:val="00FD49D1"/>
    <w:rsid w:val="00FD4C6D"/>
    <w:rsid w:val="00FD4CE7"/>
    <w:rsid w:val="00FD4D74"/>
    <w:rsid w:val="00FD4EF8"/>
    <w:rsid w:val="00FD4FBB"/>
    <w:rsid w:val="00FD51AC"/>
    <w:rsid w:val="00FD51C0"/>
    <w:rsid w:val="00FD52F5"/>
    <w:rsid w:val="00FD5421"/>
    <w:rsid w:val="00FD54F5"/>
    <w:rsid w:val="00FD55B8"/>
    <w:rsid w:val="00FD560D"/>
    <w:rsid w:val="00FD5813"/>
    <w:rsid w:val="00FD5A89"/>
    <w:rsid w:val="00FD5AF9"/>
    <w:rsid w:val="00FD5B3A"/>
    <w:rsid w:val="00FD5BFF"/>
    <w:rsid w:val="00FD5D92"/>
    <w:rsid w:val="00FD5DA4"/>
    <w:rsid w:val="00FD5F1C"/>
    <w:rsid w:val="00FD5F4F"/>
    <w:rsid w:val="00FD6008"/>
    <w:rsid w:val="00FD625E"/>
    <w:rsid w:val="00FD6273"/>
    <w:rsid w:val="00FD630D"/>
    <w:rsid w:val="00FD64DA"/>
    <w:rsid w:val="00FD6616"/>
    <w:rsid w:val="00FD6783"/>
    <w:rsid w:val="00FD68FF"/>
    <w:rsid w:val="00FD69A6"/>
    <w:rsid w:val="00FD6B6C"/>
    <w:rsid w:val="00FD6CB1"/>
    <w:rsid w:val="00FD6EFF"/>
    <w:rsid w:val="00FD704D"/>
    <w:rsid w:val="00FD70FA"/>
    <w:rsid w:val="00FD72A7"/>
    <w:rsid w:val="00FD72B6"/>
    <w:rsid w:val="00FD7414"/>
    <w:rsid w:val="00FD756E"/>
    <w:rsid w:val="00FD75E0"/>
    <w:rsid w:val="00FD762A"/>
    <w:rsid w:val="00FD76BC"/>
    <w:rsid w:val="00FD78D4"/>
    <w:rsid w:val="00FD795B"/>
    <w:rsid w:val="00FD79DE"/>
    <w:rsid w:val="00FD7A28"/>
    <w:rsid w:val="00FD7BE9"/>
    <w:rsid w:val="00FD7C05"/>
    <w:rsid w:val="00FD7F02"/>
    <w:rsid w:val="00FE01AD"/>
    <w:rsid w:val="00FE0257"/>
    <w:rsid w:val="00FE036E"/>
    <w:rsid w:val="00FE0813"/>
    <w:rsid w:val="00FE0834"/>
    <w:rsid w:val="00FE08A4"/>
    <w:rsid w:val="00FE0CED"/>
    <w:rsid w:val="00FE0D8E"/>
    <w:rsid w:val="00FE0F54"/>
    <w:rsid w:val="00FE0F5D"/>
    <w:rsid w:val="00FE1114"/>
    <w:rsid w:val="00FE1370"/>
    <w:rsid w:val="00FE1819"/>
    <w:rsid w:val="00FE194A"/>
    <w:rsid w:val="00FE1E96"/>
    <w:rsid w:val="00FE2273"/>
    <w:rsid w:val="00FE2277"/>
    <w:rsid w:val="00FE2303"/>
    <w:rsid w:val="00FE23B3"/>
    <w:rsid w:val="00FE24D8"/>
    <w:rsid w:val="00FE25D1"/>
    <w:rsid w:val="00FE2B46"/>
    <w:rsid w:val="00FE2BC1"/>
    <w:rsid w:val="00FE2C83"/>
    <w:rsid w:val="00FE2E94"/>
    <w:rsid w:val="00FE2EDE"/>
    <w:rsid w:val="00FE2F01"/>
    <w:rsid w:val="00FE2F1E"/>
    <w:rsid w:val="00FE2F69"/>
    <w:rsid w:val="00FE2FBD"/>
    <w:rsid w:val="00FE3048"/>
    <w:rsid w:val="00FE306B"/>
    <w:rsid w:val="00FE30F1"/>
    <w:rsid w:val="00FE3109"/>
    <w:rsid w:val="00FE3214"/>
    <w:rsid w:val="00FE348C"/>
    <w:rsid w:val="00FE3556"/>
    <w:rsid w:val="00FE35F2"/>
    <w:rsid w:val="00FE36B3"/>
    <w:rsid w:val="00FE3B15"/>
    <w:rsid w:val="00FE3B8D"/>
    <w:rsid w:val="00FE40C2"/>
    <w:rsid w:val="00FE4171"/>
    <w:rsid w:val="00FE41AF"/>
    <w:rsid w:val="00FE42BF"/>
    <w:rsid w:val="00FE4310"/>
    <w:rsid w:val="00FE461E"/>
    <w:rsid w:val="00FE46CC"/>
    <w:rsid w:val="00FE4962"/>
    <w:rsid w:val="00FE4A0C"/>
    <w:rsid w:val="00FE4B21"/>
    <w:rsid w:val="00FE4B35"/>
    <w:rsid w:val="00FE4BD6"/>
    <w:rsid w:val="00FE4C88"/>
    <w:rsid w:val="00FE4D0D"/>
    <w:rsid w:val="00FE5018"/>
    <w:rsid w:val="00FE50B0"/>
    <w:rsid w:val="00FE5379"/>
    <w:rsid w:val="00FE53C5"/>
    <w:rsid w:val="00FE5757"/>
    <w:rsid w:val="00FE586D"/>
    <w:rsid w:val="00FE5943"/>
    <w:rsid w:val="00FE5BF1"/>
    <w:rsid w:val="00FE5CB5"/>
    <w:rsid w:val="00FE5CC4"/>
    <w:rsid w:val="00FE5E61"/>
    <w:rsid w:val="00FE5EBB"/>
    <w:rsid w:val="00FE60B8"/>
    <w:rsid w:val="00FE6113"/>
    <w:rsid w:val="00FE6778"/>
    <w:rsid w:val="00FE6954"/>
    <w:rsid w:val="00FE6AD5"/>
    <w:rsid w:val="00FE6AE7"/>
    <w:rsid w:val="00FE7079"/>
    <w:rsid w:val="00FE70DC"/>
    <w:rsid w:val="00FE72FE"/>
    <w:rsid w:val="00FE75EE"/>
    <w:rsid w:val="00FE7859"/>
    <w:rsid w:val="00FE7AFA"/>
    <w:rsid w:val="00FE7C59"/>
    <w:rsid w:val="00FE7C71"/>
    <w:rsid w:val="00FE7E61"/>
    <w:rsid w:val="00FE7EC0"/>
    <w:rsid w:val="00FE7ED8"/>
    <w:rsid w:val="00FF033E"/>
    <w:rsid w:val="00FF0499"/>
    <w:rsid w:val="00FF0877"/>
    <w:rsid w:val="00FF0A6A"/>
    <w:rsid w:val="00FF0BBC"/>
    <w:rsid w:val="00FF0C32"/>
    <w:rsid w:val="00FF0C34"/>
    <w:rsid w:val="00FF0D2E"/>
    <w:rsid w:val="00FF124C"/>
    <w:rsid w:val="00FF1299"/>
    <w:rsid w:val="00FF139B"/>
    <w:rsid w:val="00FF147C"/>
    <w:rsid w:val="00FF1521"/>
    <w:rsid w:val="00FF1948"/>
    <w:rsid w:val="00FF1B8B"/>
    <w:rsid w:val="00FF1BE8"/>
    <w:rsid w:val="00FF1CA6"/>
    <w:rsid w:val="00FF1D24"/>
    <w:rsid w:val="00FF1E10"/>
    <w:rsid w:val="00FF1EEB"/>
    <w:rsid w:val="00FF1FE3"/>
    <w:rsid w:val="00FF216A"/>
    <w:rsid w:val="00FF2269"/>
    <w:rsid w:val="00FF229C"/>
    <w:rsid w:val="00FF231D"/>
    <w:rsid w:val="00FF243C"/>
    <w:rsid w:val="00FF264E"/>
    <w:rsid w:val="00FF26EF"/>
    <w:rsid w:val="00FF2708"/>
    <w:rsid w:val="00FF2775"/>
    <w:rsid w:val="00FF27E7"/>
    <w:rsid w:val="00FF28CF"/>
    <w:rsid w:val="00FF2A0D"/>
    <w:rsid w:val="00FF2A34"/>
    <w:rsid w:val="00FF2BFC"/>
    <w:rsid w:val="00FF2CC4"/>
    <w:rsid w:val="00FF2D6D"/>
    <w:rsid w:val="00FF2E43"/>
    <w:rsid w:val="00FF306A"/>
    <w:rsid w:val="00FF30EC"/>
    <w:rsid w:val="00FF34E0"/>
    <w:rsid w:val="00FF3542"/>
    <w:rsid w:val="00FF35FD"/>
    <w:rsid w:val="00FF3666"/>
    <w:rsid w:val="00FF36D6"/>
    <w:rsid w:val="00FF37E0"/>
    <w:rsid w:val="00FF39F4"/>
    <w:rsid w:val="00FF3B3D"/>
    <w:rsid w:val="00FF41A9"/>
    <w:rsid w:val="00FF4200"/>
    <w:rsid w:val="00FF4222"/>
    <w:rsid w:val="00FF42A9"/>
    <w:rsid w:val="00FF43DC"/>
    <w:rsid w:val="00FF43E1"/>
    <w:rsid w:val="00FF4B15"/>
    <w:rsid w:val="00FF4CDE"/>
    <w:rsid w:val="00FF4E0B"/>
    <w:rsid w:val="00FF4F8E"/>
    <w:rsid w:val="00FF4FC0"/>
    <w:rsid w:val="00FF51EA"/>
    <w:rsid w:val="00FF54E7"/>
    <w:rsid w:val="00FF5688"/>
    <w:rsid w:val="00FF572E"/>
    <w:rsid w:val="00FF57DF"/>
    <w:rsid w:val="00FF58F2"/>
    <w:rsid w:val="00FF5A3F"/>
    <w:rsid w:val="00FF5B29"/>
    <w:rsid w:val="00FF5B68"/>
    <w:rsid w:val="00FF5F43"/>
    <w:rsid w:val="00FF60CA"/>
    <w:rsid w:val="00FF62C6"/>
    <w:rsid w:val="00FF64A7"/>
    <w:rsid w:val="00FF661A"/>
    <w:rsid w:val="00FF67DA"/>
    <w:rsid w:val="00FF685B"/>
    <w:rsid w:val="00FF695D"/>
    <w:rsid w:val="00FF695E"/>
    <w:rsid w:val="00FF6971"/>
    <w:rsid w:val="00FF6CF2"/>
    <w:rsid w:val="00FF6F1F"/>
    <w:rsid w:val="00FF70A2"/>
    <w:rsid w:val="00FF73F4"/>
    <w:rsid w:val="00FF757B"/>
    <w:rsid w:val="00FF7681"/>
    <w:rsid w:val="00FF77A8"/>
    <w:rsid w:val="00FF7A3C"/>
    <w:rsid w:val="00FF7AFC"/>
    <w:rsid w:val="00FF7B1B"/>
    <w:rsid w:val="00FF7C43"/>
    <w:rsid w:val="00FF7C50"/>
    <w:rsid w:val="00FF7E7E"/>
    <w:rsid w:val="0135B10D"/>
    <w:rsid w:val="01CFCECB"/>
    <w:rsid w:val="038D3E09"/>
    <w:rsid w:val="03B2D1BB"/>
    <w:rsid w:val="0455ABD6"/>
    <w:rsid w:val="04FDBA89"/>
    <w:rsid w:val="05476910"/>
    <w:rsid w:val="05593ED5"/>
    <w:rsid w:val="05E574DF"/>
    <w:rsid w:val="07230311"/>
    <w:rsid w:val="0805D12B"/>
    <w:rsid w:val="087B3C99"/>
    <w:rsid w:val="0A46AB33"/>
    <w:rsid w:val="0A4F657C"/>
    <w:rsid w:val="0E3C9F28"/>
    <w:rsid w:val="0F62A2C9"/>
    <w:rsid w:val="1020ACE6"/>
    <w:rsid w:val="113D88AB"/>
    <w:rsid w:val="116D899D"/>
    <w:rsid w:val="11A67D5B"/>
    <w:rsid w:val="151AEDFC"/>
    <w:rsid w:val="1535C229"/>
    <w:rsid w:val="15B74B45"/>
    <w:rsid w:val="16240E67"/>
    <w:rsid w:val="16DAD694"/>
    <w:rsid w:val="17A11F85"/>
    <w:rsid w:val="1856381A"/>
    <w:rsid w:val="1917E317"/>
    <w:rsid w:val="194C6225"/>
    <w:rsid w:val="1959E95A"/>
    <w:rsid w:val="198587F2"/>
    <w:rsid w:val="19F36A12"/>
    <w:rsid w:val="1A480DA1"/>
    <w:rsid w:val="1B799ACF"/>
    <w:rsid w:val="1B9ECC57"/>
    <w:rsid w:val="1CE5571E"/>
    <w:rsid w:val="1E1B7DCA"/>
    <w:rsid w:val="1E22EFB3"/>
    <w:rsid w:val="1E7FFF94"/>
    <w:rsid w:val="1EA710BD"/>
    <w:rsid w:val="1EDEA789"/>
    <w:rsid w:val="1F168DE8"/>
    <w:rsid w:val="202C4D8E"/>
    <w:rsid w:val="21011203"/>
    <w:rsid w:val="2223E47D"/>
    <w:rsid w:val="23B577E3"/>
    <w:rsid w:val="23F15761"/>
    <w:rsid w:val="23F51D42"/>
    <w:rsid w:val="24223376"/>
    <w:rsid w:val="24ADF769"/>
    <w:rsid w:val="25AF5FD7"/>
    <w:rsid w:val="265FB708"/>
    <w:rsid w:val="276A19B7"/>
    <w:rsid w:val="28A6B869"/>
    <w:rsid w:val="28D18A6F"/>
    <w:rsid w:val="29382F64"/>
    <w:rsid w:val="2ADD13E7"/>
    <w:rsid w:val="2C3D6060"/>
    <w:rsid w:val="2C72E90A"/>
    <w:rsid w:val="2C73E7FB"/>
    <w:rsid w:val="2CED5E69"/>
    <w:rsid w:val="2D100DE5"/>
    <w:rsid w:val="2D6D6F8B"/>
    <w:rsid w:val="2E6F4873"/>
    <w:rsid w:val="2EC9DB90"/>
    <w:rsid w:val="2FDE0B4F"/>
    <w:rsid w:val="30234BD7"/>
    <w:rsid w:val="304D180F"/>
    <w:rsid w:val="327C7A03"/>
    <w:rsid w:val="32881F2D"/>
    <w:rsid w:val="33AD02B0"/>
    <w:rsid w:val="35D23953"/>
    <w:rsid w:val="37D1565D"/>
    <w:rsid w:val="37FC7441"/>
    <w:rsid w:val="387B45E3"/>
    <w:rsid w:val="3901A489"/>
    <w:rsid w:val="39D0711A"/>
    <w:rsid w:val="39FD13B7"/>
    <w:rsid w:val="3AC4FD2E"/>
    <w:rsid w:val="3B1683B3"/>
    <w:rsid w:val="3B21F4F7"/>
    <w:rsid w:val="3B27AF91"/>
    <w:rsid w:val="3BF253FA"/>
    <w:rsid w:val="3BFB70E1"/>
    <w:rsid w:val="3C7FEF66"/>
    <w:rsid w:val="3D9B2393"/>
    <w:rsid w:val="3DED0188"/>
    <w:rsid w:val="3EBF2DC4"/>
    <w:rsid w:val="3EDA0C7C"/>
    <w:rsid w:val="3EE17B48"/>
    <w:rsid w:val="3F86C3AB"/>
    <w:rsid w:val="3FCA9008"/>
    <w:rsid w:val="3FE54641"/>
    <w:rsid w:val="40753A8F"/>
    <w:rsid w:val="40806339"/>
    <w:rsid w:val="414E6178"/>
    <w:rsid w:val="41CD49F8"/>
    <w:rsid w:val="41FCC2E4"/>
    <w:rsid w:val="4205FAD0"/>
    <w:rsid w:val="4261E6FF"/>
    <w:rsid w:val="43A73024"/>
    <w:rsid w:val="442ADBF7"/>
    <w:rsid w:val="44CB865E"/>
    <w:rsid w:val="44CFAE19"/>
    <w:rsid w:val="45156B01"/>
    <w:rsid w:val="4525F66E"/>
    <w:rsid w:val="466D2A75"/>
    <w:rsid w:val="46877EFD"/>
    <w:rsid w:val="46B7E8E3"/>
    <w:rsid w:val="46C42E39"/>
    <w:rsid w:val="474B1153"/>
    <w:rsid w:val="4785DAE2"/>
    <w:rsid w:val="48677DAD"/>
    <w:rsid w:val="492EE0BF"/>
    <w:rsid w:val="4A4F10CE"/>
    <w:rsid w:val="4C27CEAF"/>
    <w:rsid w:val="4C3E8B10"/>
    <w:rsid w:val="4F98622B"/>
    <w:rsid w:val="500A79C1"/>
    <w:rsid w:val="501ED9C7"/>
    <w:rsid w:val="505280C0"/>
    <w:rsid w:val="51096D3B"/>
    <w:rsid w:val="5176FAA1"/>
    <w:rsid w:val="51BB7F50"/>
    <w:rsid w:val="5357DD7D"/>
    <w:rsid w:val="53F8A483"/>
    <w:rsid w:val="53FF0C04"/>
    <w:rsid w:val="54349BB2"/>
    <w:rsid w:val="547CDE40"/>
    <w:rsid w:val="54ACD212"/>
    <w:rsid w:val="54B9850F"/>
    <w:rsid w:val="5673D67E"/>
    <w:rsid w:val="56A699E4"/>
    <w:rsid w:val="581556AD"/>
    <w:rsid w:val="58411A7C"/>
    <w:rsid w:val="5912772B"/>
    <w:rsid w:val="5A6FBE3D"/>
    <w:rsid w:val="5BEC2033"/>
    <w:rsid w:val="5C5408C9"/>
    <w:rsid w:val="5C9BCD05"/>
    <w:rsid w:val="5E0C6ACE"/>
    <w:rsid w:val="5EDC92A7"/>
    <w:rsid w:val="5FDA5861"/>
    <w:rsid w:val="6209FBEA"/>
    <w:rsid w:val="6310BA2D"/>
    <w:rsid w:val="6444B788"/>
    <w:rsid w:val="6473C32D"/>
    <w:rsid w:val="65327D67"/>
    <w:rsid w:val="65DEA8B5"/>
    <w:rsid w:val="66259F9B"/>
    <w:rsid w:val="6657DC36"/>
    <w:rsid w:val="66E0F44F"/>
    <w:rsid w:val="6756AD09"/>
    <w:rsid w:val="676584D3"/>
    <w:rsid w:val="678ACC0E"/>
    <w:rsid w:val="691DBD7E"/>
    <w:rsid w:val="697EBA90"/>
    <w:rsid w:val="6A4291EC"/>
    <w:rsid w:val="6AC13BD3"/>
    <w:rsid w:val="6B10323F"/>
    <w:rsid w:val="6C1A42AD"/>
    <w:rsid w:val="6C3002B3"/>
    <w:rsid w:val="6C3BE870"/>
    <w:rsid w:val="6C97C7F1"/>
    <w:rsid w:val="6D840715"/>
    <w:rsid w:val="6D9681E6"/>
    <w:rsid w:val="6E650CE5"/>
    <w:rsid w:val="6EEC5BDD"/>
    <w:rsid w:val="6FE6457C"/>
    <w:rsid w:val="7077DDAD"/>
    <w:rsid w:val="71BEF6F6"/>
    <w:rsid w:val="771F9235"/>
    <w:rsid w:val="77A91D36"/>
    <w:rsid w:val="7805E4BC"/>
    <w:rsid w:val="7822607C"/>
    <w:rsid w:val="785B0AD5"/>
    <w:rsid w:val="791CB984"/>
    <w:rsid w:val="793498FF"/>
    <w:rsid w:val="7964DDDC"/>
    <w:rsid w:val="797228EE"/>
    <w:rsid w:val="7A15A005"/>
    <w:rsid w:val="7AB1263A"/>
    <w:rsid w:val="7BF45659"/>
    <w:rsid w:val="7D8D248D"/>
    <w:rsid w:val="7E48B5A2"/>
    <w:rsid w:val="7E8DE06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A2166BE"/>
  <w15:docId w15:val="{3CB6E59C-44F4-411B-BEAE-CFC0BA3A3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GB" w:eastAsia="fr-FR" w:bidi="ar-SA"/>
      </w:rPr>
    </w:rPrDefault>
    <w:pPrDefault>
      <w:pPr>
        <w:spacing w:before="240" w:after="240" w:line="264" w:lineRule="auto"/>
      </w:pPr>
    </w:pPrDefault>
  </w:docDefaults>
  <w:latentStyles w:defLockedState="0" w:defUIPriority="0" w:defSemiHidden="0" w:defUnhideWhenUsed="0" w:defQFormat="0" w:count="376">
    <w:lsdException w:name="Normal" w:uiPriority="1" w:qFormat="1"/>
    <w:lsdException w:name="heading 1" w:uiPriority="9" w:qFormat="1"/>
    <w:lsdException w:name="heading 2" w:uiPriority="9" w:qFormat="1"/>
    <w:lsdException w:name="heading 3" w:uiPriority="9" w:qFormat="1"/>
    <w:lsdException w:name="heading 4" w:uiPriority="9" w:unhideWhenUsed="1" w:qFormat="1"/>
    <w:lsdException w:name="heading 5" w:uiPriority="9" w:unhideWhenUsed="1" w:qFormat="1"/>
    <w:lsdException w:name="heading 6" w:uiPriority="9" w:unhideWhenUsed="1"/>
    <w:lsdException w:name="heading 7" w:uiPriority="9" w:unhideWhenUsed="1"/>
    <w:lsdException w:name="heading 8" w:uiPriority="9" w:unhideWhenUsed="1"/>
    <w:lsdException w:name="heading 9" w:uiPriority="9" w:unhideWhenUsed="1"/>
    <w:lsdException w:name="index 1" w:uiPriority="39" w:unhideWhenUsed="1"/>
    <w:lsdException w:name="index 2" w:uiPriority="39" w:unhideWhenUsed="1"/>
    <w:lsdException w:name="index 3" w:uiPriority="39" w:unhideWhenUsed="1"/>
    <w:lsdException w:name="index 4" w:uiPriority="39" w:unhideWhenUsed="1"/>
    <w:lsdException w:name="index 5" w:uiPriority="39" w:unhideWhenUsed="1"/>
    <w:lsdException w:name="index 6" w:uiPriority="39" w:unhideWhenUsed="1"/>
    <w:lsdException w:name="index 7" w:uiPriority="39" w:unhideWhenUsed="1"/>
    <w:lsdException w:name="index 8" w:uiPriority="39" w:unhideWhenUsed="1"/>
    <w:lsdException w:name="index 9" w:uiPriority="3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lsdException w:name="footnote text" w:uiPriority="1" w:unhideWhenUsed="1" w:qFormat="1"/>
    <w:lsdException w:name="annotation text" w:semiHidden="1" w:uiPriority="99"/>
    <w:lsdException w:name="header" w:uiPriority="99"/>
    <w:lsdException w:name="footer" w:uiPriority="99"/>
    <w:lsdException w:name="index heading" w:uiPriority="39" w:unhideWhenUsed="1"/>
    <w:lsdException w:name="caption" w:semiHidden="1" w:uiPriority="35"/>
    <w:lsdException w:name="table of figures" w:uiPriority="39" w:unhideWhenUsed="1"/>
    <w:lsdException w:name="envelope address" w:semiHidden="1"/>
    <w:lsdException w:name="envelope return" w:semiHidden="1"/>
    <w:lsdException w:name="footnote reference" w:uiPriority="1" w:unhideWhenUsed="1" w:qFormat="1"/>
    <w:lsdException w:name="annotation reference" w:semiHidden="1" w:uiPriority="99"/>
    <w:lsdException w:name="line number" w:semiHidden="1"/>
    <w:lsdException w:name="page number" w:semiHidden="1"/>
    <w:lsdException w:name="endnote reference" w:uiPriority="8" w:unhideWhenUsed="1"/>
    <w:lsdException w:name="endnote text" w:uiPriority="8" w:unhideWhenUsed="1"/>
    <w:lsdException w:name="table of authorities" w:semiHidden="1"/>
    <w:lsdException w:name="macro" w:uiPriority="39"/>
    <w:lsdException w:name="toa heading" w:semiHidden="1"/>
    <w:lsdException w:name="List" w:semiHidden="1" w:uiPriority="3"/>
    <w:lsdException w:name="List Bullet" w:uiPriority="3" w:qFormat="1"/>
    <w:lsdException w:name="List Number" w:uiPriority="3" w:qFormat="1"/>
    <w:lsdException w:name="List 2" w:semiHidden="1" w:uiPriority="3"/>
    <w:lsdException w:name="List 3" w:semiHidden="1" w:uiPriority="3"/>
    <w:lsdException w:name="List 4" w:semiHidden="1" w:uiPriority="3"/>
    <w:lsdException w:name="List 5" w:semiHidden="1" w:uiPriority="3"/>
    <w:lsdException w:name="List Bullet 2" w:semiHidden="1" w:uiPriority="3"/>
    <w:lsdException w:name="List Bullet 3" w:semiHidden="1" w:uiPriority="3"/>
    <w:lsdException w:name="List Bullet 4" w:semiHidden="1" w:uiPriority="3"/>
    <w:lsdException w:name="List Bullet 5" w:semiHidden="1" w:uiPriority="3"/>
    <w:lsdException w:name="List Number 2" w:semiHidden="1"/>
    <w:lsdException w:name="List Number 3" w:semiHidden="1" w:uiPriority="3"/>
    <w:lsdException w:name="List Number 4" w:semiHidden="1" w:uiPriority="3"/>
    <w:lsdException w:name="List Number 5" w:semiHidden="1" w:uiPriority="3"/>
    <w:lsdException w:name="Title" w:semiHidden="1" w:uiPriority="14"/>
    <w:lsdException w:name="Closing" w:semiHidden="1"/>
    <w:lsdException w:name="Signature" w:semiHidden="1"/>
    <w:lsdException w:name="Default Paragraph Font" w:semiHidden="1" w:uiPriority="99"/>
    <w:lsdException w:name="Body Text" w:semiHidden="1"/>
    <w:lsdException w:name="Body Text Indent" w:semiHidden="1"/>
    <w:lsdException w:name="List Continue" w:semiHidden="1" w:uiPriority="3"/>
    <w:lsdException w:name="List Continue 2" w:semiHidden="1" w:uiPriority="3"/>
    <w:lsdException w:name="List Continue 3" w:semiHidden="1" w:uiPriority="3"/>
    <w:lsdException w:name="List Continue 4" w:semiHidden="1" w:uiPriority="3"/>
    <w:lsdException w:name="List Continue 5" w:semiHidden="1" w:uiPriority="3"/>
    <w:lsdException w:name="Message Header" w:semiHidden="1"/>
    <w:lsdException w:name="Subtitle" w:semiHidden="1" w:uiPriority="15"/>
    <w:lsdException w:name="Salutation" w:semiHidden="1"/>
    <w:lsdException w:name="Date" w:semiHidden="1" w:uiPriority="19"/>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unhideWhenUsed="1" w:qFormat="1"/>
    <w:lsdException w:name="FollowedHyperlink" w:semiHidden="1"/>
    <w:lsdException w:name="Strong" w:semiHidden="1" w:uiPriority="22"/>
    <w:lsdException w:name="Emphasis" w:semiHidden="1" w:uiPriority="69"/>
    <w:lsdException w:name="Document Map" w:semiHidden="1"/>
    <w:lsdException w:name="Plain Text" w:semiHidden="1"/>
    <w:lsdException w:name="E-mail Signature" w:semiHidden="1"/>
    <w:lsdException w:name="HTML Top of Form" w:semiHidden="1" w:uiPriority="99"/>
    <w:lsdException w:name="HTML Bottom of Form" w:semiHidden="1" w:uiPriority="99"/>
    <w:lsdException w:name="Normal (Web)" w:semiHidden="1" w:uiPriority="99"/>
    <w:lsdException w:name="HTML Acronym" w:semiHidden="1" w:uiPriority="39"/>
    <w:lsdException w:name="HTML Address" w:semiHidden="1" w:uiPriority="39"/>
    <w:lsdException w:name="HTML Cite" w:semiHidden="1" w:uiPriority="39"/>
    <w:lsdException w:name="HTML Code" w:semiHidden="1" w:uiPriority="39"/>
    <w:lsdException w:name="HTML Definition" w:semiHidden="1" w:uiPriority="39"/>
    <w:lsdException w:name="HTML Keyboard" w:semiHidden="1" w:uiPriority="39"/>
    <w:lsdException w:name="HTML Preformatted" w:semiHidden="1" w:uiPriority="39"/>
    <w:lsdException w:name="HTML Sample" w:semiHidden="1" w:uiPriority="39"/>
    <w:lsdException w:name="HTML Typewriter" w:semiHidden="1" w:uiPriority="39"/>
    <w:lsdException w:name="HTML Variable" w:semiHidden="1" w:uiPriority="39"/>
    <w:lsdException w:name="Normal Table" w:semiHidden="1" w:uiPriority="10" w:unhideWhenUsed="1"/>
    <w:lsdException w:name="annotation subject" w:semiHidden="1"/>
    <w:lsdException w:name="No List" w:semiHidden="1" w:uiPriority="99"/>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10"/>
    <w:lsdException w:name="Table Theme" w:semiHidden="1" w:unhideWhenUsed="1"/>
    <w:lsdException w:name="Placeholder Text" w:semiHidden="1" w:uiPriority="99"/>
    <w:lsdException w:name="No Spacing" w:uiPriority="2"/>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uiPriority="3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uiPriority="39"/>
    <w:lsdException w:name="Subtle Reference" w:semiHidden="1"/>
    <w:lsdException w:name="Intense Reference" w:semiHidden="1" w:uiPriority="39"/>
    <w:lsdException w:name="Book Title" w:semiHidden="1"/>
    <w:lsdException w:name="Bibliography" w:semiHidden="1"/>
    <w:lsdException w:name="TOC Heading" w:uiPriority="37"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6F7DD4"/>
    <w:pPr>
      <w:suppressAutoHyphens/>
    </w:pPr>
    <w:rPr>
      <w:rFonts w:ascii="EC Square Sans Pro" w:eastAsia="SimSun" w:hAnsi="EC Square Sans Pro"/>
      <w:lang w:eastAsia="en-GB"/>
    </w:rPr>
  </w:style>
  <w:style w:type="paragraph" w:styleId="Heading1">
    <w:name w:val="heading 1"/>
    <w:next w:val="Normal"/>
    <w:link w:val="Heading1Char"/>
    <w:uiPriority w:val="9"/>
    <w:qFormat/>
    <w:rsid w:val="00462069"/>
    <w:pPr>
      <w:keepNext/>
      <w:keepLines/>
      <w:pageBreakBefore/>
      <w:suppressAutoHyphens/>
      <w:spacing w:before="0" w:after="720"/>
      <w:outlineLvl w:val="0"/>
    </w:pPr>
    <w:rPr>
      <w:rFonts w:asciiTheme="majorHAnsi" w:eastAsia="SimSun" w:hAnsiTheme="majorHAnsi"/>
      <w:color w:val="003399" w:themeColor="text2"/>
      <w:sz w:val="48"/>
      <w:lang w:eastAsia="en-GB"/>
    </w:rPr>
  </w:style>
  <w:style w:type="paragraph" w:styleId="Heading2">
    <w:name w:val="heading 2"/>
    <w:next w:val="Normal"/>
    <w:link w:val="Heading2Char"/>
    <w:uiPriority w:val="9"/>
    <w:qFormat/>
    <w:rsid w:val="00462069"/>
    <w:pPr>
      <w:keepNext/>
      <w:keepLines/>
      <w:pageBreakBefore/>
      <w:suppressAutoHyphens/>
      <w:spacing w:before="0" w:after="720"/>
      <w:outlineLvl w:val="1"/>
    </w:pPr>
    <w:rPr>
      <w:rFonts w:asciiTheme="majorHAnsi" w:eastAsia="SimSun" w:hAnsiTheme="majorHAnsi"/>
      <w:color w:val="003399" w:themeColor="text2"/>
      <w:sz w:val="48"/>
      <w:lang w:eastAsia="en-GB"/>
    </w:rPr>
  </w:style>
  <w:style w:type="paragraph" w:styleId="Heading3">
    <w:name w:val="heading 3"/>
    <w:next w:val="Normal"/>
    <w:link w:val="Heading3Char"/>
    <w:uiPriority w:val="9"/>
    <w:qFormat/>
    <w:rsid w:val="00D24286"/>
    <w:pPr>
      <w:keepNext/>
      <w:keepLines/>
      <w:pBdr>
        <w:bottom w:val="single" w:sz="6" w:space="1" w:color="DE6002"/>
      </w:pBdr>
      <w:suppressAutoHyphens/>
      <w:spacing w:before="480"/>
      <w:outlineLvl w:val="2"/>
    </w:pPr>
    <w:rPr>
      <w:rFonts w:asciiTheme="majorHAnsi" w:eastAsia="SimSun" w:hAnsiTheme="majorHAnsi"/>
      <w:b/>
      <w:color w:val="003399" w:themeColor="text2"/>
      <w:sz w:val="28"/>
      <w:lang w:eastAsia="en-GB"/>
    </w:rPr>
  </w:style>
  <w:style w:type="paragraph" w:styleId="Heading4">
    <w:name w:val="heading 4"/>
    <w:next w:val="Normal"/>
    <w:link w:val="Heading4Char"/>
    <w:uiPriority w:val="9"/>
    <w:unhideWhenUsed/>
    <w:qFormat/>
    <w:rsid w:val="00462069"/>
    <w:pPr>
      <w:keepNext/>
      <w:keepLines/>
      <w:suppressAutoHyphens/>
      <w:spacing w:before="480"/>
      <w:outlineLvl w:val="3"/>
    </w:pPr>
    <w:rPr>
      <w:rFonts w:asciiTheme="majorHAnsi" w:eastAsia="SimSun" w:hAnsiTheme="majorHAnsi"/>
      <w:color w:val="003399" w:themeColor="text2"/>
      <w:sz w:val="28"/>
      <w:lang w:eastAsia="en-GB"/>
    </w:rPr>
  </w:style>
  <w:style w:type="paragraph" w:styleId="Heading5">
    <w:name w:val="heading 5"/>
    <w:next w:val="Normal"/>
    <w:link w:val="Heading5Char"/>
    <w:uiPriority w:val="9"/>
    <w:unhideWhenUsed/>
    <w:qFormat/>
    <w:rsid w:val="00462069"/>
    <w:pPr>
      <w:keepNext/>
      <w:keepLines/>
      <w:suppressAutoHyphens/>
      <w:spacing w:before="360"/>
      <w:outlineLvl w:val="4"/>
    </w:pPr>
    <w:rPr>
      <w:rFonts w:asciiTheme="majorHAnsi" w:eastAsia="SimSun" w:hAnsiTheme="majorHAnsi"/>
      <w:b/>
      <w:color w:val="003399" w:themeColor="text2"/>
      <w:sz w:val="22"/>
      <w:lang w:eastAsia="en-GB"/>
    </w:rPr>
  </w:style>
  <w:style w:type="paragraph" w:styleId="Heading6">
    <w:name w:val="heading 6"/>
    <w:next w:val="Normal"/>
    <w:link w:val="Heading6Char"/>
    <w:uiPriority w:val="9"/>
    <w:unhideWhenUsed/>
    <w:rsid w:val="0087086E"/>
    <w:pPr>
      <w:keepNext/>
      <w:keepLines/>
      <w:suppressAutoHyphens/>
      <w:spacing w:before="360"/>
      <w:outlineLvl w:val="5"/>
    </w:pPr>
    <w:rPr>
      <w:rFonts w:asciiTheme="majorHAnsi" w:eastAsia="SimSun" w:hAnsiTheme="majorHAnsi"/>
      <w:b/>
      <w:color w:val="003399" w:themeColor="text2"/>
      <w:lang w:eastAsia="en-GB"/>
    </w:rPr>
  </w:style>
  <w:style w:type="paragraph" w:styleId="Heading7">
    <w:name w:val="heading 7"/>
    <w:next w:val="Normal"/>
    <w:link w:val="Heading7Char"/>
    <w:uiPriority w:val="9"/>
    <w:semiHidden/>
    <w:rsid w:val="00462069"/>
    <w:pPr>
      <w:keepNext/>
      <w:keepLines/>
      <w:suppressAutoHyphens/>
      <w:outlineLvl w:val="6"/>
    </w:pPr>
    <w:rPr>
      <w:rFonts w:asciiTheme="majorHAnsi" w:eastAsia="SimSun" w:hAnsiTheme="majorHAnsi"/>
      <w:color w:val="008139" w:themeColor="accent1"/>
      <w:spacing w:val="12"/>
      <w:lang w:eastAsia="en-GB"/>
    </w:rPr>
  </w:style>
  <w:style w:type="paragraph" w:styleId="Heading8">
    <w:name w:val="heading 8"/>
    <w:next w:val="Normal"/>
    <w:link w:val="Heading8Char"/>
    <w:uiPriority w:val="9"/>
    <w:semiHidden/>
    <w:rsid w:val="00462069"/>
    <w:pPr>
      <w:keepNext/>
      <w:keepLines/>
      <w:suppressAutoHyphens/>
      <w:outlineLvl w:val="7"/>
    </w:pPr>
    <w:rPr>
      <w:rFonts w:asciiTheme="majorHAnsi" w:eastAsia="SimSun" w:hAnsiTheme="majorHAnsi"/>
      <w:i/>
      <w:color w:val="008139" w:themeColor="accent1"/>
      <w:spacing w:val="12"/>
      <w:lang w:eastAsia="en-GB"/>
    </w:rPr>
  </w:style>
  <w:style w:type="paragraph" w:styleId="Heading9">
    <w:name w:val="heading 9"/>
    <w:next w:val="Normal"/>
    <w:link w:val="Heading9Char"/>
    <w:uiPriority w:val="9"/>
    <w:semiHidden/>
    <w:rsid w:val="00462069"/>
    <w:pPr>
      <w:keepNext/>
      <w:keepLines/>
      <w:suppressAutoHyphens/>
      <w:outlineLvl w:val="8"/>
    </w:pPr>
    <w:rPr>
      <w:rFonts w:asciiTheme="majorHAnsi" w:eastAsia="SimSun" w:hAnsiTheme="majorHAnsi"/>
      <w:color w:val="008139" w:themeColor="accent1"/>
      <w:spacing w:val="12"/>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TextChar">
    <w:name w:val="Endnote Text Char"/>
    <w:link w:val="EndnoteText"/>
    <w:uiPriority w:val="8"/>
    <w:unhideWhenUsed/>
    <w:rsid w:val="00462069"/>
    <w:rPr>
      <w:rFonts w:eastAsia="SimSun"/>
      <w:color w:val="000000" w:themeColor="dark1"/>
      <w:sz w:val="18"/>
      <w:lang w:eastAsia="en-GB"/>
    </w:rPr>
  </w:style>
  <w:style w:type="character" w:customStyle="1" w:styleId="FootnoteTextChar">
    <w:name w:val="Footnote Text Char"/>
    <w:basedOn w:val="DefaultParagraphFont"/>
    <w:link w:val="FootnoteText"/>
    <w:uiPriority w:val="1"/>
    <w:qFormat/>
    <w:rsid w:val="00462069"/>
    <w:rPr>
      <w:rFonts w:eastAsia="SimSun"/>
      <w:sz w:val="18"/>
      <w:lang w:eastAsia="en-GB"/>
    </w:rPr>
  </w:style>
  <w:style w:type="paragraph" w:customStyle="1" w:styleId="Pagedecouverture">
    <w:name w:val="Page de couverture"/>
    <w:basedOn w:val="Normal"/>
    <w:next w:val="Normal"/>
    <w:uiPriority w:val="39"/>
    <w:semiHidden/>
    <w:rsid w:val="00462069"/>
    <w:pPr>
      <w:spacing w:before="0" w:after="0" w:line="240" w:lineRule="auto"/>
    </w:pPr>
    <w:rPr>
      <w:rFonts w:ascii="Times New Roman" w:eastAsiaTheme="minorHAnsi" w:hAnsi="Times New Roman"/>
      <w:szCs w:val="22"/>
      <w:lang w:eastAsia="en-US"/>
    </w:rPr>
  </w:style>
  <w:style w:type="paragraph" w:customStyle="1" w:styleId="FooterCoverPage">
    <w:name w:val="Footer Cover Page"/>
    <w:basedOn w:val="Normal"/>
    <w:link w:val="FooterCoverPageChar"/>
    <w:uiPriority w:val="39"/>
    <w:semiHidden/>
    <w:rsid w:val="00592D56"/>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basedOn w:val="PublicationTitleChar"/>
    <w:link w:val="FooterCoverPage"/>
    <w:uiPriority w:val="39"/>
    <w:semiHidden/>
    <w:rsid w:val="00337B06"/>
    <w:rPr>
      <w:rFonts w:ascii="Times New Roman" w:eastAsia="SimSun" w:hAnsi="Times New Roman"/>
      <w:bCs w:val="0"/>
      <w:color w:val="003399" w:themeColor="text2"/>
      <w:sz w:val="24"/>
      <w:szCs w:val="72"/>
      <w:lang w:eastAsia="en-GB"/>
    </w:rPr>
  </w:style>
  <w:style w:type="character" w:customStyle="1" w:styleId="BodyPlaceholderText">
    <w:name w:val="BodyPlaceholderText"/>
    <w:uiPriority w:val="1"/>
    <w:semiHidden/>
    <w:rsid w:val="00462069"/>
    <w:rPr>
      <w:noProof w:val="0"/>
      <w:color w:val="003399" w:themeColor="text2"/>
      <w:shd w:val="clear" w:color="auto" w:fill="FFFFFF"/>
      <w:lang w:val="en-GB"/>
    </w:rPr>
  </w:style>
  <w:style w:type="character" w:customStyle="1" w:styleId="Bold">
    <w:name w:val="Bold"/>
    <w:qFormat/>
    <w:rsid w:val="00462069"/>
    <w:rPr>
      <w:b/>
      <w:noProof w:val="0"/>
      <w:spacing w:val="1"/>
      <w:lang w:val="en-GB"/>
    </w:rPr>
  </w:style>
  <w:style w:type="character" w:customStyle="1" w:styleId="BoldAccent1">
    <w:name w:val="Bold (Accent 1)"/>
    <w:qFormat/>
    <w:rsid w:val="00462069"/>
    <w:rPr>
      <w:b/>
      <w:noProof w:val="0"/>
      <w:color w:val="003399" w:themeColor="text2"/>
      <w:spacing w:val="1"/>
      <w:lang w:val="en-GB"/>
    </w:rPr>
  </w:style>
  <w:style w:type="character" w:styleId="Emphasis">
    <w:name w:val="Emphasis"/>
    <w:uiPriority w:val="69"/>
    <w:semiHidden/>
    <w:rsid w:val="00462069"/>
    <w:rPr>
      <w:b/>
      <w:noProof w:val="0"/>
      <w:lang w:val="en-GB"/>
    </w:rPr>
  </w:style>
  <w:style w:type="character" w:styleId="EndnoteReference">
    <w:name w:val="endnote reference"/>
    <w:basedOn w:val="DefaultParagraphFont"/>
    <w:uiPriority w:val="8"/>
    <w:unhideWhenUsed/>
    <w:rsid w:val="00493C49"/>
    <w:rPr>
      <w:rFonts w:ascii="Calibri" w:hAnsi="Calibri" w:cs="Calibri"/>
      <w:noProof w:val="0"/>
      <w:color w:val="auto"/>
      <w:spacing w:val="0"/>
      <w:w w:val="100"/>
      <w:position w:val="-2"/>
      <w:vertAlign w:val="superscript"/>
      <w:lang w:val="en-GB"/>
    </w:rPr>
  </w:style>
  <w:style w:type="character" w:styleId="Hyperlink">
    <w:name w:val="Hyperlink"/>
    <w:uiPriority w:val="99"/>
    <w:unhideWhenUsed/>
    <w:qFormat/>
    <w:rsid w:val="00462069"/>
    <w:rPr>
      <w:noProof w:val="0"/>
      <w:color w:val="003399" w:themeColor="text2"/>
      <w:u w:val="single"/>
      <w:shd w:val="clear" w:color="auto" w:fill="auto"/>
      <w:lang w:val="en-GB"/>
    </w:rPr>
  </w:style>
  <w:style w:type="character" w:customStyle="1" w:styleId="HyperlinkWhite">
    <w:name w:val="Hyperlink White"/>
    <w:basedOn w:val="Hyperlink"/>
    <w:unhideWhenUsed/>
    <w:rsid w:val="00462069"/>
    <w:rPr>
      <w:noProof w:val="0"/>
      <w:color w:val="FFFFFF" w:themeColor="light1"/>
      <w:u w:val="single"/>
      <w:shd w:val="clear" w:color="auto" w:fill="auto"/>
      <w:lang w:val="en-GB"/>
    </w:rPr>
  </w:style>
  <w:style w:type="character" w:customStyle="1" w:styleId="langBG">
    <w:name w:val="lang_BG"/>
    <w:semiHidden/>
    <w:rsid w:val="00462069"/>
    <w:rPr>
      <w:noProof w:val="0"/>
      <w:lang w:val="bg-BG"/>
    </w:rPr>
  </w:style>
  <w:style w:type="character" w:customStyle="1" w:styleId="langCS">
    <w:name w:val="lang_CS"/>
    <w:semiHidden/>
    <w:rsid w:val="00462069"/>
    <w:rPr>
      <w:noProof w:val="0"/>
      <w:lang w:val="cs-CZ"/>
    </w:rPr>
  </w:style>
  <w:style w:type="character" w:customStyle="1" w:styleId="langDA">
    <w:name w:val="lang_DA"/>
    <w:semiHidden/>
    <w:rsid w:val="00462069"/>
    <w:rPr>
      <w:noProof w:val="0"/>
      <w:lang w:val="da-DK"/>
    </w:rPr>
  </w:style>
  <w:style w:type="character" w:customStyle="1" w:styleId="langDE">
    <w:name w:val="lang_DE"/>
    <w:semiHidden/>
    <w:rsid w:val="00462069"/>
    <w:rPr>
      <w:noProof w:val="0"/>
      <w:lang w:val="de-DE"/>
    </w:rPr>
  </w:style>
  <w:style w:type="character" w:customStyle="1" w:styleId="langEL">
    <w:name w:val="lang_EL"/>
    <w:semiHidden/>
    <w:rsid w:val="00462069"/>
    <w:rPr>
      <w:noProof w:val="0"/>
      <w:lang w:val="el-GR"/>
    </w:rPr>
  </w:style>
  <w:style w:type="character" w:customStyle="1" w:styleId="langEN">
    <w:name w:val="lang_EN"/>
    <w:semiHidden/>
    <w:rsid w:val="00462069"/>
    <w:rPr>
      <w:noProof w:val="0"/>
      <w:lang w:val="en-GB"/>
    </w:rPr>
  </w:style>
  <w:style w:type="character" w:customStyle="1" w:styleId="langES">
    <w:name w:val="lang_ES"/>
    <w:semiHidden/>
    <w:rsid w:val="00462069"/>
    <w:rPr>
      <w:noProof w:val="0"/>
      <w:lang w:val="es-ES"/>
    </w:rPr>
  </w:style>
  <w:style w:type="character" w:customStyle="1" w:styleId="langET">
    <w:name w:val="lang_ET"/>
    <w:semiHidden/>
    <w:rsid w:val="00462069"/>
    <w:rPr>
      <w:noProof w:val="0"/>
      <w:lang w:val="et-EE"/>
    </w:rPr>
  </w:style>
  <w:style w:type="character" w:customStyle="1" w:styleId="langFI">
    <w:name w:val="lang_FI"/>
    <w:semiHidden/>
    <w:rsid w:val="00462069"/>
    <w:rPr>
      <w:noProof w:val="0"/>
      <w:lang w:val="fi-FI"/>
    </w:rPr>
  </w:style>
  <w:style w:type="character" w:customStyle="1" w:styleId="langFR">
    <w:name w:val="lang_FR"/>
    <w:semiHidden/>
    <w:rsid w:val="00462069"/>
    <w:rPr>
      <w:noProof w:val="0"/>
      <w:lang w:val="fr-FR"/>
    </w:rPr>
  </w:style>
  <w:style w:type="character" w:customStyle="1" w:styleId="langGA">
    <w:name w:val="lang_GA"/>
    <w:semiHidden/>
    <w:rsid w:val="00462069"/>
    <w:rPr>
      <w:noProof w:val="0"/>
      <w:lang w:val="ga-IE"/>
    </w:rPr>
  </w:style>
  <w:style w:type="character" w:customStyle="1" w:styleId="langHR">
    <w:name w:val="lang_HR"/>
    <w:semiHidden/>
    <w:rsid w:val="00462069"/>
    <w:rPr>
      <w:noProof w:val="0"/>
      <w:lang w:val="hr-HR"/>
    </w:rPr>
  </w:style>
  <w:style w:type="character" w:customStyle="1" w:styleId="langHU">
    <w:name w:val="lang_HU"/>
    <w:semiHidden/>
    <w:rsid w:val="00462069"/>
    <w:rPr>
      <w:noProof w:val="0"/>
      <w:lang w:val="hu-HU"/>
    </w:rPr>
  </w:style>
  <w:style w:type="character" w:customStyle="1" w:styleId="langIT">
    <w:name w:val="lang_IT"/>
    <w:semiHidden/>
    <w:rsid w:val="00462069"/>
    <w:rPr>
      <w:noProof w:val="0"/>
      <w:lang w:val="it-IT"/>
    </w:rPr>
  </w:style>
  <w:style w:type="character" w:customStyle="1" w:styleId="langLT">
    <w:name w:val="lang_LT"/>
    <w:semiHidden/>
    <w:rsid w:val="00462069"/>
    <w:rPr>
      <w:noProof w:val="0"/>
      <w:lang w:val="lt-LT"/>
    </w:rPr>
  </w:style>
  <w:style w:type="character" w:customStyle="1" w:styleId="langLV">
    <w:name w:val="lang_LV"/>
    <w:semiHidden/>
    <w:rsid w:val="00462069"/>
    <w:rPr>
      <w:noProof w:val="0"/>
      <w:lang w:val="lv-LV"/>
    </w:rPr>
  </w:style>
  <w:style w:type="character" w:customStyle="1" w:styleId="langMT">
    <w:name w:val="lang_MT"/>
    <w:semiHidden/>
    <w:rsid w:val="00462069"/>
    <w:rPr>
      <w:noProof w:val="0"/>
      <w:lang w:val="mt-MT"/>
    </w:rPr>
  </w:style>
  <w:style w:type="character" w:customStyle="1" w:styleId="langNL">
    <w:name w:val="lang_NL"/>
    <w:semiHidden/>
    <w:rsid w:val="00462069"/>
    <w:rPr>
      <w:noProof w:val="0"/>
      <w:lang w:val="nl-NL"/>
    </w:rPr>
  </w:style>
  <w:style w:type="character" w:customStyle="1" w:styleId="langPL">
    <w:name w:val="lang_PL"/>
    <w:semiHidden/>
    <w:rsid w:val="00462069"/>
    <w:rPr>
      <w:noProof w:val="0"/>
      <w:lang w:val="pl-PL"/>
    </w:rPr>
  </w:style>
  <w:style w:type="character" w:customStyle="1" w:styleId="langPT">
    <w:name w:val="lang_PT"/>
    <w:semiHidden/>
    <w:rsid w:val="00462069"/>
    <w:rPr>
      <w:noProof w:val="0"/>
      <w:lang w:val="pt-PT"/>
    </w:rPr>
  </w:style>
  <w:style w:type="character" w:customStyle="1" w:styleId="langRO">
    <w:name w:val="lang_RO"/>
    <w:semiHidden/>
    <w:rsid w:val="00462069"/>
    <w:rPr>
      <w:noProof w:val="0"/>
      <w:lang w:val="ro-RO"/>
    </w:rPr>
  </w:style>
  <w:style w:type="character" w:customStyle="1" w:styleId="langSK">
    <w:name w:val="lang_SK"/>
    <w:semiHidden/>
    <w:rsid w:val="00462069"/>
    <w:rPr>
      <w:noProof w:val="0"/>
      <w:lang w:val="sk-SK"/>
    </w:rPr>
  </w:style>
  <w:style w:type="character" w:customStyle="1" w:styleId="langSL">
    <w:name w:val="lang_SL"/>
    <w:semiHidden/>
    <w:rsid w:val="00462069"/>
    <w:rPr>
      <w:noProof w:val="0"/>
      <w:lang w:val="sl-SI"/>
    </w:rPr>
  </w:style>
  <w:style w:type="character" w:customStyle="1" w:styleId="langSV">
    <w:name w:val="lang_SV"/>
    <w:semiHidden/>
    <w:rsid w:val="00462069"/>
    <w:rPr>
      <w:noProof w:val="0"/>
      <w:lang w:val="sv-SE"/>
    </w:rPr>
  </w:style>
  <w:style w:type="character" w:customStyle="1" w:styleId="langXX">
    <w:name w:val="lang_XX"/>
    <w:semiHidden/>
    <w:rsid w:val="00462069"/>
    <w:rPr>
      <w:noProof w:val="0"/>
    </w:rPr>
  </w:style>
  <w:style w:type="character" w:styleId="PlaceholderText">
    <w:name w:val="Placeholder Text"/>
    <w:uiPriority w:val="99"/>
    <w:semiHidden/>
    <w:rsid w:val="00462069"/>
    <w:rPr>
      <w:noProof w:val="0"/>
      <w:color w:val="003399" w:themeColor="text2"/>
      <w:shd w:val="clear" w:color="auto" w:fill="FFFFFF"/>
      <w:lang w:val="en-GB"/>
    </w:rPr>
  </w:style>
  <w:style w:type="paragraph" w:customStyle="1" w:styleId="BoxTitle">
    <w:name w:val="Box Title"/>
    <w:basedOn w:val="Normal"/>
    <w:next w:val="Normal"/>
    <w:uiPriority w:val="4"/>
    <w:qFormat/>
    <w:rsid w:val="00427964"/>
    <w:pPr>
      <w:keepNext/>
      <w:keepLines/>
    </w:pPr>
    <w:rPr>
      <w:rFonts w:ascii="EC Square Sans Pro Medium" w:eastAsia="Times New Roman" w:hAnsi="EC Square Sans Pro Medium"/>
      <w:color w:val="DC3903"/>
      <w:sz w:val="22"/>
    </w:rPr>
  </w:style>
  <w:style w:type="paragraph" w:styleId="Caption">
    <w:name w:val="caption"/>
    <w:next w:val="Normal"/>
    <w:uiPriority w:val="35"/>
    <w:semiHidden/>
    <w:rsid w:val="00462069"/>
    <w:pPr>
      <w:suppressAutoHyphens/>
      <w:spacing w:after="200" w:line="240" w:lineRule="auto"/>
    </w:pPr>
    <w:rPr>
      <w:rFonts w:ascii="EC Square Sans Pro" w:eastAsia="SimSun" w:hAnsi="EC Square Sans Pro"/>
      <w:b/>
      <w:lang w:eastAsia="en-GB"/>
    </w:rPr>
  </w:style>
  <w:style w:type="paragraph" w:customStyle="1" w:styleId="Comment">
    <w:name w:val="Comment"/>
    <w:basedOn w:val="Normal"/>
    <w:uiPriority w:val="36"/>
    <w:semiHidden/>
    <w:rsid w:val="00462069"/>
    <w:pPr>
      <w:shd w:val="thinDiagStripe" w:color="D9D9D9" w:fill="auto"/>
    </w:pPr>
    <w:rPr>
      <w:vanish/>
    </w:rPr>
  </w:style>
  <w:style w:type="paragraph" w:customStyle="1" w:styleId="CopyrightPage">
    <w:name w:val="Copyright Page"/>
    <w:basedOn w:val="Normal"/>
    <w:uiPriority w:val="40"/>
    <w:semiHidden/>
    <w:rsid w:val="00462069"/>
    <w:rPr>
      <w:sz w:val="18"/>
      <w:szCs w:val="18"/>
    </w:rPr>
  </w:style>
  <w:style w:type="paragraph" w:customStyle="1" w:styleId="CopyrightPageIdentifier">
    <w:name w:val="Copyright Page Identifier"/>
    <w:basedOn w:val="Normal"/>
    <w:uiPriority w:val="40"/>
    <w:semiHidden/>
    <w:rsid w:val="00462069"/>
    <w:pPr>
      <w:tabs>
        <w:tab w:val="left" w:pos="567"/>
        <w:tab w:val="left" w:pos="2835"/>
        <w:tab w:val="left" w:pos="4535"/>
        <w:tab w:val="left" w:pos="6520"/>
      </w:tabs>
      <w:spacing w:before="120"/>
      <w:contextualSpacing/>
    </w:pPr>
    <w:rPr>
      <w:sz w:val="18"/>
      <w:szCs w:val="18"/>
    </w:rPr>
  </w:style>
  <w:style w:type="paragraph" w:customStyle="1" w:styleId="CopyrightPageNoSpace">
    <w:name w:val="Copyright Page NoSpace"/>
    <w:basedOn w:val="Normal"/>
    <w:uiPriority w:val="40"/>
    <w:semiHidden/>
    <w:rsid w:val="00462069"/>
    <w:pPr>
      <w:spacing w:before="0" w:after="0"/>
    </w:pPr>
    <w:rPr>
      <w:sz w:val="18"/>
      <w:szCs w:val="18"/>
    </w:rPr>
  </w:style>
  <w:style w:type="paragraph" w:customStyle="1" w:styleId="FigureCopyrights">
    <w:name w:val="Figure Copyrights"/>
    <w:basedOn w:val="ImageCopyrights"/>
    <w:next w:val="FigureSource"/>
    <w:uiPriority w:val="5"/>
    <w:semiHidden/>
    <w:rsid w:val="00462069"/>
  </w:style>
  <w:style w:type="paragraph" w:customStyle="1" w:styleId="FigurePlaceholder">
    <w:name w:val="Figure Placeholder"/>
    <w:basedOn w:val="ImagePlaceholder"/>
    <w:next w:val="FigureCopyrights"/>
    <w:uiPriority w:val="5"/>
    <w:semiHidden/>
    <w:rsid w:val="00462069"/>
  </w:style>
  <w:style w:type="paragraph" w:customStyle="1" w:styleId="FigureSource">
    <w:name w:val="Figure Source"/>
    <w:basedOn w:val="ImageSource"/>
    <w:next w:val="Normal"/>
    <w:uiPriority w:val="5"/>
    <w:semiHidden/>
    <w:rsid w:val="00462069"/>
  </w:style>
  <w:style w:type="paragraph" w:customStyle="1" w:styleId="FigureSubtitle">
    <w:name w:val="Figure Subtitle"/>
    <w:basedOn w:val="ImageSubtitle"/>
    <w:next w:val="FigurePlaceholder"/>
    <w:uiPriority w:val="5"/>
    <w:semiHidden/>
    <w:rsid w:val="00462069"/>
    <w:rPr>
      <w:rFonts w:eastAsia="Times New Roman"/>
    </w:rPr>
  </w:style>
  <w:style w:type="paragraph" w:customStyle="1" w:styleId="FigureTitle">
    <w:name w:val="Figure Title"/>
    <w:basedOn w:val="Normal"/>
    <w:next w:val="FigureSubtitle"/>
    <w:uiPriority w:val="5"/>
    <w:semiHidden/>
    <w:rsid w:val="00462069"/>
    <w:pPr>
      <w:keepNext/>
      <w:spacing w:before="360" w:after="60"/>
    </w:pPr>
    <w:rPr>
      <w:rFonts w:eastAsia="Times New Roman"/>
      <w:b/>
      <w:color w:val="DC3903"/>
    </w:rPr>
  </w:style>
  <w:style w:type="paragraph" w:customStyle="1" w:styleId="FooterCover">
    <w:name w:val="Footer Cover"/>
    <w:uiPriority w:val="99"/>
    <w:semiHidden/>
    <w:rsid w:val="00462069"/>
    <w:pPr>
      <w:suppressAutoHyphens/>
      <w:spacing w:before="0" w:after="0" w:line="240" w:lineRule="auto"/>
    </w:pPr>
    <w:rPr>
      <w:rFonts w:ascii="EC Square Sans Pro" w:eastAsia="SimSun" w:hAnsi="EC Square Sans Pro"/>
      <w:color w:val="FFFFFF" w:themeColor="light1"/>
      <w:sz w:val="18"/>
      <w:lang w:eastAsia="en-GB"/>
    </w:rPr>
  </w:style>
  <w:style w:type="paragraph" w:customStyle="1" w:styleId="FooterEven">
    <w:name w:val="Footer Even"/>
    <w:basedOn w:val="Footer"/>
    <w:uiPriority w:val="15"/>
    <w:rsid w:val="00462069"/>
    <w:pPr>
      <w:jc w:val="right"/>
    </w:pPr>
  </w:style>
  <w:style w:type="paragraph" w:customStyle="1" w:styleId="FooterOdd">
    <w:name w:val="Footer Odd"/>
    <w:basedOn w:val="Footer"/>
    <w:uiPriority w:val="15"/>
    <w:rsid w:val="00462069"/>
    <w:pPr>
      <w:jc w:val="left"/>
    </w:pPr>
  </w:style>
  <w:style w:type="paragraph" w:customStyle="1" w:styleId="HeaderEven">
    <w:name w:val="Header Even"/>
    <w:basedOn w:val="Header"/>
    <w:uiPriority w:val="15"/>
    <w:rsid w:val="00462069"/>
    <w:pPr>
      <w:jc w:val="right"/>
    </w:pPr>
  </w:style>
  <w:style w:type="paragraph" w:customStyle="1" w:styleId="HeaderOdd">
    <w:name w:val="Header Odd"/>
    <w:basedOn w:val="Header"/>
    <w:uiPriority w:val="15"/>
    <w:rsid w:val="00462069"/>
    <w:pPr>
      <w:jc w:val="left"/>
    </w:pPr>
  </w:style>
  <w:style w:type="paragraph" w:customStyle="1" w:styleId="ImageAlternative">
    <w:name w:val="Image Alternative"/>
    <w:next w:val="ImageCaption"/>
    <w:uiPriority w:val="5"/>
    <w:semiHidden/>
    <w:rsid w:val="00462069"/>
    <w:pPr>
      <w:keepNext/>
      <w:shd w:val="clear" w:color="auto" w:fill="C00000"/>
      <w:suppressAutoHyphens/>
      <w:spacing w:before="40" w:line="281" w:lineRule="auto"/>
    </w:pPr>
    <w:rPr>
      <w:rFonts w:ascii="EC Square Sans Pro" w:eastAsia="SimSun" w:hAnsi="EC Square Sans Pro"/>
      <w:color w:val="FFFFFF" w:themeColor="light1"/>
      <w:sz w:val="22"/>
      <w:lang w:eastAsia="en-GB"/>
    </w:rPr>
  </w:style>
  <w:style w:type="paragraph" w:customStyle="1" w:styleId="ImageCaption">
    <w:name w:val="Image Caption"/>
    <w:next w:val="ImageCopyrights"/>
    <w:uiPriority w:val="5"/>
    <w:rsid w:val="00462069"/>
    <w:pPr>
      <w:suppressAutoHyphens/>
      <w:spacing w:before="40" w:after="40" w:line="240" w:lineRule="auto"/>
    </w:pPr>
    <w:rPr>
      <w:rFonts w:ascii="EC Square Sans Pro Medium" w:eastAsia="SimSun" w:hAnsi="EC Square Sans Pro Medium"/>
      <w:sz w:val="16"/>
      <w:lang w:eastAsia="en-GB"/>
    </w:rPr>
  </w:style>
  <w:style w:type="paragraph" w:customStyle="1" w:styleId="ImageCopyrights">
    <w:name w:val="Image Copyrights"/>
    <w:next w:val="ImageSource"/>
    <w:uiPriority w:val="5"/>
    <w:rsid w:val="00462069"/>
    <w:pPr>
      <w:keepNext/>
      <w:suppressAutoHyphens/>
      <w:spacing w:before="40" w:after="40" w:line="240" w:lineRule="auto"/>
    </w:pPr>
    <w:rPr>
      <w:rFonts w:ascii="EC Square Sans Pro" w:eastAsia="SimSun" w:hAnsi="EC Square Sans Pro"/>
      <w:sz w:val="16"/>
      <w:lang w:eastAsia="en-GB"/>
    </w:rPr>
  </w:style>
  <w:style w:type="paragraph" w:customStyle="1" w:styleId="ImageNotes">
    <w:name w:val="Image Notes"/>
    <w:uiPriority w:val="5"/>
    <w:qFormat/>
    <w:rsid w:val="00462069"/>
    <w:pPr>
      <w:suppressAutoHyphens/>
      <w:spacing w:before="40" w:after="40" w:line="240" w:lineRule="auto"/>
    </w:pPr>
    <w:rPr>
      <w:sz w:val="16"/>
      <w:lang w:eastAsia="en-GB"/>
    </w:rPr>
  </w:style>
  <w:style w:type="paragraph" w:customStyle="1" w:styleId="ImagePlaceholder">
    <w:name w:val="Image Placeholder"/>
    <w:next w:val="ImageAlternative"/>
    <w:uiPriority w:val="5"/>
    <w:qFormat/>
    <w:rsid w:val="00541054"/>
    <w:pPr>
      <w:keepNext/>
      <w:suppressAutoHyphens/>
      <w:spacing w:before="0" w:after="2" w:line="281" w:lineRule="auto"/>
      <w:jc w:val="center"/>
    </w:pPr>
    <w:rPr>
      <w:rFonts w:ascii="EC Square Sans Pro" w:eastAsia="SimSun" w:hAnsi="EC Square Sans Pro"/>
      <w:noProof/>
      <w:lang w:eastAsia="en-GB"/>
    </w:rPr>
  </w:style>
  <w:style w:type="paragraph" w:customStyle="1" w:styleId="ImageSource">
    <w:name w:val="Image Source"/>
    <w:next w:val="Normal"/>
    <w:uiPriority w:val="5"/>
    <w:qFormat/>
    <w:rsid w:val="00462069"/>
    <w:pPr>
      <w:suppressAutoHyphens/>
      <w:spacing w:before="40" w:after="40" w:line="240" w:lineRule="auto"/>
    </w:pPr>
    <w:rPr>
      <w:rFonts w:ascii="EC Square Sans Pro" w:eastAsia="SimSun" w:hAnsi="EC Square Sans Pro"/>
      <w:sz w:val="16"/>
      <w:lang w:eastAsia="en-GB"/>
    </w:rPr>
  </w:style>
  <w:style w:type="paragraph" w:customStyle="1" w:styleId="ImageSubtitle">
    <w:name w:val="Image Subtitle"/>
    <w:next w:val="ImagePlaceholder"/>
    <w:uiPriority w:val="5"/>
    <w:qFormat/>
    <w:rsid w:val="00462069"/>
    <w:pPr>
      <w:keepNext/>
      <w:suppressAutoHyphens/>
      <w:spacing w:before="0" w:after="60" w:line="281" w:lineRule="auto"/>
    </w:pPr>
    <w:rPr>
      <w:rFonts w:ascii="EC Square Sans Pro" w:eastAsia="SimSun" w:hAnsi="EC Square Sans Pro"/>
      <w:color w:val="DC3903"/>
      <w:lang w:eastAsia="en-GB"/>
    </w:rPr>
  </w:style>
  <w:style w:type="paragraph" w:customStyle="1" w:styleId="ImageTitle">
    <w:name w:val="Image Title"/>
    <w:next w:val="ImageSubtitle"/>
    <w:uiPriority w:val="5"/>
    <w:qFormat/>
    <w:rsid w:val="006B39FF"/>
    <w:pPr>
      <w:keepNext/>
      <w:suppressAutoHyphens/>
      <w:spacing w:before="480" w:after="60"/>
    </w:pPr>
    <w:rPr>
      <w:rFonts w:ascii="EC Square Sans Pro Medium" w:eastAsia="SimSun" w:hAnsi="EC Square Sans Pro Medium"/>
      <w:color w:val="DC3903"/>
      <w:sz w:val="22"/>
      <w:lang w:eastAsia="en-GB"/>
    </w:rPr>
  </w:style>
  <w:style w:type="paragraph" w:styleId="Index1">
    <w:name w:val="index 1"/>
    <w:basedOn w:val="Normal"/>
    <w:next w:val="Normal"/>
    <w:uiPriority w:val="39"/>
    <w:semiHidden/>
    <w:rsid w:val="00462069"/>
    <w:pPr>
      <w:spacing w:before="0" w:after="0" w:line="240" w:lineRule="auto"/>
      <w:ind w:left="238" w:hanging="238"/>
    </w:pPr>
  </w:style>
  <w:style w:type="paragraph" w:styleId="Index2">
    <w:name w:val="index 2"/>
    <w:basedOn w:val="Normal"/>
    <w:next w:val="Normal"/>
    <w:uiPriority w:val="39"/>
    <w:semiHidden/>
    <w:rsid w:val="00462069"/>
    <w:pPr>
      <w:spacing w:before="0" w:after="0" w:line="240" w:lineRule="auto"/>
      <w:ind w:left="476" w:hanging="238"/>
    </w:pPr>
  </w:style>
  <w:style w:type="paragraph" w:styleId="Index3">
    <w:name w:val="index 3"/>
    <w:basedOn w:val="Normal"/>
    <w:next w:val="Normal"/>
    <w:uiPriority w:val="39"/>
    <w:semiHidden/>
    <w:rsid w:val="00462069"/>
    <w:pPr>
      <w:spacing w:before="0" w:after="0" w:line="240" w:lineRule="auto"/>
      <w:ind w:left="720" w:hanging="238"/>
    </w:pPr>
  </w:style>
  <w:style w:type="paragraph" w:styleId="Index4">
    <w:name w:val="index 4"/>
    <w:basedOn w:val="Normal"/>
    <w:next w:val="Normal"/>
    <w:uiPriority w:val="39"/>
    <w:semiHidden/>
    <w:rsid w:val="00462069"/>
    <w:pPr>
      <w:spacing w:before="0" w:after="0" w:line="240" w:lineRule="auto"/>
      <w:ind w:left="958" w:hanging="238"/>
    </w:pPr>
  </w:style>
  <w:style w:type="paragraph" w:styleId="Index5">
    <w:name w:val="index 5"/>
    <w:basedOn w:val="Normal"/>
    <w:next w:val="Normal"/>
    <w:uiPriority w:val="39"/>
    <w:semiHidden/>
    <w:rsid w:val="00462069"/>
    <w:pPr>
      <w:spacing w:before="0" w:after="0" w:line="240" w:lineRule="auto"/>
      <w:ind w:left="1196" w:hanging="238"/>
    </w:pPr>
  </w:style>
  <w:style w:type="paragraph" w:styleId="Index6">
    <w:name w:val="index 6"/>
    <w:basedOn w:val="Normal"/>
    <w:next w:val="Normal"/>
    <w:uiPriority w:val="39"/>
    <w:semiHidden/>
    <w:rsid w:val="00462069"/>
    <w:pPr>
      <w:spacing w:before="0" w:after="0" w:line="240" w:lineRule="auto"/>
      <w:ind w:left="1440" w:hanging="238"/>
    </w:pPr>
  </w:style>
  <w:style w:type="paragraph" w:styleId="Index7">
    <w:name w:val="index 7"/>
    <w:basedOn w:val="Normal"/>
    <w:next w:val="Normal"/>
    <w:uiPriority w:val="39"/>
    <w:semiHidden/>
    <w:rsid w:val="00462069"/>
    <w:pPr>
      <w:spacing w:before="0" w:after="0" w:line="240" w:lineRule="auto"/>
      <w:ind w:left="1678" w:hanging="238"/>
    </w:pPr>
  </w:style>
  <w:style w:type="paragraph" w:styleId="Index8">
    <w:name w:val="index 8"/>
    <w:basedOn w:val="Normal"/>
    <w:next w:val="Normal"/>
    <w:uiPriority w:val="39"/>
    <w:semiHidden/>
    <w:rsid w:val="00462069"/>
    <w:pPr>
      <w:spacing w:before="0" w:after="0" w:line="240" w:lineRule="auto"/>
      <w:ind w:left="1916" w:hanging="238"/>
    </w:pPr>
  </w:style>
  <w:style w:type="paragraph" w:styleId="Index9">
    <w:name w:val="index 9"/>
    <w:basedOn w:val="Normal"/>
    <w:next w:val="Normal"/>
    <w:uiPriority w:val="39"/>
    <w:semiHidden/>
    <w:rsid w:val="00462069"/>
    <w:pPr>
      <w:spacing w:before="0" w:after="0" w:line="240" w:lineRule="auto"/>
      <w:ind w:left="2160" w:hanging="238"/>
    </w:pPr>
  </w:style>
  <w:style w:type="paragraph" w:styleId="IndexHeading">
    <w:name w:val="index heading"/>
    <w:basedOn w:val="Normal"/>
    <w:next w:val="Normal"/>
    <w:uiPriority w:val="39"/>
    <w:semiHidden/>
    <w:rsid w:val="00462069"/>
    <w:rPr>
      <w:b/>
      <w:color w:val="003399" w:themeColor="text2"/>
    </w:rPr>
  </w:style>
  <w:style w:type="paragraph" w:customStyle="1" w:styleId="LayoutComment">
    <w:name w:val="Layout Comment"/>
    <w:basedOn w:val="Normal"/>
    <w:semiHidden/>
    <w:rsid w:val="00462069"/>
    <w:pPr>
      <w:pBdr>
        <w:top w:val="single" w:sz="48" w:space="31" w:color="595959"/>
        <w:left w:val="single" w:sz="48" w:space="31" w:color="595959"/>
        <w:bottom w:val="single" w:sz="48" w:space="31" w:color="595959"/>
        <w:right w:val="single" w:sz="48" w:space="31" w:color="595959"/>
      </w:pBdr>
      <w:shd w:val="clear" w:color="auto" w:fill="595959"/>
      <w:ind w:left="-658" w:right="-680"/>
    </w:pPr>
    <w:rPr>
      <w:color w:val="FFFFFF" w:themeColor="light1"/>
    </w:rPr>
  </w:style>
  <w:style w:type="paragraph" w:customStyle="1" w:styleId="Listabc">
    <w:name w:val="List abc"/>
    <w:basedOn w:val="Normal"/>
    <w:uiPriority w:val="3"/>
    <w:qFormat/>
    <w:rsid w:val="00651972"/>
    <w:pPr>
      <w:numPr>
        <w:numId w:val="38"/>
      </w:numPr>
      <w:suppressAutoHyphens w:val="0"/>
      <w:spacing w:before="60" w:after="60"/>
    </w:pPr>
    <w:rPr>
      <w:rFonts w:asciiTheme="minorHAnsi" w:eastAsia="Times New Roman" w:hAnsiTheme="minorHAnsi"/>
      <w:sz w:val="22"/>
      <w:szCs w:val="22"/>
    </w:rPr>
  </w:style>
  <w:style w:type="paragraph" w:customStyle="1" w:styleId="ListabcLevel2">
    <w:name w:val="List abc (Level 2)"/>
    <w:basedOn w:val="Listabc"/>
    <w:uiPriority w:val="3"/>
    <w:rsid w:val="00651972"/>
    <w:pPr>
      <w:numPr>
        <w:ilvl w:val="1"/>
      </w:numPr>
    </w:pPr>
  </w:style>
  <w:style w:type="paragraph" w:customStyle="1" w:styleId="ListabcLevel3">
    <w:name w:val="List abc (Level 3)"/>
    <w:basedOn w:val="Listabc"/>
    <w:uiPriority w:val="3"/>
    <w:unhideWhenUsed/>
    <w:rsid w:val="00651972"/>
    <w:pPr>
      <w:numPr>
        <w:ilvl w:val="2"/>
      </w:numPr>
    </w:pPr>
  </w:style>
  <w:style w:type="paragraph" w:customStyle="1" w:styleId="ListabcLevel4">
    <w:name w:val="List abc (Level 4)"/>
    <w:basedOn w:val="Listabc"/>
    <w:uiPriority w:val="3"/>
    <w:semiHidden/>
    <w:rsid w:val="00651972"/>
  </w:style>
  <w:style w:type="paragraph" w:styleId="ListBullet">
    <w:name w:val="List Bullet"/>
    <w:uiPriority w:val="3"/>
    <w:qFormat/>
    <w:rsid w:val="00C824AF"/>
    <w:pPr>
      <w:numPr>
        <w:numId w:val="11"/>
      </w:numPr>
      <w:spacing w:before="60" w:after="60"/>
    </w:pPr>
    <w:rPr>
      <w:rFonts w:ascii="EC Square Sans Pro" w:hAnsi="EC Square Sans Pro"/>
      <w:lang w:eastAsia="en-GB"/>
    </w:rPr>
  </w:style>
  <w:style w:type="paragraph" w:customStyle="1" w:styleId="ListBulletLevel2">
    <w:name w:val="List Bullet (Level 2)"/>
    <w:uiPriority w:val="3"/>
    <w:qFormat/>
    <w:rsid w:val="00C824AF"/>
    <w:pPr>
      <w:numPr>
        <w:ilvl w:val="1"/>
        <w:numId w:val="11"/>
      </w:numPr>
      <w:spacing w:before="60" w:after="60"/>
    </w:pPr>
    <w:rPr>
      <w:rFonts w:ascii="EC Square Sans Pro" w:hAnsi="EC Square Sans Pro"/>
      <w:lang w:eastAsia="en-GB"/>
    </w:rPr>
  </w:style>
  <w:style w:type="paragraph" w:customStyle="1" w:styleId="ListBulletLevel3">
    <w:name w:val="List Bullet (Level 3)"/>
    <w:uiPriority w:val="3"/>
    <w:unhideWhenUsed/>
    <w:qFormat/>
    <w:rsid w:val="00C824AF"/>
    <w:pPr>
      <w:numPr>
        <w:ilvl w:val="2"/>
        <w:numId w:val="11"/>
      </w:numPr>
      <w:spacing w:before="60" w:after="60"/>
    </w:pPr>
    <w:rPr>
      <w:rFonts w:ascii="EC Square Sans Pro" w:hAnsi="EC Square Sans Pro"/>
      <w:lang w:eastAsia="en-GB"/>
    </w:rPr>
  </w:style>
  <w:style w:type="paragraph" w:customStyle="1" w:styleId="ListBulletLevel4">
    <w:name w:val="List Bullet (Level 4)"/>
    <w:uiPriority w:val="3"/>
    <w:unhideWhenUsed/>
    <w:qFormat/>
    <w:rsid w:val="00C51F7D"/>
    <w:pPr>
      <w:numPr>
        <w:ilvl w:val="3"/>
        <w:numId w:val="11"/>
      </w:numPr>
      <w:spacing w:before="60" w:after="60"/>
    </w:pPr>
    <w:rPr>
      <w:rFonts w:ascii="EC Square Sans Pro" w:hAnsi="EC Square Sans Pro"/>
      <w:lang w:eastAsia="en-GB"/>
    </w:rPr>
  </w:style>
  <w:style w:type="paragraph" w:customStyle="1" w:styleId="ListBulletLevel5">
    <w:name w:val="List Bullet (Level 5)"/>
    <w:uiPriority w:val="3"/>
    <w:semiHidden/>
    <w:rsid w:val="002F73C5"/>
    <w:pPr>
      <w:suppressAutoHyphens/>
    </w:pPr>
    <w:rPr>
      <w:rFonts w:ascii="EC Square Sans Pro" w:hAnsi="EC Square Sans Pro"/>
      <w:lang w:eastAsia="en-GB"/>
    </w:rPr>
  </w:style>
  <w:style w:type="paragraph" w:customStyle="1" w:styleId="ListMixed">
    <w:name w:val="List Mixed"/>
    <w:uiPriority w:val="3"/>
    <w:qFormat/>
    <w:rsid w:val="002F73C5"/>
    <w:pPr>
      <w:numPr>
        <w:numId w:val="24"/>
      </w:numPr>
      <w:suppressAutoHyphens/>
      <w:spacing w:before="60" w:after="60"/>
    </w:pPr>
    <w:rPr>
      <w:rFonts w:ascii="EC Square Sans Pro" w:hAnsi="EC Square Sans Pro"/>
      <w:lang w:eastAsia="en-GB"/>
    </w:rPr>
  </w:style>
  <w:style w:type="paragraph" w:customStyle="1" w:styleId="ListMixedLevel2">
    <w:name w:val="List Mixed (Level 2)"/>
    <w:uiPriority w:val="3"/>
    <w:rsid w:val="002F73C5"/>
    <w:pPr>
      <w:numPr>
        <w:ilvl w:val="1"/>
        <w:numId w:val="24"/>
      </w:numPr>
      <w:suppressAutoHyphens/>
      <w:spacing w:before="60" w:after="60"/>
    </w:pPr>
    <w:rPr>
      <w:rFonts w:ascii="EC Square Sans Pro" w:hAnsi="EC Square Sans Pro"/>
      <w:lang w:eastAsia="en-GB"/>
    </w:rPr>
  </w:style>
  <w:style w:type="paragraph" w:customStyle="1" w:styleId="ListMixedLevel3">
    <w:name w:val="List Mixed (Level 3)"/>
    <w:uiPriority w:val="3"/>
    <w:unhideWhenUsed/>
    <w:rsid w:val="002F73C5"/>
    <w:pPr>
      <w:numPr>
        <w:ilvl w:val="2"/>
        <w:numId w:val="24"/>
      </w:numPr>
      <w:suppressAutoHyphens/>
      <w:spacing w:before="60" w:after="60"/>
    </w:pPr>
    <w:rPr>
      <w:rFonts w:ascii="EC Square Sans Pro" w:hAnsi="EC Square Sans Pro"/>
      <w:lang w:eastAsia="en-GB"/>
    </w:rPr>
  </w:style>
  <w:style w:type="paragraph" w:customStyle="1" w:styleId="ListMixedLevel4">
    <w:name w:val="List Mixed (Level 4)"/>
    <w:basedOn w:val="ListMixed"/>
    <w:uiPriority w:val="3"/>
    <w:semiHidden/>
    <w:rsid w:val="002F73C5"/>
    <w:rPr>
      <w:rFonts w:asciiTheme="minorHAnsi" w:hAnsiTheme="minorHAnsi"/>
    </w:rPr>
  </w:style>
  <w:style w:type="paragraph" w:styleId="ListNumber">
    <w:name w:val="List Number"/>
    <w:basedOn w:val="Normal"/>
    <w:uiPriority w:val="3"/>
    <w:qFormat/>
    <w:rsid w:val="00C824AF"/>
    <w:pPr>
      <w:numPr>
        <w:numId w:val="32"/>
      </w:numPr>
      <w:spacing w:before="60" w:after="60"/>
    </w:pPr>
    <w:rPr>
      <w:rFonts w:eastAsia="Times New Roman"/>
    </w:rPr>
  </w:style>
  <w:style w:type="paragraph" w:customStyle="1" w:styleId="ListNumberLevel2">
    <w:name w:val="List Number (Level 2)"/>
    <w:basedOn w:val="ListNumber"/>
    <w:uiPriority w:val="3"/>
    <w:qFormat/>
    <w:rsid w:val="002F73C5"/>
    <w:pPr>
      <w:numPr>
        <w:ilvl w:val="1"/>
      </w:numPr>
    </w:pPr>
  </w:style>
  <w:style w:type="paragraph" w:customStyle="1" w:styleId="ListNumberLevel3">
    <w:name w:val="List Number (Level 3)"/>
    <w:basedOn w:val="ListNumber"/>
    <w:uiPriority w:val="3"/>
    <w:unhideWhenUsed/>
    <w:qFormat/>
    <w:rsid w:val="002F73C5"/>
    <w:pPr>
      <w:numPr>
        <w:ilvl w:val="2"/>
      </w:numPr>
    </w:pPr>
  </w:style>
  <w:style w:type="paragraph" w:customStyle="1" w:styleId="ListNumberLevel4">
    <w:name w:val="List Number (Level 4)"/>
    <w:basedOn w:val="ListNumber"/>
    <w:uiPriority w:val="3"/>
    <w:unhideWhenUsed/>
    <w:qFormat/>
    <w:rsid w:val="002F73C5"/>
    <w:pPr>
      <w:numPr>
        <w:ilvl w:val="3"/>
      </w:numPr>
    </w:pPr>
  </w:style>
  <w:style w:type="paragraph" w:customStyle="1" w:styleId="ListNumberLevel5">
    <w:name w:val="List Number (Level 5)"/>
    <w:basedOn w:val="ListNumber"/>
    <w:uiPriority w:val="1"/>
    <w:semiHidden/>
    <w:rsid w:val="002F73C5"/>
  </w:style>
  <w:style w:type="paragraph" w:customStyle="1" w:styleId="ListNumberNonindented">
    <w:name w:val="List Number Nonindented"/>
    <w:uiPriority w:val="3"/>
    <w:rsid w:val="002F73C5"/>
    <w:pPr>
      <w:numPr>
        <w:numId w:val="33"/>
      </w:numPr>
      <w:suppressAutoHyphens/>
      <w:spacing w:before="60" w:after="60"/>
    </w:pPr>
    <w:rPr>
      <w:rFonts w:ascii="EC Square Sans Pro" w:hAnsi="EC Square Sans Pro"/>
      <w:lang w:eastAsia="en-GB"/>
    </w:rPr>
  </w:style>
  <w:style w:type="paragraph" w:customStyle="1" w:styleId="ListNumberNonindentedLevel2">
    <w:name w:val="List Number Nonindented (Level 2)"/>
    <w:uiPriority w:val="3"/>
    <w:rsid w:val="002F73C5"/>
    <w:pPr>
      <w:numPr>
        <w:ilvl w:val="1"/>
        <w:numId w:val="33"/>
      </w:numPr>
      <w:suppressAutoHyphens/>
      <w:spacing w:before="60" w:after="60"/>
    </w:pPr>
    <w:rPr>
      <w:rFonts w:ascii="EC Square Sans Pro" w:hAnsi="EC Square Sans Pro"/>
      <w:lang w:eastAsia="en-GB"/>
    </w:rPr>
  </w:style>
  <w:style w:type="paragraph" w:customStyle="1" w:styleId="ListNumberNonindentedLevel3">
    <w:name w:val="List Number Nonindented (Level 3)"/>
    <w:uiPriority w:val="3"/>
    <w:unhideWhenUsed/>
    <w:rsid w:val="002F73C5"/>
    <w:pPr>
      <w:numPr>
        <w:ilvl w:val="2"/>
        <w:numId w:val="33"/>
      </w:numPr>
      <w:suppressAutoHyphens/>
      <w:spacing w:before="60" w:after="60"/>
    </w:pPr>
    <w:rPr>
      <w:rFonts w:ascii="EC Square Sans Pro" w:hAnsi="EC Square Sans Pro"/>
      <w:lang w:eastAsia="en-GB"/>
    </w:rPr>
  </w:style>
  <w:style w:type="paragraph" w:customStyle="1" w:styleId="ListNumberNonindentedLevel4">
    <w:name w:val="List Number Nonindented (Level 4)"/>
    <w:uiPriority w:val="3"/>
    <w:unhideWhenUsed/>
    <w:rsid w:val="002F73C5"/>
    <w:pPr>
      <w:numPr>
        <w:ilvl w:val="3"/>
        <w:numId w:val="33"/>
      </w:numPr>
      <w:suppressAutoHyphens/>
      <w:spacing w:before="60" w:after="60"/>
    </w:pPr>
    <w:rPr>
      <w:rFonts w:ascii="EC Square Sans Pro" w:hAnsi="EC Square Sans Pro"/>
      <w:lang w:eastAsia="en-GB"/>
    </w:rPr>
  </w:style>
  <w:style w:type="paragraph" w:customStyle="1" w:styleId="ListNumberNonindentedLevel5">
    <w:name w:val="List Number Nonindented (Level 5)"/>
    <w:basedOn w:val="ListNumberNonindented"/>
    <w:uiPriority w:val="1"/>
    <w:semiHidden/>
    <w:rsid w:val="002F73C5"/>
    <w:rPr>
      <w:rFonts w:asciiTheme="minorHAnsi" w:hAnsiTheme="minorHAnsi"/>
    </w:rPr>
  </w:style>
  <w:style w:type="paragraph" w:styleId="MacroText">
    <w:name w:val="macro"/>
    <w:link w:val="MacroTextChar"/>
    <w:uiPriority w:val="39"/>
    <w:semiHidden/>
    <w:rsid w:val="00462069"/>
    <w:pPr>
      <w:tabs>
        <w:tab w:val="left" w:pos="505"/>
        <w:tab w:val="left" w:pos="958"/>
        <w:tab w:val="left" w:pos="1440"/>
        <w:tab w:val="left" w:pos="1922"/>
        <w:tab w:val="left" w:pos="2398"/>
        <w:tab w:val="left" w:pos="2880"/>
        <w:tab w:val="left" w:pos="3362"/>
        <w:tab w:val="left" w:pos="3838"/>
        <w:tab w:val="left" w:pos="4320"/>
      </w:tabs>
      <w:suppressAutoHyphens/>
      <w:spacing w:after="0"/>
    </w:pPr>
    <w:rPr>
      <w:rFonts w:ascii="EC Square Sans Pro" w:eastAsia="SimSun" w:hAnsi="EC Square Sans Pro"/>
      <w:lang w:eastAsia="en-GB"/>
    </w:rPr>
  </w:style>
  <w:style w:type="paragraph" w:styleId="NoSpacing">
    <w:name w:val="No Spacing"/>
    <w:uiPriority w:val="2"/>
    <w:rsid w:val="00462069"/>
    <w:pPr>
      <w:suppressAutoHyphens/>
      <w:spacing w:before="0" w:after="0" w:line="240" w:lineRule="auto"/>
    </w:pPr>
    <w:rPr>
      <w:rFonts w:ascii="EC Square Sans Pro" w:eastAsia="SimSun" w:hAnsi="EC Square Sans Pro"/>
      <w:lang w:eastAsia="en-GB"/>
    </w:rPr>
  </w:style>
  <w:style w:type="paragraph" w:customStyle="1" w:styleId="NormalIntro">
    <w:name w:val="Normal Intro"/>
    <w:basedOn w:val="Normal"/>
    <w:uiPriority w:val="2"/>
    <w:unhideWhenUsed/>
    <w:rsid w:val="00462069"/>
    <w:pPr>
      <w:spacing w:before="120" w:after="120"/>
    </w:pPr>
    <w:rPr>
      <w:color w:val="003399" w:themeColor="text2"/>
      <w:sz w:val="22"/>
    </w:rPr>
  </w:style>
  <w:style w:type="paragraph" w:customStyle="1" w:styleId="ObjectiveTableAdditonalText">
    <w:name w:val="Objective Table Additonal Text"/>
    <w:basedOn w:val="ObjectiveTableTitle"/>
    <w:uiPriority w:val="70"/>
    <w:semiHidden/>
    <w:rsid w:val="00462069"/>
    <w:pPr>
      <w:jc w:val="right"/>
    </w:pPr>
    <w:rPr>
      <w:b w:val="0"/>
      <w:i/>
    </w:rPr>
  </w:style>
  <w:style w:type="paragraph" w:customStyle="1" w:styleId="ObjectiveTableGeneralObjectiveTitle">
    <w:name w:val="Objective Table General Objective Title"/>
    <w:basedOn w:val="ObjectiveTableTitle"/>
    <w:uiPriority w:val="70"/>
    <w:semiHidden/>
    <w:rsid w:val="00462069"/>
    <w:pPr>
      <w:tabs>
        <w:tab w:val="left" w:pos="2494"/>
      </w:tabs>
    </w:pPr>
  </w:style>
  <w:style w:type="paragraph" w:customStyle="1" w:styleId="ObjectiveTableIndicatorTitle">
    <w:name w:val="Objective Table Indicator Title"/>
    <w:basedOn w:val="ObjectiveTableTitle"/>
    <w:uiPriority w:val="70"/>
    <w:semiHidden/>
    <w:rsid w:val="00462069"/>
    <w:pPr>
      <w:shd w:val="clear" w:color="000000" w:fill="F3F7FF" w:themeFill="background2"/>
      <w:spacing w:after="0"/>
    </w:pPr>
    <w:rPr>
      <w:color w:val="000000" w:themeColor="dark1"/>
    </w:rPr>
  </w:style>
  <w:style w:type="paragraph" w:customStyle="1" w:styleId="ObjectiveTableMainOutputs">
    <w:name w:val="Objective Table Main Outputs"/>
    <w:basedOn w:val="ObjectiveTableTitle"/>
    <w:uiPriority w:val="70"/>
    <w:semiHidden/>
    <w:rsid w:val="00462069"/>
    <w:pPr>
      <w:shd w:val="clear" w:color="auto" w:fill="DE6002" w:themeFill="accent2"/>
      <w:spacing w:after="0"/>
    </w:pPr>
  </w:style>
  <w:style w:type="paragraph" w:customStyle="1" w:styleId="ObjectiveTableObjectiveTitle">
    <w:name w:val="Objective Table Objective Title"/>
    <w:basedOn w:val="ObjectiveTableTitle"/>
    <w:uiPriority w:val="70"/>
    <w:semiHidden/>
    <w:rsid w:val="00462069"/>
  </w:style>
  <w:style w:type="paragraph" w:customStyle="1" w:styleId="ObjectiveTableSpecificObjectiveTitle">
    <w:name w:val="Objective Table Specific Objective Title"/>
    <w:basedOn w:val="ObjectiveTableSubtitle"/>
    <w:uiPriority w:val="70"/>
    <w:semiHidden/>
    <w:rsid w:val="00462069"/>
    <w:pPr>
      <w:tabs>
        <w:tab w:val="left" w:pos="2494"/>
      </w:tabs>
    </w:pPr>
  </w:style>
  <w:style w:type="paragraph" w:customStyle="1" w:styleId="ObjectiveTableSubtitle">
    <w:name w:val="Objective Table Subtitle"/>
    <w:basedOn w:val="ObjectiveTableTitle"/>
    <w:uiPriority w:val="70"/>
    <w:semiHidden/>
    <w:rsid w:val="00462069"/>
    <w:pPr>
      <w:spacing w:after="0"/>
    </w:pPr>
    <w:rPr>
      <w:i/>
    </w:rPr>
  </w:style>
  <w:style w:type="paragraph" w:customStyle="1" w:styleId="ObjectiveTableTargetTitle">
    <w:name w:val="Objective Table Target Title"/>
    <w:basedOn w:val="ObjectiveTableTitle"/>
    <w:uiPriority w:val="70"/>
    <w:semiHidden/>
    <w:rsid w:val="00462069"/>
    <w:pPr>
      <w:shd w:val="clear" w:color="auto" w:fill="FDAB07" w:themeFill="accent4"/>
      <w:spacing w:after="0"/>
    </w:pPr>
  </w:style>
  <w:style w:type="paragraph" w:customStyle="1" w:styleId="ObjectiveTableTitle">
    <w:name w:val="Objective Table Title"/>
    <w:basedOn w:val="Normal"/>
    <w:uiPriority w:val="70"/>
    <w:semiHidden/>
    <w:rsid w:val="00462069"/>
    <w:pPr>
      <w:keepNext/>
      <w:keepLines/>
      <w:pBdr>
        <w:top w:val="single" w:sz="4" w:space="1" w:color="8C8C8C"/>
        <w:left w:val="single" w:sz="4" w:space="4" w:color="8C8C8C"/>
        <w:bottom w:val="single" w:sz="4" w:space="1" w:color="8C8C8C"/>
        <w:right w:val="single" w:sz="4" w:space="4" w:color="8C8C8C"/>
      </w:pBdr>
      <w:shd w:val="clear" w:color="auto" w:fill="008139" w:themeFill="accent1"/>
      <w:spacing w:before="0"/>
      <w:ind w:left="119" w:right="119"/>
    </w:pPr>
    <w:rPr>
      <w:b/>
      <w:color w:val="FFFFFF" w:themeColor="light1"/>
    </w:rPr>
  </w:style>
  <w:style w:type="paragraph" w:customStyle="1" w:styleId="PublicationAuthorServices">
    <w:name w:val="Publication Author Services"/>
    <w:uiPriority w:val="82"/>
    <w:unhideWhenUsed/>
    <w:rsid w:val="0087086E"/>
    <w:pPr>
      <w:suppressAutoHyphens/>
      <w:spacing w:before="1680" w:after="720"/>
      <w:ind w:left="3827"/>
    </w:pPr>
    <w:rPr>
      <w:rFonts w:ascii="EC Square Sans Pro" w:eastAsia="SimSun" w:hAnsi="EC Square Sans Pro"/>
      <w:color w:val="003399" w:themeColor="text2"/>
      <w:sz w:val="32"/>
      <w:szCs w:val="32"/>
      <w:lang w:eastAsia="en-GB"/>
    </w:rPr>
  </w:style>
  <w:style w:type="paragraph" w:customStyle="1" w:styleId="PublicationDate">
    <w:name w:val="Publication Date"/>
    <w:uiPriority w:val="83"/>
    <w:unhideWhenUsed/>
    <w:rsid w:val="00462069"/>
    <w:pPr>
      <w:suppressAutoHyphens/>
      <w:spacing w:before="0"/>
      <w:ind w:left="3827"/>
    </w:pPr>
    <w:rPr>
      <w:rFonts w:ascii="EC Square Sans Pro" w:eastAsia="SimSun" w:hAnsi="EC Square Sans Pro"/>
      <w:caps/>
      <w:color w:val="003399" w:themeColor="text2"/>
      <w:sz w:val="32"/>
      <w:szCs w:val="32"/>
      <w:lang w:eastAsia="en-GB"/>
    </w:rPr>
  </w:style>
  <w:style w:type="paragraph" w:customStyle="1" w:styleId="PublicationSubtitle">
    <w:name w:val="Publication Subtitle"/>
    <w:uiPriority w:val="81"/>
    <w:unhideWhenUsed/>
    <w:rsid w:val="0087086E"/>
    <w:pPr>
      <w:suppressAutoHyphens/>
      <w:spacing w:before="480" w:after="0"/>
      <w:ind w:left="3827"/>
    </w:pPr>
    <w:rPr>
      <w:rFonts w:asciiTheme="majorHAnsi" w:eastAsia="SimSun" w:hAnsiTheme="majorHAnsi"/>
      <w:color w:val="003399" w:themeColor="text2"/>
      <w:sz w:val="44"/>
      <w:szCs w:val="44"/>
      <w:lang w:eastAsia="en-GB"/>
    </w:rPr>
  </w:style>
  <w:style w:type="paragraph" w:customStyle="1" w:styleId="PublicationTitle">
    <w:name w:val="Publication Title"/>
    <w:link w:val="PublicationTitleChar"/>
    <w:uiPriority w:val="80"/>
    <w:unhideWhenUsed/>
    <w:rsid w:val="00462069"/>
    <w:pPr>
      <w:suppressAutoHyphens/>
      <w:spacing w:before="3360"/>
      <w:ind w:left="3828" w:right="1"/>
    </w:pPr>
    <w:rPr>
      <w:rFonts w:asciiTheme="majorHAnsi" w:eastAsia="SimSun" w:hAnsiTheme="majorHAnsi"/>
      <w:bCs/>
      <w:color w:val="003399" w:themeColor="text2"/>
      <w:sz w:val="72"/>
      <w:szCs w:val="72"/>
      <w:lang w:eastAsia="en-GB"/>
    </w:rPr>
  </w:style>
  <w:style w:type="paragraph" w:customStyle="1" w:styleId="References1">
    <w:name w:val="References 1"/>
    <w:basedOn w:val="Heading1"/>
    <w:next w:val="Normal"/>
    <w:uiPriority w:val="40"/>
    <w:semiHidden/>
    <w:rsid w:val="00462069"/>
  </w:style>
  <w:style w:type="paragraph" w:customStyle="1" w:styleId="References2">
    <w:name w:val="References 2"/>
    <w:basedOn w:val="Heading2"/>
    <w:next w:val="Normal"/>
    <w:uiPriority w:val="40"/>
    <w:semiHidden/>
    <w:rsid w:val="00462069"/>
  </w:style>
  <w:style w:type="paragraph" w:customStyle="1" w:styleId="TableAlternative">
    <w:name w:val="Table Alternative"/>
    <w:basedOn w:val="ImageAlternative"/>
    <w:next w:val="Normal"/>
    <w:semiHidden/>
    <w:rsid w:val="00462069"/>
  </w:style>
  <w:style w:type="paragraph" w:customStyle="1" w:styleId="TableBody">
    <w:name w:val="Table Body"/>
    <w:next w:val="Normal"/>
    <w:uiPriority w:val="6"/>
    <w:semiHidden/>
    <w:rsid w:val="00462069"/>
    <w:pPr>
      <w:keepNext/>
      <w:suppressAutoHyphens/>
      <w:spacing w:after="40" w:line="240" w:lineRule="auto"/>
    </w:pPr>
    <w:rPr>
      <w:rFonts w:ascii="EC Square Sans Pro" w:eastAsia="SimSun" w:hAnsi="EC Square Sans Pro"/>
      <w:lang w:eastAsia="en-GB"/>
    </w:rPr>
  </w:style>
  <w:style w:type="paragraph" w:customStyle="1" w:styleId="TableCaption">
    <w:name w:val="Table Caption"/>
    <w:basedOn w:val="ImageCaption"/>
    <w:next w:val="TableSource"/>
    <w:uiPriority w:val="4"/>
    <w:rsid w:val="00337B06"/>
  </w:style>
  <w:style w:type="paragraph" w:customStyle="1" w:styleId="TableCopyrights">
    <w:name w:val="Table Copyrights"/>
    <w:basedOn w:val="TableSource"/>
    <w:uiPriority w:val="4"/>
    <w:unhideWhenUsed/>
    <w:rsid w:val="00337B06"/>
    <w:rPr>
      <w:rFonts w:eastAsia="Times New Roman"/>
    </w:rPr>
  </w:style>
  <w:style w:type="paragraph" w:customStyle="1" w:styleId="TableNotes">
    <w:name w:val="Table Notes"/>
    <w:basedOn w:val="TableSource"/>
    <w:uiPriority w:val="4"/>
    <w:unhideWhenUsed/>
    <w:qFormat/>
    <w:rsid w:val="00337B06"/>
    <w:pPr>
      <w:tabs>
        <w:tab w:val="left" w:pos="284"/>
      </w:tabs>
    </w:pPr>
    <w:rPr>
      <w:rFonts w:eastAsia="Times New Roman"/>
    </w:rPr>
  </w:style>
  <w:style w:type="paragraph" w:styleId="TableofFigures">
    <w:name w:val="table of figures"/>
    <w:next w:val="Normal"/>
    <w:uiPriority w:val="39"/>
    <w:semiHidden/>
    <w:rsid w:val="00462069"/>
    <w:pPr>
      <w:tabs>
        <w:tab w:val="right" w:leader="dot" w:pos="8504"/>
      </w:tabs>
      <w:suppressAutoHyphens/>
      <w:spacing w:after="0" w:line="240" w:lineRule="auto"/>
    </w:pPr>
    <w:rPr>
      <w:rFonts w:ascii="EC Square Sans Pro" w:eastAsia="SimSun" w:hAnsi="EC Square Sans Pro"/>
      <w:color w:val="003399" w:themeColor="text2"/>
      <w:lang w:eastAsia="en-GB"/>
    </w:rPr>
  </w:style>
  <w:style w:type="paragraph" w:customStyle="1" w:styleId="TableSource">
    <w:name w:val="Table Source"/>
    <w:basedOn w:val="ImageSource"/>
    <w:next w:val="Normal"/>
    <w:uiPriority w:val="6"/>
    <w:unhideWhenUsed/>
    <w:qFormat/>
    <w:rsid w:val="00462069"/>
    <w:pPr>
      <w:spacing w:before="120"/>
    </w:pPr>
    <w:rPr>
      <w:rFonts w:asciiTheme="minorHAnsi" w:hAnsiTheme="minorHAnsi"/>
      <w:color w:val="000000" w:themeColor="dark1"/>
    </w:rPr>
  </w:style>
  <w:style w:type="paragraph" w:customStyle="1" w:styleId="TableSubtitle">
    <w:name w:val="Table Subtitle"/>
    <w:basedOn w:val="ImageSubtitle"/>
    <w:uiPriority w:val="4"/>
    <w:unhideWhenUsed/>
    <w:rsid w:val="00D10DFD"/>
    <w:pPr>
      <w:keepLines/>
      <w:spacing w:line="264" w:lineRule="auto"/>
      <w:jc w:val="both"/>
    </w:pPr>
    <w:rPr>
      <w:rFonts w:asciiTheme="minorHAnsi" w:eastAsia="Times New Roman" w:hAnsiTheme="minorHAnsi"/>
    </w:rPr>
  </w:style>
  <w:style w:type="paragraph" w:customStyle="1" w:styleId="TableTitle">
    <w:name w:val="Table Title"/>
    <w:basedOn w:val="ImageTitle"/>
    <w:next w:val="TableBody"/>
    <w:uiPriority w:val="4"/>
    <w:unhideWhenUsed/>
    <w:qFormat/>
    <w:rsid w:val="00337B06"/>
    <w:pPr>
      <w:keepLines/>
    </w:pPr>
    <w:rPr>
      <w:rFonts w:eastAsia="Times New Roman"/>
    </w:rPr>
  </w:style>
  <w:style w:type="paragraph" w:customStyle="1" w:styleId="TitlePageAuthorServices">
    <w:name w:val="Title Page Author Services"/>
    <w:uiPriority w:val="86"/>
    <w:unhideWhenUsed/>
    <w:rsid w:val="00462069"/>
    <w:pPr>
      <w:suppressAutoHyphens/>
      <w:ind w:left="850"/>
      <w:contextualSpacing/>
    </w:pPr>
    <w:rPr>
      <w:rFonts w:ascii="EC Square Sans Pro Medium" w:eastAsia="SimSun" w:hAnsi="EC Square Sans Pro Medium"/>
      <w:color w:val="003399" w:themeColor="dark2"/>
      <w:sz w:val="36"/>
      <w:lang w:eastAsia="en-GB"/>
    </w:rPr>
  </w:style>
  <w:style w:type="paragraph" w:customStyle="1" w:styleId="TitlePageDate">
    <w:name w:val="Title Page Date"/>
    <w:uiPriority w:val="87"/>
    <w:unhideWhenUsed/>
    <w:rsid w:val="0087086E"/>
    <w:pPr>
      <w:keepNext/>
      <w:keepLines/>
      <w:suppressAutoHyphens/>
      <w:ind w:left="850" w:right="850"/>
      <w:contextualSpacing/>
      <w:jc w:val="right"/>
    </w:pPr>
    <w:rPr>
      <w:rFonts w:ascii="EC Square Sans Pro Medium" w:eastAsia="SimSun" w:hAnsi="EC Square Sans Pro Medium"/>
      <w:color w:val="003399" w:themeColor="text2"/>
      <w:sz w:val="40"/>
      <w:lang w:eastAsia="en-GB"/>
    </w:rPr>
  </w:style>
  <w:style w:type="paragraph" w:customStyle="1" w:styleId="TitlePageEditorSeat">
    <w:name w:val="Title Page Editor Seat"/>
    <w:uiPriority w:val="88"/>
    <w:unhideWhenUsed/>
    <w:rsid w:val="00462069"/>
    <w:pPr>
      <w:keepNext/>
      <w:keepLines/>
      <w:suppressAutoHyphens/>
      <w:ind w:right="850"/>
      <w:contextualSpacing/>
      <w:jc w:val="right"/>
    </w:pPr>
    <w:rPr>
      <w:rFonts w:eastAsia="SimSun"/>
      <w:sz w:val="32"/>
      <w:lang w:eastAsia="en-GB"/>
    </w:rPr>
  </w:style>
  <w:style w:type="paragraph" w:customStyle="1" w:styleId="TitlePageSubtitle">
    <w:name w:val="Title Page Subtitle"/>
    <w:uiPriority w:val="85"/>
    <w:unhideWhenUsed/>
    <w:rsid w:val="00462069"/>
    <w:pPr>
      <w:suppressAutoHyphens/>
      <w:spacing w:before="600" w:after="600"/>
      <w:ind w:left="850" w:right="850"/>
      <w:contextualSpacing/>
      <w:jc w:val="right"/>
    </w:pPr>
    <w:rPr>
      <w:rFonts w:ascii="EC Square Sans Pro Medium" w:eastAsia="SimSun" w:hAnsi="EC Square Sans Pro Medium"/>
      <w:color w:val="003399" w:themeColor="text2"/>
      <w:sz w:val="48"/>
      <w:lang w:eastAsia="en-GB"/>
    </w:rPr>
  </w:style>
  <w:style w:type="paragraph" w:customStyle="1" w:styleId="TitlePageTitle">
    <w:name w:val="Title Page Title"/>
    <w:uiPriority w:val="84"/>
    <w:unhideWhenUsed/>
    <w:rsid w:val="00462069"/>
    <w:pPr>
      <w:suppressAutoHyphens/>
      <w:spacing w:before="2600" w:after="360"/>
      <w:ind w:left="850" w:right="850"/>
      <w:contextualSpacing/>
      <w:jc w:val="right"/>
    </w:pPr>
    <w:rPr>
      <w:rFonts w:ascii="EC Square Sans Pro Medium" w:eastAsia="SimSun" w:hAnsi="EC Square Sans Pro Medium"/>
      <w:color w:val="003399" w:themeColor="text2"/>
      <w:sz w:val="64"/>
      <w:lang w:eastAsia="en-GB"/>
    </w:rPr>
  </w:style>
  <w:style w:type="paragraph" w:styleId="TOC1">
    <w:name w:val="toc 1"/>
    <w:basedOn w:val="Normal"/>
    <w:next w:val="Normal"/>
    <w:uiPriority w:val="39"/>
    <w:rsid w:val="00462069"/>
    <w:pPr>
      <w:tabs>
        <w:tab w:val="right" w:leader="dot" w:pos="9072"/>
      </w:tabs>
      <w:spacing w:before="120" w:after="120"/>
    </w:pPr>
    <w:rPr>
      <w:rFonts w:eastAsiaTheme="minorHAnsi" w:cstheme="minorBidi"/>
      <w:b/>
      <w:caps/>
      <w:lang w:eastAsia="en-US"/>
    </w:rPr>
  </w:style>
  <w:style w:type="paragraph" w:styleId="TOC2">
    <w:name w:val="toc 2"/>
    <w:basedOn w:val="Normal"/>
    <w:next w:val="Normal"/>
    <w:uiPriority w:val="39"/>
    <w:rsid w:val="00462069"/>
    <w:pPr>
      <w:tabs>
        <w:tab w:val="right" w:leader="dot" w:pos="9072"/>
      </w:tabs>
      <w:spacing w:before="120" w:after="120"/>
      <w:ind w:left="714" w:hanging="357"/>
    </w:pPr>
    <w:rPr>
      <w:rFonts w:eastAsiaTheme="minorHAnsi" w:cstheme="minorBidi"/>
      <w:lang w:eastAsia="en-US"/>
    </w:rPr>
  </w:style>
  <w:style w:type="paragraph" w:styleId="TOC3">
    <w:name w:val="toc 3"/>
    <w:basedOn w:val="Normal"/>
    <w:next w:val="Normal"/>
    <w:uiPriority w:val="39"/>
    <w:unhideWhenUsed/>
    <w:rsid w:val="00462069"/>
    <w:pPr>
      <w:spacing w:before="120" w:after="120"/>
      <w:ind w:left="720"/>
    </w:pPr>
    <w:rPr>
      <w:rFonts w:eastAsiaTheme="minorHAnsi" w:cstheme="minorBidi"/>
      <w:lang w:eastAsia="en-US"/>
    </w:rPr>
  </w:style>
  <w:style w:type="paragraph" w:styleId="TOC4">
    <w:name w:val="toc 4"/>
    <w:basedOn w:val="Normal"/>
    <w:next w:val="Normal"/>
    <w:uiPriority w:val="39"/>
    <w:semiHidden/>
    <w:rsid w:val="00462069"/>
    <w:pPr>
      <w:spacing w:before="120" w:after="120"/>
      <w:ind w:left="601"/>
    </w:pPr>
    <w:rPr>
      <w:rFonts w:eastAsiaTheme="minorHAnsi" w:cstheme="minorBidi"/>
      <w:lang w:eastAsia="en-US"/>
    </w:rPr>
  </w:style>
  <w:style w:type="paragraph" w:styleId="TOC5">
    <w:name w:val="toc 5"/>
    <w:basedOn w:val="Normal"/>
    <w:next w:val="Normal"/>
    <w:uiPriority w:val="39"/>
    <w:semiHidden/>
    <w:rsid w:val="00462069"/>
    <w:pPr>
      <w:spacing w:before="120" w:after="120"/>
      <w:ind w:left="799"/>
    </w:pPr>
    <w:rPr>
      <w:rFonts w:eastAsiaTheme="minorHAnsi" w:cstheme="minorBidi"/>
      <w:lang w:eastAsia="en-US"/>
    </w:rPr>
  </w:style>
  <w:style w:type="paragraph" w:styleId="TOC6">
    <w:name w:val="toc 6"/>
    <w:basedOn w:val="Normal"/>
    <w:next w:val="Normal"/>
    <w:uiPriority w:val="39"/>
    <w:semiHidden/>
    <w:rsid w:val="00462069"/>
    <w:pPr>
      <w:spacing w:before="120" w:after="120"/>
      <w:ind w:left="998"/>
    </w:pPr>
    <w:rPr>
      <w:rFonts w:eastAsiaTheme="minorHAnsi" w:cstheme="minorBidi"/>
      <w:lang w:eastAsia="en-US"/>
    </w:rPr>
  </w:style>
  <w:style w:type="paragraph" w:styleId="TOC7">
    <w:name w:val="toc 7"/>
    <w:basedOn w:val="Normal"/>
    <w:next w:val="Normal"/>
    <w:uiPriority w:val="39"/>
    <w:semiHidden/>
    <w:rsid w:val="00462069"/>
    <w:pPr>
      <w:spacing w:before="120" w:after="120"/>
      <w:ind w:left="1202"/>
    </w:pPr>
    <w:rPr>
      <w:rFonts w:eastAsiaTheme="minorHAnsi" w:cstheme="minorBidi"/>
      <w:lang w:eastAsia="en-US"/>
    </w:rPr>
  </w:style>
  <w:style w:type="paragraph" w:styleId="TOC8">
    <w:name w:val="toc 8"/>
    <w:basedOn w:val="Normal"/>
    <w:next w:val="Normal"/>
    <w:uiPriority w:val="39"/>
    <w:semiHidden/>
    <w:rsid w:val="00462069"/>
    <w:pPr>
      <w:spacing w:after="100"/>
      <w:ind w:left="1400"/>
    </w:pPr>
    <w:rPr>
      <w:rFonts w:eastAsiaTheme="minorHAnsi" w:cstheme="minorBidi"/>
      <w:lang w:eastAsia="en-US"/>
    </w:rPr>
  </w:style>
  <w:style w:type="paragraph" w:styleId="TOC9">
    <w:name w:val="toc 9"/>
    <w:basedOn w:val="Normal"/>
    <w:next w:val="Normal"/>
    <w:uiPriority w:val="39"/>
    <w:semiHidden/>
    <w:rsid w:val="00462069"/>
    <w:pPr>
      <w:spacing w:after="100"/>
      <w:ind w:left="1600"/>
    </w:pPr>
    <w:rPr>
      <w:rFonts w:eastAsiaTheme="minorHAnsi" w:cstheme="minorBidi"/>
      <w:lang w:eastAsia="en-US"/>
    </w:rPr>
  </w:style>
  <w:style w:type="paragraph" w:styleId="TOCHeading">
    <w:name w:val="TOC Heading"/>
    <w:basedOn w:val="Heading1"/>
    <w:next w:val="Normal"/>
    <w:uiPriority w:val="37"/>
    <w:unhideWhenUsed/>
    <w:rsid w:val="00D24286"/>
    <w:pPr>
      <w:pageBreakBefore w:val="0"/>
      <w:pBdr>
        <w:bottom w:val="single" w:sz="6" w:space="1" w:color="DE6002"/>
      </w:pBdr>
      <w:spacing w:before="480" w:after="240"/>
    </w:pPr>
    <w:rPr>
      <w:rFonts w:eastAsia="Times New Roman"/>
      <w:b/>
      <w:sz w:val="28"/>
    </w:rPr>
  </w:style>
  <w:style w:type="paragraph" w:styleId="Date">
    <w:name w:val="Date"/>
    <w:next w:val="Normal"/>
    <w:link w:val="DateChar"/>
    <w:uiPriority w:val="19"/>
    <w:semiHidden/>
    <w:rsid w:val="00462069"/>
    <w:pPr>
      <w:suppressAutoHyphens/>
      <w:spacing w:after="0"/>
      <w:ind w:left="5669"/>
    </w:pPr>
    <w:rPr>
      <w:rFonts w:ascii="EC Square Sans Pro" w:eastAsia="SimSun" w:hAnsi="EC Square Sans Pro"/>
      <w:lang w:eastAsia="en-GB"/>
    </w:rPr>
  </w:style>
  <w:style w:type="character" w:customStyle="1" w:styleId="DateChar">
    <w:name w:val="Date Char"/>
    <w:link w:val="Date"/>
    <w:uiPriority w:val="19"/>
    <w:semiHidden/>
    <w:rsid w:val="00462069"/>
    <w:rPr>
      <w:rFonts w:ascii="EC Square Sans Pro" w:eastAsia="SimSun" w:hAnsi="EC Square Sans Pro"/>
      <w:lang w:eastAsia="en-GB"/>
    </w:rPr>
  </w:style>
  <w:style w:type="paragraph" w:styleId="EndnoteText">
    <w:name w:val="endnote text"/>
    <w:basedOn w:val="Normal"/>
    <w:link w:val="EndnoteTextChar"/>
    <w:uiPriority w:val="8"/>
    <w:unhideWhenUsed/>
    <w:rsid w:val="00462069"/>
    <w:pPr>
      <w:spacing w:before="0" w:after="0" w:line="240" w:lineRule="auto"/>
      <w:ind w:left="357" w:hanging="357"/>
    </w:pPr>
    <w:rPr>
      <w:rFonts w:asciiTheme="minorHAnsi" w:hAnsiTheme="minorHAnsi"/>
      <w:color w:val="000000" w:themeColor="dark1"/>
      <w:sz w:val="18"/>
    </w:rPr>
  </w:style>
  <w:style w:type="paragraph" w:styleId="Footer">
    <w:name w:val="footer"/>
    <w:link w:val="FooterChar"/>
    <w:uiPriority w:val="99"/>
    <w:rsid w:val="00462069"/>
    <w:pPr>
      <w:tabs>
        <w:tab w:val="center" w:pos="4535"/>
        <w:tab w:val="right" w:pos="9071"/>
      </w:tabs>
      <w:suppressAutoHyphens/>
      <w:spacing w:before="0" w:after="0" w:line="240" w:lineRule="auto"/>
      <w:jc w:val="center"/>
    </w:pPr>
    <w:rPr>
      <w:rFonts w:eastAsia="SimSun"/>
      <w:sz w:val="22"/>
      <w:lang w:eastAsia="en-GB"/>
    </w:rPr>
  </w:style>
  <w:style w:type="character" w:customStyle="1" w:styleId="FooterChar">
    <w:name w:val="Footer Char"/>
    <w:link w:val="Footer"/>
    <w:uiPriority w:val="99"/>
    <w:rsid w:val="00462069"/>
    <w:rPr>
      <w:rFonts w:eastAsia="SimSun"/>
      <w:sz w:val="22"/>
      <w:lang w:eastAsia="en-GB"/>
    </w:rPr>
  </w:style>
  <w:style w:type="paragraph" w:styleId="FootnoteText">
    <w:name w:val="footnote text"/>
    <w:basedOn w:val="Normal"/>
    <w:link w:val="FootnoteTextChar"/>
    <w:uiPriority w:val="1"/>
    <w:qFormat/>
    <w:rsid w:val="00462069"/>
    <w:pPr>
      <w:spacing w:before="0" w:after="0" w:line="240" w:lineRule="auto"/>
      <w:ind w:left="357" w:hanging="357"/>
    </w:pPr>
    <w:rPr>
      <w:rFonts w:asciiTheme="minorHAnsi" w:hAnsiTheme="minorHAnsi"/>
      <w:sz w:val="18"/>
    </w:rPr>
  </w:style>
  <w:style w:type="paragraph" w:styleId="Header">
    <w:name w:val="header"/>
    <w:link w:val="HeaderChar"/>
    <w:uiPriority w:val="99"/>
    <w:rsid w:val="00462069"/>
    <w:pPr>
      <w:tabs>
        <w:tab w:val="center" w:pos="4535"/>
        <w:tab w:val="right" w:pos="9071"/>
      </w:tabs>
      <w:suppressAutoHyphens/>
      <w:spacing w:before="0" w:after="0" w:line="240" w:lineRule="auto"/>
      <w:jc w:val="center"/>
    </w:pPr>
    <w:rPr>
      <w:rFonts w:eastAsia="SimSun"/>
      <w:sz w:val="22"/>
      <w:lang w:eastAsia="en-GB"/>
    </w:rPr>
  </w:style>
  <w:style w:type="character" w:customStyle="1" w:styleId="HeaderChar">
    <w:name w:val="Header Char"/>
    <w:link w:val="Header"/>
    <w:uiPriority w:val="99"/>
    <w:rsid w:val="00462069"/>
    <w:rPr>
      <w:rFonts w:eastAsia="SimSun"/>
      <w:sz w:val="22"/>
      <w:lang w:eastAsia="en-GB"/>
    </w:rPr>
  </w:style>
  <w:style w:type="character" w:customStyle="1" w:styleId="Heading1Char">
    <w:name w:val="Heading 1 Char"/>
    <w:link w:val="Heading1"/>
    <w:uiPriority w:val="1"/>
    <w:qFormat/>
    <w:rsid w:val="00462069"/>
    <w:rPr>
      <w:rFonts w:asciiTheme="majorHAnsi" w:eastAsia="SimSun" w:hAnsiTheme="majorHAnsi"/>
      <w:color w:val="003399" w:themeColor="text2"/>
      <w:sz w:val="48"/>
      <w:lang w:eastAsia="en-GB"/>
    </w:rPr>
  </w:style>
  <w:style w:type="paragraph" w:customStyle="1" w:styleId="Heading1NoBreakBefore">
    <w:name w:val="Heading 1 No Break Before"/>
    <w:basedOn w:val="Heading1"/>
    <w:next w:val="Normal"/>
    <w:link w:val="Heading1NoBreakBeforeChar"/>
    <w:uiPriority w:val="9"/>
    <w:rsid w:val="00462069"/>
    <w:pPr>
      <w:pageBreakBefore w:val="0"/>
      <w:spacing w:before="720" w:after="480"/>
    </w:pPr>
  </w:style>
  <w:style w:type="character" w:customStyle="1" w:styleId="Heading1NoBreakBeforeChar">
    <w:name w:val="Heading 1 No Break Before Char"/>
    <w:link w:val="Heading1NoBreakBefore"/>
    <w:uiPriority w:val="9"/>
    <w:qFormat/>
    <w:rsid w:val="005A761C"/>
    <w:rPr>
      <w:rFonts w:asciiTheme="majorHAnsi" w:eastAsia="SimSun" w:hAnsiTheme="majorHAnsi"/>
      <w:color w:val="003399" w:themeColor="text2"/>
      <w:sz w:val="48"/>
      <w:lang w:eastAsia="en-GB"/>
    </w:rPr>
  </w:style>
  <w:style w:type="character" w:customStyle="1" w:styleId="Heading2Char">
    <w:name w:val="Heading 2 Char"/>
    <w:link w:val="Heading2"/>
    <w:uiPriority w:val="9"/>
    <w:qFormat/>
    <w:rsid w:val="00462069"/>
    <w:rPr>
      <w:rFonts w:asciiTheme="majorHAnsi" w:eastAsia="SimSun" w:hAnsiTheme="majorHAnsi"/>
      <w:color w:val="003399" w:themeColor="text2"/>
      <w:sz w:val="48"/>
      <w:lang w:eastAsia="en-GB"/>
    </w:rPr>
  </w:style>
  <w:style w:type="paragraph" w:customStyle="1" w:styleId="Heading2LabelledLetter">
    <w:name w:val="Heading 2 Labelled Letter"/>
    <w:basedOn w:val="Heading2"/>
    <w:next w:val="Normal"/>
    <w:link w:val="Heading2LabelledLetterChar"/>
    <w:uiPriority w:val="9"/>
    <w:rsid w:val="00462069"/>
    <w:pPr>
      <w:ind w:left="357" w:hanging="357"/>
    </w:pPr>
  </w:style>
  <w:style w:type="character" w:customStyle="1" w:styleId="Heading2LabelledLetterChar">
    <w:name w:val="Heading 2 Labelled Letter Char"/>
    <w:link w:val="Heading2LabelledLetter"/>
    <w:uiPriority w:val="9"/>
    <w:qFormat/>
    <w:rsid w:val="00462069"/>
    <w:rPr>
      <w:rFonts w:asciiTheme="majorHAnsi" w:eastAsia="SimSun" w:hAnsiTheme="majorHAnsi"/>
      <w:color w:val="003399" w:themeColor="text2"/>
      <w:sz w:val="48"/>
      <w:lang w:eastAsia="en-GB"/>
    </w:rPr>
  </w:style>
  <w:style w:type="paragraph" w:customStyle="1" w:styleId="Heading2LabelledNumber">
    <w:name w:val="Heading 2 Labelled Number"/>
    <w:basedOn w:val="Heading2"/>
    <w:next w:val="Normal"/>
    <w:link w:val="Heading2LabelledNumberChar"/>
    <w:uiPriority w:val="9"/>
    <w:rsid w:val="00462069"/>
    <w:pPr>
      <w:ind w:left="357" w:hanging="357"/>
    </w:pPr>
  </w:style>
  <w:style w:type="character" w:customStyle="1" w:styleId="Heading2LabelledNumberChar">
    <w:name w:val="Heading 2 Labelled Number Char"/>
    <w:link w:val="Heading2LabelledNumber"/>
    <w:uiPriority w:val="9"/>
    <w:qFormat/>
    <w:rsid w:val="00462069"/>
    <w:rPr>
      <w:rFonts w:asciiTheme="majorHAnsi" w:eastAsia="SimSun" w:hAnsiTheme="majorHAnsi"/>
      <w:color w:val="003399" w:themeColor="text2"/>
      <w:sz w:val="48"/>
      <w:lang w:eastAsia="en-GB"/>
    </w:rPr>
  </w:style>
  <w:style w:type="character" w:customStyle="1" w:styleId="Heading3Char">
    <w:name w:val="Heading 3 Char"/>
    <w:link w:val="Heading3"/>
    <w:uiPriority w:val="9"/>
    <w:qFormat/>
    <w:rsid w:val="00D24286"/>
    <w:rPr>
      <w:rFonts w:asciiTheme="majorHAnsi" w:eastAsia="SimSun" w:hAnsiTheme="majorHAnsi"/>
      <w:b/>
      <w:color w:val="003399" w:themeColor="text2"/>
      <w:sz w:val="28"/>
      <w:lang w:eastAsia="en-GB"/>
    </w:rPr>
  </w:style>
  <w:style w:type="character" w:customStyle="1" w:styleId="Heading4Char">
    <w:name w:val="Heading 4 Char"/>
    <w:link w:val="Heading4"/>
    <w:uiPriority w:val="9"/>
    <w:unhideWhenUsed/>
    <w:qFormat/>
    <w:rsid w:val="00462069"/>
    <w:rPr>
      <w:rFonts w:asciiTheme="majorHAnsi" w:eastAsia="SimSun" w:hAnsiTheme="majorHAnsi"/>
      <w:color w:val="003399" w:themeColor="text2"/>
      <w:sz w:val="28"/>
      <w:lang w:eastAsia="en-GB"/>
    </w:rPr>
  </w:style>
  <w:style w:type="character" w:customStyle="1" w:styleId="Heading5Char">
    <w:name w:val="Heading 5 Char"/>
    <w:link w:val="Heading5"/>
    <w:uiPriority w:val="9"/>
    <w:unhideWhenUsed/>
    <w:qFormat/>
    <w:rsid w:val="00462069"/>
    <w:rPr>
      <w:rFonts w:asciiTheme="majorHAnsi" w:eastAsia="SimSun" w:hAnsiTheme="majorHAnsi"/>
      <w:b/>
      <w:color w:val="003399" w:themeColor="text2"/>
      <w:sz w:val="22"/>
      <w:lang w:eastAsia="en-GB"/>
    </w:rPr>
  </w:style>
  <w:style w:type="character" w:customStyle="1" w:styleId="Heading6Char">
    <w:name w:val="Heading 6 Char"/>
    <w:link w:val="Heading6"/>
    <w:uiPriority w:val="9"/>
    <w:unhideWhenUsed/>
    <w:qFormat/>
    <w:rsid w:val="0087086E"/>
    <w:rPr>
      <w:rFonts w:asciiTheme="majorHAnsi" w:eastAsia="SimSun" w:hAnsiTheme="majorHAnsi"/>
      <w:b/>
      <w:color w:val="003399" w:themeColor="text2"/>
      <w:lang w:eastAsia="en-GB"/>
    </w:rPr>
  </w:style>
  <w:style w:type="character" w:customStyle="1" w:styleId="Heading7Char">
    <w:name w:val="Heading 7 Char"/>
    <w:link w:val="Heading7"/>
    <w:uiPriority w:val="9"/>
    <w:semiHidden/>
    <w:unhideWhenUsed/>
    <w:qFormat/>
    <w:rsid w:val="00462069"/>
    <w:rPr>
      <w:rFonts w:asciiTheme="majorHAnsi" w:eastAsia="SimSun" w:hAnsiTheme="majorHAnsi"/>
      <w:color w:val="008139" w:themeColor="accent1"/>
      <w:spacing w:val="12"/>
      <w:lang w:eastAsia="en-GB"/>
    </w:rPr>
  </w:style>
  <w:style w:type="character" w:customStyle="1" w:styleId="Heading8Char">
    <w:name w:val="Heading 8 Char"/>
    <w:link w:val="Heading8"/>
    <w:uiPriority w:val="9"/>
    <w:semiHidden/>
    <w:unhideWhenUsed/>
    <w:qFormat/>
    <w:rsid w:val="00462069"/>
    <w:rPr>
      <w:rFonts w:asciiTheme="majorHAnsi" w:eastAsia="SimSun" w:hAnsiTheme="majorHAnsi"/>
      <w:i/>
      <w:color w:val="008139" w:themeColor="accent1"/>
      <w:spacing w:val="12"/>
      <w:lang w:eastAsia="en-GB"/>
    </w:rPr>
  </w:style>
  <w:style w:type="character" w:customStyle="1" w:styleId="Heading9Char">
    <w:name w:val="Heading 9 Char"/>
    <w:link w:val="Heading9"/>
    <w:uiPriority w:val="9"/>
    <w:semiHidden/>
    <w:unhideWhenUsed/>
    <w:qFormat/>
    <w:rsid w:val="00462069"/>
    <w:rPr>
      <w:rFonts w:asciiTheme="majorHAnsi" w:eastAsia="SimSun" w:hAnsiTheme="majorHAnsi"/>
      <w:color w:val="008139" w:themeColor="accent1"/>
      <w:spacing w:val="12"/>
      <w:lang w:eastAsia="en-GB"/>
    </w:rPr>
  </w:style>
  <w:style w:type="paragraph" w:customStyle="1" w:styleId="HeadingNoTOC1">
    <w:name w:val="Heading NoTOC 1"/>
    <w:basedOn w:val="Heading1"/>
    <w:next w:val="Normal"/>
    <w:link w:val="HeadingNoTOC1Char"/>
    <w:uiPriority w:val="9"/>
    <w:rsid w:val="00462069"/>
    <w:pPr>
      <w:pageBreakBefore w:val="0"/>
      <w:spacing w:before="480" w:after="360"/>
    </w:pPr>
  </w:style>
  <w:style w:type="character" w:customStyle="1" w:styleId="HeadingNoTOC1Char">
    <w:name w:val="Heading NoTOC 1 Char"/>
    <w:link w:val="HeadingNoTOC1"/>
    <w:uiPriority w:val="9"/>
    <w:rsid w:val="00462069"/>
    <w:rPr>
      <w:rFonts w:asciiTheme="majorHAnsi" w:eastAsia="SimSun" w:hAnsiTheme="majorHAnsi"/>
      <w:color w:val="003399" w:themeColor="text2"/>
      <w:sz w:val="48"/>
      <w:lang w:eastAsia="en-GB"/>
    </w:rPr>
  </w:style>
  <w:style w:type="paragraph" w:customStyle="1" w:styleId="HeadingNoTOC1NoBreakBefore">
    <w:name w:val="Heading NoTOC 1 No Break Before"/>
    <w:basedOn w:val="HeadingNoTOC1"/>
    <w:next w:val="Normal"/>
    <w:link w:val="HeadingNoTOC1NoBreakBeforeChar"/>
    <w:uiPriority w:val="9"/>
    <w:rsid w:val="00462069"/>
  </w:style>
  <w:style w:type="character" w:customStyle="1" w:styleId="HeadingNoTOC1NoBreakBeforeChar">
    <w:name w:val="Heading NoTOC 1 No Break Before Char"/>
    <w:link w:val="HeadingNoTOC1NoBreakBefore"/>
    <w:uiPriority w:val="9"/>
    <w:qFormat/>
    <w:rsid w:val="00462069"/>
    <w:rPr>
      <w:rFonts w:asciiTheme="majorHAnsi" w:eastAsia="SimSun" w:hAnsiTheme="majorHAnsi"/>
      <w:color w:val="003399" w:themeColor="text2"/>
      <w:sz w:val="48"/>
      <w:lang w:eastAsia="en-GB"/>
    </w:rPr>
  </w:style>
  <w:style w:type="paragraph" w:customStyle="1" w:styleId="HeadingNoTOC2">
    <w:name w:val="Heading NoTOC 2"/>
    <w:basedOn w:val="Heading2"/>
    <w:next w:val="Normal"/>
    <w:link w:val="HeadingNoTOC2Char"/>
    <w:uiPriority w:val="9"/>
    <w:rsid w:val="00462069"/>
  </w:style>
  <w:style w:type="character" w:customStyle="1" w:styleId="HeadingNoTOC2Char">
    <w:name w:val="Heading NoTOC 2 Char"/>
    <w:link w:val="HeadingNoTOC2"/>
    <w:uiPriority w:val="9"/>
    <w:rsid w:val="00462069"/>
    <w:rPr>
      <w:rFonts w:asciiTheme="majorHAnsi" w:eastAsia="SimSun" w:hAnsiTheme="majorHAnsi"/>
      <w:color w:val="003399" w:themeColor="text2"/>
      <w:sz w:val="48"/>
      <w:lang w:eastAsia="en-GB"/>
    </w:rPr>
  </w:style>
  <w:style w:type="paragraph" w:customStyle="1" w:styleId="HeadingNoTOC3">
    <w:name w:val="Heading NoTOC 3"/>
    <w:basedOn w:val="Heading3"/>
    <w:next w:val="Normal"/>
    <w:link w:val="HeadingNoTOC3Char"/>
    <w:uiPriority w:val="9"/>
    <w:rsid w:val="00462069"/>
  </w:style>
  <w:style w:type="character" w:customStyle="1" w:styleId="HeadingNoTOC3Char">
    <w:name w:val="Heading NoTOC 3 Char"/>
    <w:link w:val="HeadingNoTOC3"/>
    <w:uiPriority w:val="9"/>
    <w:rsid w:val="00462069"/>
    <w:rPr>
      <w:rFonts w:asciiTheme="majorHAnsi" w:eastAsia="SimSun" w:hAnsiTheme="majorHAnsi"/>
      <w:b/>
      <w:color w:val="003399" w:themeColor="text2"/>
      <w:sz w:val="28"/>
      <w:lang w:eastAsia="en-GB"/>
    </w:rPr>
  </w:style>
  <w:style w:type="paragraph" w:customStyle="1" w:styleId="HeadingNoTOC4">
    <w:name w:val="Heading NoTOC 4"/>
    <w:basedOn w:val="Heading4"/>
    <w:next w:val="Normal"/>
    <w:link w:val="HeadingNoTOC4Char"/>
    <w:uiPriority w:val="9"/>
    <w:rsid w:val="00462069"/>
  </w:style>
  <w:style w:type="character" w:customStyle="1" w:styleId="HeadingNoTOC4Char">
    <w:name w:val="Heading NoTOC 4 Char"/>
    <w:link w:val="HeadingNoTOC4"/>
    <w:uiPriority w:val="9"/>
    <w:rsid w:val="00462069"/>
    <w:rPr>
      <w:rFonts w:asciiTheme="majorHAnsi" w:eastAsia="SimSun" w:hAnsiTheme="majorHAnsi"/>
      <w:color w:val="003399" w:themeColor="text2"/>
      <w:sz w:val="28"/>
      <w:lang w:eastAsia="en-GB"/>
    </w:rPr>
  </w:style>
  <w:style w:type="paragraph" w:customStyle="1" w:styleId="HeadingNoTOC5">
    <w:name w:val="Heading NoTOC 5"/>
    <w:basedOn w:val="Heading5"/>
    <w:next w:val="Normal"/>
    <w:link w:val="HeadingNoTOC5Char"/>
    <w:uiPriority w:val="9"/>
    <w:unhideWhenUsed/>
    <w:rsid w:val="00462069"/>
  </w:style>
  <w:style w:type="character" w:customStyle="1" w:styleId="HeadingNoTOC5Char">
    <w:name w:val="Heading NoTOC 5 Char"/>
    <w:link w:val="HeadingNoTOC5"/>
    <w:uiPriority w:val="9"/>
    <w:unhideWhenUsed/>
    <w:rsid w:val="00462069"/>
    <w:rPr>
      <w:rFonts w:asciiTheme="majorHAnsi" w:eastAsia="SimSun" w:hAnsiTheme="majorHAnsi"/>
      <w:b/>
      <w:color w:val="003399" w:themeColor="text2"/>
      <w:sz w:val="22"/>
      <w:lang w:eastAsia="en-GB"/>
    </w:rPr>
  </w:style>
  <w:style w:type="paragraph" w:customStyle="1" w:styleId="HeadingNoTOC6">
    <w:name w:val="Heading NoTOC 6"/>
    <w:basedOn w:val="Heading6"/>
    <w:next w:val="Normal"/>
    <w:link w:val="HeadingNoTOC6Char"/>
    <w:uiPriority w:val="9"/>
    <w:unhideWhenUsed/>
    <w:rsid w:val="00462069"/>
  </w:style>
  <w:style w:type="character" w:customStyle="1" w:styleId="HeadingNoTOC6Char">
    <w:name w:val="Heading NoTOC 6 Char"/>
    <w:link w:val="HeadingNoTOC6"/>
    <w:uiPriority w:val="9"/>
    <w:unhideWhenUsed/>
    <w:rsid w:val="00462069"/>
    <w:rPr>
      <w:rFonts w:asciiTheme="majorHAnsi" w:eastAsia="SimSun" w:hAnsiTheme="majorHAnsi"/>
      <w:b/>
      <w:color w:val="008139" w:themeColor="accent1"/>
      <w:lang w:eastAsia="en-GB"/>
    </w:rPr>
  </w:style>
  <w:style w:type="paragraph" w:customStyle="1" w:styleId="HeadingNoTOC7">
    <w:name w:val="Heading NoTOC 7"/>
    <w:basedOn w:val="Heading7"/>
    <w:next w:val="Normal"/>
    <w:link w:val="HeadingNoTOC7Char"/>
    <w:uiPriority w:val="9"/>
    <w:unhideWhenUsed/>
    <w:rsid w:val="0087086E"/>
    <w:rPr>
      <w:color w:val="003399" w:themeColor="text2"/>
    </w:rPr>
  </w:style>
  <w:style w:type="character" w:customStyle="1" w:styleId="HeadingNoTOC7Char">
    <w:name w:val="Heading NoTOC 7 Char"/>
    <w:link w:val="HeadingNoTOC7"/>
    <w:uiPriority w:val="9"/>
    <w:unhideWhenUsed/>
    <w:rsid w:val="0087086E"/>
    <w:rPr>
      <w:rFonts w:asciiTheme="majorHAnsi" w:eastAsia="SimSun" w:hAnsiTheme="majorHAnsi"/>
      <w:color w:val="003399" w:themeColor="text2"/>
      <w:spacing w:val="12"/>
      <w:lang w:eastAsia="en-GB"/>
    </w:rPr>
  </w:style>
  <w:style w:type="paragraph" w:customStyle="1" w:styleId="HeadingNoTOC8">
    <w:name w:val="Heading NoTOC 8"/>
    <w:basedOn w:val="Heading8"/>
    <w:next w:val="Normal"/>
    <w:link w:val="HeadingNoTOC8Char"/>
    <w:uiPriority w:val="9"/>
    <w:unhideWhenUsed/>
    <w:rsid w:val="0087086E"/>
    <w:rPr>
      <w:color w:val="003399" w:themeColor="text2"/>
    </w:rPr>
  </w:style>
  <w:style w:type="character" w:customStyle="1" w:styleId="HeadingNoTOC8Char">
    <w:name w:val="Heading NoTOC 8 Char"/>
    <w:link w:val="HeadingNoTOC8"/>
    <w:uiPriority w:val="9"/>
    <w:unhideWhenUsed/>
    <w:rsid w:val="0087086E"/>
    <w:rPr>
      <w:rFonts w:asciiTheme="majorHAnsi" w:eastAsia="SimSun" w:hAnsiTheme="majorHAnsi"/>
      <w:i/>
      <w:color w:val="003399" w:themeColor="text2"/>
      <w:spacing w:val="12"/>
      <w:lang w:eastAsia="en-GB"/>
    </w:rPr>
  </w:style>
  <w:style w:type="paragraph" w:customStyle="1" w:styleId="HeadingNoTOC9">
    <w:name w:val="Heading NoTOC 9"/>
    <w:basedOn w:val="Heading9"/>
    <w:next w:val="Normal"/>
    <w:link w:val="HeadingNoTOC9Char"/>
    <w:uiPriority w:val="9"/>
    <w:unhideWhenUsed/>
    <w:rsid w:val="0087086E"/>
    <w:rPr>
      <w:color w:val="003399" w:themeColor="text2"/>
    </w:rPr>
  </w:style>
  <w:style w:type="character" w:customStyle="1" w:styleId="HeadingNoTOC9Char">
    <w:name w:val="Heading NoTOC 9 Char"/>
    <w:link w:val="HeadingNoTOC9"/>
    <w:uiPriority w:val="9"/>
    <w:unhideWhenUsed/>
    <w:rsid w:val="0087086E"/>
    <w:rPr>
      <w:rFonts w:asciiTheme="majorHAnsi" w:eastAsia="SimSun" w:hAnsiTheme="majorHAnsi"/>
      <w:color w:val="003399" w:themeColor="text2"/>
      <w:spacing w:val="12"/>
      <w:lang w:eastAsia="en-GB"/>
    </w:rPr>
  </w:style>
  <w:style w:type="paragraph" w:customStyle="1" w:styleId="HeadingNumbered1">
    <w:name w:val="Heading Numbered 1"/>
    <w:basedOn w:val="Heading1"/>
    <w:next w:val="Normal"/>
    <w:link w:val="HeadingNumbered1Char"/>
    <w:uiPriority w:val="9"/>
    <w:rsid w:val="00462069"/>
    <w:pPr>
      <w:numPr>
        <w:numId w:val="13"/>
      </w:numPr>
    </w:pPr>
  </w:style>
  <w:style w:type="character" w:customStyle="1" w:styleId="HeadingNumbered1Char">
    <w:name w:val="Heading Numbered 1 Char"/>
    <w:link w:val="HeadingNumbered1"/>
    <w:uiPriority w:val="9"/>
    <w:rsid w:val="00462069"/>
    <w:rPr>
      <w:rFonts w:asciiTheme="majorHAnsi" w:eastAsia="SimSun" w:hAnsiTheme="majorHAnsi"/>
      <w:color w:val="003399" w:themeColor="text2"/>
      <w:sz w:val="48"/>
      <w:lang w:eastAsia="en-GB"/>
    </w:rPr>
  </w:style>
  <w:style w:type="paragraph" w:customStyle="1" w:styleId="HeadingNumbered1NoBreakBefore">
    <w:name w:val="Heading Numbered 1 No Break Before"/>
    <w:basedOn w:val="HeadingNumbered1"/>
    <w:next w:val="Normal"/>
    <w:link w:val="HeadingNumbered1NoBreakBeforeChar"/>
    <w:uiPriority w:val="9"/>
    <w:rsid w:val="00462069"/>
    <w:pPr>
      <w:ind w:left="851" w:hanging="851"/>
    </w:pPr>
  </w:style>
  <w:style w:type="character" w:customStyle="1" w:styleId="HeadingNumbered1NoBreakBeforeChar">
    <w:name w:val="Heading Numbered 1 No Break Before Char"/>
    <w:link w:val="HeadingNumbered1NoBreakBefore"/>
    <w:uiPriority w:val="9"/>
    <w:qFormat/>
    <w:rsid w:val="00462069"/>
    <w:rPr>
      <w:rFonts w:asciiTheme="majorHAnsi" w:eastAsia="SimSun" w:hAnsiTheme="majorHAnsi"/>
      <w:color w:val="003399" w:themeColor="text2"/>
      <w:sz w:val="48"/>
      <w:lang w:eastAsia="en-GB"/>
    </w:rPr>
  </w:style>
  <w:style w:type="paragraph" w:customStyle="1" w:styleId="HeadingNumbered2">
    <w:name w:val="Heading Numbered 2"/>
    <w:basedOn w:val="Heading2"/>
    <w:next w:val="Normal"/>
    <w:link w:val="HeadingNumbered2Char"/>
    <w:uiPriority w:val="9"/>
    <w:rsid w:val="00462069"/>
    <w:pPr>
      <w:numPr>
        <w:ilvl w:val="1"/>
        <w:numId w:val="13"/>
      </w:numPr>
    </w:pPr>
  </w:style>
  <w:style w:type="character" w:customStyle="1" w:styleId="HeadingNumbered2Char">
    <w:name w:val="Heading Numbered 2 Char"/>
    <w:link w:val="HeadingNumbered2"/>
    <w:uiPriority w:val="9"/>
    <w:rsid w:val="00462069"/>
    <w:rPr>
      <w:rFonts w:asciiTheme="majorHAnsi" w:eastAsia="SimSun" w:hAnsiTheme="majorHAnsi"/>
      <w:color w:val="003399" w:themeColor="text2"/>
      <w:sz w:val="48"/>
      <w:lang w:eastAsia="en-GB"/>
    </w:rPr>
  </w:style>
  <w:style w:type="paragraph" w:customStyle="1" w:styleId="HeadingNumbered3">
    <w:name w:val="Heading Numbered 3"/>
    <w:basedOn w:val="Heading3"/>
    <w:next w:val="Normal"/>
    <w:link w:val="HeadingNumbered3Char"/>
    <w:uiPriority w:val="9"/>
    <w:rsid w:val="00462069"/>
    <w:pPr>
      <w:numPr>
        <w:ilvl w:val="2"/>
        <w:numId w:val="13"/>
      </w:numPr>
    </w:pPr>
  </w:style>
  <w:style w:type="character" w:customStyle="1" w:styleId="HeadingNumbered3Char">
    <w:name w:val="Heading Numbered 3 Char"/>
    <w:link w:val="HeadingNumbered3"/>
    <w:uiPriority w:val="9"/>
    <w:rsid w:val="00462069"/>
    <w:rPr>
      <w:rFonts w:asciiTheme="majorHAnsi" w:eastAsia="SimSun" w:hAnsiTheme="majorHAnsi"/>
      <w:b/>
      <w:color w:val="003399" w:themeColor="text2"/>
      <w:sz w:val="28"/>
      <w:lang w:eastAsia="en-GB"/>
    </w:rPr>
  </w:style>
  <w:style w:type="paragraph" w:customStyle="1" w:styleId="HeadingNumbered4">
    <w:name w:val="Heading Numbered 4"/>
    <w:basedOn w:val="Heading4"/>
    <w:next w:val="Normal"/>
    <w:link w:val="HeadingNumbered4Char"/>
    <w:uiPriority w:val="9"/>
    <w:rsid w:val="00462069"/>
    <w:pPr>
      <w:numPr>
        <w:ilvl w:val="3"/>
        <w:numId w:val="13"/>
      </w:numPr>
    </w:pPr>
  </w:style>
  <w:style w:type="character" w:customStyle="1" w:styleId="HeadingNumbered4Char">
    <w:name w:val="Heading Numbered 4 Char"/>
    <w:link w:val="HeadingNumbered4"/>
    <w:uiPriority w:val="9"/>
    <w:rsid w:val="00462069"/>
    <w:rPr>
      <w:rFonts w:asciiTheme="majorHAnsi" w:eastAsia="SimSun" w:hAnsiTheme="majorHAnsi"/>
      <w:color w:val="003399" w:themeColor="text2"/>
      <w:sz w:val="28"/>
      <w:lang w:eastAsia="en-GB"/>
    </w:rPr>
  </w:style>
  <w:style w:type="paragraph" w:customStyle="1" w:styleId="HeadingNumbered5">
    <w:name w:val="Heading Numbered 5"/>
    <w:basedOn w:val="Heading5"/>
    <w:next w:val="Normal"/>
    <w:link w:val="HeadingNumbered5Char"/>
    <w:uiPriority w:val="9"/>
    <w:unhideWhenUsed/>
    <w:rsid w:val="00462069"/>
    <w:pPr>
      <w:numPr>
        <w:ilvl w:val="4"/>
        <w:numId w:val="13"/>
      </w:numPr>
    </w:pPr>
  </w:style>
  <w:style w:type="character" w:customStyle="1" w:styleId="HeadingNumbered5Char">
    <w:name w:val="Heading Numbered 5 Char"/>
    <w:link w:val="HeadingNumbered5"/>
    <w:uiPriority w:val="9"/>
    <w:unhideWhenUsed/>
    <w:rsid w:val="00462069"/>
    <w:rPr>
      <w:rFonts w:asciiTheme="majorHAnsi" w:eastAsia="SimSun" w:hAnsiTheme="majorHAnsi"/>
      <w:b/>
      <w:color w:val="003399" w:themeColor="text2"/>
      <w:sz w:val="22"/>
      <w:lang w:eastAsia="en-GB"/>
    </w:rPr>
  </w:style>
  <w:style w:type="paragraph" w:customStyle="1" w:styleId="HeadingNumbered6">
    <w:name w:val="Heading Numbered 6"/>
    <w:basedOn w:val="Heading6"/>
    <w:next w:val="Normal"/>
    <w:link w:val="HeadingNumbered6Char"/>
    <w:uiPriority w:val="9"/>
    <w:unhideWhenUsed/>
    <w:rsid w:val="00462069"/>
    <w:pPr>
      <w:numPr>
        <w:ilvl w:val="5"/>
        <w:numId w:val="13"/>
      </w:numPr>
    </w:pPr>
  </w:style>
  <w:style w:type="character" w:customStyle="1" w:styleId="HeadingNumbered6Char">
    <w:name w:val="Heading Numbered 6 Char"/>
    <w:link w:val="HeadingNumbered6"/>
    <w:uiPriority w:val="9"/>
    <w:unhideWhenUsed/>
    <w:rsid w:val="00462069"/>
    <w:rPr>
      <w:rFonts w:asciiTheme="majorHAnsi" w:eastAsia="SimSun" w:hAnsiTheme="majorHAnsi"/>
      <w:b/>
      <w:color w:val="003399" w:themeColor="text2"/>
      <w:lang w:eastAsia="en-GB"/>
    </w:rPr>
  </w:style>
  <w:style w:type="paragraph" w:customStyle="1" w:styleId="HeadingNumbered7">
    <w:name w:val="Heading Numbered 7"/>
    <w:basedOn w:val="Heading7"/>
    <w:next w:val="Normal"/>
    <w:link w:val="HeadingNumbered7Char"/>
    <w:uiPriority w:val="9"/>
    <w:unhideWhenUsed/>
    <w:rsid w:val="0087086E"/>
    <w:pPr>
      <w:numPr>
        <w:ilvl w:val="6"/>
        <w:numId w:val="13"/>
      </w:numPr>
    </w:pPr>
    <w:rPr>
      <w:color w:val="003399" w:themeColor="text2"/>
    </w:rPr>
  </w:style>
  <w:style w:type="character" w:customStyle="1" w:styleId="HeadingNumbered7Char">
    <w:name w:val="Heading Numbered 7 Char"/>
    <w:link w:val="HeadingNumbered7"/>
    <w:uiPriority w:val="9"/>
    <w:unhideWhenUsed/>
    <w:rsid w:val="0087086E"/>
    <w:rPr>
      <w:rFonts w:asciiTheme="majorHAnsi" w:eastAsia="SimSun" w:hAnsiTheme="majorHAnsi"/>
      <w:color w:val="003399" w:themeColor="text2"/>
      <w:spacing w:val="12"/>
      <w:lang w:eastAsia="en-GB"/>
    </w:rPr>
  </w:style>
  <w:style w:type="paragraph" w:customStyle="1" w:styleId="HeadingNumbered8">
    <w:name w:val="Heading Numbered 8"/>
    <w:basedOn w:val="Heading8"/>
    <w:next w:val="Normal"/>
    <w:link w:val="HeadingNumbered8Char"/>
    <w:uiPriority w:val="9"/>
    <w:unhideWhenUsed/>
    <w:rsid w:val="0087086E"/>
    <w:pPr>
      <w:numPr>
        <w:ilvl w:val="7"/>
        <w:numId w:val="13"/>
      </w:numPr>
    </w:pPr>
    <w:rPr>
      <w:color w:val="003399" w:themeColor="text2"/>
    </w:rPr>
  </w:style>
  <w:style w:type="character" w:customStyle="1" w:styleId="HeadingNumbered8Char">
    <w:name w:val="Heading Numbered 8 Char"/>
    <w:link w:val="HeadingNumbered8"/>
    <w:uiPriority w:val="9"/>
    <w:unhideWhenUsed/>
    <w:rsid w:val="0087086E"/>
    <w:rPr>
      <w:rFonts w:asciiTheme="majorHAnsi" w:eastAsia="SimSun" w:hAnsiTheme="majorHAnsi"/>
      <w:i/>
      <w:color w:val="003399" w:themeColor="text2"/>
      <w:spacing w:val="12"/>
      <w:lang w:eastAsia="en-GB"/>
    </w:rPr>
  </w:style>
  <w:style w:type="paragraph" w:customStyle="1" w:styleId="HeadingNumbered9">
    <w:name w:val="Heading Numbered 9"/>
    <w:basedOn w:val="Heading9"/>
    <w:next w:val="Normal"/>
    <w:link w:val="HeadingNumbered9Char"/>
    <w:uiPriority w:val="9"/>
    <w:unhideWhenUsed/>
    <w:rsid w:val="0087086E"/>
    <w:pPr>
      <w:numPr>
        <w:ilvl w:val="8"/>
        <w:numId w:val="13"/>
      </w:numPr>
    </w:pPr>
    <w:rPr>
      <w:color w:val="003399" w:themeColor="text2"/>
    </w:rPr>
  </w:style>
  <w:style w:type="character" w:customStyle="1" w:styleId="HeadingNumbered9Char">
    <w:name w:val="Heading Numbered 9 Char"/>
    <w:link w:val="HeadingNumbered9"/>
    <w:uiPriority w:val="9"/>
    <w:unhideWhenUsed/>
    <w:rsid w:val="0087086E"/>
    <w:rPr>
      <w:rFonts w:asciiTheme="majorHAnsi" w:eastAsia="SimSun" w:hAnsiTheme="majorHAnsi"/>
      <w:color w:val="003399" w:themeColor="text2"/>
      <w:spacing w:val="12"/>
      <w:lang w:eastAsia="en-GB"/>
    </w:rPr>
  </w:style>
  <w:style w:type="paragraph" w:styleId="Subtitle">
    <w:name w:val="Subtitle"/>
    <w:next w:val="Normal"/>
    <w:link w:val="SubtitleChar"/>
    <w:uiPriority w:val="15"/>
    <w:semiHidden/>
    <w:rsid w:val="00462069"/>
    <w:pPr>
      <w:suppressAutoHyphens/>
      <w:spacing w:before="2760"/>
      <w:jc w:val="center"/>
    </w:pPr>
    <w:rPr>
      <w:rFonts w:ascii="EC Square Sans Pro" w:eastAsia="SimSun" w:hAnsi="EC Square Sans Pro"/>
      <w:b/>
      <w:color w:val="003399" w:themeColor="text2"/>
      <w:sz w:val="52"/>
      <w:lang w:eastAsia="en-GB"/>
    </w:rPr>
  </w:style>
  <w:style w:type="character" w:customStyle="1" w:styleId="SubtitleChar">
    <w:name w:val="Subtitle Char"/>
    <w:link w:val="Subtitle"/>
    <w:uiPriority w:val="15"/>
    <w:semiHidden/>
    <w:qFormat/>
    <w:rsid w:val="00462069"/>
    <w:rPr>
      <w:rFonts w:ascii="EC Square Sans Pro" w:eastAsia="SimSun" w:hAnsi="EC Square Sans Pro"/>
      <w:b/>
      <w:color w:val="003399" w:themeColor="text2"/>
      <w:sz w:val="52"/>
      <w:lang w:eastAsia="en-GB"/>
    </w:rPr>
  </w:style>
  <w:style w:type="paragraph" w:styleId="Title">
    <w:name w:val="Title"/>
    <w:next w:val="Normal"/>
    <w:link w:val="TitleChar"/>
    <w:uiPriority w:val="14"/>
    <w:semiHidden/>
    <w:rsid w:val="00462069"/>
    <w:pPr>
      <w:suppressAutoHyphens/>
      <w:spacing w:beforeAutospacing="1"/>
      <w:jc w:val="center"/>
    </w:pPr>
    <w:rPr>
      <w:rFonts w:ascii="EC Square Sans Pro" w:eastAsia="SimSun" w:hAnsi="EC Square Sans Pro"/>
      <w:b/>
      <w:sz w:val="40"/>
      <w:lang w:eastAsia="en-GB"/>
    </w:rPr>
  </w:style>
  <w:style w:type="character" w:customStyle="1" w:styleId="TitleChar">
    <w:name w:val="Title Char"/>
    <w:link w:val="Title"/>
    <w:uiPriority w:val="14"/>
    <w:semiHidden/>
    <w:qFormat/>
    <w:rsid w:val="00462069"/>
    <w:rPr>
      <w:rFonts w:ascii="EC Square Sans Pro" w:eastAsia="SimSun" w:hAnsi="EC Square Sans Pro"/>
      <w:b/>
      <w:sz w:val="40"/>
      <w:lang w:eastAsia="en-GB"/>
    </w:rPr>
  </w:style>
  <w:style w:type="table" w:customStyle="1" w:styleId="BodyTable">
    <w:name w:val="Body Table"/>
    <w:basedOn w:val="TableNormal"/>
    <w:uiPriority w:val="99"/>
    <w:unhideWhenUsed/>
    <w:rsid w:val="00462069"/>
    <w:pPr>
      <w:spacing w:before="60" w:after="60" w:line="240" w:lineRule="auto"/>
    </w:pPr>
    <w:rPr>
      <w:rFonts w:ascii="EC Square Sans Pro" w:eastAsia="EC Square Sans Pro" w:hAnsi="EC Square Sans Pro" w:cs="Tunga"/>
      <w:sz w:val="18"/>
      <w:lang w:val="fr-BE" w:eastAsia="en-US"/>
    </w:rPr>
    <w:tblPr>
      <w:tblStyleRowBandSize w:val="1"/>
      <w:jc w:val="center"/>
      <w:tblBorders>
        <w:insideH w:val="single" w:sz="4" w:space="0" w:color="8C8C8C"/>
        <w:insideV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40" w:lineRule="auto"/>
        <w:contextualSpacing w:val="0"/>
        <w:jc w:val="center"/>
      </w:pPr>
      <w:rPr>
        <w:b/>
        <w:color w:val="FFFFFF"/>
      </w:rPr>
      <w:tblPr/>
      <w:tcPr>
        <w:tcBorders>
          <w:top w:val="single" w:sz="12" w:space="0" w:color="FFFFFF" w:themeColor="background1"/>
          <w:left w:val="single" w:sz="12" w:space="0" w:color="FFFFFF" w:themeColor="background1"/>
          <w:bottom w:val="nil"/>
          <w:right w:val="single" w:sz="12" w:space="0" w:color="FFFFFF" w:themeColor="background1"/>
          <w:insideH w:val="single" w:sz="4" w:space="0" w:color="FFFFFF" w:themeColor="background1"/>
          <w:insideV w:val="single" w:sz="4" w:space="0" w:color="FFFFFF" w:themeColor="background1"/>
          <w:tl2br w:val="nil"/>
          <w:tr2bl w:val="nil"/>
        </w:tcBorders>
        <w:shd w:val="clear" w:color="auto" w:fill="003399" w:themeFill="text2"/>
      </w:tcPr>
    </w:tblStylePr>
    <w:tblStylePr w:type="lastRow">
      <w:rPr>
        <w:b/>
        <w:i w:val="0"/>
        <w:color w:val="000000" w:themeColor="text1"/>
      </w:rPr>
      <w:tblPr/>
      <w:tcPr>
        <w:tcBorders>
          <w:top w:val="single" w:sz="4" w:space="0" w:color="8C8C8C"/>
          <w:left w:val="nil"/>
          <w:bottom w:val="nil"/>
          <w:right w:val="nil"/>
          <w:insideH w:val="nil"/>
          <w:insideV w:val="single" w:sz="4" w:space="0" w:color="8C8C8C"/>
          <w:tl2br w:val="nil"/>
          <w:tr2bl w:val="nil"/>
        </w:tcBorders>
        <w:shd w:val="clear" w:color="auto" w:fill="E1F3F2"/>
      </w:tcPr>
    </w:tblStylePr>
    <w:tblStylePr w:type="firstCol">
      <w:rPr>
        <w:b/>
        <w:i w:val="0"/>
        <w:color w:val="003399" w:themeColor="text2"/>
      </w:rPr>
    </w:tblStylePr>
    <w:tblStylePr w:type="band1Horz">
      <w:tblPr/>
      <w:tcPr>
        <w:tcBorders>
          <w:top w:val="nil"/>
          <w:left w:val="nil"/>
          <w:bottom w:val="nil"/>
          <w:right w:val="nil"/>
          <w:insideH w:val="nil"/>
          <w:insideV w:val="single" w:sz="4" w:space="0" w:color="8C8C8C"/>
          <w:tl2br w:val="nil"/>
          <w:tr2bl w:val="nil"/>
        </w:tcBorders>
        <w:shd w:val="clear" w:color="auto" w:fill="auto"/>
      </w:tcPr>
    </w:tblStylePr>
    <w:tblStylePr w:type="band2Horz">
      <w:tblPr/>
      <w:tcPr>
        <w:tcBorders>
          <w:top w:val="single" w:sz="4" w:space="0" w:color="8C8C8C"/>
          <w:left w:val="nil"/>
          <w:bottom w:val="single" w:sz="4" w:space="0" w:color="8C8C8C"/>
          <w:right w:val="nil"/>
          <w:insideH w:val="nil"/>
          <w:insideV w:val="single" w:sz="4" w:space="0" w:color="8C8C8C"/>
          <w:tl2br w:val="nil"/>
          <w:tr2bl w:val="nil"/>
        </w:tcBorders>
        <w:shd w:val="clear" w:color="auto" w:fill="F2F2F2"/>
      </w:tcPr>
    </w:tblStylePr>
  </w:style>
  <w:style w:type="table" w:customStyle="1" w:styleId="TableBoxBlueBackground">
    <w:name w:val="Table Box Blue Background"/>
    <w:uiPriority w:val="99"/>
    <w:unhideWhenUsed/>
    <w:rsid w:val="00DE6243"/>
    <w:pPr>
      <w:spacing w:before="120" w:after="120"/>
    </w:pPr>
    <w:rPr>
      <w:rFonts w:ascii="EC Square Sans Pro" w:eastAsia="SimSun" w:hAnsi="EC Square Sans Pro"/>
      <w:color w:val="003399" w:themeColor="text2"/>
      <w:lang w:eastAsia="en-GB"/>
    </w:rPr>
    <w:tblPr>
      <w:tblInd w:w="0" w:type="dxa"/>
      <w:tblCellMar>
        <w:top w:w="142" w:type="dxa"/>
        <w:left w:w="301" w:type="dxa"/>
        <w:bottom w:w="142" w:type="dxa"/>
        <w:right w:w="301" w:type="dxa"/>
      </w:tblCellMar>
    </w:tblPr>
    <w:tcPr>
      <w:shd w:val="clear" w:color="auto" w:fill="F3F7FF" w:themeFill="background2"/>
    </w:tcPr>
  </w:style>
  <w:style w:type="table" w:customStyle="1" w:styleId="TableBoxBlueDashedBorder">
    <w:name w:val="Table Box Blue Dashed Border"/>
    <w:uiPriority w:val="99"/>
    <w:unhideWhenUsed/>
    <w:rsid w:val="00462069"/>
    <w:rPr>
      <w:rFonts w:ascii="EC Square Sans Pro" w:eastAsia="SimSun" w:hAnsi="EC Square Sans Pro"/>
      <w:lang w:eastAsia="en-GB"/>
    </w:rPr>
    <w:tblPr>
      <w:tblInd w:w="0" w:type="dxa"/>
      <w:tblBorders>
        <w:top w:val="dashSmallGap" w:sz="12" w:space="0" w:color="0E4194"/>
        <w:left w:val="dashSmallGap" w:sz="12" w:space="0" w:color="0E4194"/>
        <w:bottom w:val="dashSmallGap" w:sz="12" w:space="0" w:color="0E4194"/>
        <w:right w:val="dashSmallGap" w:sz="12" w:space="0" w:color="0E4194"/>
      </w:tblBorders>
      <w:tblCellMar>
        <w:top w:w="0" w:type="dxa"/>
        <w:left w:w="108" w:type="dxa"/>
        <w:bottom w:w="0" w:type="dxa"/>
        <w:right w:w="108" w:type="dxa"/>
      </w:tblCellMar>
    </w:tblPr>
    <w:tcPr>
      <w:shd w:val="clear" w:color="000000" w:fill="auto"/>
    </w:tcPr>
  </w:style>
  <w:style w:type="table" w:customStyle="1" w:styleId="TableBoxGreyBackground">
    <w:name w:val="Table Box Grey Background"/>
    <w:uiPriority w:val="99"/>
    <w:unhideWhenUsed/>
    <w:rsid w:val="00462069"/>
    <w:rPr>
      <w:rFonts w:ascii="EC Square Sans Pro" w:eastAsia="SimSun" w:hAnsi="EC Square Sans Pro"/>
      <w:lang w:eastAsia="en-GB"/>
    </w:rPr>
    <w:tblPr>
      <w:tblInd w:w="0" w:type="dxa"/>
      <w:tblBorders>
        <w:top w:val="single" w:sz="4" w:space="0" w:color="8C8C8C"/>
        <w:left w:val="single" w:sz="4" w:space="0" w:color="8C8C8C"/>
        <w:bottom w:val="single" w:sz="4" w:space="0" w:color="8C8C8C"/>
        <w:right w:val="single" w:sz="4" w:space="0" w:color="8C8C8C"/>
      </w:tblBorders>
      <w:tblCellMar>
        <w:top w:w="0" w:type="dxa"/>
        <w:left w:w="108" w:type="dxa"/>
        <w:bottom w:w="0" w:type="dxa"/>
        <w:right w:w="108" w:type="dxa"/>
      </w:tblCellMar>
    </w:tblPr>
    <w:tcPr>
      <w:shd w:val="clear" w:color="000000" w:fill="F3F7FF" w:themeFill="background2"/>
    </w:tcPr>
  </w:style>
  <w:style w:type="table" w:customStyle="1" w:styleId="TableBoxRedBorder">
    <w:name w:val="Table Box Red Border"/>
    <w:uiPriority w:val="99"/>
    <w:unhideWhenUsed/>
    <w:rsid w:val="00AE026E"/>
    <w:rPr>
      <w:rFonts w:ascii="EC Square Sans Pro" w:hAnsi="EC Square Sans Pro"/>
      <w:lang w:eastAsia="en-GB"/>
    </w:rPr>
    <w:tblPr>
      <w:tblInd w:w="0" w:type="dxa"/>
      <w:tblBorders>
        <w:top w:val="single" w:sz="12" w:space="0" w:color="DC3903"/>
        <w:left w:val="single" w:sz="12" w:space="0" w:color="DC3903"/>
        <w:bottom w:val="single" w:sz="12" w:space="0" w:color="DC3903"/>
        <w:right w:val="single" w:sz="12" w:space="0" w:color="DC3903"/>
      </w:tblBorders>
      <w:tblCellMar>
        <w:top w:w="0" w:type="dxa"/>
        <w:left w:w="301" w:type="dxa"/>
        <w:bottom w:w="0" w:type="dxa"/>
        <w:right w:w="301" w:type="dxa"/>
      </w:tblCellMar>
    </w:tblPr>
    <w:tcPr>
      <w:shd w:val="clear" w:color="000000" w:fill="FFFFFF" w:themeFill="background1"/>
    </w:tcPr>
  </w:style>
  <w:style w:type="table" w:customStyle="1" w:styleId="TableBoxYellowBackground">
    <w:name w:val="Table Box Yellow Background"/>
    <w:uiPriority w:val="99"/>
    <w:unhideWhenUsed/>
    <w:rsid w:val="00462069"/>
    <w:rPr>
      <w:rFonts w:ascii="EC Square Sans Pro" w:eastAsia="SimSun" w:hAnsi="EC Square Sans Pro"/>
      <w:lang w:eastAsia="en-GB"/>
    </w:rPr>
    <w:tblPr>
      <w:tblInd w:w="0" w:type="dxa"/>
      <w:tblBorders>
        <w:top w:val="single" w:sz="4" w:space="0" w:color="2688FE" w:themeColor="accent3"/>
        <w:left w:val="single" w:sz="4" w:space="0" w:color="2688FE" w:themeColor="accent3"/>
        <w:bottom w:val="single" w:sz="4" w:space="0" w:color="2688FE" w:themeColor="accent3"/>
        <w:right w:val="single" w:sz="4" w:space="0" w:color="2688FE" w:themeColor="accent3"/>
      </w:tblBorders>
      <w:tblCellMar>
        <w:top w:w="0" w:type="dxa"/>
        <w:left w:w="108" w:type="dxa"/>
        <w:bottom w:w="0" w:type="dxa"/>
        <w:right w:w="108" w:type="dxa"/>
      </w:tblCellMar>
    </w:tblPr>
    <w:tcPr>
      <w:shd w:val="clear" w:color="000000" w:fill="2688FE" w:themeFill="accent3"/>
    </w:tcPr>
  </w:style>
  <w:style w:type="table" w:styleId="TableGrid">
    <w:name w:val="Table Grid"/>
    <w:aliases w:val="Document Table,CV1,Standard table format,Simple table"/>
    <w:basedOn w:val="TableNormal"/>
    <w:uiPriority w:val="10"/>
    <w:rsid w:val="00462069"/>
    <w:pPr>
      <w:keepNext/>
      <w:spacing w:before="40" w:after="40"/>
    </w:pPr>
    <w:rPr>
      <w:rFonts w:ascii="EC Square Sans Cond Pro" w:eastAsia="SimSun"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jc w:val="both"/>
      </w:pPr>
      <w:rPr>
        <w:b/>
        <w:color w:val="FFFFFF" w:themeColor="light1"/>
      </w:rPr>
      <w:tblPr/>
      <w:trPr>
        <w:cantSplit/>
        <w:tblHeader/>
      </w:trPr>
      <w:tcPr>
        <w:tcBorders>
          <w:bottom w:val="single" w:sz="4" w:space="0" w:color="8C8C8C"/>
          <w:insideH w:val="single" w:sz="4" w:space="0" w:color="8C8C8C"/>
          <w:insideV w:val="single" w:sz="4" w:space="0" w:color="8C8C8C"/>
        </w:tcBorders>
        <w:shd w:val="clear" w:color="FFFFFF" w:fill="008139" w:themeFill="accent1"/>
        <w:vAlign w:val="top"/>
      </w:tcPr>
    </w:tblStylePr>
    <w:tblStylePr w:type="lastRow">
      <w:pPr>
        <w:jc w:val="both"/>
      </w:pPr>
      <w:rPr>
        <w:b/>
        <w:color w:val="FFFFFF" w:themeColor="light1"/>
      </w:rPr>
      <w:tblPr/>
      <w:tcPr>
        <w:shd w:val="clear" w:color="FFFFFF" w:fill="DE6002" w:themeFill="accent2"/>
      </w:tcPr>
    </w:tblStylePr>
    <w:tblStylePr w:type="firstCol">
      <w:pPr>
        <w:jc w:val="both"/>
      </w:pPr>
      <w:rPr>
        <w:b/>
      </w:rPr>
      <w:tblPr/>
      <w:tcPr>
        <w:shd w:val="clear" w:color="000000" w:fill="F3F7FF" w:themeFill="background2"/>
      </w:tcPr>
    </w:tblStylePr>
  </w:style>
  <w:style w:type="table" w:customStyle="1" w:styleId="TableObjective">
    <w:name w:val="Table Objective"/>
    <w:basedOn w:val="TableNormal"/>
    <w:uiPriority w:val="10"/>
    <w:unhideWhenUsed/>
    <w:rsid w:val="00462069"/>
    <w:pPr>
      <w:keepLines/>
      <w:spacing w:before="40" w:after="40"/>
    </w:pPr>
    <w:rPr>
      <w:rFonts w:ascii="EC Square Sans Cond Pro" w:eastAsia="SimSun"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pPr>
      <w:rPr>
        <w:b/>
        <w:color w:val="000000" w:themeColor="dark1"/>
        <w:sz w:val="20"/>
      </w:rPr>
      <w:tblPr/>
      <w:trPr>
        <w:cantSplit/>
        <w:tblHeader/>
      </w:trPr>
      <w:tcPr>
        <w:tcBorders>
          <w:bottom w:val="single" w:sz="4" w:space="0" w:color="8C8C8C"/>
          <w:insideH w:val="single" w:sz="4" w:space="0" w:color="8C8C8C"/>
          <w:insideV w:val="single" w:sz="4" w:space="0" w:color="8C8C8C"/>
        </w:tcBorders>
        <w:shd w:val="clear" w:color="auto" w:fill="F3F7FF" w:themeFill="background2"/>
        <w:vAlign w:val="top"/>
      </w:tcPr>
    </w:tblStylePr>
  </w:style>
  <w:style w:type="paragraph" w:customStyle="1" w:styleId="amprA1H3thatlookslikeH4">
    <w:name w:val="[ampr A1] H3 that looks like H4"/>
    <w:next w:val="Normal"/>
    <w:uiPriority w:val="9"/>
    <w:qFormat/>
    <w:rsid w:val="00462069"/>
    <w:pPr>
      <w:keepNext/>
      <w:keepLines/>
      <w:suppressAutoHyphens/>
      <w:spacing w:before="480"/>
      <w:outlineLvl w:val="2"/>
    </w:pPr>
    <w:rPr>
      <w:rFonts w:asciiTheme="majorHAnsi" w:eastAsia="SimSun" w:hAnsiTheme="majorHAnsi"/>
      <w:noProof/>
      <w:color w:val="003399" w:themeColor="text2"/>
      <w:sz w:val="28"/>
      <w:lang w:eastAsia="en-GB"/>
    </w:rPr>
  </w:style>
  <w:style w:type="paragraph" w:customStyle="1" w:styleId="amprboxheading">
    <w:name w:val="[ampr box] heading"/>
    <w:basedOn w:val="amprboxtext"/>
    <w:next w:val="amprboxtext"/>
    <w:uiPriority w:val="7"/>
    <w:rsid w:val="00AE026E"/>
    <w:pPr>
      <w:keepNext/>
    </w:pPr>
    <w:rPr>
      <w:rFonts w:ascii="EC Square Sans Pro Medium" w:hAnsi="EC Square Sans Pro Medium"/>
      <w:color w:val="DC3903"/>
      <w:sz w:val="22"/>
    </w:rPr>
  </w:style>
  <w:style w:type="numbering" w:customStyle="1" w:styleId="ListabcLIST">
    <w:name w:val="List abc LIST"/>
    <w:uiPriority w:val="99"/>
    <w:rsid w:val="00651972"/>
    <w:pPr>
      <w:numPr>
        <w:numId w:val="39"/>
      </w:numPr>
    </w:pPr>
  </w:style>
  <w:style w:type="numbering" w:customStyle="1" w:styleId="amprLISTblackbullets">
    <w:name w:val="[ampr LIST black]  bullets"/>
    <w:uiPriority w:val="99"/>
    <w:locked/>
    <w:rsid w:val="00462069"/>
    <w:pPr>
      <w:numPr>
        <w:numId w:val="1"/>
      </w:numPr>
    </w:pPr>
  </w:style>
  <w:style w:type="numbering" w:customStyle="1" w:styleId="amprLISTbluebullets">
    <w:name w:val="[ampr LIST blue]  bullets"/>
    <w:uiPriority w:val="99"/>
    <w:rsid w:val="00462069"/>
    <w:pPr>
      <w:numPr>
        <w:numId w:val="2"/>
      </w:numPr>
    </w:pPr>
  </w:style>
  <w:style w:type="numbering" w:customStyle="1" w:styleId="amprLISTgreenbullets">
    <w:name w:val="[ampr LIST green] bullets"/>
    <w:uiPriority w:val="99"/>
    <w:locked/>
    <w:rsid w:val="00462069"/>
    <w:pPr>
      <w:numPr>
        <w:numId w:val="3"/>
      </w:numPr>
    </w:pPr>
  </w:style>
  <w:style w:type="numbering" w:customStyle="1" w:styleId="amprLISTpurplebullets">
    <w:name w:val="[ampr LIST purple] bullets"/>
    <w:uiPriority w:val="99"/>
    <w:rsid w:val="00462069"/>
    <w:pPr>
      <w:numPr>
        <w:numId w:val="4"/>
      </w:numPr>
    </w:pPr>
  </w:style>
  <w:style w:type="paragraph" w:customStyle="1" w:styleId="amprquoteauthor">
    <w:name w:val="[ampr quote] author"/>
    <w:basedOn w:val="Normal"/>
    <w:next w:val="amprquoteauthortitle"/>
    <w:uiPriority w:val="2"/>
    <w:qFormat/>
    <w:locked/>
    <w:rsid w:val="00462069"/>
    <w:pPr>
      <w:spacing w:after="120"/>
      <w:jc w:val="right"/>
    </w:pPr>
    <w:rPr>
      <w:i/>
      <w:iCs/>
      <w:color w:val="003399" w:themeColor="text2"/>
      <w:sz w:val="28"/>
      <w:szCs w:val="28"/>
      <w:lang w:eastAsia="fr-BE"/>
    </w:rPr>
  </w:style>
  <w:style w:type="paragraph" w:customStyle="1" w:styleId="amprquoteauthortitle">
    <w:name w:val="[ampr quote] author title"/>
    <w:basedOn w:val="Normal"/>
    <w:next w:val="Normal"/>
    <w:uiPriority w:val="2"/>
    <w:qFormat/>
    <w:locked/>
    <w:rsid w:val="00462069"/>
    <w:pPr>
      <w:spacing w:before="0" w:after="360" w:line="240" w:lineRule="auto"/>
      <w:ind w:left="357" w:hanging="357"/>
      <w:jc w:val="right"/>
    </w:pPr>
    <w:rPr>
      <w:rFonts w:asciiTheme="minorHAnsi" w:eastAsia="EC Square Sans Pro" w:hAnsiTheme="minorHAnsi"/>
      <w:color w:val="000000" w:themeColor="text1"/>
      <w:sz w:val="18"/>
      <w:lang w:eastAsia="zh-CN"/>
    </w:rPr>
  </w:style>
  <w:style w:type="paragraph" w:customStyle="1" w:styleId="amprquotetext">
    <w:name w:val="[ampr quote] text"/>
    <w:basedOn w:val="Normal"/>
    <w:next w:val="amprquoteauthor"/>
    <w:uiPriority w:val="2"/>
    <w:qFormat/>
    <w:locked/>
    <w:rsid w:val="00DA2A98"/>
    <w:pPr>
      <w:ind w:left="284" w:right="281"/>
    </w:pPr>
    <w:rPr>
      <w:rFonts w:asciiTheme="minorHAnsi" w:hAnsiTheme="minorHAnsi"/>
      <w:i/>
      <w:iCs/>
      <w:color w:val="2688FE" w:themeColor="accent3"/>
      <w:sz w:val="24"/>
      <w:szCs w:val="24"/>
      <w:lang w:eastAsia="fr-BE"/>
    </w:rPr>
  </w:style>
  <w:style w:type="paragraph" w:customStyle="1" w:styleId="amprFooter-Left">
    <w:name w:val="[ampr] Footer - Left"/>
    <w:basedOn w:val="Normal"/>
    <w:next w:val="Normal"/>
    <w:uiPriority w:val="15"/>
    <w:locked/>
    <w:rsid w:val="00A74E7F"/>
    <w:pPr>
      <w:spacing w:before="0" w:after="0" w:line="240" w:lineRule="auto"/>
    </w:pPr>
    <w:rPr>
      <w:rFonts w:eastAsia="EC Square Sans Pro"/>
      <w:szCs w:val="21"/>
      <w:lang w:eastAsia="zh-CN"/>
    </w:rPr>
  </w:style>
  <w:style w:type="paragraph" w:customStyle="1" w:styleId="amprFooter-Right">
    <w:name w:val="[ampr] Footer - Right"/>
    <w:basedOn w:val="Footer"/>
    <w:uiPriority w:val="15"/>
    <w:locked/>
    <w:rsid w:val="00A74E7F"/>
    <w:pPr>
      <w:tabs>
        <w:tab w:val="clear" w:pos="4535"/>
        <w:tab w:val="clear" w:pos="9071"/>
      </w:tabs>
      <w:jc w:val="right"/>
    </w:pPr>
    <w:rPr>
      <w:rFonts w:ascii="EC Square Sans Pro" w:eastAsia="EC Square Sans Pro" w:hAnsi="EC Square Sans Pro"/>
      <w:sz w:val="20"/>
      <w:szCs w:val="21"/>
      <w:lang w:eastAsia="zh-CN"/>
    </w:rPr>
  </w:style>
  <w:style w:type="paragraph" w:customStyle="1" w:styleId="amprHeader-Left">
    <w:name w:val="[ampr] Header - Left"/>
    <w:basedOn w:val="Normal"/>
    <w:next w:val="Normal"/>
    <w:uiPriority w:val="15"/>
    <w:locked/>
    <w:rsid w:val="00A74E7F"/>
    <w:pPr>
      <w:spacing w:before="0" w:after="0" w:line="240" w:lineRule="auto"/>
    </w:pPr>
    <w:rPr>
      <w:rFonts w:eastAsia="EC Square Sans Pro"/>
      <w:color w:val="747474"/>
      <w:szCs w:val="21"/>
      <w:lang w:eastAsia="zh-CN"/>
    </w:rPr>
  </w:style>
  <w:style w:type="paragraph" w:customStyle="1" w:styleId="amprHeader-Right">
    <w:name w:val="[ampr] Header - Right"/>
    <w:basedOn w:val="Normal"/>
    <w:next w:val="Normal"/>
    <w:uiPriority w:val="15"/>
    <w:locked/>
    <w:rsid w:val="00A74E7F"/>
    <w:pPr>
      <w:spacing w:before="0" w:after="0" w:line="240" w:lineRule="auto"/>
      <w:jc w:val="right"/>
    </w:pPr>
    <w:rPr>
      <w:rFonts w:eastAsia="EC Square Sans Pro"/>
      <w:color w:val="747474"/>
      <w:szCs w:val="21"/>
      <w:lang w:eastAsia="zh-CN"/>
    </w:rPr>
  </w:style>
  <w:style w:type="table" w:customStyle="1" w:styleId="amprtableboxBLUE">
    <w:name w:val="[ampr] table box BLUE"/>
    <w:basedOn w:val="TableNormal"/>
    <w:uiPriority w:val="99"/>
    <w:semiHidden/>
    <w:unhideWhenUsed/>
    <w:locked/>
    <w:rsid w:val="00462069"/>
    <w:rPr>
      <w:rFonts w:ascii="EC Square Sans Pro" w:eastAsia="SimSun" w:hAnsi="EC Square Sans Pro"/>
      <w:color w:val="FFFFFF" w:themeColor="background1"/>
      <w:lang w:eastAsia="en-GB"/>
    </w:rPr>
    <w:tblPr>
      <w:jc w:val="center"/>
      <w:tblCellMar>
        <w:left w:w="301" w:type="dxa"/>
        <w:right w:w="301" w:type="dxa"/>
      </w:tblCellMar>
    </w:tblPr>
    <w:trPr>
      <w:jc w:val="center"/>
    </w:trPr>
    <w:tcPr>
      <w:shd w:val="clear" w:color="auto" w:fill="003399" w:themeFill="text2"/>
    </w:tcPr>
  </w:style>
  <w:style w:type="table" w:customStyle="1" w:styleId="Planning2022Box">
    <w:name w:val="[Planning 2022] Box"/>
    <w:basedOn w:val="TableNormal"/>
    <w:uiPriority w:val="99"/>
    <w:rsid w:val="00462069"/>
    <w:pPr>
      <w:spacing w:before="0"/>
    </w:pPr>
    <w:rPr>
      <w:rFonts w:ascii="EC Square Sans Pro" w:eastAsiaTheme="minorEastAsia" w:hAnsi="EC Square Sans Pro" w:cstheme="minorBidi"/>
      <w:sz w:val="24"/>
      <w:szCs w:val="24"/>
      <w:lang w:eastAsia="nl-BE"/>
    </w:rPr>
    <w:tblPr>
      <w:tblBorders>
        <w:top w:val="single" w:sz="4" w:space="0" w:color="8C8C8C"/>
        <w:left w:val="single" w:sz="4" w:space="0" w:color="8C8C8C"/>
        <w:bottom w:val="single" w:sz="4" w:space="0" w:color="8C8C8C"/>
        <w:right w:val="single" w:sz="4" w:space="0" w:color="8C8C8C"/>
      </w:tblBorders>
    </w:tblPr>
    <w:tcPr>
      <w:shd w:val="clear" w:color="auto" w:fill="F2F2F2"/>
    </w:tcPr>
  </w:style>
  <w:style w:type="numbering" w:customStyle="1" w:styleId="PPOLISTHyphened">
    <w:name w:val="[PPO_LIST] Hyphened [ – ][ * ][ ◊ ]"/>
    <w:uiPriority w:val="99"/>
    <w:rsid w:val="00462069"/>
    <w:pPr>
      <w:numPr>
        <w:numId w:val="5"/>
      </w:numPr>
    </w:pPr>
  </w:style>
  <w:style w:type="numbering" w:styleId="111111">
    <w:name w:val="Outline List 2"/>
    <w:basedOn w:val="NoList"/>
    <w:semiHidden/>
    <w:unhideWhenUsed/>
    <w:rsid w:val="00462069"/>
    <w:pPr>
      <w:numPr>
        <w:numId w:val="6"/>
      </w:numPr>
    </w:pPr>
  </w:style>
  <w:style w:type="numbering" w:styleId="1ai">
    <w:name w:val="Outline List 1"/>
    <w:basedOn w:val="NoList"/>
    <w:semiHidden/>
    <w:unhideWhenUsed/>
    <w:rsid w:val="00462069"/>
    <w:pPr>
      <w:numPr>
        <w:numId w:val="7"/>
      </w:numPr>
    </w:pPr>
  </w:style>
  <w:style w:type="table" w:customStyle="1" w:styleId="AMPR20212">
    <w:name w:val="AMPR_2021_2"/>
    <w:basedOn w:val="TableNormal"/>
    <w:uiPriority w:val="99"/>
    <w:semiHidden/>
    <w:unhideWhenUsed/>
    <w:locked/>
    <w:rsid w:val="00462069"/>
    <w:pPr>
      <w:spacing w:before="60" w:after="60"/>
    </w:pPr>
    <w:rPr>
      <w:rFonts w:ascii="EC Square Sans Pro" w:eastAsiaTheme="minorHAnsi" w:hAnsi="EC Square Sans Pro" w:cstheme="minorBidi"/>
      <w:lang w:val="fr-BE" w:eastAsia="en-US"/>
    </w:rPr>
    <w:tblPr>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Pr>
    <w:trPr>
      <w:jc w:val="center"/>
    </w:trPr>
    <w:tcPr>
      <w:shd w:val="clear" w:color="auto" w:fill="F2F2F2" w:themeFill="background1" w:themeFillShade="F2"/>
    </w:tcPr>
    <w:tblStylePr w:type="firstRow">
      <w:pPr>
        <w:wordWrap/>
        <w:spacing w:beforeLines="0" w:before="100" w:beforeAutospacing="0" w:afterLines="0" w:after="100" w:afterAutospacing="0" w:line="240" w:lineRule="auto"/>
        <w:contextualSpacing w:val="0"/>
      </w:pPr>
      <w:rPr>
        <w:b/>
        <w:color w:val="FFFFFF" w:themeColor="background1"/>
      </w:rPr>
      <w:tblPr/>
      <w:tcPr>
        <w:tcBorders>
          <w:top w:val="single" w:sz="4" w:space="0" w:color="003399" w:themeColor="text2"/>
          <w:left w:val="single" w:sz="4" w:space="0" w:color="003399" w:themeColor="text2"/>
          <w:bottom w:val="single" w:sz="4" w:space="0" w:color="003399" w:themeColor="text2"/>
          <w:right w:val="single" w:sz="4" w:space="0" w:color="003399" w:themeColor="text2"/>
          <w:insideH w:val="nil"/>
          <w:insideV w:val="single" w:sz="4" w:space="0" w:color="FFFFFF" w:themeColor="background1"/>
          <w:tl2br w:val="nil"/>
          <w:tr2bl w:val="nil"/>
        </w:tcBorders>
        <w:shd w:val="clear" w:color="auto" w:fill="003399" w:themeFill="text2"/>
      </w:tcPr>
    </w:tblStylePr>
    <w:tblStylePr w:type="firstCol">
      <w:rPr>
        <w:b/>
        <w:i w:val="0"/>
        <w:color w:val="008139" w:themeColor="accent1"/>
      </w:rPr>
    </w:tblStylePr>
  </w:style>
  <w:style w:type="numbering" w:styleId="ArticleSection">
    <w:name w:val="Outline List 3"/>
    <w:basedOn w:val="NoList"/>
    <w:semiHidden/>
    <w:unhideWhenUsed/>
    <w:rsid w:val="00462069"/>
    <w:pPr>
      <w:numPr>
        <w:numId w:val="8"/>
      </w:numPr>
    </w:pPr>
  </w:style>
  <w:style w:type="paragraph" w:styleId="BalloonText">
    <w:name w:val="Balloon Text"/>
    <w:basedOn w:val="Normal"/>
    <w:link w:val="BalloonTextChar"/>
    <w:semiHidden/>
    <w:rsid w:val="0046206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2069"/>
    <w:rPr>
      <w:rFonts w:ascii="Segoe UI" w:eastAsia="SimSun" w:hAnsi="Segoe UI" w:cs="Segoe UI"/>
      <w:sz w:val="18"/>
      <w:szCs w:val="18"/>
      <w:lang w:eastAsia="en-GB"/>
    </w:rPr>
  </w:style>
  <w:style w:type="paragraph" w:styleId="Bibliography">
    <w:name w:val="Bibliography"/>
    <w:basedOn w:val="Normal"/>
    <w:next w:val="Normal"/>
    <w:semiHidden/>
    <w:rsid w:val="00462069"/>
  </w:style>
  <w:style w:type="paragraph" w:styleId="BlockText">
    <w:name w:val="Block Text"/>
    <w:basedOn w:val="Normal"/>
    <w:semiHidden/>
    <w:rsid w:val="00462069"/>
    <w:pPr>
      <w:pBdr>
        <w:top w:val="single" w:sz="2" w:space="10" w:color="008139" w:themeColor="accent1"/>
        <w:left w:val="single" w:sz="2" w:space="10" w:color="008139" w:themeColor="accent1"/>
        <w:bottom w:val="single" w:sz="2" w:space="10" w:color="008139" w:themeColor="accent1"/>
        <w:right w:val="single" w:sz="2" w:space="10" w:color="008139" w:themeColor="accent1"/>
      </w:pBdr>
      <w:ind w:left="1152" w:right="1152"/>
    </w:pPr>
    <w:rPr>
      <w:rFonts w:asciiTheme="minorHAnsi" w:eastAsiaTheme="minorEastAsia" w:hAnsiTheme="minorHAnsi" w:cstheme="minorBidi"/>
      <w:i/>
      <w:iCs/>
      <w:color w:val="008139" w:themeColor="accent1"/>
    </w:rPr>
  </w:style>
  <w:style w:type="table" w:customStyle="1" w:styleId="BodyTable2">
    <w:name w:val="Body Table 2"/>
    <w:basedOn w:val="TableNormal"/>
    <w:uiPriority w:val="10"/>
    <w:semiHidden/>
    <w:unhideWhenUsed/>
    <w:locked/>
    <w:rsid w:val="00462069"/>
    <w:pPr>
      <w:spacing w:before="100" w:after="100"/>
    </w:pPr>
    <w:rPr>
      <w:rFonts w:eastAsia="SimSun"/>
      <w:lang w:eastAsia="en-GB"/>
    </w:rPr>
    <w:tblPr>
      <w:tblStyleRowBandSize w:val="1"/>
      <w:tblStyleColBandSize w:val="1"/>
      <w:jc w:val="center"/>
      <w:tblBorders>
        <w:top w:val="single" w:sz="4" w:space="0" w:color="8C8C8C"/>
        <w:bottom w:val="single" w:sz="4" w:space="0" w:color="8C8C8C"/>
        <w:insideH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64" w:lineRule="auto"/>
        <w:jc w:val="center"/>
      </w:pPr>
      <w:rPr>
        <w:b/>
        <w:color w:val="FFFFFF" w:themeColor="light1"/>
      </w:rPr>
      <w:tblPr/>
      <w:trPr>
        <w:cantSplit/>
        <w:tblHeader/>
      </w:trPr>
      <w:tcPr>
        <w:tcBorders>
          <w:top w:val="nil"/>
          <w:left w:val="nil"/>
          <w:bottom w:val="nil"/>
          <w:right w:val="nil"/>
          <w:insideH w:val="nil"/>
          <w:insideV w:val="nil"/>
          <w:tl2br w:val="nil"/>
          <w:tr2bl w:val="nil"/>
        </w:tcBorders>
        <w:shd w:val="clear" w:color="FFFFFF" w:fill="003399" w:themeFill="text2"/>
        <w:vAlign w:val="top"/>
      </w:tcPr>
    </w:tblStylePr>
    <w:tblStylePr w:type="lastRow">
      <w:pPr>
        <w:jc w:val="both"/>
      </w:pPr>
      <w:rPr>
        <w:b/>
        <w:color w:val="003399" w:themeColor="text2"/>
      </w:rPr>
      <w:tblPr/>
      <w:tcPr>
        <w:tcBorders>
          <w:top w:val="nil"/>
          <w:left w:val="nil"/>
          <w:bottom w:val="nil"/>
          <w:right w:val="nil"/>
          <w:insideH w:val="nil"/>
          <w:insideV w:val="nil"/>
          <w:tl2br w:val="nil"/>
          <w:tr2bl w:val="nil"/>
        </w:tcBorders>
        <w:shd w:val="clear" w:color="FFFFFF" w:fill="auto"/>
      </w:tcPr>
    </w:tblStylePr>
    <w:tblStylePr w:type="firstCol">
      <w:pPr>
        <w:jc w:val="both"/>
      </w:pPr>
      <w:rPr>
        <w:b/>
        <w:color w:val="008139" w:themeColor="accent1"/>
      </w:rPr>
    </w:tblStylePr>
    <w:tblStylePr w:type="band2Vert">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tblPr/>
      <w:tcPr>
        <w:tcBorders>
          <w:top w:val="single" w:sz="4" w:space="0" w:color="8C8C8C"/>
          <w:left w:val="nil"/>
          <w:bottom w:val="single" w:sz="4" w:space="0" w:color="8C8C8C"/>
          <w:right w:val="nil"/>
          <w:insideH w:val="single" w:sz="4" w:space="0" w:color="8C8C8C"/>
          <w:insideV w:val="nil"/>
          <w:tl2br w:val="nil"/>
          <w:tr2bl w:val="nil"/>
        </w:tcBorders>
        <w:shd w:val="clear" w:color="auto" w:fill="auto"/>
      </w:tcPr>
    </w:tblStylePr>
    <w:tblStylePr w:type="band2Horz">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style>
  <w:style w:type="table" w:customStyle="1" w:styleId="BodyTable3">
    <w:name w:val="Body Table 3"/>
    <w:basedOn w:val="TableNormal"/>
    <w:uiPriority w:val="99"/>
    <w:unhideWhenUsed/>
    <w:locked/>
    <w:rsid w:val="00462069"/>
    <w:pPr>
      <w:spacing w:before="60" w:after="60" w:line="240" w:lineRule="auto"/>
    </w:pPr>
    <w:rPr>
      <w:rFonts w:ascii="EC Square Sans Pro" w:eastAsia="EC Square Sans Pro" w:hAnsi="EC Square Sans Pro" w:cs="Tunga"/>
      <w:lang w:val="fr-BE" w:eastAsia="en-US"/>
    </w:rPr>
    <w:tblPr>
      <w:tblStyleRowBandSize w:val="1"/>
      <w:jc w:val="center"/>
      <w:tblBorders>
        <w:insideH w:val="single" w:sz="4" w:space="0" w:color="8C8C8C"/>
        <w:insideV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40" w:lineRule="auto"/>
        <w:contextualSpacing w:val="0"/>
      </w:pPr>
      <w:rPr>
        <w:b/>
        <w:color w:val="FFFFFF"/>
      </w:rPr>
      <w:tblPr/>
      <w:tcPr>
        <w:shd w:val="clear" w:color="auto" w:fill="003399" w:themeFill="text2"/>
      </w:tcPr>
    </w:tblStylePr>
    <w:tblStylePr w:type="lastRow">
      <w:rPr>
        <w:b/>
        <w:i w:val="0"/>
        <w:color w:val="000000" w:themeColor="text1"/>
      </w:rPr>
      <w:tblPr/>
      <w:tcPr>
        <w:tcBorders>
          <w:top w:val="nil"/>
          <w:left w:val="nil"/>
          <w:bottom w:val="nil"/>
          <w:right w:val="nil"/>
          <w:insideH w:val="nil"/>
          <w:insideV w:val="single" w:sz="4" w:space="0" w:color="8C8C8C"/>
          <w:tl2br w:val="nil"/>
          <w:tr2bl w:val="nil"/>
        </w:tcBorders>
        <w:shd w:val="clear" w:color="auto" w:fill="E2D0F1" w:themeFill="accent6" w:themeFillTint="33"/>
      </w:tcPr>
    </w:tblStylePr>
    <w:tblStylePr w:type="firstCol">
      <w:rPr>
        <w:b/>
        <w:i w:val="0"/>
        <w:color w:val="008139" w:themeColor="accent1"/>
      </w:rPr>
    </w:tblStylePr>
    <w:tblStylePr w:type="band2Horz">
      <w:tblPr/>
      <w:tcPr>
        <w:tcBorders>
          <w:top w:val="nil"/>
          <w:left w:val="nil"/>
          <w:bottom w:val="nil"/>
          <w:right w:val="nil"/>
          <w:insideH w:val="nil"/>
          <w:insideV w:val="single" w:sz="4" w:space="0" w:color="8C8C8C"/>
          <w:tl2br w:val="nil"/>
          <w:tr2bl w:val="nil"/>
        </w:tcBorders>
        <w:shd w:val="clear" w:color="auto" w:fill="F2F2F2"/>
      </w:tcPr>
    </w:tblStylePr>
  </w:style>
  <w:style w:type="table" w:customStyle="1" w:styleId="BodyTable1">
    <w:name w:val="Body Table1"/>
    <w:basedOn w:val="TableNormal"/>
    <w:uiPriority w:val="99"/>
    <w:locked/>
    <w:rsid w:val="00462069"/>
    <w:pPr>
      <w:spacing w:before="60" w:after="60" w:line="240" w:lineRule="auto"/>
    </w:pPr>
    <w:rPr>
      <w:rFonts w:ascii="EC Square Sans Pro" w:eastAsia="EC Square Sans Pro" w:hAnsi="EC Square Sans Pro" w:cs="Tunga"/>
      <w:sz w:val="18"/>
      <w:lang w:val="fr-BE" w:eastAsia="en-US"/>
    </w:rPr>
    <w:tblPr>
      <w:tblStyleRowBandSize w:val="1"/>
      <w:tblInd w:w="0" w:type="nil"/>
      <w:tblBorders>
        <w:insideH w:val="single" w:sz="4" w:space="0" w:color="8C8C8C"/>
        <w:insideV w:val="single" w:sz="4" w:space="0" w:color="8C8C8C"/>
      </w:tblBorders>
    </w:tblPr>
    <w:tblStylePr w:type="firstRow">
      <w:pPr>
        <w:wordWrap/>
        <w:spacing w:beforeLines="0" w:before="100" w:beforeAutospacing="1" w:afterLines="0" w:after="100" w:afterAutospacing="1" w:line="240" w:lineRule="auto"/>
        <w:jc w:val="center"/>
      </w:pPr>
      <w:rPr>
        <w:b/>
        <w:color w:val="FFFFFF"/>
      </w:rPr>
      <w:tblPr/>
      <w:tcPr>
        <w:tcBorders>
          <w:top w:val="single" w:sz="12" w:space="0" w:color="FFFFFF" w:themeColor="background1"/>
          <w:left w:val="single" w:sz="12" w:space="0" w:color="FFFFFF" w:themeColor="background1"/>
          <w:bottom w:val="nil"/>
          <w:right w:val="single" w:sz="12" w:space="0" w:color="FFFFFF" w:themeColor="background1"/>
          <w:insideH w:val="single" w:sz="4" w:space="0" w:color="FFFFFF" w:themeColor="background1"/>
          <w:insideV w:val="single" w:sz="4" w:space="0" w:color="FFFFFF" w:themeColor="background1"/>
          <w:tl2br w:val="nil"/>
          <w:tr2bl w:val="nil"/>
        </w:tcBorders>
        <w:shd w:val="clear" w:color="auto" w:fill="003399" w:themeFill="text2"/>
      </w:tcPr>
    </w:tblStylePr>
    <w:tblStylePr w:type="lastRow">
      <w:rPr>
        <w:b/>
        <w:i w:val="0"/>
        <w:color w:val="000000" w:themeColor="text1"/>
      </w:rPr>
      <w:tblPr/>
      <w:tcPr>
        <w:tcBorders>
          <w:top w:val="single" w:sz="4" w:space="0" w:color="8C8C8C"/>
          <w:left w:val="nil"/>
          <w:bottom w:val="nil"/>
          <w:right w:val="nil"/>
          <w:insideH w:val="nil"/>
          <w:insideV w:val="single" w:sz="4" w:space="0" w:color="8C8C8C"/>
          <w:tl2br w:val="nil"/>
          <w:tr2bl w:val="nil"/>
        </w:tcBorders>
        <w:shd w:val="clear" w:color="auto" w:fill="E1F3F2"/>
      </w:tcPr>
    </w:tblStylePr>
    <w:tblStylePr w:type="firstCol">
      <w:rPr>
        <w:b/>
        <w:i w:val="0"/>
        <w:color w:val="003399" w:themeColor="text2"/>
      </w:rPr>
    </w:tblStylePr>
    <w:tblStylePr w:type="band1Horz">
      <w:tblPr/>
      <w:tcPr>
        <w:tcBorders>
          <w:top w:val="nil"/>
          <w:left w:val="nil"/>
          <w:bottom w:val="nil"/>
          <w:right w:val="nil"/>
          <w:insideH w:val="nil"/>
          <w:insideV w:val="single" w:sz="4" w:space="0" w:color="8C8C8C"/>
          <w:tl2br w:val="nil"/>
          <w:tr2bl w:val="nil"/>
        </w:tcBorders>
      </w:tcPr>
    </w:tblStylePr>
    <w:tblStylePr w:type="band2Horz">
      <w:tblPr/>
      <w:tcPr>
        <w:tcBorders>
          <w:top w:val="single" w:sz="4" w:space="0" w:color="8C8C8C"/>
          <w:left w:val="nil"/>
          <w:bottom w:val="single" w:sz="4" w:space="0" w:color="8C8C8C"/>
          <w:right w:val="nil"/>
          <w:insideH w:val="nil"/>
          <w:insideV w:val="single" w:sz="4" w:space="0" w:color="8C8C8C"/>
          <w:tl2br w:val="nil"/>
          <w:tr2bl w:val="nil"/>
        </w:tcBorders>
        <w:shd w:val="clear" w:color="auto" w:fill="F2F2F2"/>
      </w:tcPr>
    </w:tblStylePr>
  </w:style>
  <w:style w:type="paragraph" w:styleId="BodyText">
    <w:name w:val="Body Text"/>
    <w:basedOn w:val="Normal"/>
    <w:link w:val="BodyTextChar"/>
    <w:semiHidden/>
    <w:rsid w:val="00462069"/>
    <w:pPr>
      <w:spacing w:after="120"/>
    </w:pPr>
  </w:style>
  <w:style w:type="character" w:customStyle="1" w:styleId="BodyTextChar">
    <w:name w:val="Body Text Char"/>
    <w:basedOn w:val="DefaultParagraphFont"/>
    <w:link w:val="BodyText"/>
    <w:semiHidden/>
    <w:rsid w:val="00462069"/>
    <w:rPr>
      <w:rFonts w:ascii="EC Square Sans Pro" w:eastAsia="SimSun" w:hAnsi="EC Square Sans Pro"/>
      <w:lang w:eastAsia="en-GB"/>
    </w:rPr>
  </w:style>
  <w:style w:type="paragraph" w:styleId="BodyText2">
    <w:name w:val="Body Text 2"/>
    <w:basedOn w:val="Normal"/>
    <w:link w:val="BodyText2Char"/>
    <w:semiHidden/>
    <w:rsid w:val="00462069"/>
    <w:pPr>
      <w:spacing w:after="120" w:line="480" w:lineRule="auto"/>
    </w:pPr>
  </w:style>
  <w:style w:type="character" w:customStyle="1" w:styleId="BodyText2Char">
    <w:name w:val="Body Text 2 Char"/>
    <w:basedOn w:val="DefaultParagraphFont"/>
    <w:link w:val="BodyText2"/>
    <w:semiHidden/>
    <w:rsid w:val="00462069"/>
    <w:rPr>
      <w:rFonts w:ascii="EC Square Sans Pro" w:eastAsia="SimSun" w:hAnsi="EC Square Sans Pro"/>
      <w:lang w:eastAsia="en-GB"/>
    </w:rPr>
  </w:style>
  <w:style w:type="paragraph" w:styleId="BodyText3">
    <w:name w:val="Body Text 3"/>
    <w:basedOn w:val="Normal"/>
    <w:link w:val="BodyText3Char"/>
    <w:semiHidden/>
    <w:rsid w:val="00462069"/>
    <w:pPr>
      <w:spacing w:after="120"/>
    </w:pPr>
    <w:rPr>
      <w:sz w:val="16"/>
      <w:szCs w:val="16"/>
    </w:rPr>
  </w:style>
  <w:style w:type="character" w:customStyle="1" w:styleId="BodyText3Char">
    <w:name w:val="Body Text 3 Char"/>
    <w:basedOn w:val="DefaultParagraphFont"/>
    <w:link w:val="BodyText3"/>
    <w:semiHidden/>
    <w:rsid w:val="00462069"/>
    <w:rPr>
      <w:rFonts w:ascii="EC Square Sans Pro" w:eastAsia="SimSun" w:hAnsi="EC Square Sans Pro"/>
      <w:sz w:val="16"/>
      <w:szCs w:val="16"/>
      <w:lang w:eastAsia="en-GB"/>
    </w:rPr>
  </w:style>
  <w:style w:type="paragraph" w:styleId="BodyTextFirstIndent">
    <w:name w:val="Body Text First Indent"/>
    <w:basedOn w:val="BodyText"/>
    <w:link w:val="BodyTextFirstIndentChar"/>
    <w:semiHidden/>
    <w:rsid w:val="00462069"/>
    <w:pPr>
      <w:spacing w:after="240"/>
      <w:ind w:firstLine="360"/>
    </w:pPr>
  </w:style>
  <w:style w:type="character" w:customStyle="1" w:styleId="BodyTextFirstIndentChar">
    <w:name w:val="Body Text First Indent Char"/>
    <w:basedOn w:val="BodyTextChar"/>
    <w:link w:val="BodyTextFirstIndent"/>
    <w:semiHidden/>
    <w:rsid w:val="00462069"/>
    <w:rPr>
      <w:rFonts w:ascii="EC Square Sans Pro" w:eastAsia="SimSun" w:hAnsi="EC Square Sans Pro"/>
      <w:lang w:eastAsia="en-GB"/>
    </w:rPr>
  </w:style>
  <w:style w:type="paragraph" w:styleId="BodyTextIndent">
    <w:name w:val="Body Text Indent"/>
    <w:basedOn w:val="Normal"/>
    <w:link w:val="BodyTextIndentChar"/>
    <w:semiHidden/>
    <w:rsid w:val="00462069"/>
    <w:pPr>
      <w:spacing w:after="120"/>
      <w:ind w:left="283"/>
    </w:pPr>
  </w:style>
  <w:style w:type="character" w:customStyle="1" w:styleId="BodyTextIndentChar">
    <w:name w:val="Body Text Indent Char"/>
    <w:basedOn w:val="DefaultParagraphFont"/>
    <w:link w:val="BodyTextIndent"/>
    <w:semiHidden/>
    <w:rsid w:val="00462069"/>
    <w:rPr>
      <w:rFonts w:ascii="EC Square Sans Pro" w:eastAsia="SimSun" w:hAnsi="EC Square Sans Pro"/>
      <w:lang w:eastAsia="en-GB"/>
    </w:rPr>
  </w:style>
  <w:style w:type="paragraph" w:styleId="BodyTextFirstIndent2">
    <w:name w:val="Body Text First Indent 2"/>
    <w:basedOn w:val="BodyTextIndent"/>
    <w:link w:val="BodyTextFirstIndent2Char"/>
    <w:semiHidden/>
    <w:rsid w:val="00462069"/>
    <w:pPr>
      <w:spacing w:after="240"/>
      <w:ind w:left="360" w:firstLine="360"/>
    </w:pPr>
  </w:style>
  <w:style w:type="character" w:customStyle="1" w:styleId="BodyTextFirstIndent2Char">
    <w:name w:val="Body Text First Indent 2 Char"/>
    <w:basedOn w:val="BodyTextIndentChar"/>
    <w:link w:val="BodyTextFirstIndent2"/>
    <w:semiHidden/>
    <w:rsid w:val="00462069"/>
    <w:rPr>
      <w:rFonts w:ascii="EC Square Sans Pro" w:eastAsia="SimSun" w:hAnsi="EC Square Sans Pro"/>
      <w:lang w:eastAsia="en-GB"/>
    </w:rPr>
  </w:style>
  <w:style w:type="paragraph" w:styleId="BodyTextIndent2">
    <w:name w:val="Body Text Indent 2"/>
    <w:basedOn w:val="Normal"/>
    <w:link w:val="BodyTextIndent2Char"/>
    <w:semiHidden/>
    <w:rsid w:val="00462069"/>
    <w:pPr>
      <w:spacing w:after="120" w:line="480" w:lineRule="auto"/>
      <w:ind w:left="283"/>
    </w:pPr>
  </w:style>
  <w:style w:type="character" w:customStyle="1" w:styleId="BodyTextIndent2Char">
    <w:name w:val="Body Text Indent 2 Char"/>
    <w:basedOn w:val="DefaultParagraphFont"/>
    <w:link w:val="BodyTextIndent2"/>
    <w:semiHidden/>
    <w:rsid w:val="00462069"/>
    <w:rPr>
      <w:rFonts w:ascii="EC Square Sans Pro" w:eastAsia="SimSun" w:hAnsi="EC Square Sans Pro"/>
      <w:lang w:eastAsia="en-GB"/>
    </w:rPr>
  </w:style>
  <w:style w:type="paragraph" w:styleId="BodyTextIndent3">
    <w:name w:val="Body Text Indent 3"/>
    <w:basedOn w:val="Normal"/>
    <w:link w:val="BodyTextIndent3Char"/>
    <w:semiHidden/>
    <w:rsid w:val="00462069"/>
    <w:pPr>
      <w:spacing w:after="120"/>
      <w:ind w:left="283"/>
    </w:pPr>
    <w:rPr>
      <w:sz w:val="16"/>
      <w:szCs w:val="16"/>
    </w:rPr>
  </w:style>
  <w:style w:type="character" w:customStyle="1" w:styleId="BodyTextIndent3Char">
    <w:name w:val="Body Text Indent 3 Char"/>
    <w:basedOn w:val="DefaultParagraphFont"/>
    <w:link w:val="BodyTextIndent3"/>
    <w:semiHidden/>
    <w:rsid w:val="00462069"/>
    <w:rPr>
      <w:rFonts w:ascii="EC Square Sans Pro" w:eastAsia="SimSun" w:hAnsi="EC Square Sans Pro"/>
      <w:sz w:val="16"/>
      <w:szCs w:val="16"/>
      <w:lang w:eastAsia="en-GB"/>
    </w:rPr>
  </w:style>
  <w:style w:type="character" w:customStyle="1" w:styleId="BoldItalic">
    <w:name w:val="Bold Italic"/>
    <w:basedOn w:val="DefaultParagraphFont"/>
    <w:rsid w:val="00462069"/>
    <w:rPr>
      <w:b/>
      <w:i/>
      <w:iCs/>
      <w:spacing w:val="1"/>
    </w:rPr>
  </w:style>
  <w:style w:type="character" w:styleId="BookTitle">
    <w:name w:val="Book Title"/>
    <w:basedOn w:val="DefaultParagraphFont"/>
    <w:semiHidden/>
    <w:rsid w:val="00462069"/>
    <w:rPr>
      <w:b/>
      <w:bCs/>
      <w:i/>
      <w:iCs/>
      <w:noProof w:val="0"/>
      <w:spacing w:val="5"/>
      <w:lang w:val="en-GB"/>
    </w:rPr>
  </w:style>
  <w:style w:type="paragraph" w:customStyle="1" w:styleId="BoxTitleblue">
    <w:name w:val="Box Title (blue)"/>
    <w:basedOn w:val="BoxTitle"/>
    <w:next w:val="Normal"/>
    <w:uiPriority w:val="4"/>
    <w:qFormat/>
    <w:rsid w:val="00462069"/>
    <w:rPr>
      <w:color w:val="003399" w:themeColor="text2"/>
    </w:rPr>
  </w:style>
  <w:style w:type="paragraph" w:styleId="Closing">
    <w:name w:val="Closing"/>
    <w:basedOn w:val="Normal"/>
    <w:link w:val="ClosingChar"/>
    <w:semiHidden/>
    <w:rsid w:val="00462069"/>
    <w:pPr>
      <w:spacing w:before="0" w:after="0" w:line="240" w:lineRule="auto"/>
      <w:ind w:left="4252"/>
    </w:pPr>
  </w:style>
  <w:style w:type="character" w:customStyle="1" w:styleId="ClosingChar">
    <w:name w:val="Closing Char"/>
    <w:basedOn w:val="DefaultParagraphFont"/>
    <w:link w:val="Closing"/>
    <w:semiHidden/>
    <w:rsid w:val="00462069"/>
    <w:rPr>
      <w:rFonts w:ascii="EC Square Sans Pro" w:eastAsia="SimSun" w:hAnsi="EC Square Sans Pro"/>
      <w:lang w:eastAsia="en-GB"/>
    </w:rPr>
  </w:style>
  <w:style w:type="table" w:styleId="ColorfulGrid">
    <w:name w:val="Colorful Grid"/>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B2FFD4" w:themeFill="accent1" w:themeFillTint="33"/>
    </w:tcPr>
    <w:tblStylePr w:type="firstRow">
      <w:rPr>
        <w:b/>
        <w:bCs/>
      </w:rPr>
      <w:tblPr/>
      <w:tcPr>
        <w:shd w:val="clear" w:color="auto" w:fill="66FFA9" w:themeFill="accent1" w:themeFillTint="66"/>
      </w:tcPr>
    </w:tblStylePr>
    <w:tblStylePr w:type="lastRow">
      <w:rPr>
        <w:b/>
        <w:bCs/>
        <w:color w:val="000000" w:themeColor="text1"/>
      </w:rPr>
      <w:tblPr/>
      <w:tcPr>
        <w:shd w:val="clear" w:color="auto" w:fill="66FFA9" w:themeFill="accent1" w:themeFillTint="66"/>
      </w:tcPr>
    </w:tblStylePr>
    <w:tblStylePr w:type="firstCol">
      <w:rPr>
        <w:color w:val="FFFFFF" w:themeColor="background1"/>
      </w:rPr>
      <w:tblPr/>
      <w:tcPr>
        <w:shd w:val="clear" w:color="auto" w:fill="00602A" w:themeFill="accent1" w:themeFillShade="BF"/>
      </w:tcPr>
    </w:tblStylePr>
    <w:tblStylePr w:type="lastCol">
      <w:rPr>
        <w:color w:val="FFFFFF" w:themeColor="background1"/>
      </w:rPr>
      <w:tblPr/>
      <w:tcPr>
        <w:shd w:val="clear" w:color="auto" w:fill="00602A" w:themeFill="accent1" w:themeFillShade="BF"/>
      </w:tc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ColorfulGrid-Accent2">
    <w:name w:val="Colorful Grid Accent 2"/>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DEC6" w:themeFill="accent2" w:themeFillTint="33"/>
    </w:tcPr>
    <w:tblStylePr w:type="firstRow">
      <w:rPr>
        <w:b/>
        <w:bCs/>
      </w:rPr>
      <w:tblPr/>
      <w:tcPr>
        <w:shd w:val="clear" w:color="auto" w:fill="FEBD8D" w:themeFill="accent2" w:themeFillTint="66"/>
      </w:tcPr>
    </w:tblStylePr>
    <w:tblStylePr w:type="lastRow">
      <w:rPr>
        <w:b/>
        <w:bCs/>
        <w:color w:val="000000" w:themeColor="text1"/>
      </w:rPr>
      <w:tblPr/>
      <w:tcPr>
        <w:shd w:val="clear" w:color="auto" w:fill="FEBD8D" w:themeFill="accent2" w:themeFillTint="66"/>
      </w:tcPr>
    </w:tblStylePr>
    <w:tblStylePr w:type="firstCol">
      <w:rPr>
        <w:color w:val="FFFFFF" w:themeColor="background1"/>
      </w:rPr>
      <w:tblPr/>
      <w:tcPr>
        <w:shd w:val="clear" w:color="auto" w:fill="A64701" w:themeFill="accent2" w:themeFillShade="BF"/>
      </w:tcPr>
    </w:tblStylePr>
    <w:tblStylePr w:type="lastCol">
      <w:rPr>
        <w:color w:val="FFFFFF" w:themeColor="background1"/>
      </w:rPr>
      <w:tblPr/>
      <w:tcPr>
        <w:shd w:val="clear" w:color="auto" w:fill="A64701" w:themeFill="accent2" w:themeFillShade="BF"/>
      </w:tc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ColorfulGrid-Accent3">
    <w:name w:val="Colorful Grid Accent 3"/>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D3E7FE" w:themeFill="accent3" w:themeFillTint="33"/>
    </w:tcPr>
    <w:tblStylePr w:type="firstRow">
      <w:rPr>
        <w:b/>
        <w:bCs/>
      </w:rPr>
      <w:tblPr/>
      <w:tcPr>
        <w:shd w:val="clear" w:color="auto" w:fill="A8CFFE" w:themeFill="accent3" w:themeFillTint="66"/>
      </w:tcPr>
    </w:tblStylePr>
    <w:tblStylePr w:type="lastRow">
      <w:rPr>
        <w:b/>
        <w:bCs/>
        <w:color w:val="000000" w:themeColor="text1"/>
      </w:rPr>
      <w:tblPr/>
      <w:tcPr>
        <w:shd w:val="clear" w:color="auto" w:fill="A8CFFE" w:themeFill="accent3" w:themeFillTint="66"/>
      </w:tcPr>
    </w:tblStylePr>
    <w:tblStylePr w:type="firstCol">
      <w:rPr>
        <w:color w:val="FFFFFF" w:themeColor="background1"/>
      </w:rPr>
      <w:tblPr/>
      <w:tcPr>
        <w:shd w:val="clear" w:color="auto" w:fill="0162D9" w:themeFill="accent3" w:themeFillShade="BF"/>
      </w:tcPr>
    </w:tblStylePr>
    <w:tblStylePr w:type="lastCol">
      <w:rPr>
        <w:color w:val="FFFFFF" w:themeColor="background1"/>
      </w:rPr>
      <w:tblPr/>
      <w:tcPr>
        <w:shd w:val="clear" w:color="auto" w:fill="0162D9" w:themeFill="accent3" w:themeFillShade="BF"/>
      </w:tc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ColorfulGrid-Accent4">
    <w:name w:val="Colorful Grid Accent 4"/>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EECD" w:themeFill="accent4" w:themeFillTint="33"/>
    </w:tcPr>
    <w:tblStylePr w:type="firstRow">
      <w:rPr>
        <w:b/>
        <w:bCs/>
      </w:rPr>
      <w:tblPr/>
      <w:tcPr>
        <w:shd w:val="clear" w:color="auto" w:fill="FEDD9B" w:themeFill="accent4" w:themeFillTint="66"/>
      </w:tcPr>
    </w:tblStylePr>
    <w:tblStylePr w:type="lastRow">
      <w:rPr>
        <w:b/>
        <w:bCs/>
        <w:color w:val="000000" w:themeColor="text1"/>
      </w:rPr>
      <w:tblPr/>
      <w:tcPr>
        <w:shd w:val="clear" w:color="auto" w:fill="FEDD9B" w:themeFill="accent4" w:themeFillTint="66"/>
      </w:tcPr>
    </w:tblStylePr>
    <w:tblStylePr w:type="firstCol">
      <w:rPr>
        <w:color w:val="FFFFFF" w:themeColor="background1"/>
      </w:rPr>
      <w:tblPr/>
      <w:tcPr>
        <w:shd w:val="clear" w:color="auto" w:fill="C18101" w:themeFill="accent4" w:themeFillShade="BF"/>
      </w:tcPr>
    </w:tblStylePr>
    <w:tblStylePr w:type="lastCol">
      <w:rPr>
        <w:color w:val="FFFFFF" w:themeColor="background1"/>
      </w:rPr>
      <w:tblPr/>
      <w:tcPr>
        <w:shd w:val="clear" w:color="auto" w:fill="C18101" w:themeFill="accent4" w:themeFillShade="BF"/>
      </w:tc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ColorfulGrid-Accent5">
    <w:name w:val="Colorful Grid Accent 5"/>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ACEDD" w:themeFill="accent5" w:themeFillTint="33"/>
    </w:tcPr>
    <w:tblStylePr w:type="firstRow">
      <w:rPr>
        <w:b/>
        <w:bCs/>
      </w:rPr>
      <w:tblPr/>
      <w:tcPr>
        <w:shd w:val="clear" w:color="auto" w:fill="F59DBC" w:themeFill="accent5" w:themeFillTint="66"/>
      </w:tcPr>
    </w:tblStylePr>
    <w:tblStylePr w:type="lastRow">
      <w:rPr>
        <w:b/>
        <w:bCs/>
        <w:color w:val="000000" w:themeColor="text1"/>
      </w:rPr>
      <w:tblPr/>
      <w:tcPr>
        <w:shd w:val="clear" w:color="auto" w:fill="F59DBC" w:themeFill="accent5" w:themeFillTint="66"/>
      </w:tcPr>
    </w:tblStylePr>
    <w:tblStylePr w:type="firstCol">
      <w:rPr>
        <w:color w:val="FFFFFF" w:themeColor="background1"/>
      </w:rPr>
      <w:tblPr/>
      <w:tcPr>
        <w:shd w:val="clear" w:color="auto" w:fill="A41045" w:themeFill="accent5" w:themeFillShade="BF"/>
      </w:tcPr>
    </w:tblStylePr>
    <w:tblStylePr w:type="lastCol">
      <w:rPr>
        <w:color w:val="FFFFFF" w:themeColor="background1"/>
      </w:rPr>
      <w:tblPr/>
      <w:tcPr>
        <w:shd w:val="clear" w:color="auto" w:fill="A41045" w:themeFill="accent5" w:themeFillShade="BF"/>
      </w:tc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ColorfulGrid-Accent6">
    <w:name w:val="Colorful Grid Accent 6"/>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E2D0F1" w:themeFill="accent6" w:themeFillTint="33"/>
    </w:tcPr>
    <w:tblStylePr w:type="firstRow">
      <w:rPr>
        <w:b/>
        <w:bCs/>
      </w:rPr>
      <w:tblPr/>
      <w:tcPr>
        <w:shd w:val="clear" w:color="auto" w:fill="C6A1E3" w:themeFill="accent6" w:themeFillTint="66"/>
      </w:tcPr>
    </w:tblStylePr>
    <w:tblStylePr w:type="lastRow">
      <w:rPr>
        <w:b/>
        <w:bCs/>
        <w:color w:val="000000" w:themeColor="text1"/>
      </w:rPr>
      <w:tblPr/>
      <w:tcPr>
        <w:shd w:val="clear" w:color="auto" w:fill="C6A1E3" w:themeFill="accent6" w:themeFillTint="66"/>
      </w:tcPr>
    </w:tblStylePr>
    <w:tblStylePr w:type="firstCol">
      <w:rPr>
        <w:color w:val="FFFFFF" w:themeColor="background1"/>
      </w:rPr>
      <w:tblPr/>
      <w:tcPr>
        <w:shd w:val="clear" w:color="auto" w:fill="532477" w:themeFill="accent6" w:themeFillShade="BF"/>
      </w:tcPr>
    </w:tblStylePr>
    <w:tblStylePr w:type="lastCol">
      <w:rPr>
        <w:color w:val="FFFFFF" w:themeColor="background1"/>
      </w:rPr>
      <w:tblPr/>
      <w:tcPr>
        <w:shd w:val="clear" w:color="auto" w:fill="532477" w:themeFill="accent6" w:themeFillShade="BF"/>
      </w:tc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ColorfulList">
    <w:name w:val="Colorful List"/>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D9FFE9" w:themeFill="accen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FCA" w:themeFill="accent1" w:themeFillTint="3F"/>
      </w:tcPr>
    </w:tblStylePr>
    <w:tblStylePr w:type="band1Horz">
      <w:tblPr/>
      <w:tcPr>
        <w:shd w:val="clear" w:color="auto" w:fill="B2FFD4" w:themeFill="accent1" w:themeFillTint="33"/>
      </w:tcPr>
    </w:tblStylePr>
  </w:style>
  <w:style w:type="table" w:styleId="ColorfulList-Accent2">
    <w:name w:val="Colorful List Accent 2"/>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EEEE2" w:themeFill="accent2"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6B8" w:themeFill="accent2" w:themeFillTint="3F"/>
      </w:tcPr>
    </w:tblStylePr>
    <w:tblStylePr w:type="band1Horz">
      <w:tblPr/>
      <w:tcPr>
        <w:shd w:val="clear" w:color="auto" w:fill="FEDEC6" w:themeFill="accent2" w:themeFillTint="33"/>
      </w:tcPr>
    </w:tblStylePr>
  </w:style>
  <w:style w:type="table" w:styleId="ColorfulList-Accent3">
    <w:name w:val="Colorful List Accent 3"/>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E9F3FF" w:themeFill="accent3" w:themeFillTint="19"/>
    </w:tcPr>
    <w:tblStylePr w:type="firstRow">
      <w:rPr>
        <w:b/>
        <w:bCs/>
        <w:color w:val="FFFFFF" w:themeColor="background1"/>
      </w:rPr>
      <w:tblPr/>
      <w:tcPr>
        <w:tcBorders>
          <w:bottom w:val="single" w:sz="12" w:space="0" w:color="FFFFFF" w:themeColor="background1"/>
        </w:tcBorders>
        <w:shd w:val="clear" w:color="auto" w:fill="CE8A01" w:themeFill="accent4" w:themeFillShade="CC"/>
      </w:tcPr>
    </w:tblStylePr>
    <w:tblStylePr w:type="lastRow">
      <w:rPr>
        <w:b/>
        <w:bCs/>
        <w:color w:val="CE8A0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1FE" w:themeFill="accent3" w:themeFillTint="3F"/>
      </w:tcPr>
    </w:tblStylePr>
    <w:tblStylePr w:type="band1Horz">
      <w:tblPr/>
      <w:tcPr>
        <w:shd w:val="clear" w:color="auto" w:fill="D3E7FE" w:themeFill="accent3" w:themeFillTint="33"/>
      </w:tcPr>
    </w:tblStylePr>
  </w:style>
  <w:style w:type="table" w:styleId="ColorfulList-Accent4">
    <w:name w:val="Colorful List Accent 4"/>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EF6E6" w:themeFill="accent4" w:themeFillTint="19"/>
    </w:tcPr>
    <w:tblStylePr w:type="firstRow">
      <w:rPr>
        <w:b/>
        <w:bCs/>
        <w:color w:val="FFFFFF" w:themeColor="background1"/>
      </w:rPr>
      <w:tblPr/>
      <w:tcPr>
        <w:tcBorders>
          <w:bottom w:val="single" w:sz="12" w:space="0" w:color="FFFFFF" w:themeColor="background1"/>
        </w:tcBorders>
        <w:shd w:val="clear" w:color="auto" w:fill="0169E8" w:themeFill="accent3" w:themeFillShade="CC"/>
      </w:tcPr>
    </w:tblStylePr>
    <w:tblStylePr w:type="lastRow">
      <w:rPr>
        <w:b/>
        <w:bCs/>
        <w:color w:val="0169E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AC1" w:themeFill="accent4" w:themeFillTint="3F"/>
      </w:tcPr>
    </w:tblStylePr>
    <w:tblStylePr w:type="band1Horz">
      <w:tblPr/>
      <w:tcPr>
        <w:shd w:val="clear" w:color="auto" w:fill="FEEECD" w:themeFill="accent4" w:themeFillTint="33"/>
      </w:tcPr>
    </w:tblStylePr>
  </w:style>
  <w:style w:type="table" w:styleId="ColorfulList-Accent5">
    <w:name w:val="Colorful List Accent 5"/>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CE7EE" w:themeFill="accent5" w:themeFillTint="19"/>
    </w:tcPr>
    <w:tblStylePr w:type="firstRow">
      <w:rPr>
        <w:b/>
        <w:bCs/>
        <w:color w:val="FFFFFF" w:themeColor="background1"/>
      </w:rPr>
      <w:tblPr/>
      <w:tcPr>
        <w:tcBorders>
          <w:bottom w:val="single" w:sz="12" w:space="0" w:color="FFFFFF" w:themeColor="background1"/>
        </w:tcBorders>
        <w:shd w:val="clear" w:color="auto" w:fill="59267F" w:themeFill="accent6" w:themeFillShade="CC"/>
      </w:tcPr>
    </w:tblStylePr>
    <w:tblStylePr w:type="lastRow">
      <w:rPr>
        <w:b/>
        <w:bCs/>
        <w:color w:val="59267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2D6" w:themeFill="accent5" w:themeFillTint="3F"/>
      </w:tcPr>
    </w:tblStylePr>
    <w:tblStylePr w:type="band1Horz">
      <w:tblPr/>
      <w:tcPr>
        <w:shd w:val="clear" w:color="auto" w:fill="FACEDD" w:themeFill="accent5" w:themeFillTint="33"/>
      </w:tcPr>
    </w:tblStylePr>
  </w:style>
  <w:style w:type="table" w:styleId="ColorfulList-Accent6">
    <w:name w:val="Colorful List Accent 6"/>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1E8F8" w:themeFill="accent6" w:themeFillTint="19"/>
    </w:tcPr>
    <w:tblStylePr w:type="firstRow">
      <w:rPr>
        <w:b/>
        <w:bCs/>
        <w:color w:val="FFFFFF" w:themeColor="background1"/>
      </w:rPr>
      <w:tblPr/>
      <w:tcPr>
        <w:tcBorders>
          <w:bottom w:val="single" w:sz="12" w:space="0" w:color="FFFFFF" w:themeColor="background1"/>
        </w:tcBorders>
        <w:shd w:val="clear" w:color="auto" w:fill="AF114A" w:themeFill="accent5" w:themeFillShade="CC"/>
      </w:tcPr>
    </w:tblStylePr>
    <w:tblStylePr w:type="lastRow">
      <w:rPr>
        <w:b/>
        <w:bCs/>
        <w:color w:val="AF114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hemeFill="accent6" w:themeFillTint="3F"/>
      </w:tcPr>
    </w:tblStylePr>
    <w:tblStylePr w:type="band1Horz">
      <w:tblPr/>
      <w:tcPr>
        <w:shd w:val="clear" w:color="auto" w:fill="E2D0F1" w:themeFill="accent6" w:themeFillTint="33"/>
      </w:tcPr>
    </w:tblStylePr>
  </w:style>
  <w:style w:type="table" w:styleId="ColorfulShading">
    <w:name w:val="Colorful Shading"/>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008139" w:themeColor="accent1"/>
        <w:bottom w:val="single" w:sz="4" w:space="0" w:color="008139" w:themeColor="accent1"/>
        <w:right w:val="single" w:sz="4" w:space="0" w:color="008139" w:themeColor="accent1"/>
        <w:insideH w:val="single" w:sz="4" w:space="0" w:color="FFFFFF" w:themeColor="background1"/>
        <w:insideV w:val="single" w:sz="4" w:space="0" w:color="FFFFFF" w:themeColor="background1"/>
      </w:tblBorders>
    </w:tblPr>
    <w:tcPr>
      <w:shd w:val="clear" w:color="auto" w:fill="D9FFE9" w:themeFill="accen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D21" w:themeFill="accent1" w:themeFillShade="99"/>
      </w:tcPr>
    </w:tblStylePr>
    <w:tblStylePr w:type="firstCol">
      <w:rPr>
        <w:color w:val="FFFFFF" w:themeColor="background1"/>
      </w:rPr>
      <w:tblPr/>
      <w:tcPr>
        <w:tcBorders>
          <w:top w:val="nil"/>
          <w:left w:val="nil"/>
          <w:bottom w:val="nil"/>
          <w:right w:val="nil"/>
          <w:insideH w:val="single" w:sz="4" w:space="0" w:color="004D21" w:themeColor="accent1" w:themeShade="99"/>
          <w:insideV w:val="nil"/>
        </w:tcBorders>
        <w:shd w:val="clear" w:color="auto" w:fill="004D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D21" w:themeFill="accent1" w:themeFillShade="99"/>
      </w:tcPr>
    </w:tblStylePr>
    <w:tblStylePr w:type="band1Vert">
      <w:tblPr/>
      <w:tcPr>
        <w:shd w:val="clear" w:color="auto" w:fill="66FFA9" w:themeFill="accent1" w:themeFillTint="66"/>
      </w:tcPr>
    </w:tblStylePr>
    <w:tblStylePr w:type="band1Horz">
      <w:tblPr/>
      <w:tcPr>
        <w:shd w:val="clear" w:color="auto" w:fill="41FF9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DE6002" w:themeColor="accent2"/>
        <w:bottom w:val="single" w:sz="4" w:space="0" w:color="DE6002" w:themeColor="accent2"/>
        <w:right w:val="single" w:sz="4" w:space="0" w:color="DE6002" w:themeColor="accent2"/>
        <w:insideH w:val="single" w:sz="4" w:space="0" w:color="FFFFFF" w:themeColor="background1"/>
        <w:insideV w:val="single" w:sz="4" w:space="0" w:color="FFFFFF" w:themeColor="background1"/>
      </w:tblBorders>
    </w:tblPr>
    <w:tcPr>
      <w:shd w:val="clear" w:color="auto" w:fill="FEEEE2" w:themeFill="accent2"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3901" w:themeFill="accent2" w:themeFillShade="99"/>
      </w:tcPr>
    </w:tblStylePr>
    <w:tblStylePr w:type="firstCol">
      <w:rPr>
        <w:color w:val="FFFFFF" w:themeColor="background1"/>
      </w:rPr>
      <w:tblPr/>
      <w:tcPr>
        <w:tcBorders>
          <w:top w:val="nil"/>
          <w:left w:val="nil"/>
          <w:bottom w:val="nil"/>
          <w:right w:val="nil"/>
          <w:insideH w:val="single" w:sz="4" w:space="0" w:color="853901" w:themeColor="accent2" w:themeShade="99"/>
          <w:insideV w:val="nil"/>
        </w:tcBorders>
        <w:shd w:val="clear" w:color="auto" w:fill="85390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53901" w:themeFill="accent2" w:themeFillShade="99"/>
      </w:tcPr>
    </w:tblStylePr>
    <w:tblStylePr w:type="band1Vert">
      <w:tblPr/>
      <w:tcPr>
        <w:shd w:val="clear" w:color="auto" w:fill="FEBD8D" w:themeFill="accent2" w:themeFillTint="66"/>
      </w:tcPr>
    </w:tblStylePr>
    <w:tblStylePr w:type="band1Horz">
      <w:tblPr/>
      <w:tcPr>
        <w:shd w:val="clear" w:color="auto" w:fill="FDAC7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FDAB07" w:themeColor="accent4"/>
        <w:left w:val="single" w:sz="4" w:space="0" w:color="2688FE" w:themeColor="accent3"/>
        <w:bottom w:val="single" w:sz="4" w:space="0" w:color="2688FE" w:themeColor="accent3"/>
        <w:right w:val="single" w:sz="4" w:space="0" w:color="2688FE" w:themeColor="accent3"/>
        <w:insideH w:val="single" w:sz="4" w:space="0" w:color="FFFFFF" w:themeColor="background1"/>
        <w:insideV w:val="single" w:sz="4" w:space="0" w:color="FFFFFF" w:themeColor="background1"/>
      </w:tblBorders>
    </w:tblPr>
    <w:tcPr>
      <w:shd w:val="clear" w:color="auto" w:fill="E9F3FF" w:themeFill="accent3" w:themeFillTint="19"/>
    </w:tcPr>
    <w:tblStylePr w:type="firstRow">
      <w:rPr>
        <w:b/>
        <w:bCs/>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FAE" w:themeFill="accent3" w:themeFillShade="99"/>
      </w:tcPr>
    </w:tblStylePr>
    <w:tblStylePr w:type="firstCol">
      <w:rPr>
        <w:color w:val="FFFFFF" w:themeColor="background1"/>
      </w:rPr>
      <w:tblPr/>
      <w:tcPr>
        <w:tcBorders>
          <w:top w:val="nil"/>
          <w:left w:val="nil"/>
          <w:bottom w:val="nil"/>
          <w:right w:val="nil"/>
          <w:insideH w:val="single" w:sz="4" w:space="0" w:color="014FAE" w:themeColor="accent3" w:themeShade="99"/>
          <w:insideV w:val="nil"/>
        </w:tcBorders>
        <w:shd w:val="clear" w:color="auto" w:fill="014FA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14FAE" w:themeFill="accent3" w:themeFillShade="99"/>
      </w:tcPr>
    </w:tblStylePr>
    <w:tblStylePr w:type="band1Vert">
      <w:tblPr/>
      <w:tcPr>
        <w:shd w:val="clear" w:color="auto" w:fill="A8CFFE" w:themeFill="accent3" w:themeFillTint="66"/>
      </w:tcPr>
    </w:tblStylePr>
    <w:tblStylePr w:type="band1Horz">
      <w:tblPr/>
      <w:tcPr>
        <w:shd w:val="clear" w:color="auto" w:fill="92C3FE" w:themeFill="accent3" w:themeFillTint="7F"/>
      </w:tcPr>
    </w:tblStylePr>
  </w:style>
  <w:style w:type="table" w:styleId="ColorfulShading-Accent4">
    <w:name w:val="Colorful Shading Accent 4"/>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2688FE" w:themeColor="accent3"/>
        <w:left w:val="single" w:sz="4" w:space="0" w:color="FDAB07" w:themeColor="accent4"/>
        <w:bottom w:val="single" w:sz="4" w:space="0" w:color="FDAB07" w:themeColor="accent4"/>
        <w:right w:val="single" w:sz="4" w:space="0" w:color="FDAB07" w:themeColor="accent4"/>
        <w:insideH w:val="single" w:sz="4" w:space="0" w:color="FFFFFF" w:themeColor="background1"/>
        <w:insideV w:val="single" w:sz="4" w:space="0" w:color="FFFFFF" w:themeColor="background1"/>
      </w:tblBorders>
    </w:tblPr>
    <w:tcPr>
      <w:shd w:val="clear" w:color="auto" w:fill="FEF6E6" w:themeFill="accent4" w:themeFillTint="19"/>
    </w:tcPr>
    <w:tblStylePr w:type="firstRow">
      <w:rPr>
        <w:b/>
        <w:bCs/>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6701" w:themeFill="accent4" w:themeFillShade="99"/>
      </w:tcPr>
    </w:tblStylePr>
    <w:tblStylePr w:type="firstCol">
      <w:rPr>
        <w:color w:val="FFFFFF" w:themeColor="background1"/>
      </w:rPr>
      <w:tblPr/>
      <w:tcPr>
        <w:tcBorders>
          <w:top w:val="nil"/>
          <w:left w:val="nil"/>
          <w:bottom w:val="nil"/>
          <w:right w:val="nil"/>
          <w:insideH w:val="single" w:sz="4" w:space="0" w:color="9A6701" w:themeColor="accent4" w:themeShade="99"/>
          <w:insideV w:val="nil"/>
        </w:tcBorders>
        <w:shd w:val="clear" w:color="auto" w:fill="9A670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A6701" w:themeFill="accent4" w:themeFillShade="99"/>
      </w:tcPr>
    </w:tblStylePr>
    <w:tblStylePr w:type="band1Vert">
      <w:tblPr/>
      <w:tcPr>
        <w:shd w:val="clear" w:color="auto" w:fill="FEDD9B" w:themeFill="accent4" w:themeFillTint="66"/>
      </w:tcPr>
    </w:tblStylePr>
    <w:tblStylePr w:type="band1Horz">
      <w:tblPr/>
      <w:tcPr>
        <w:shd w:val="clear" w:color="auto" w:fill="FED58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7030A0" w:themeColor="accent6"/>
        <w:left w:val="single" w:sz="4" w:space="0" w:color="DC165D" w:themeColor="accent5"/>
        <w:bottom w:val="single" w:sz="4" w:space="0" w:color="DC165D" w:themeColor="accent5"/>
        <w:right w:val="single" w:sz="4" w:space="0" w:color="DC165D" w:themeColor="accent5"/>
        <w:insideH w:val="single" w:sz="4" w:space="0" w:color="FFFFFF" w:themeColor="background1"/>
        <w:insideV w:val="single" w:sz="4" w:space="0" w:color="FFFFFF" w:themeColor="background1"/>
      </w:tblBorders>
    </w:tblPr>
    <w:tcPr>
      <w:shd w:val="clear" w:color="auto" w:fill="FCE7EE" w:themeFill="accent5" w:themeFillTint="19"/>
    </w:tcPr>
    <w:tblStylePr w:type="firstRow">
      <w:rPr>
        <w:b/>
        <w:bCs/>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0D37" w:themeFill="accent5" w:themeFillShade="99"/>
      </w:tcPr>
    </w:tblStylePr>
    <w:tblStylePr w:type="firstCol">
      <w:rPr>
        <w:color w:val="FFFFFF" w:themeColor="background1"/>
      </w:rPr>
      <w:tblPr/>
      <w:tcPr>
        <w:tcBorders>
          <w:top w:val="nil"/>
          <w:left w:val="nil"/>
          <w:bottom w:val="nil"/>
          <w:right w:val="nil"/>
          <w:insideH w:val="single" w:sz="4" w:space="0" w:color="830D37" w:themeColor="accent5" w:themeShade="99"/>
          <w:insideV w:val="nil"/>
        </w:tcBorders>
        <w:shd w:val="clear" w:color="auto" w:fill="830D3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30D37" w:themeFill="accent5" w:themeFillShade="99"/>
      </w:tcPr>
    </w:tblStylePr>
    <w:tblStylePr w:type="band1Vert">
      <w:tblPr/>
      <w:tcPr>
        <w:shd w:val="clear" w:color="auto" w:fill="F59DBC" w:themeFill="accent5" w:themeFillTint="66"/>
      </w:tcPr>
    </w:tblStylePr>
    <w:tblStylePr w:type="band1Horz">
      <w:tblPr/>
      <w:tcPr>
        <w:shd w:val="clear" w:color="auto" w:fill="F285A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C165D" w:themeColor="accent5"/>
        <w:left w:val="single" w:sz="4" w:space="0" w:color="7030A0" w:themeColor="accent6"/>
        <w:bottom w:val="single" w:sz="4" w:space="0" w:color="7030A0" w:themeColor="accent6"/>
        <w:right w:val="single" w:sz="4" w:space="0" w:color="7030A0" w:themeColor="accent6"/>
        <w:insideH w:val="single" w:sz="4" w:space="0" w:color="FFFFFF" w:themeColor="background1"/>
        <w:insideV w:val="single" w:sz="4" w:space="0" w:color="FFFFFF" w:themeColor="background1"/>
      </w:tblBorders>
    </w:tblPr>
    <w:tcPr>
      <w:shd w:val="clear" w:color="auto" w:fill="F1E8F8" w:themeFill="accent6" w:themeFillTint="19"/>
    </w:tcPr>
    <w:tblStylePr w:type="firstRow">
      <w:rPr>
        <w:b/>
        <w:bCs/>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1C5F" w:themeFill="accent6" w:themeFillShade="99"/>
      </w:tcPr>
    </w:tblStylePr>
    <w:tblStylePr w:type="firstCol">
      <w:rPr>
        <w:color w:val="FFFFFF" w:themeColor="background1"/>
      </w:rPr>
      <w:tblPr/>
      <w:tcPr>
        <w:tcBorders>
          <w:top w:val="nil"/>
          <w:left w:val="nil"/>
          <w:bottom w:val="nil"/>
          <w:right w:val="nil"/>
          <w:insideH w:val="single" w:sz="4" w:space="0" w:color="421C5F" w:themeColor="accent6" w:themeShade="99"/>
          <w:insideV w:val="nil"/>
        </w:tcBorders>
        <w:shd w:val="clear" w:color="auto" w:fill="421C5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1C5F" w:themeFill="accent6" w:themeFillShade="99"/>
      </w:tcPr>
    </w:tblStylePr>
    <w:tblStylePr w:type="band1Vert">
      <w:tblPr/>
      <w:tcPr>
        <w:shd w:val="clear" w:color="auto" w:fill="C6A1E3" w:themeFill="accent6" w:themeFillTint="66"/>
      </w:tcPr>
    </w:tblStylePr>
    <w:tblStylePr w:type="band1Horz">
      <w:tblPr/>
      <w:tcPr>
        <w:shd w:val="clear" w:color="auto" w:fill="B98BD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462069"/>
    <w:rPr>
      <w:noProof w:val="0"/>
      <w:sz w:val="16"/>
      <w:szCs w:val="16"/>
      <w:lang w:val="en-GB"/>
    </w:rPr>
  </w:style>
  <w:style w:type="paragraph" w:styleId="CommentText">
    <w:name w:val="annotation text"/>
    <w:basedOn w:val="Normal"/>
    <w:link w:val="CommentTextChar"/>
    <w:uiPriority w:val="99"/>
    <w:semiHidden/>
    <w:rsid w:val="00462069"/>
    <w:pPr>
      <w:spacing w:line="240" w:lineRule="auto"/>
    </w:pPr>
  </w:style>
  <w:style w:type="character" w:customStyle="1" w:styleId="CommentTextChar">
    <w:name w:val="Comment Text Char"/>
    <w:basedOn w:val="DefaultParagraphFont"/>
    <w:link w:val="CommentText"/>
    <w:uiPriority w:val="99"/>
    <w:semiHidden/>
    <w:rsid w:val="00493C49"/>
    <w:rPr>
      <w:rFonts w:ascii="EC Square Sans Pro" w:eastAsia="SimSun" w:hAnsi="EC Square Sans Pro"/>
      <w:lang w:eastAsia="en-GB"/>
    </w:rPr>
  </w:style>
  <w:style w:type="paragraph" w:styleId="CommentSubject">
    <w:name w:val="annotation subject"/>
    <w:basedOn w:val="CommentText"/>
    <w:next w:val="CommentText"/>
    <w:link w:val="CommentSubjectChar"/>
    <w:semiHidden/>
    <w:rsid w:val="00462069"/>
    <w:rPr>
      <w:b/>
      <w:bCs/>
    </w:rPr>
  </w:style>
  <w:style w:type="character" w:customStyle="1" w:styleId="CommentSubjectChar">
    <w:name w:val="Comment Subject Char"/>
    <w:basedOn w:val="CommentTextChar"/>
    <w:link w:val="CommentSubject"/>
    <w:semiHidden/>
    <w:rsid w:val="00462069"/>
    <w:rPr>
      <w:rFonts w:ascii="EC Square Sans Pro" w:eastAsia="SimSun" w:hAnsi="EC Square Sans Pro"/>
      <w:b/>
      <w:bCs/>
      <w:lang w:eastAsia="en-GB"/>
    </w:rPr>
  </w:style>
  <w:style w:type="table" w:styleId="DarkList">
    <w:name w:val="Dark List"/>
    <w:basedOn w:val="TableNormal"/>
    <w:semiHidden/>
    <w:unhideWhenUsed/>
    <w:rsid w:val="00462069"/>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semiHidden/>
    <w:unhideWhenUsed/>
    <w:rsid w:val="00462069"/>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00813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01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02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02A" w:themeFill="accent1" w:themeFillShade="BF"/>
      </w:tcPr>
    </w:tblStylePr>
    <w:tblStylePr w:type="band1Vert">
      <w:tblPr/>
      <w:tcPr>
        <w:tcBorders>
          <w:top w:val="nil"/>
          <w:left w:val="nil"/>
          <w:bottom w:val="nil"/>
          <w:right w:val="nil"/>
          <w:insideH w:val="nil"/>
          <w:insideV w:val="nil"/>
        </w:tcBorders>
        <w:shd w:val="clear" w:color="auto" w:fill="00602A" w:themeFill="accent1" w:themeFillShade="BF"/>
      </w:tcPr>
    </w:tblStylePr>
    <w:tblStylePr w:type="band1Horz">
      <w:tblPr/>
      <w:tcPr>
        <w:tcBorders>
          <w:top w:val="nil"/>
          <w:left w:val="nil"/>
          <w:bottom w:val="nil"/>
          <w:right w:val="nil"/>
          <w:insideH w:val="nil"/>
          <w:insideV w:val="nil"/>
        </w:tcBorders>
        <w:shd w:val="clear" w:color="auto" w:fill="00602A" w:themeFill="accent1" w:themeFillShade="BF"/>
      </w:tcPr>
    </w:tblStylePr>
  </w:style>
  <w:style w:type="table" w:styleId="DarkList-Accent2">
    <w:name w:val="Dark List Accent 2"/>
    <w:basedOn w:val="TableNormal"/>
    <w:semiHidden/>
    <w:unhideWhenUsed/>
    <w:rsid w:val="00462069"/>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DE600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2F0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6470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64701" w:themeFill="accent2" w:themeFillShade="BF"/>
      </w:tcPr>
    </w:tblStylePr>
    <w:tblStylePr w:type="band1Vert">
      <w:tblPr/>
      <w:tcPr>
        <w:tcBorders>
          <w:top w:val="nil"/>
          <w:left w:val="nil"/>
          <w:bottom w:val="nil"/>
          <w:right w:val="nil"/>
          <w:insideH w:val="nil"/>
          <w:insideV w:val="nil"/>
        </w:tcBorders>
        <w:shd w:val="clear" w:color="auto" w:fill="A64701" w:themeFill="accent2" w:themeFillShade="BF"/>
      </w:tcPr>
    </w:tblStylePr>
    <w:tblStylePr w:type="band1Horz">
      <w:tblPr/>
      <w:tcPr>
        <w:tcBorders>
          <w:top w:val="nil"/>
          <w:left w:val="nil"/>
          <w:bottom w:val="nil"/>
          <w:right w:val="nil"/>
          <w:insideH w:val="nil"/>
          <w:insideV w:val="nil"/>
        </w:tcBorders>
        <w:shd w:val="clear" w:color="auto" w:fill="A64701" w:themeFill="accent2" w:themeFillShade="BF"/>
      </w:tcPr>
    </w:tblStylePr>
  </w:style>
  <w:style w:type="table" w:styleId="DarkList-Accent3">
    <w:name w:val="Dark List Accent 3"/>
    <w:basedOn w:val="TableNormal"/>
    <w:semiHidden/>
    <w:unhideWhenUsed/>
    <w:rsid w:val="00462069"/>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2688F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1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162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162D9" w:themeFill="accent3" w:themeFillShade="BF"/>
      </w:tcPr>
    </w:tblStylePr>
    <w:tblStylePr w:type="band1Vert">
      <w:tblPr/>
      <w:tcPr>
        <w:tcBorders>
          <w:top w:val="nil"/>
          <w:left w:val="nil"/>
          <w:bottom w:val="nil"/>
          <w:right w:val="nil"/>
          <w:insideH w:val="nil"/>
          <w:insideV w:val="nil"/>
        </w:tcBorders>
        <w:shd w:val="clear" w:color="auto" w:fill="0162D9" w:themeFill="accent3" w:themeFillShade="BF"/>
      </w:tcPr>
    </w:tblStylePr>
    <w:tblStylePr w:type="band1Horz">
      <w:tblPr/>
      <w:tcPr>
        <w:tcBorders>
          <w:top w:val="nil"/>
          <w:left w:val="nil"/>
          <w:bottom w:val="nil"/>
          <w:right w:val="nil"/>
          <w:insideH w:val="nil"/>
          <w:insideV w:val="nil"/>
        </w:tcBorders>
        <w:shd w:val="clear" w:color="auto" w:fill="0162D9" w:themeFill="accent3" w:themeFillShade="BF"/>
      </w:tcPr>
    </w:tblStylePr>
  </w:style>
  <w:style w:type="table" w:styleId="DarkList-Accent4">
    <w:name w:val="Dark List Accent 4"/>
    <w:basedOn w:val="TableNormal"/>
    <w:semiHidden/>
    <w:unhideWhenUsed/>
    <w:rsid w:val="00462069"/>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FDAB0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550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1810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18101" w:themeFill="accent4" w:themeFillShade="BF"/>
      </w:tcPr>
    </w:tblStylePr>
    <w:tblStylePr w:type="band1Vert">
      <w:tblPr/>
      <w:tcPr>
        <w:tcBorders>
          <w:top w:val="nil"/>
          <w:left w:val="nil"/>
          <w:bottom w:val="nil"/>
          <w:right w:val="nil"/>
          <w:insideH w:val="nil"/>
          <w:insideV w:val="nil"/>
        </w:tcBorders>
        <w:shd w:val="clear" w:color="auto" w:fill="C18101" w:themeFill="accent4" w:themeFillShade="BF"/>
      </w:tcPr>
    </w:tblStylePr>
    <w:tblStylePr w:type="band1Horz">
      <w:tblPr/>
      <w:tcPr>
        <w:tcBorders>
          <w:top w:val="nil"/>
          <w:left w:val="nil"/>
          <w:bottom w:val="nil"/>
          <w:right w:val="nil"/>
          <w:insideH w:val="nil"/>
          <w:insideV w:val="nil"/>
        </w:tcBorders>
        <w:shd w:val="clear" w:color="auto" w:fill="C18101" w:themeFill="accent4" w:themeFillShade="BF"/>
      </w:tcPr>
    </w:tblStylePr>
  </w:style>
  <w:style w:type="table" w:styleId="DarkList-Accent5">
    <w:name w:val="Dark List Accent 5"/>
    <w:basedOn w:val="TableNormal"/>
    <w:semiHidden/>
    <w:unhideWhenUsed/>
    <w:rsid w:val="00462069"/>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DC165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D0B2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4104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41045" w:themeFill="accent5" w:themeFillShade="BF"/>
      </w:tcPr>
    </w:tblStylePr>
    <w:tblStylePr w:type="band1Vert">
      <w:tblPr/>
      <w:tcPr>
        <w:tcBorders>
          <w:top w:val="nil"/>
          <w:left w:val="nil"/>
          <w:bottom w:val="nil"/>
          <w:right w:val="nil"/>
          <w:insideH w:val="nil"/>
          <w:insideV w:val="nil"/>
        </w:tcBorders>
        <w:shd w:val="clear" w:color="auto" w:fill="A41045" w:themeFill="accent5" w:themeFillShade="BF"/>
      </w:tcPr>
    </w:tblStylePr>
    <w:tblStylePr w:type="band1Horz">
      <w:tblPr/>
      <w:tcPr>
        <w:tcBorders>
          <w:top w:val="nil"/>
          <w:left w:val="nil"/>
          <w:bottom w:val="nil"/>
          <w:right w:val="nil"/>
          <w:insideH w:val="nil"/>
          <w:insideV w:val="nil"/>
        </w:tcBorders>
        <w:shd w:val="clear" w:color="auto" w:fill="A41045" w:themeFill="accent5" w:themeFillShade="BF"/>
      </w:tcPr>
    </w:tblStylePr>
  </w:style>
  <w:style w:type="table" w:styleId="DarkList-Accent6">
    <w:name w:val="Dark List Accent 6"/>
    <w:basedOn w:val="TableNormal"/>
    <w:semiHidden/>
    <w:unhideWhenUsed/>
    <w:rsid w:val="00462069"/>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703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18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247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2477" w:themeFill="accent6" w:themeFillShade="BF"/>
      </w:tcPr>
    </w:tblStylePr>
    <w:tblStylePr w:type="band1Vert">
      <w:tblPr/>
      <w:tcPr>
        <w:tcBorders>
          <w:top w:val="nil"/>
          <w:left w:val="nil"/>
          <w:bottom w:val="nil"/>
          <w:right w:val="nil"/>
          <w:insideH w:val="nil"/>
          <w:insideV w:val="nil"/>
        </w:tcBorders>
        <w:shd w:val="clear" w:color="auto" w:fill="532477" w:themeFill="accent6" w:themeFillShade="BF"/>
      </w:tcPr>
    </w:tblStylePr>
    <w:tblStylePr w:type="band1Horz">
      <w:tblPr/>
      <w:tcPr>
        <w:tcBorders>
          <w:top w:val="nil"/>
          <w:left w:val="nil"/>
          <w:bottom w:val="nil"/>
          <w:right w:val="nil"/>
          <w:insideH w:val="nil"/>
          <w:insideV w:val="nil"/>
        </w:tcBorders>
        <w:shd w:val="clear" w:color="auto" w:fill="532477" w:themeFill="accent6" w:themeFillShade="BF"/>
      </w:tcPr>
    </w:tblStylePr>
  </w:style>
  <w:style w:type="paragraph" w:styleId="DocumentMap">
    <w:name w:val="Document Map"/>
    <w:basedOn w:val="Normal"/>
    <w:link w:val="DocumentMapChar"/>
    <w:semiHidden/>
    <w:rsid w:val="00462069"/>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semiHidden/>
    <w:rsid w:val="00462069"/>
    <w:rPr>
      <w:rFonts w:ascii="Segoe UI" w:eastAsia="SimSun" w:hAnsi="Segoe UI" w:cs="Segoe UI"/>
      <w:sz w:val="16"/>
      <w:szCs w:val="16"/>
      <w:lang w:eastAsia="en-GB"/>
    </w:rPr>
  </w:style>
  <w:style w:type="paragraph" w:styleId="E-mailSignature">
    <w:name w:val="E-mail Signature"/>
    <w:basedOn w:val="Normal"/>
    <w:link w:val="E-mailSignatureChar"/>
    <w:semiHidden/>
    <w:rsid w:val="00462069"/>
    <w:pPr>
      <w:spacing w:before="0" w:after="0" w:line="240" w:lineRule="auto"/>
    </w:pPr>
  </w:style>
  <w:style w:type="character" w:customStyle="1" w:styleId="E-mailSignatureChar">
    <w:name w:val="E-mail Signature Char"/>
    <w:basedOn w:val="DefaultParagraphFont"/>
    <w:link w:val="E-mailSignature"/>
    <w:semiHidden/>
    <w:rsid w:val="00462069"/>
    <w:rPr>
      <w:rFonts w:ascii="EC Square Sans Pro" w:eastAsia="SimSun" w:hAnsi="EC Square Sans Pro"/>
      <w:lang w:eastAsia="en-GB"/>
    </w:rPr>
  </w:style>
  <w:style w:type="paragraph" w:styleId="EnvelopeAddress">
    <w:name w:val="envelope address"/>
    <w:basedOn w:val="Normal"/>
    <w:semiHidden/>
    <w:rsid w:val="00462069"/>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rsid w:val="00462069"/>
    <w:pPr>
      <w:spacing w:before="0" w:after="0" w:line="240" w:lineRule="auto"/>
    </w:pPr>
    <w:rPr>
      <w:rFonts w:asciiTheme="majorHAnsi" w:eastAsiaTheme="majorEastAsia" w:hAnsiTheme="majorHAnsi" w:cstheme="majorBidi"/>
    </w:rPr>
  </w:style>
  <w:style w:type="character" w:styleId="FollowedHyperlink">
    <w:name w:val="FollowedHyperlink"/>
    <w:basedOn w:val="DefaultParagraphFont"/>
    <w:semiHidden/>
    <w:rsid w:val="00462069"/>
    <w:rPr>
      <w:noProof w:val="0"/>
      <w:color w:val="003399" w:themeColor="followedHyperlink"/>
      <w:u w:val="single"/>
      <w:lang w:val="en-GB"/>
    </w:rPr>
  </w:style>
  <w:style w:type="table" w:styleId="GridTable1Light">
    <w:name w:val="Grid Table 1 Light"/>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66FFA9" w:themeColor="accent1" w:themeTint="66"/>
        <w:left w:val="single" w:sz="4" w:space="0" w:color="66FFA9" w:themeColor="accent1" w:themeTint="66"/>
        <w:bottom w:val="single" w:sz="4" w:space="0" w:color="66FFA9" w:themeColor="accent1" w:themeTint="66"/>
        <w:right w:val="single" w:sz="4" w:space="0" w:color="66FFA9" w:themeColor="accent1" w:themeTint="66"/>
        <w:insideH w:val="single" w:sz="4" w:space="0" w:color="66FFA9" w:themeColor="accent1" w:themeTint="66"/>
        <w:insideV w:val="single" w:sz="4" w:space="0" w:color="66FFA9" w:themeColor="accent1" w:themeTint="66"/>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2" w:space="0" w:color="1AFF7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EBD8D" w:themeColor="accent2" w:themeTint="66"/>
        <w:left w:val="single" w:sz="4" w:space="0" w:color="FEBD8D" w:themeColor="accent2" w:themeTint="66"/>
        <w:bottom w:val="single" w:sz="4" w:space="0" w:color="FEBD8D" w:themeColor="accent2" w:themeTint="66"/>
        <w:right w:val="single" w:sz="4" w:space="0" w:color="FEBD8D" w:themeColor="accent2" w:themeTint="66"/>
        <w:insideH w:val="single" w:sz="4" w:space="0" w:color="FEBD8D" w:themeColor="accent2" w:themeTint="66"/>
        <w:insideV w:val="single" w:sz="4" w:space="0" w:color="FEBD8D" w:themeColor="accent2" w:themeTint="66"/>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2" w:space="0" w:color="FD9C5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A8CFFE" w:themeColor="accent3" w:themeTint="66"/>
        <w:left w:val="single" w:sz="4" w:space="0" w:color="A8CFFE" w:themeColor="accent3" w:themeTint="66"/>
        <w:bottom w:val="single" w:sz="4" w:space="0" w:color="A8CFFE" w:themeColor="accent3" w:themeTint="66"/>
        <w:right w:val="single" w:sz="4" w:space="0" w:color="A8CFFE" w:themeColor="accent3" w:themeTint="66"/>
        <w:insideH w:val="single" w:sz="4" w:space="0" w:color="A8CFFE" w:themeColor="accent3" w:themeTint="66"/>
        <w:insideV w:val="single" w:sz="4" w:space="0" w:color="A8CFFE" w:themeColor="accent3" w:themeTint="66"/>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2" w:space="0" w:color="7CB7F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EDD9B" w:themeColor="accent4" w:themeTint="66"/>
        <w:left w:val="single" w:sz="4" w:space="0" w:color="FEDD9B" w:themeColor="accent4" w:themeTint="66"/>
        <w:bottom w:val="single" w:sz="4" w:space="0" w:color="FEDD9B" w:themeColor="accent4" w:themeTint="66"/>
        <w:right w:val="single" w:sz="4" w:space="0" w:color="FEDD9B" w:themeColor="accent4" w:themeTint="66"/>
        <w:insideH w:val="single" w:sz="4" w:space="0" w:color="FEDD9B" w:themeColor="accent4" w:themeTint="66"/>
        <w:insideV w:val="single" w:sz="4" w:space="0" w:color="FEDD9B" w:themeColor="accent4" w:themeTint="66"/>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2" w:space="0" w:color="FDCC6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59DBC" w:themeColor="accent5" w:themeTint="66"/>
        <w:left w:val="single" w:sz="4" w:space="0" w:color="F59DBC" w:themeColor="accent5" w:themeTint="66"/>
        <w:bottom w:val="single" w:sz="4" w:space="0" w:color="F59DBC" w:themeColor="accent5" w:themeTint="66"/>
        <w:right w:val="single" w:sz="4" w:space="0" w:color="F59DBC" w:themeColor="accent5" w:themeTint="66"/>
        <w:insideH w:val="single" w:sz="4" w:space="0" w:color="F59DBC" w:themeColor="accent5" w:themeTint="66"/>
        <w:insideV w:val="single" w:sz="4" w:space="0" w:color="F59DBC" w:themeColor="accent5" w:themeTint="66"/>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2" w:space="0" w:color="F06C9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C6A1E3" w:themeColor="accent6" w:themeTint="66"/>
        <w:left w:val="single" w:sz="4" w:space="0" w:color="C6A1E3" w:themeColor="accent6" w:themeTint="66"/>
        <w:bottom w:val="single" w:sz="4" w:space="0" w:color="C6A1E3" w:themeColor="accent6" w:themeTint="66"/>
        <w:right w:val="single" w:sz="4" w:space="0" w:color="C6A1E3" w:themeColor="accent6" w:themeTint="66"/>
        <w:insideH w:val="single" w:sz="4" w:space="0" w:color="C6A1E3" w:themeColor="accent6" w:themeTint="66"/>
        <w:insideV w:val="single" w:sz="4" w:space="0" w:color="C6A1E3" w:themeColor="accent6" w:themeTint="66"/>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2" w:space="0" w:color="AB73D5" w:themeColor="accent6" w:themeTint="99"/>
        </w:tcBorders>
      </w:tcPr>
    </w:tblStylePr>
    <w:tblStylePr w:type="firstCol">
      <w:rPr>
        <w:b/>
        <w:bCs/>
      </w:rPr>
    </w:tblStylePr>
    <w:tblStylePr w:type="lastCol">
      <w:rPr>
        <w:b/>
        <w:bCs/>
      </w:rPr>
    </w:tblStylePr>
  </w:style>
  <w:style w:type="table" w:styleId="GridTable2">
    <w:name w:val="Grid Table 2"/>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2" w:space="0" w:color="1AFF7E" w:themeColor="accent1" w:themeTint="99"/>
        <w:bottom w:val="single" w:sz="2" w:space="0" w:color="1AFF7E" w:themeColor="accent1" w:themeTint="99"/>
        <w:insideH w:val="single" w:sz="2" w:space="0" w:color="1AFF7E" w:themeColor="accent1" w:themeTint="99"/>
        <w:insideV w:val="single" w:sz="2" w:space="0" w:color="1AFF7E" w:themeColor="accent1" w:themeTint="99"/>
      </w:tblBorders>
    </w:tblPr>
    <w:tblStylePr w:type="firstRow">
      <w:rPr>
        <w:b/>
        <w:bCs/>
      </w:rPr>
      <w:tblPr/>
      <w:tcPr>
        <w:tcBorders>
          <w:top w:val="nil"/>
          <w:bottom w:val="single" w:sz="12" w:space="0" w:color="1AFF7E" w:themeColor="accent1" w:themeTint="99"/>
          <w:insideH w:val="nil"/>
          <w:insideV w:val="nil"/>
        </w:tcBorders>
        <w:shd w:val="clear" w:color="auto" w:fill="FFFFFF" w:themeFill="background1"/>
      </w:tcPr>
    </w:tblStylePr>
    <w:tblStylePr w:type="lastRow">
      <w:rPr>
        <w:b/>
        <w:bCs/>
      </w:rPr>
      <w:tblPr/>
      <w:tcPr>
        <w:tcBorders>
          <w:top w:val="double" w:sz="2" w:space="0" w:color="1AFF7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2-Accent2">
    <w:name w:val="Grid Table 2 Accent 2"/>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2" w:space="0" w:color="FD9C54" w:themeColor="accent2" w:themeTint="99"/>
        <w:bottom w:val="single" w:sz="2" w:space="0" w:color="FD9C54" w:themeColor="accent2" w:themeTint="99"/>
        <w:insideH w:val="single" w:sz="2" w:space="0" w:color="FD9C54" w:themeColor="accent2" w:themeTint="99"/>
        <w:insideV w:val="single" w:sz="2" w:space="0" w:color="FD9C54" w:themeColor="accent2" w:themeTint="99"/>
      </w:tblBorders>
    </w:tblPr>
    <w:tblStylePr w:type="firstRow">
      <w:rPr>
        <w:b/>
        <w:bCs/>
      </w:rPr>
      <w:tblPr/>
      <w:tcPr>
        <w:tcBorders>
          <w:top w:val="nil"/>
          <w:bottom w:val="single" w:sz="12" w:space="0" w:color="FD9C54" w:themeColor="accent2" w:themeTint="99"/>
          <w:insideH w:val="nil"/>
          <w:insideV w:val="nil"/>
        </w:tcBorders>
        <w:shd w:val="clear" w:color="auto" w:fill="FFFFFF" w:themeFill="background1"/>
      </w:tcPr>
    </w:tblStylePr>
    <w:tblStylePr w:type="lastRow">
      <w:rPr>
        <w:b/>
        <w:bCs/>
      </w:rPr>
      <w:tblPr/>
      <w:tcPr>
        <w:tcBorders>
          <w:top w:val="double" w:sz="2" w:space="0" w:color="FD9C5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2-Accent3">
    <w:name w:val="Grid Table 2 Accent 3"/>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2" w:space="0" w:color="7CB7FE" w:themeColor="accent3" w:themeTint="99"/>
        <w:bottom w:val="single" w:sz="2" w:space="0" w:color="7CB7FE" w:themeColor="accent3" w:themeTint="99"/>
        <w:insideH w:val="single" w:sz="2" w:space="0" w:color="7CB7FE" w:themeColor="accent3" w:themeTint="99"/>
        <w:insideV w:val="single" w:sz="2" w:space="0" w:color="7CB7FE" w:themeColor="accent3" w:themeTint="99"/>
      </w:tblBorders>
    </w:tblPr>
    <w:tblStylePr w:type="firstRow">
      <w:rPr>
        <w:b/>
        <w:bCs/>
      </w:rPr>
      <w:tblPr/>
      <w:tcPr>
        <w:tcBorders>
          <w:top w:val="nil"/>
          <w:bottom w:val="single" w:sz="12" w:space="0" w:color="7CB7FE" w:themeColor="accent3" w:themeTint="99"/>
          <w:insideH w:val="nil"/>
          <w:insideV w:val="nil"/>
        </w:tcBorders>
        <w:shd w:val="clear" w:color="auto" w:fill="FFFFFF" w:themeFill="background1"/>
      </w:tcPr>
    </w:tblStylePr>
    <w:tblStylePr w:type="lastRow">
      <w:rPr>
        <w:b/>
        <w:bCs/>
      </w:rPr>
      <w:tblPr/>
      <w:tcPr>
        <w:tcBorders>
          <w:top w:val="double" w:sz="2" w:space="0" w:color="7CB7F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2-Accent4">
    <w:name w:val="Grid Table 2 Accent 4"/>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2" w:space="0" w:color="FDCC6A" w:themeColor="accent4" w:themeTint="99"/>
        <w:bottom w:val="single" w:sz="2" w:space="0" w:color="FDCC6A" w:themeColor="accent4" w:themeTint="99"/>
        <w:insideH w:val="single" w:sz="2" w:space="0" w:color="FDCC6A" w:themeColor="accent4" w:themeTint="99"/>
        <w:insideV w:val="single" w:sz="2" w:space="0" w:color="FDCC6A" w:themeColor="accent4" w:themeTint="99"/>
      </w:tblBorders>
    </w:tblPr>
    <w:tblStylePr w:type="firstRow">
      <w:rPr>
        <w:b/>
        <w:bCs/>
      </w:rPr>
      <w:tblPr/>
      <w:tcPr>
        <w:tcBorders>
          <w:top w:val="nil"/>
          <w:bottom w:val="single" w:sz="12" w:space="0" w:color="FDCC6A" w:themeColor="accent4" w:themeTint="99"/>
          <w:insideH w:val="nil"/>
          <w:insideV w:val="nil"/>
        </w:tcBorders>
        <w:shd w:val="clear" w:color="auto" w:fill="FFFFFF" w:themeFill="background1"/>
      </w:tcPr>
    </w:tblStylePr>
    <w:tblStylePr w:type="lastRow">
      <w:rPr>
        <w:b/>
        <w:bCs/>
      </w:rPr>
      <w:tblPr/>
      <w:tcPr>
        <w:tcBorders>
          <w:top w:val="double" w:sz="2" w:space="0" w:color="FDCC6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2-Accent5">
    <w:name w:val="Grid Table 2 Accent 5"/>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2" w:space="0" w:color="F06C9B" w:themeColor="accent5" w:themeTint="99"/>
        <w:bottom w:val="single" w:sz="2" w:space="0" w:color="F06C9B" w:themeColor="accent5" w:themeTint="99"/>
        <w:insideH w:val="single" w:sz="2" w:space="0" w:color="F06C9B" w:themeColor="accent5" w:themeTint="99"/>
        <w:insideV w:val="single" w:sz="2" w:space="0" w:color="F06C9B" w:themeColor="accent5" w:themeTint="99"/>
      </w:tblBorders>
    </w:tblPr>
    <w:tblStylePr w:type="firstRow">
      <w:rPr>
        <w:b/>
        <w:bCs/>
      </w:rPr>
      <w:tblPr/>
      <w:tcPr>
        <w:tcBorders>
          <w:top w:val="nil"/>
          <w:bottom w:val="single" w:sz="12" w:space="0" w:color="F06C9B" w:themeColor="accent5" w:themeTint="99"/>
          <w:insideH w:val="nil"/>
          <w:insideV w:val="nil"/>
        </w:tcBorders>
        <w:shd w:val="clear" w:color="auto" w:fill="FFFFFF" w:themeFill="background1"/>
      </w:tcPr>
    </w:tblStylePr>
    <w:tblStylePr w:type="lastRow">
      <w:rPr>
        <w:b/>
        <w:bCs/>
      </w:rPr>
      <w:tblPr/>
      <w:tcPr>
        <w:tcBorders>
          <w:top w:val="double" w:sz="2" w:space="0" w:color="F06C9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2-Accent6">
    <w:name w:val="Grid Table 2 Accent 6"/>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2" w:space="0" w:color="AB73D5" w:themeColor="accent6" w:themeTint="99"/>
        <w:bottom w:val="single" w:sz="2" w:space="0" w:color="AB73D5" w:themeColor="accent6" w:themeTint="99"/>
        <w:insideH w:val="single" w:sz="2" w:space="0" w:color="AB73D5" w:themeColor="accent6" w:themeTint="99"/>
        <w:insideV w:val="single" w:sz="2" w:space="0" w:color="AB73D5" w:themeColor="accent6" w:themeTint="99"/>
      </w:tblBorders>
    </w:tblPr>
    <w:tblStylePr w:type="firstRow">
      <w:rPr>
        <w:b/>
        <w:bCs/>
      </w:rPr>
      <w:tblPr/>
      <w:tcPr>
        <w:tcBorders>
          <w:top w:val="nil"/>
          <w:bottom w:val="single" w:sz="12" w:space="0" w:color="AB73D5" w:themeColor="accent6" w:themeTint="99"/>
          <w:insideH w:val="nil"/>
          <w:insideV w:val="nil"/>
        </w:tcBorders>
        <w:shd w:val="clear" w:color="auto" w:fill="FFFFFF" w:themeFill="background1"/>
      </w:tcPr>
    </w:tblStylePr>
    <w:tblStylePr w:type="lastRow">
      <w:rPr>
        <w:b/>
        <w:bCs/>
      </w:rPr>
      <w:tblPr/>
      <w:tcPr>
        <w:tcBorders>
          <w:top w:val="double" w:sz="2" w:space="0" w:color="AB73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3">
    <w:name w:val="Grid Table 3"/>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3-Accent2">
    <w:name w:val="Grid Table 3 Accent 2"/>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3-Accent3">
    <w:name w:val="Grid Table 3 Accent 3"/>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3-Accent4">
    <w:name w:val="Grid Table 3 Accent 4"/>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3-Accent5">
    <w:name w:val="Grid Table 3 Accent 5"/>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3-Accent6">
    <w:name w:val="Grid Table 3 Accent 6"/>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GridTable4">
    <w:name w:val="Grid Table 4"/>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insideV w:val="nil"/>
        </w:tcBorders>
        <w:shd w:val="clear" w:color="auto" w:fill="008139" w:themeFill="accent1"/>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4-Accent2">
    <w:name w:val="Grid Table 4 Accent 2"/>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insideV w:val="nil"/>
        </w:tcBorders>
        <w:shd w:val="clear" w:color="auto" w:fill="DE6002" w:themeFill="accent2"/>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4-Accent3">
    <w:name w:val="Grid Table 4 Accent 3"/>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insideV w:val="nil"/>
        </w:tcBorders>
        <w:shd w:val="clear" w:color="auto" w:fill="2688FE" w:themeFill="accent3"/>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4-Accent4">
    <w:name w:val="Grid Table 4 Accent 4"/>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insideV w:val="nil"/>
        </w:tcBorders>
        <w:shd w:val="clear" w:color="auto" w:fill="FDAB07" w:themeFill="accent4"/>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4-Accent5">
    <w:name w:val="Grid Table 4 Accent 5"/>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insideV w:val="nil"/>
        </w:tcBorders>
        <w:shd w:val="clear" w:color="auto" w:fill="DC165D" w:themeFill="accent5"/>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4-Accent6">
    <w:name w:val="Grid Table 4 Accent 6"/>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5Dark">
    <w:name w:val="Grid Table 5 Dark"/>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FD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13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13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13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139" w:themeFill="accent1"/>
      </w:tcPr>
    </w:tblStylePr>
    <w:tblStylePr w:type="band1Vert">
      <w:tblPr/>
      <w:tcPr>
        <w:shd w:val="clear" w:color="auto" w:fill="66FFA9" w:themeFill="accent1" w:themeFillTint="66"/>
      </w:tcPr>
    </w:tblStylePr>
    <w:tblStylePr w:type="band1Horz">
      <w:tblPr/>
      <w:tcPr>
        <w:shd w:val="clear" w:color="auto" w:fill="66FFA9" w:themeFill="accent1" w:themeFillTint="66"/>
      </w:tcPr>
    </w:tblStylePr>
  </w:style>
  <w:style w:type="table" w:styleId="GridTable5Dark-Accent2">
    <w:name w:val="Grid Table 5 Dark Accent 2"/>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600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600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600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6002" w:themeFill="accent2"/>
      </w:tcPr>
    </w:tblStylePr>
    <w:tblStylePr w:type="band1Vert">
      <w:tblPr/>
      <w:tcPr>
        <w:shd w:val="clear" w:color="auto" w:fill="FEBD8D" w:themeFill="accent2" w:themeFillTint="66"/>
      </w:tcPr>
    </w:tblStylePr>
    <w:tblStylePr w:type="band1Horz">
      <w:tblPr/>
      <w:tcPr>
        <w:shd w:val="clear" w:color="auto" w:fill="FEBD8D" w:themeFill="accent2" w:themeFillTint="66"/>
      </w:tcPr>
    </w:tblStylePr>
  </w:style>
  <w:style w:type="table" w:styleId="GridTable5Dark-Accent3">
    <w:name w:val="Grid Table 5 Dark Accent 3"/>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7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8F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8F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8F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8FE" w:themeFill="accent3"/>
      </w:tcPr>
    </w:tblStylePr>
    <w:tblStylePr w:type="band1Vert">
      <w:tblPr/>
      <w:tcPr>
        <w:shd w:val="clear" w:color="auto" w:fill="A8CFFE" w:themeFill="accent3" w:themeFillTint="66"/>
      </w:tcPr>
    </w:tblStylePr>
    <w:tblStylePr w:type="band1Horz">
      <w:tblPr/>
      <w:tcPr>
        <w:shd w:val="clear" w:color="auto" w:fill="A8CFFE" w:themeFill="accent3" w:themeFillTint="66"/>
      </w:tcPr>
    </w:tblStylePr>
  </w:style>
  <w:style w:type="table" w:styleId="GridTable5Dark-Accent4">
    <w:name w:val="Grid Table 5 Dark Accent 4"/>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EC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AB0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AB0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AB0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AB07" w:themeFill="accent4"/>
      </w:tcPr>
    </w:tblStylePr>
    <w:tblStylePr w:type="band1Vert">
      <w:tblPr/>
      <w:tcPr>
        <w:shd w:val="clear" w:color="auto" w:fill="FEDD9B" w:themeFill="accent4" w:themeFillTint="66"/>
      </w:tcPr>
    </w:tblStylePr>
    <w:tblStylePr w:type="band1Horz">
      <w:tblPr/>
      <w:tcPr>
        <w:shd w:val="clear" w:color="auto" w:fill="FEDD9B" w:themeFill="accent4" w:themeFillTint="66"/>
      </w:tcPr>
    </w:tblStylePr>
  </w:style>
  <w:style w:type="table" w:styleId="GridTable5Dark-Accent5">
    <w:name w:val="Grid Table 5 Dark Accent 5"/>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CED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C165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C165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C165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C165D" w:themeFill="accent5"/>
      </w:tcPr>
    </w:tblStylePr>
    <w:tblStylePr w:type="band1Vert">
      <w:tblPr/>
      <w:tcPr>
        <w:shd w:val="clear" w:color="auto" w:fill="F59DBC" w:themeFill="accent5" w:themeFillTint="66"/>
      </w:tcPr>
    </w:tblStylePr>
    <w:tblStylePr w:type="band1Horz">
      <w:tblPr/>
      <w:tcPr>
        <w:shd w:val="clear" w:color="auto" w:fill="F59DBC" w:themeFill="accent5" w:themeFillTint="66"/>
      </w:tcPr>
    </w:tblStylePr>
  </w:style>
  <w:style w:type="table" w:styleId="GridTable5Dark-Accent6">
    <w:name w:val="Grid Table 5 Dark Accent 6"/>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3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3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3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30A0" w:themeFill="accent6"/>
      </w:tcPr>
    </w:tblStylePr>
    <w:tblStylePr w:type="band1Vert">
      <w:tblPr/>
      <w:tcPr>
        <w:shd w:val="clear" w:color="auto" w:fill="C6A1E3" w:themeFill="accent6" w:themeFillTint="66"/>
      </w:tcPr>
    </w:tblStylePr>
    <w:tblStylePr w:type="band1Horz">
      <w:tblPr/>
      <w:tcPr>
        <w:shd w:val="clear" w:color="auto" w:fill="C6A1E3" w:themeFill="accent6" w:themeFillTint="66"/>
      </w:tcPr>
    </w:tblStylePr>
  </w:style>
  <w:style w:type="table" w:styleId="GridTable6Colorful">
    <w:name w:val="Grid Table 6 Colorful"/>
    <w:basedOn w:val="TableNormal"/>
    <w:rsid w:val="00462069"/>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rsid w:val="00462069"/>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6Colorful-Accent2">
    <w:name w:val="Grid Table 6 Colorful Accent 2"/>
    <w:basedOn w:val="TableNormal"/>
    <w:rsid w:val="00462069"/>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6Colorful-Accent3">
    <w:name w:val="Grid Table 6 Colorful Accent 3"/>
    <w:basedOn w:val="TableNormal"/>
    <w:rsid w:val="00462069"/>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6Colorful-Accent4">
    <w:name w:val="Grid Table 6 Colorful Accent 4"/>
    <w:basedOn w:val="TableNormal"/>
    <w:rsid w:val="00462069"/>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6Colorful-Accent5">
    <w:name w:val="Grid Table 6 Colorful Accent 5"/>
    <w:basedOn w:val="TableNormal"/>
    <w:rsid w:val="00462069"/>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6Colorful-Accent6">
    <w:name w:val="Grid Table 6 Colorful Accent 6"/>
    <w:basedOn w:val="TableNormal"/>
    <w:rsid w:val="00462069"/>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7Colorful">
    <w:name w:val="Grid Table 7 Colorful"/>
    <w:basedOn w:val="TableNormal"/>
    <w:rsid w:val="00462069"/>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rsid w:val="00462069"/>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7Colorful-Accent2">
    <w:name w:val="Grid Table 7 Colorful Accent 2"/>
    <w:basedOn w:val="TableNormal"/>
    <w:rsid w:val="00462069"/>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7Colorful-Accent3">
    <w:name w:val="Grid Table 7 Colorful Accent 3"/>
    <w:basedOn w:val="TableNormal"/>
    <w:rsid w:val="00462069"/>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7Colorful-Accent4">
    <w:name w:val="Grid Table 7 Colorful Accent 4"/>
    <w:basedOn w:val="TableNormal"/>
    <w:rsid w:val="00462069"/>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7Colorful-Accent5">
    <w:name w:val="Grid Table 7 Colorful Accent 5"/>
    <w:basedOn w:val="TableNormal"/>
    <w:rsid w:val="00462069"/>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7Colorful-Accent6">
    <w:name w:val="Grid Table 7 Colorful Accent 6"/>
    <w:basedOn w:val="TableNormal"/>
    <w:rsid w:val="00462069"/>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numbering" w:customStyle="1" w:styleId="HNum-fromh2LIST">
    <w:name w:val="H Num - from h2 | LIST"/>
    <w:uiPriority w:val="99"/>
    <w:rsid w:val="006F7DD4"/>
    <w:pPr>
      <w:numPr>
        <w:numId w:val="9"/>
      </w:numPr>
    </w:pPr>
  </w:style>
  <w:style w:type="paragraph" w:customStyle="1" w:styleId="H1-AboutEU">
    <w:name w:val="H1 - About EU"/>
    <w:uiPriority w:val="2"/>
    <w:semiHidden/>
    <w:rsid w:val="00305890"/>
    <w:pPr>
      <w:suppressAutoHyphens/>
      <w:spacing w:before="480"/>
      <w:outlineLvl w:val="0"/>
    </w:pPr>
    <w:rPr>
      <w:rFonts w:asciiTheme="majorHAnsi" w:hAnsiTheme="majorHAnsi"/>
      <w:b/>
      <w:color w:val="003399" w:themeColor="text2"/>
      <w:sz w:val="28"/>
      <w:lang w:eastAsia="en-GB"/>
    </w:rPr>
  </w:style>
  <w:style w:type="paragraph" w:customStyle="1" w:styleId="Heading1Sectionheadinginframe2Lines">
    <w:name w:val="Heading 1 Section heading in frame 2 Lines"/>
    <w:basedOn w:val="Normal"/>
    <w:uiPriority w:val="9"/>
    <w:semiHidden/>
    <w:rsid w:val="0053638B"/>
    <w:pPr>
      <w:framePr w:w="5670" w:h="567" w:wrap="around" w:vAnchor="page" w:hAnchor="page" w:x="5388" w:y="11398" w:anchorLock="1"/>
      <w:spacing w:after="0"/>
      <w:outlineLvl w:val="0"/>
    </w:pPr>
    <w:rPr>
      <w:rFonts w:asciiTheme="majorHAnsi" w:hAnsiTheme="majorHAnsi"/>
      <w:color w:val="003399" w:themeColor="text2"/>
      <w:sz w:val="52"/>
    </w:rPr>
  </w:style>
  <w:style w:type="character" w:styleId="HTMLAcronym">
    <w:name w:val="HTML Acronym"/>
    <w:basedOn w:val="DefaultParagraphFont"/>
    <w:uiPriority w:val="39"/>
    <w:semiHidden/>
    <w:rsid w:val="00462069"/>
    <w:rPr>
      <w:noProof w:val="0"/>
      <w:lang w:val="en-GB"/>
    </w:rPr>
  </w:style>
  <w:style w:type="paragraph" w:styleId="HTMLAddress">
    <w:name w:val="HTML Address"/>
    <w:basedOn w:val="Normal"/>
    <w:link w:val="HTMLAddressChar"/>
    <w:uiPriority w:val="39"/>
    <w:semiHidden/>
    <w:rsid w:val="00462069"/>
    <w:pPr>
      <w:spacing w:before="0" w:after="0" w:line="240" w:lineRule="auto"/>
    </w:pPr>
    <w:rPr>
      <w:i/>
      <w:iCs/>
    </w:rPr>
  </w:style>
  <w:style w:type="character" w:customStyle="1" w:styleId="HTMLAddressChar">
    <w:name w:val="HTML Address Char"/>
    <w:basedOn w:val="DefaultParagraphFont"/>
    <w:link w:val="HTMLAddress"/>
    <w:uiPriority w:val="39"/>
    <w:semiHidden/>
    <w:rsid w:val="00462069"/>
    <w:rPr>
      <w:rFonts w:ascii="EC Square Sans Pro" w:eastAsia="SimSun" w:hAnsi="EC Square Sans Pro"/>
      <w:i/>
      <w:iCs/>
      <w:lang w:eastAsia="en-GB"/>
    </w:rPr>
  </w:style>
  <w:style w:type="character" w:styleId="HTMLCite">
    <w:name w:val="HTML Cite"/>
    <w:basedOn w:val="DefaultParagraphFont"/>
    <w:uiPriority w:val="39"/>
    <w:semiHidden/>
    <w:rsid w:val="00462069"/>
    <w:rPr>
      <w:i/>
      <w:iCs/>
      <w:noProof w:val="0"/>
      <w:lang w:val="en-GB"/>
    </w:rPr>
  </w:style>
  <w:style w:type="character" w:styleId="HTMLCode">
    <w:name w:val="HTML Code"/>
    <w:basedOn w:val="DefaultParagraphFont"/>
    <w:uiPriority w:val="39"/>
    <w:semiHidden/>
    <w:rsid w:val="00462069"/>
    <w:rPr>
      <w:rFonts w:ascii="Consolas" w:hAnsi="Consolas"/>
      <w:noProof w:val="0"/>
      <w:sz w:val="20"/>
      <w:szCs w:val="20"/>
      <w:lang w:val="en-GB"/>
    </w:rPr>
  </w:style>
  <w:style w:type="character" w:styleId="HTMLDefinition">
    <w:name w:val="HTML Definition"/>
    <w:basedOn w:val="DefaultParagraphFont"/>
    <w:uiPriority w:val="39"/>
    <w:semiHidden/>
    <w:rsid w:val="00462069"/>
    <w:rPr>
      <w:i/>
      <w:iCs/>
      <w:noProof w:val="0"/>
      <w:lang w:val="en-GB"/>
    </w:rPr>
  </w:style>
  <w:style w:type="character" w:styleId="HTMLKeyboard">
    <w:name w:val="HTML Keyboard"/>
    <w:basedOn w:val="DefaultParagraphFont"/>
    <w:uiPriority w:val="39"/>
    <w:semiHidden/>
    <w:rsid w:val="00462069"/>
    <w:rPr>
      <w:rFonts w:ascii="Consolas" w:hAnsi="Consolas"/>
      <w:noProof w:val="0"/>
      <w:sz w:val="20"/>
      <w:szCs w:val="20"/>
      <w:lang w:val="en-GB"/>
    </w:rPr>
  </w:style>
  <w:style w:type="paragraph" w:styleId="HTMLPreformatted">
    <w:name w:val="HTML Preformatted"/>
    <w:basedOn w:val="Normal"/>
    <w:link w:val="HTMLPreformattedChar"/>
    <w:uiPriority w:val="39"/>
    <w:semiHidden/>
    <w:rsid w:val="00462069"/>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39"/>
    <w:semiHidden/>
    <w:rsid w:val="00462069"/>
    <w:rPr>
      <w:rFonts w:ascii="Consolas" w:eastAsia="SimSun" w:hAnsi="Consolas"/>
      <w:lang w:eastAsia="en-GB"/>
    </w:rPr>
  </w:style>
  <w:style w:type="character" w:styleId="HTMLSample">
    <w:name w:val="HTML Sample"/>
    <w:basedOn w:val="DefaultParagraphFont"/>
    <w:uiPriority w:val="39"/>
    <w:semiHidden/>
    <w:rsid w:val="00462069"/>
    <w:rPr>
      <w:rFonts w:ascii="Consolas" w:hAnsi="Consolas"/>
      <w:noProof w:val="0"/>
      <w:sz w:val="24"/>
      <w:szCs w:val="24"/>
      <w:lang w:val="en-GB"/>
    </w:rPr>
  </w:style>
  <w:style w:type="character" w:styleId="HTMLTypewriter">
    <w:name w:val="HTML Typewriter"/>
    <w:basedOn w:val="DefaultParagraphFont"/>
    <w:uiPriority w:val="39"/>
    <w:semiHidden/>
    <w:rsid w:val="00462069"/>
    <w:rPr>
      <w:rFonts w:ascii="Consolas" w:hAnsi="Consolas"/>
      <w:noProof w:val="0"/>
      <w:sz w:val="20"/>
      <w:szCs w:val="20"/>
      <w:lang w:val="en-GB"/>
    </w:rPr>
  </w:style>
  <w:style w:type="character" w:styleId="HTMLVariable">
    <w:name w:val="HTML Variable"/>
    <w:basedOn w:val="DefaultParagraphFont"/>
    <w:uiPriority w:val="39"/>
    <w:semiHidden/>
    <w:rsid w:val="00462069"/>
    <w:rPr>
      <w:i/>
      <w:iCs/>
      <w:noProof w:val="0"/>
      <w:lang w:val="en-GB"/>
    </w:rPr>
  </w:style>
  <w:style w:type="table" w:customStyle="1" w:styleId="Infographicboxes">
    <w:name w:val="Infographic boxes"/>
    <w:basedOn w:val="TableNormal"/>
    <w:uiPriority w:val="99"/>
    <w:rsid w:val="002E2C06"/>
    <w:rPr>
      <w:rFonts w:ascii="EC Square Sans Pro" w:eastAsia="SimSun" w:hAnsi="EC Square Sans Pro"/>
      <w:lang w:eastAsia="en-GB"/>
    </w:rPr>
    <w:tblPr>
      <w:tblBorders>
        <w:insideH w:val="single" w:sz="48" w:space="0" w:color="FFFFFF" w:themeColor="background1"/>
        <w:insideV w:val="single" w:sz="48" w:space="0" w:color="FFFFFF" w:themeColor="background1"/>
      </w:tblBorders>
      <w:tblCellMar>
        <w:left w:w="227" w:type="dxa"/>
        <w:right w:w="227" w:type="dxa"/>
      </w:tblCellMar>
    </w:tblPr>
    <w:tcPr>
      <w:shd w:val="clear" w:color="auto" w:fill="F3F7FF" w:themeFill="background2"/>
    </w:tcPr>
  </w:style>
  <w:style w:type="character" w:styleId="IntenseEmphasis">
    <w:name w:val="Intense Emphasis"/>
    <w:basedOn w:val="DefaultParagraphFont"/>
    <w:uiPriority w:val="39"/>
    <w:semiHidden/>
    <w:rsid w:val="00462069"/>
    <w:rPr>
      <w:i/>
      <w:iCs/>
      <w:noProof w:val="0"/>
      <w:color w:val="008139" w:themeColor="accent1"/>
      <w:lang w:val="en-GB"/>
    </w:rPr>
  </w:style>
  <w:style w:type="paragraph" w:styleId="IntenseQuote">
    <w:name w:val="Intense Quote"/>
    <w:basedOn w:val="Normal"/>
    <w:next w:val="Normal"/>
    <w:link w:val="IntenseQuoteChar"/>
    <w:uiPriority w:val="39"/>
    <w:semiHidden/>
    <w:rsid w:val="00462069"/>
    <w:pPr>
      <w:pBdr>
        <w:top w:val="single" w:sz="4" w:space="10" w:color="008139" w:themeColor="accent1"/>
        <w:bottom w:val="single" w:sz="4" w:space="10" w:color="008139" w:themeColor="accent1"/>
      </w:pBdr>
      <w:spacing w:before="360" w:after="360"/>
      <w:ind w:left="864" w:right="864"/>
      <w:jc w:val="center"/>
    </w:pPr>
    <w:rPr>
      <w:i/>
      <w:iCs/>
      <w:color w:val="008139" w:themeColor="accent1"/>
    </w:rPr>
  </w:style>
  <w:style w:type="character" w:customStyle="1" w:styleId="IntenseQuoteChar">
    <w:name w:val="Intense Quote Char"/>
    <w:basedOn w:val="DefaultParagraphFont"/>
    <w:link w:val="IntenseQuote"/>
    <w:uiPriority w:val="39"/>
    <w:rsid w:val="00462069"/>
    <w:rPr>
      <w:rFonts w:ascii="EC Square Sans Pro" w:eastAsia="SimSun" w:hAnsi="EC Square Sans Pro"/>
      <w:i/>
      <w:iCs/>
      <w:color w:val="008139" w:themeColor="accent1"/>
      <w:lang w:eastAsia="en-GB"/>
    </w:rPr>
  </w:style>
  <w:style w:type="character" w:styleId="IntenseReference">
    <w:name w:val="Intense Reference"/>
    <w:basedOn w:val="DefaultParagraphFont"/>
    <w:uiPriority w:val="39"/>
    <w:semiHidden/>
    <w:rsid w:val="00462069"/>
    <w:rPr>
      <w:b/>
      <w:bCs/>
      <w:smallCaps/>
      <w:noProof w:val="0"/>
      <w:color w:val="008139" w:themeColor="accent1"/>
      <w:spacing w:val="5"/>
      <w:lang w:val="en-GB"/>
    </w:rPr>
  </w:style>
  <w:style w:type="character" w:customStyle="1" w:styleId="Italic">
    <w:name w:val="Italic"/>
    <w:basedOn w:val="DefaultParagraphFont"/>
    <w:qFormat/>
    <w:rsid w:val="00462069"/>
    <w:rPr>
      <w:i/>
    </w:rPr>
  </w:style>
  <w:style w:type="table" w:styleId="LightGrid">
    <w:name w:val="Light Grid"/>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18" w:space="0" w:color="008139" w:themeColor="accent1"/>
          <w:right w:val="single" w:sz="8" w:space="0" w:color="008139" w:themeColor="accent1"/>
          <w:insideH w:val="nil"/>
          <w:insideV w:val="single" w:sz="8" w:space="0" w:color="00813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insideH w:val="nil"/>
          <w:insideV w:val="single" w:sz="8" w:space="0" w:color="00813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shd w:val="clear" w:color="auto" w:fill="A0FFCA" w:themeFill="accent1" w:themeFillTint="3F"/>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shd w:val="clear" w:color="auto" w:fill="A0FFCA" w:themeFill="accent1" w:themeFillTint="3F"/>
      </w:tcPr>
    </w:tblStylePr>
    <w:tblStylePr w:type="band2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tcPr>
    </w:tblStylePr>
  </w:style>
  <w:style w:type="table" w:styleId="LightGrid-Accent2">
    <w:name w:val="Light Grid Accent 2"/>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18" w:space="0" w:color="DE6002" w:themeColor="accent2"/>
          <w:right w:val="single" w:sz="8" w:space="0" w:color="DE6002" w:themeColor="accent2"/>
          <w:insideH w:val="nil"/>
          <w:insideV w:val="single" w:sz="8" w:space="0" w:color="DE600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insideH w:val="nil"/>
          <w:insideV w:val="single" w:sz="8" w:space="0" w:color="DE600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shd w:val="clear" w:color="auto" w:fill="FED6B8" w:themeFill="accent2" w:themeFillTint="3F"/>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shd w:val="clear" w:color="auto" w:fill="FED6B8" w:themeFill="accent2" w:themeFillTint="3F"/>
      </w:tcPr>
    </w:tblStylePr>
    <w:tblStylePr w:type="band2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tcPr>
    </w:tblStylePr>
  </w:style>
  <w:style w:type="table" w:styleId="LightGrid-Accent3">
    <w:name w:val="Light Grid Accent 3"/>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18" w:space="0" w:color="2688FE" w:themeColor="accent3"/>
          <w:right w:val="single" w:sz="8" w:space="0" w:color="2688FE" w:themeColor="accent3"/>
          <w:insideH w:val="nil"/>
          <w:insideV w:val="single" w:sz="8" w:space="0" w:color="2688F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insideH w:val="nil"/>
          <w:insideV w:val="single" w:sz="8" w:space="0" w:color="2688F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shd w:val="clear" w:color="auto" w:fill="C9E1FE" w:themeFill="accent3" w:themeFillTint="3F"/>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shd w:val="clear" w:color="auto" w:fill="C9E1FE" w:themeFill="accent3" w:themeFillTint="3F"/>
      </w:tcPr>
    </w:tblStylePr>
    <w:tblStylePr w:type="band2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tcPr>
    </w:tblStylePr>
  </w:style>
  <w:style w:type="table" w:styleId="LightGrid-Accent4">
    <w:name w:val="Light Grid Accent 4"/>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18" w:space="0" w:color="FDAB07" w:themeColor="accent4"/>
          <w:right w:val="single" w:sz="8" w:space="0" w:color="FDAB07" w:themeColor="accent4"/>
          <w:insideH w:val="nil"/>
          <w:insideV w:val="single" w:sz="8" w:space="0" w:color="FDAB0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insideH w:val="nil"/>
          <w:insideV w:val="single" w:sz="8" w:space="0" w:color="FDAB0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shd w:val="clear" w:color="auto" w:fill="FEEAC1" w:themeFill="accent4" w:themeFillTint="3F"/>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shd w:val="clear" w:color="auto" w:fill="FEEAC1" w:themeFill="accent4" w:themeFillTint="3F"/>
      </w:tcPr>
    </w:tblStylePr>
    <w:tblStylePr w:type="band2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tcPr>
    </w:tblStylePr>
  </w:style>
  <w:style w:type="table" w:styleId="LightGrid-Accent5">
    <w:name w:val="Light Grid Accent 5"/>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18" w:space="0" w:color="DC165D" w:themeColor="accent5"/>
          <w:right w:val="single" w:sz="8" w:space="0" w:color="DC165D" w:themeColor="accent5"/>
          <w:insideH w:val="nil"/>
          <w:insideV w:val="single" w:sz="8" w:space="0" w:color="DC165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insideH w:val="nil"/>
          <w:insideV w:val="single" w:sz="8" w:space="0" w:color="DC165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shd w:val="clear" w:color="auto" w:fill="F9C2D6" w:themeFill="accent5" w:themeFillTint="3F"/>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shd w:val="clear" w:color="auto" w:fill="F9C2D6" w:themeFill="accent5" w:themeFillTint="3F"/>
      </w:tcPr>
    </w:tblStylePr>
    <w:tblStylePr w:type="band2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tcPr>
    </w:tblStylePr>
  </w:style>
  <w:style w:type="table" w:styleId="LightGrid-Accent6">
    <w:name w:val="Light Grid Accent 6"/>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18" w:space="0" w:color="7030A0" w:themeColor="accent6"/>
          <w:right w:val="single" w:sz="8" w:space="0" w:color="7030A0" w:themeColor="accent6"/>
          <w:insideH w:val="nil"/>
          <w:insideV w:val="single" w:sz="8" w:space="0" w:color="703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insideH w:val="nil"/>
          <w:insideV w:val="single" w:sz="8" w:space="0" w:color="703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shd w:val="clear" w:color="auto" w:fill="DCC5ED" w:themeFill="accent6" w:themeFillTint="3F"/>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shd w:val="clear" w:color="auto" w:fill="DCC5ED" w:themeFill="accent6" w:themeFillTint="3F"/>
      </w:tcPr>
    </w:tblStylePr>
    <w:tblStylePr w:type="band2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tcPr>
    </w:tblStylePr>
  </w:style>
  <w:style w:type="table" w:styleId="LightList">
    <w:name w:val="Light List"/>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pPr>
        <w:spacing w:before="0" w:after="0" w:line="240" w:lineRule="auto"/>
      </w:pPr>
      <w:rPr>
        <w:b/>
        <w:bCs/>
        <w:color w:val="FFFFFF" w:themeColor="background1"/>
      </w:rPr>
      <w:tblPr/>
      <w:tcPr>
        <w:shd w:val="clear" w:color="auto" w:fill="008139" w:themeFill="accent1"/>
      </w:tcPr>
    </w:tblStylePr>
    <w:tblStylePr w:type="lastRow">
      <w:pPr>
        <w:spacing w:before="0" w:after="0" w:line="240" w:lineRule="auto"/>
      </w:pPr>
      <w:rPr>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tcBorders>
      </w:tcPr>
    </w:tblStylePr>
    <w:tblStylePr w:type="firstCol">
      <w:rPr>
        <w:b/>
        <w:bCs/>
      </w:rPr>
    </w:tblStylePr>
    <w:tblStylePr w:type="lastCol">
      <w:rPr>
        <w:b/>
        <w:bCs/>
      </w:r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style>
  <w:style w:type="table" w:styleId="LightList-Accent2">
    <w:name w:val="Light List Accent 2"/>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pPr>
        <w:spacing w:before="0" w:after="0" w:line="240" w:lineRule="auto"/>
      </w:pPr>
      <w:rPr>
        <w:b/>
        <w:bCs/>
        <w:color w:val="FFFFFF" w:themeColor="background1"/>
      </w:rPr>
      <w:tblPr/>
      <w:tcPr>
        <w:shd w:val="clear" w:color="auto" w:fill="DE6002" w:themeFill="accent2"/>
      </w:tcPr>
    </w:tblStylePr>
    <w:tblStylePr w:type="lastRow">
      <w:pPr>
        <w:spacing w:before="0" w:after="0" w:line="240" w:lineRule="auto"/>
      </w:pPr>
      <w:rPr>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tcBorders>
      </w:tcPr>
    </w:tblStylePr>
    <w:tblStylePr w:type="firstCol">
      <w:rPr>
        <w:b/>
        <w:bCs/>
      </w:rPr>
    </w:tblStylePr>
    <w:tblStylePr w:type="lastCol">
      <w:rPr>
        <w:b/>
        <w:bCs/>
      </w:r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style>
  <w:style w:type="table" w:styleId="LightList-Accent3">
    <w:name w:val="Light List Accent 3"/>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pPr>
        <w:spacing w:before="0" w:after="0" w:line="240" w:lineRule="auto"/>
      </w:pPr>
      <w:rPr>
        <w:b/>
        <w:bCs/>
        <w:color w:val="FFFFFF" w:themeColor="background1"/>
      </w:rPr>
      <w:tblPr/>
      <w:tcPr>
        <w:shd w:val="clear" w:color="auto" w:fill="2688FE" w:themeFill="accent3"/>
      </w:tcPr>
    </w:tblStylePr>
    <w:tblStylePr w:type="lastRow">
      <w:pPr>
        <w:spacing w:before="0" w:after="0" w:line="240" w:lineRule="auto"/>
      </w:pPr>
      <w:rPr>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tcBorders>
      </w:tcPr>
    </w:tblStylePr>
    <w:tblStylePr w:type="firstCol">
      <w:rPr>
        <w:b/>
        <w:bCs/>
      </w:rPr>
    </w:tblStylePr>
    <w:tblStylePr w:type="lastCol">
      <w:rPr>
        <w:b/>
        <w:bCs/>
      </w:r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style>
  <w:style w:type="table" w:styleId="LightList-Accent4">
    <w:name w:val="Light List Accent 4"/>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pPr>
        <w:spacing w:before="0" w:after="0" w:line="240" w:lineRule="auto"/>
      </w:pPr>
      <w:rPr>
        <w:b/>
        <w:bCs/>
        <w:color w:val="FFFFFF" w:themeColor="background1"/>
      </w:rPr>
      <w:tblPr/>
      <w:tcPr>
        <w:shd w:val="clear" w:color="auto" w:fill="FDAB07" w:themeFill="accent4"/>
      </w:tcPr>
    </w:tblStylePr>
    <w:tblStylePr w:type="lastRow">
      <w:pPr>
        <w:spacing w:before="0" w:after="0" w:line="240" w:lineRule="auto"/>
      </w:pPr>
      <w:rPr>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tcBorders>
      </w:tcPr>
    </w:tblStylePr>
    <w:tblStylePr w:type="firstCol">
      <w:rPr>
        <w:b/>
        <w:bCs/>
      </w:rPr>
    </w:tblStylePr>
    <w:tblStylePr w:type="lastCol">
      <w:rPr>
        <w:b/>
        <w:bCs/>
      </w:r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style>
  <w:style w:type="table" w:styleId="LightList-Accent5">
    <w:name w:val="Light List Accent 5"/>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pPr>
        <w:spacing w:before="0" w:after="0" w:line="240" w:lineRule="auto"/>
      </w:pPr>
      <w:rPr>
        <w:b/>
        <w:bCs/>
        <w:color w:val="FFFFFF" w:themeColor="background1"/>
      </w:rPr>
      <w:tblPr/>
      <w:tcPr>
        <w:shd w:val="clear" w:color="auto" w:fill="DC165D" w:themeFill="accent5"/>
      </w:tcPr>
    </w:tblStylePr>
    <w:tblStylePr w:type="lastRow">
      <w:pPr>
        <w:spacing w:before="0" w:after="0" w:line="240" w:lineRule="auto"/>
      </w:pPr>
      <w:rPr>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tcBorders>
      </w:tcPr>
    </w:tblStylePr>
    <w:tblStylePr w:type="firstCol">
      <w:rPr>
        <w:b/>
        <w:bCs/>
      </w:rPr>
    </w:tblStylePr>
    <w:tblStylePr w:type="lastCol">
      <w:rPr>
        <w:b/>
        <w:bCs/>
      </w:r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style>
  <w:style w:type="table" w:styleId="LightList-Accent6">
    <w:name w:val="Light List Accent 6"/>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pPr>
        <w:spacing w:before="0" w:after="0" w:line="240" w:lineRule="auto"/>
      </w:pPr>
      <w:rPr>
        <w:b/>
        <w:bCs/>
        <w:color w:val="FFFFFF" w:themeColor="background1"/>
      </w:rPr>
      <w:tblPr/>
      <w:tcPr>
        <w:shd w:val="clear" w:color="auto" w:fill="7030A0" w:themeFill="accent6"/>
      </w:tcPr>
    </w:tblStylePr>
    <w:tblStylePr w:type="lastRow">
      <w:pPr>
        <w:spacing w:before="0" w:after="0" w:line="240" w:lineRule="auto"/>
      </w:pPr>
      <w:rPr>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tcBorders>
      </w:tcPr>
    </w:tblStylePr>
    <w:tblStylePr w:type="firstCol">
      <w:rPr>
        <w:b/>
        <w:bCs/>
      </w:rPr>
    </w:tblStylePr>
    <w:tblStylePr w:type="lastCol">
      <w:rPr>
        <w:b/>
        <w:bCs/>
      </w:r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style>
  <w:style w:type="table" w:styleId="LightShading">
    <w:name w:val="Light Shading"/>
    <w:basedOn w:val="TableNormal"/>
    <w:semiHidden/>
    <w:unhideWhenUsed/>
    <w:rsid w:val="00462069"/>
    <w:pPr>
      <w:spacing w:before="0" w:after="0" w:line="240" w:lineRule="auto"/>
    </w:pPr>
    <w:rPr>
      <w:rFonts w:ascii="EC Square Sans Pro" w:eastAsia="SimSun" w:hAnsi="EC Square Sans Pro"/>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semiHidden/>
    <w:unhideWhenUsed/>
    <w:rsid w:val="00462069"/>
    <w:pPr>
      <w:spacing w:before="0"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8" w:space="0" w:color="008139" w:themeColor="accent1"/>
        <w:bottom w:val="single" w:sz="8" w:space="0" w:color="008139" w:themeColor="accent1"/>
      </w:tblBorders>
    </w:tblPr>
    <w:tblStylePr w:type="fir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la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left w:val="nil"/>
          <w:right w:val="nil"/>
          <w:insideH w:val="nil"/>
          <w:insideV w:val="nil"/>
        </w:tcBorders>
        <w:shd w:val="clear" w:color="auto" w:fill="A0FFCA" w:themeFill="accent1" w:themeFillTint="3F"/>
      </w:tcPr>
    </w:tblStylePr>
  </w:style>
  <w:style w:type="table" w:styleId="LightShading-Accent2">
    <w:name w:val="Light Shading Accent 2"/>
    <w:basedOn w:val="TableNormal"/>
    <w:semiHidden/>
    <w:unhideWhenUsed/>
    <w:rsid w:val="00462069"/>
    <w:pPr>
      <w:spacing w:before="0"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8" w:space="0" w:color="DE6002" w:themeColor="accent2"/>
        <w:bottom w:val="single" w:sz="8" w:space="0" w:color="DE6002" w:themeColor="accent2"/>
      </w:tblBorders>
    </w:tblPr>
    <w:tblStylePr w:type="fir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la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left w:val="nil"/>
          <w:right w:val="nil"/>
          <w:insideH w:val="nil"/>
          <w:insideV w:val="nil"/>
        </w:tcBorders>
        <w:shd w:val="clear" w:color="auto" w:fill="FED6B8" w:themeFill="accent2" w:themeFillTint="3F"/>
      </w:tcPr>
    </w:tblStylePr>
  </w:style>
  <w:style w:type="table" w:styleId="LightShading-Accent3">
    <w:name w:val="Light Shading Accent 3"/>
    <w:basedOn w:val="TableNormal"/>
    <w:semiHidden/>
    <w:unhideWhenUsed/>
    <w:rsid w:val="00462069"/>
    <w:pPr>
      <w:spacing w:before="0"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8" w:space="0" w:color="2688FE" w:themeColor="accent3"/>
        <w:bottom w:val="single" w:sz="8" w:space="0" w:color="2688FE" w:themeColor="accent3"/>
      </w:tblBorders>
    </w:tblPr>
    <w:tblStylePr w:type="fir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la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left w:val="nil"/>
          <w:right w:val="nil"/>
          <w:insideH w:val="nil"/>
          <w:insideV w:val="nil"/>
        </w:tcBorders>
        <w:shd w:val="clear" w:color="auto" w:fill="C9E1FE" w:themeFill="accent3" w:themeFillTint="3F"/>
      </w:tcPr>
    </w:tblStylePr>
  </w:style>
  <w:style w:type="table" w:styleId="LightShading-Accent4">
    <w:name w:val="Light Shading Accent 4"/>
    <w:basedOn w:val="TableNormal"/>
    <w:semiHidden/>
    <w:unhideWhenUsed/>
    <w:rsid w:val="00462069"/>
    <w:pPr>
      <w:spacing w:before="0"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8" w:space="0" w:color="FDAB07" w:themeColor="accent4"/>
        <w:bottom w:val="single" w:sz="8" w:space="0" w:color="FDAB07" w:themeColor="accent4"/>
      </w:tblBorders>
    </w:tblPr>
    <w:tblStylePr w:type="fir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la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left w:val="nil"/>
          <w:right w:val="nil"/>
          <w:insideH w:val="nil"/>
          <w:insideV w:val="nil"/>
        </w:tcBorders>
        <w:shd w:val="clear" w:color="auto" w:fill="FEEAC1" w:themeFill="accent4" w:themeFillTint="3F"/>
      </w:tcPr>
    </w:tblStylePr>
  </w:style>
  <w:style w:type="table" w:styleId="LightShading-Accent5">
    <w:name w:val="Light Shading Accent 5"/>
    <w:basedOn w:val="TableNormal"/>
    <w:semiHidden/>
    <w:unhideWhenUsed/>
    <w:rsid w:val="00462069"/>
    <w:pPr>
      <w:spacing w:before="0"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8" w:space="0" w:color="DC165D" w:themeColor="accent5"/>
        <w:bottom w:val="single" w:sz="8" w:space="0" w:color="DC165D" w:themeColor="accent5"/>
      </w:tblBorders>
    </w:tblPr>
    <w:tblStylePr w:type="fir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la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left w:val="nil"/>
          <w:right w:val="nil"/>
          <w:insideH w:val="nil"/>
          <w:insideV w:val="nil"/>
        </w:tcBorders>
        <w:shd w:val="clear" w:color="auto" w:fill="F9C2D6" w:themeFill="accent5" w:themeFillTint="3F"/>
      </w:tcPr>
    </w:tblStylePr>
  </w:style>
  <w:style w:type="table" w:styleId="LightShading-Accent6">
    <w:name w:val="Light Shading Accent 6"/>
    <w:basedOn w:val="TableNormal"/>
    <w:semiHidden/>
    <w:unhideWhenUsed/>
    <w:rsid w:val="00462069"/>
    <w:pPr>
      <w:spacing w:before="0"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8" w:space="0" w:color="7030A0" w:themeColor="accent6"/>
        <w:bottom w:val="single" w:sz="8" w:space="0" w:color="7030A0" w:themeColor="accent6"/>
      </w:tblBorders>
    </w:tblPr>
    <w:tblStylePr w:type="fir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la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left w:val="nil"/>
          <w:right w:val="nil"/>
          <w:insideH w:val="nil"/>
          <w:insideV w:val="nil"/>
        </w:tcBorders>
        <w:shd w:val="clear" w:color="auto" w:fill="DCC5ED" w:themeFill="accent6" w:themeFillTint="3F"/>
      </w:tcPr>
    </w:tblStylePr>
  </w:style>
  <w:style w:type="character" w:styleId="LineNumber">
    <w:name w:val="line number"/>
    <w:basedOn w:val="DefaultParagraphFont"/>
    <w:semiHidden/>
    <w:rsid w:val="00462069"/>
    <w:rPr>
      <w:noProof w:val="0"/>
      <w:lang w:val="en-GB"/>
    </w:rPr>
  </w:style>
  <w:style w:type="paragraph" w:styleId="List">
    <w:name w:val="List"/>
    <w:basedOn w:val="Normal"/>
    <w:uiPriority w:val="3"/>
    <w:semiHidden/>
    <w:rsid w:val="00462069"/>
    <w:pPr>
      <w:ind w:left="283" w:hanging="283"/>
      <w:contextualSpacing/>
    </w:pPr>
  </w:style>
  <w:style w:type="numbering" w:customStyle="1" w:styleId="LISTAboutEUpage">
    <w:name w:val="LIST (About EU page)"/>
    <w:uiPriority w:val="99"/>
    <w:rsid w:val="00462069"/>
    <w:pPr>
      <w:numPr>
        <w:numId w:val="10"/>
      </w:numPr>
    </w:pPr>
  </w:style>
  <w:style w:type="paragraph" w:styleId="List2">
    <w:name w:val="List 2"/>
    <w:basedOn w:val="Normal"/>
    <w:uiPriority w:val="3"/>
    <w:semiHidden/>
    <w:rsid w:val="00462069"/>
    <w:pPr>
      <w:ind w:left="566" w:hanging="283"/>
      <w:contextualSpacing/>
    </w:pPr>
  </w:style>
  <w:style w:type="paragraph" w:styleId="List3">
    <w:name w:val="List 3"/>
    <w:basedOn w:val="Normal"/>
    <w:uiPriority w:val="3"/>
    <w:semiHidden/>
    <w:rsid w:val="00462069"/>
    <w:pPr>
      <w:ind w:left="849" w:hanging="283"/>
      <w:contextualSpacing/>
    </w:pPr>
  </w:style>
  <w:style w:type="paragraph" w:styleId="List4">
    <w:name w:val="List 4"/>
    <w:basedOn w:val="Normal"/>
    <w:uiPriority w:val="3"/>
    <w:semiHidden/>
    <w:rsid w:val="00462069"/>
    <w:pPr>
      <w:ind w:left="1132" w:hanging="283"/>
      <w:contextualSpacing/>
    </w:pPr>
  </w:style>
  <w:style w:type="paragraph" w:styleId="List5">
    <w:name w:val="List 5"/>
    <w:basedOn w:val="Normal"/>
    <w:uiPriority w:val="3"/>
    <w:semiHidden/>
    <w:rsid w:val="00462069"/>
    <w:pPr>
      <w:ind w:left="1415" w:hanging="283"/>
      <w:contextualSpacing/>
    </w:pPr>
  </w:style>
  <w:style w:type="paragraph" w:styleId="ListBullet2">
    <w:name w:val="List Bullet 2"/>
    <w:basedOn w:val="Normal"/>
    <w:uiPriority w:val="3"/>
    <w:semiHidden/>
    <w:rsid w:val="00462069"/>
    <w:pPr>
      <w:numPr>
        <w:numId w:val="14"/>
      </w:numPr>
      <w:contextualSpacing/>
    </w:pPr>
  </w:style>
  <w:style w:type="paragraph" w:styleId="ListBullet3">
    <w:name w:val="List Bullet 3"/>
    <w:basedOn w:val="Normal"/>
    <w:uiPriority w:val="3"/>
    <w:semiHidden/>
    <w:rsid w:val="00462069"/>
    <w:pPr>
      <w:numPr>
        <w:numId w:val="15"/>
      </w:numPr>
      <w:contextualSpacing/>
    </w:pPr>
  </w:style>
  <w:style w:type="paragraph" w:styleId="ListBullet4">
    <w:name w:val="List Bullet 4"/>
    <w:basedOn w:val="Normal"/>
    <w:uiPriority w:val="3"/>
    <w:semiHidden/>
    <w:rsid w:val="00462069"/>
    <w:pPr>
      <w:numPr>
        <w:numId w:val="16"/>
      </w:numPr>
      <w:contextualSpacing/>
    </w:pPr>
  </w:style>
  <w:style w:type="paragraph" w:styleId="ListBullet5">
    <w:name w:val="List Bullet 5"/>
    <w:basedOn w:val="Normal"/>
    <w:uiPriority w:val="3"/>
    <w:semiHidden/>
    <w:rsid w:val="00462069"/>
    <w:pPr>
      <w:numPr>
        <w:numId w:val="17"/>
      </w:numPr>
      <w:tabs>
        <w:tab w:val="num" w:pos="643"/>
      </w:tabs>
      <w:contextualSpacing/>
    </w:pPr>
  </w:style>
  <w:style w:type="numbering" w:customStyle="1" w:styleId="ListBulletLIST">
    <w:name w:val="List Bullet LIST"/>
    <w:uiPriority w:val="99"/>
    <w:rsid w:val="00C824AF"/>
    <w:pPr>
      <w:numPr>
        <w:numId w:val="11"/>
      </w:numPr>
    </w:pPr>
  </w:style>
  <w:style w:type="paragraph" w:styleId="ListContinue">
    <w:name w:val="List Continue"/>
    <w:basedOn w:val="Normal"/>
    <w:uiPriority w:val="3"/>
    <w:semiHidden/>
    <w:rsid w:val="00462069"/>
    <w:pPr>
      <w:spacing w:after="120"/>
      <w:ind w:left="283"/>
      <w:contextualSpacing/>
    </w:pPr>
    <w:rPr>
      <w:rFonts w:eastAsia="Times New Roman"/>
    </w:rPr>
  </w:style>
  <w:style w:type="paragraph" w:styleId="ListContinue2">
    <w:name w:val="List Continue 2"/>
    <w:basedOn w:val="Normal"/>
    <w:uiPriority w:val="3"/>
    <w:semiHidden/>
    <w:rsid w:val="00462069"/>
    <w:pPr>
      <w:spacing w:after="120"/>
      <w:ind w:left="566"/>
      <w:contextualSpacing/>
    </w:pPr>
    <w:rPr>
      <w:rFonts w:eastAsia="Times New Roman"/>
    </w:rPr>
  </w:style>
  <w:style w:type="paragraph" w:styleId="ListContinue3">
    <w:name w:val="List Continue 3"/>
    <w:basedOn w:val="Normal"/>
    <w:uiPriority w:val="3"/>
    <w:semiHidden/>
    <w:rsid w:val="00462069"/>
    <w:pPr>
      <w:spacing w:after="120"/>
      <w:ind w:left="849"/>
      <w:contextualSpacing/>
    </w:pPr>
    <w:rPr>
      <w:rFonts w:eastAsia="Times New Roman"/>
    </w:rPr>
  </w:style>
  <w:style w:type="paragraph" w:styleId="ListContinue4">
    <w:name w:val="List Continue 4"/>
    <w:basedOn w:val="Normal"/>
    <w:uiPriority w:val="3"/>
    <w:semiHidden/>
    <w:rsid w:val="00462069"/>
    <w:pPr>
      <w:spacing w:after="120"/>
      <w:ind w:left="1132"/>
      <w:contextualSpacing/>
    </w:pPr>
    <w:rPr>
      <w:rFonts w:eastAsia="Times New Roman"/>
    </w:rPr>
  </w:style>
  <w:style w:type="paragraph" w:styleId="ListContinue5">
    <w:name w:val="List Continue 5"/>
    <w:basedOn w:val="Normal"/>
    <w:uiPriority w:val="3"/>
    <w:semiHidden/>
    <w:rsid w:val="00462069"/>
    <w:pPr>
      <w:spacing w:after="120"/>
      <w:ind w:left="1415"/>
      <w:contextualSpacing/>
    </w:pPr>
    <w:rPr>
      <w:rFonts w:eastAsia="Times New Roman"/>
    </w:rPr>
  </w:style>
  <w:style w:type="paragraph" w:styleId="ListNumber2">
    <w:name w:val="List Number 2"/>
    <w:basedOn w:val="Normal"/>
    <w:semiHidden/>
    <w:rsid w:val="00462069"/>
    <w:pPr>
      <w:numPr>
        <w:numId w:val="18"/>
      </w:numPr>
      <w:tabs>
        <w:tab w:val="num" w:pos="1492"/>
      </w:tabs>
      <w:contextualSpacing/>
    </w:pPr>
  </w:style>
  <w:style w:type="paragraph" w:styleId="ListNumber3">
    <w:name w:val="List Number 3"/>
    <w:basedOn w:val="Normal"/>
    <w:uiPriority w:val="3"/>
    <w:semiHidden/>
    <w:rsid w:val="00462069"/>
    <w:pPr>
      <w:numPr>
        <w:numId w:val="19"/>
      </w:numPr>
      <w:contextualSpacing/>
    </w:pPr>
  </w:style>
  <w:style w:type="paragraph" w:styleId="ListNumber4">
    <w:name w:val="List Number 4"/>
    <w:basedOn w:val="Normal"/>
    <w:uiPriority w:val="3"/>
    <w:semiHidden/>
    <w:rsid w:val="00462069"/>
    <w:pPr>
      <w:numPr>
        <w:numId w:val="20"/>
      </w:numPr>
      <w:contextualSpacing/>
    </w:pPr>
  </w:style>
  <w:style w:type="paragraph" w:styleId="ListNumber5">
    <w:name w:val="List Number 5"/>
    <w:basedOn w:val="Normal"/>
    <w:uiPriority w:val="3"/>
    <w:semiHidden/>
    <w:rsid w:val="00462069"/>
    <w:pPr>
      <w:numPr>
        <w:numId w:val="21"/>
      </w:numPr>
      <w:tabs>
        <w:tab w:val="clear" w:pos="696"/>
        <w:tab w:val="num" w:pos="1209"/>
      </w:tabs>
      <w:ind w:left="1209"/>
      <w:contextualSpacing/>
    </w:pPr>
  </w:style>
  <w:style w:type="paragraph" w:styleId="ListParagraph">
    <w:name w:val="List Paragraph"/>
    <w:basedOn w:val="ListBullet"/>
    <w:link w:val="ListParagraphChar"/>
    <w:uiPriority w:val="34"/>
    <w:qFormat/>
    <w:rsid w:val="002F7D54"/>
  </w:style>
  <w:style w:type="character" w:customStyle="1" w:styleId="ListParagraphChar">
    <w:name w:val="List Paragraph Char"/>
    <w:link w:val="ListParagraph"/>
    <w:uiPriority w:val="34"/>
    <w:qFormat/>
    <w:rsid w:val="00462069"/>
    <w:rPr>
      <w:rFonts w:ascii="EC Square Sans Pro" w:hAnsi="EC Square Sans Pro"/>
      <w:lang w:eastAsia="en-GB"/>
    </w:rPr>
  </w:style>
  <w:style w:type="table" w:styleId="ListTable1Light">
    <w:name w:val="List Table 1 Light"/>
    <w:basedOn w:val="TableNormal"/>
    <w:rsid w:val="00462069"/>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rsid w:val="00462069"/>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1AFF7E" w:themeColor="accent1" w:themeTint="99"/>
        </w:tcBorders>
      </w:tcPr>
    </w:tblStylePr>
    <w:tblStylePr w:type="lastRow">
      <w:rPr>
        <w:b/>
        <w:bCs/>
      </w:rPr>
      <w:tblPr/>
      <w:tcPr>
        <w:tcBorders>
          <w:top w:val="sing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1Light-Accent2">
    <w:name w:val="List Table 1 Light Accent 2"/>
    <w:basedOn w:val="TableNormal"/>
    <w:rsid w:val="00462069"/>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D9C54" w:themeColor="accent2" w:themeTint="99"/>
        </w:tcBorders>
      </w:tcPr>
    </w:tblStylePr>
    <w:tblStylePr w:type="lastRow">
      <w:rPr>
        <w:b/>
        <w:bCs/>
      </w:rPr>
      <w:tblPr/>
      <w:tcPr>
        <w:tcBorders>
          <w:top w:val="sing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1Light-Accent3">
    <w:name w:val="List Table 1 Light Accent 3"/>
    <w:basedOn w:val="TableNormal"/>
    <w:rsid w:val="00462069"/>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7CB7FE" w:themeColor="accent3" w:themeTint="99"/>
        </w:tcBorders>
      </w:tcPr>
    </w:tblStylePr>
    <w:tblStylePr w:type="lastRow">
      <w:rPr>
        <w:b/>
        <w:bCs/>
      </w:rPr>
      <w:tblPr/>
      <w:tcPr>
        <w:tcBorders>
          <w:top w:val="sing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1Light-Accent4">
    <w:name w:val="List Table 1 Light Accent 4"/>
    <w:basedOn w:val="TableNormal"/>
    <w:rsid w:val="00462069"/>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DCC6A" w:themeColor="accent4" w:themeTint="99"/>
        </w:tcBorders>
      </w:tcPr>
    </w:tblStylePr>
    <w:tblStylePr w:type="lastRow">
      <w:rPr>
        <w:b/>
        <w:bCs/>
      </w:rPr>
      <w:tblPr/>
      <w:tcPr>
        <w:tcBorders>
          <w:top w:val="sing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1Light-Accent5">
    <w:name w:val="List Table 1 Light Accent 5"/>
    <w:basedOn w:val="TableNormal"/>
    <w:rsid w:val="00462069"/>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06C9B" w:themeColor="accent5" w:themeTint="99"/>
        </w:tcBorders>
      </w:tcPr>
    </w:tblStylePr>
    <w:tblStylePr w:type="lastRow">
      <w:rPr>
        <w:b/>
        <w:bCs/>
      </w:rPr>
      <w:tblPr/>
      <w:tcPr>
        <w:tcBorders>
          <w:top w:val="sing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1Light-Accent6">
    <w:name w:val="List Table 1 Light Accent 6"/>
    <w:basedOn w:val="TableNormal"/>
    <w:rsid w:val="00462069"/>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AB73D5" w:themeColor="accent6" w:themeTint="99"/>
        </w:tcBorders>
      </w:tcPr>
    </w:tblStylePr>
    <w:tblStylePr w:type="lastRow">
      <w:rPr>
        <w:b/>
        <w:bCs/>
      </w:rPr>
      <w:tblPr/>
      <w:tcPr>
        <w:tcBorders>
          <w:top w:val="sing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2">
    <w:name w:val="List Table 2"/>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bottom w:val="single" w:sz="4" w:space="0" w:color="1AFF7E" w:themeColor="accent1" w:themeTint="99"/>
        <w:insideH w:val="single" w:sz="4" w:space="0" w:color="1AFF7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2-Accent2">
    <w:name w:val="List Table 2 Accent 2"/>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bottom w:val="single" w:sz="4" w:space="0" w:color="FD9C54" w:themeColor="accent2" w:themeTint="99"/>
        <w:insideH w:val="single" w:sz="4" w:space="0" w:color="FD9C5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2-Accent3">
    <w:name w:val="List Table 2 Accent 3"/>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bottom w:val="single" w:sz="4" w:space="0" w:color="7CB7FE" w:themeColor="accent3" w:themeTint="99"/>
        <w:insideH w:val="single" w:sz="4" w:space="0" w:color="7CB7F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2-Accent4">
    <w:name w:val="List Table 2 Accent 4"/>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bottom w:val="single" w:sz="4" w:space="0" w:color="FDCC6A" w:themeColor="accent4" w:themeTint="99"/>
        <w:insideH w:val="single" w:sz="4" w:space="0" w:color="FDCC6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2-Accent5">
    <w:name w:val="List Table 2 Accent 5"/>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bottom w:val="single" w:sz="4" w:space="0" w:color="F06C9B" w:themeColor="accent5" w:themeTint="99"/>
        <w:insideH w:val="single" w:sz="4" w:space="0" w:color="F06C9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2-Accent6">
    <w:name w:val="List Table 2 Accent 6"/>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bottom w:val="single" w:sz="4" w:space="0" w:color="AB73D5" w:themeColor="accent6" w:themeTint="99"/>
        <w:insideH w:val="single" w:sz="4" w:space="0" w:color="AB73D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3">
    <w:name w:val="List Table 3"/>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008139" w:themeColor="accent1"/>
        <w:left w:val="single" w:sz="4" w:space="0" w:color="008139" w:themeColor="accent1"/>
        <w:bottom w:val="single" w:sz="4" w:space="0" w:color="008139" w:themeColor="accent1"/>
        <w:right w:val="single" w:sz="4" w:space="0" w:color="008139" w:themeColor="accent1"/>
      </w:tblBorders>
    </w:tblPr>
    <w:tblStylePr w:type="firstRow">
      <w:rPr>
        <w:b/>
        <w:bCs/>
        <w:color w:val="FFFFFF" w:themeColor="background1"/>
      </w:rPr>
      <w:tblPr/>
      <w:tcPr>
        <w:shd w:val="clear" w:color="auto" w:fill="008139" w:themeFill="accent1"/>
      </w:tcPr>
    </w:tblStylePr>
    <w:tblStylePr w:type="lastRow">
      <w:rPr>
        <w:b/>
        <w:bCs/>
      </w:rPr>
      <w:tblPr/>
      <w:tcPr>
        <w:tcBorders>
          <w:top w:val="double" w:sz="4" w:space="0" w:color="0081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139" w:themeColor="accent1"/>
          <w:right w:val="single" w:sz="4" w:space="0" w:color="008139" w:themeColor="accent1"/>
        </w:tcBorders>
      </w:tcPr>
    </w:tblStylePr>
    <w:tblStylePr w:type="band1Horz">
      <w:tblPr/>
      <w:tcPr>
        <w:tcBorders>
          <w:top w:val="single" w:sz="4" w:space="0" w:color="008139" w:themeColor="accent1"/>
          <w:bottom w:val="single" w:sz="4" w:space="0" w:color="0081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139" w:themeColor="accent1"/>
          <w:left w:val="nil"/>
        </w:tcBorders>
      </w:tcPr>
    </w:tblStylePr>
    <w:tblStylePr w:type="swCell">
      <w:tblPr/>
      <w:tcPr>
        <w:tcBorders>
          <w:top w:val="double" w:sz="4" w:space="0" w:color="008139" w:themeColor="accent1"/>
          <w:right w:val="nil"/>
        </w:tcBorders>
      </w:tcPr>
    </w:tblStylePr>
  </w:style>
  <w:style w:type="table" w:styleId="ListTable3-Accent2">
    <w:name w:val="List Table 3 Accent 2"/>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DE6002" w:themeColor="accent2"/>
        <w:left w:val="single" w:sz="4" w:space="0" w:color="DE6002" w:themeColor="accent2"/>
        <w:bottom w:val="single" w:sz="4" w:space="0" w:color="DE6002" w:themeColor="accent2"/>
        <w:right w:val="single" w:sz="4" w:space="0" w:color="DE6002" w:themeColor="accent2"/>
      </w:tblBorders>
    </w:tblPr>
    <w:tblStylePr w:type="firstRow">
      <w:rPr>
        <w:b/>
        <w:bCs/>
        <w:color w:val="FFFFFF" w:themeColor="background1"/>
      </w:rPr>
      <w:tblPr/>
      <w:tcPr>
        <w:shd w:val="clear" w:color="auto" w:fill="DE6002" w:themeFill="accent2"/>
      </w:tcPr>
    </w:tblStylePr>
    <w:tblStylePr w:type="lastRow">
      <w:rPr>
        <w:b/>
        <w:bCs/>
      </w:rPr>
      <w:tblPr/>
      <w:tcPr>
        <w:tcBorders>
          <w:top w:val="double" w:sz="4" w:space="0" w:color="DE600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6002" w:themeColor="accent2"/>
          <w:right w:val="single" w:sz="4" w:space="0" w:color="DE6002" w:themeColor="accent2"/>
        </w:tcBorders>
      </w:tcPr>
    </w:tblStylePr>
    <w:tblStylePr w:type="band1Horz">
      <w:tblPr/>
      <w:tcPr>
        <w:tcBorders>
          <w:top w:val="single" w:sz="4" w:space="0" w:color="DE6002" w:themeColor="accent2"/>
          <w:bottom w:val="single" w:sz="4" w:space="0" w:color="DE600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6002" w:themeColor="accent2"/>
          <w:left w:val="nil"/>
        </w:tcBorders>
      </w:tcPr>
    </w:tblStylePr>
    <w:tblStylePr w:type="swCell">
      <w:tblPr/>
      <w:tcPr>
        <w:tcBorders>
          <w:top w:val="double" w:sz="4" w:space="0" w:color="DE6002" w:themeColor="accent2"/>
          <w:right w:val="nil"/>
        </w:tcBorders>
      </w:tcPr>
    </w:tblStylePr>
  </w:style>
  <w:style w:type="table" w:styleId="ListTable3-Accent3">
    <w:name w:val="List Table 3 Accent 3"/>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2688FE" w:themeColor="accent3"/>
        <w:left w:val="single" w:sz="4" w:space="0" w:color="2688FE" w:themeColor="accent3"/>
        <w:bottom w:val="single" w:sz="4" w:space="0" w:color="2688FE" w:themeColor="accent3"/>
        <w:right w:val="single" w:sz="4" w:space="0" w:color="2688FE" w:themeColor="accent3"/>
      </w:tblBorders>
    </w:tblPr>
    <w:tblStylePr w:type="firstRow">
      <w:rPr>
        <w:b/>
        <w:bCs/>
        <w:color w:val="FFFFFF" w:themeColor="background1"/>
      </w:rPr>
      <w:tblPr/>
      <w:tcPr>
        <w:shd w:val="clear" w:color="auto" w:fill="2688FE" w:themeFill="accent3"/>
      </w:tcPr>
    </w:tblStylePr>
    <w:tblStylePr w:type="lastRow">
      <w:rPr>
        <w:b/>
        <w:bCs/>
      </w:rPr>
      <w:tblPr/>
      <w:tcPr>
        <w:tcBorders>
          <w:top w:val="double" w:sz="4" w:space="0" w:color="2688F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8FE" w:themeColor="accent3"/>
          <w:right w:val="single" w:sz="4" w:space="0" w:color="2688FE" w:themeColor="accent3"/>
        </w:tcBorders>
      </w:tcPr>
    </w:tblStylePr>
    <w:tblStylePr w:type="band1Horz">
      <w:tblPr/>
      <w:tcPr>
        <w:tcBorders>
          <w:top w:val="single" w:sz="4" w:space="0" w:color="2688FE" w:themeColor="accent3"/>
          <w:bottom w:val="single" w:sz="4" w:space="0" w:color="2688F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8FE" w:themeColor="accent3"/>
          <w:left w:val="nil"/>
        </w:tcBorders>
      </w:tcPr>
    </w:tblStylePr>
    <w:tblStylePr w:type="swCell">
      <w:tblPr/>
      <w:tcPr>
        <w:tcBorders>
          <w:top w:val="double" w:sz="4" w:space="0" w:color="2688FE" w:themeColor="accent3"/>
          <w:right w:val="nil"/>
        </w:tcBorders>
      </w:tcPr>
    </w:tblStylePr>
  </w:style>
  <w:style w:type="table" w:styleId="ListTable3-Accent4">
    <w:name w:val="List Table 3 Accent 4"/>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DAB07" w:themeColor="accent4"/>
        <w:left w:val="single" w:sz="4" w:space="0" w:color="FDAB07" w:themeColor="accent4"/>
        <w:bottom w:val="single" w:sz="4" w:space="0" w:color="FDAB07" w:themeColor="accent4"/>
        <w:right w:val="single" w:sz="4" w:space="0" w:color="FDAB07" w:themeColor="accent4"/>
      </w:tblBorders>
    </w:tblPr>
    <w:tblStylePr w:type="firstRow">
      <w:rPr>
        <w:b/>
        <w:bCs/>
        <w:color w:val="FFFFFF" w:themeColor="background1"/>
      </w:rPr>
      <w:tblPr/>
      <w:tcPr>
        <w:shd w:val="clear" w:color="auto" w:fill="FDAB07" w:themeFill="accent4"/>
      </w:tcPr>
    </w:tblStylePr>
    <w:tblStylePr w:type="lastRow">
      <w:rPr>
        <w:b/>
        <w:bCs/>
      </w:rPr>
      <w:tblPr/>
      <w:tcPr>
        <w:tcBorders>
          <w:top w:val="double" w:sz="4" w:space="0" w:color="FDAB0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AB07" w:themeColor="accent4"/>
          <w:right w:val="single" w:sz="4" w:space="0" w:color="FDAB07" w:themeColor="accent4"/>
        </w:tcBorders>
      </w:tcPr>
    </w:tblStylePr>
    <w:tblStylePr w:type="band1Horz">
      <w:tblPr/>
      <w:tcPr>
        <w:tcBorders>
          <w:top w:val="single" w:sz="4" w:space="0" w:color="FDAB07" w:themeColor="accent4"/>
          <w:bottom w:val="single" w:sz="4" w:space="0" w:color="FDAB0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AB07" w:themeColor="accent4"/>
          <w:left w:val="nil"/>
        </w:tcBorders>
      </w:tcPr>
    </w:tblStylePr>
    <w:tblStylePr w:type="swCell">
      <w:tblPr/>
      <w:tcPr>
        <w:tcBorders>
          <w:top w:val="double" w:sz="4" w:space="0" w:color="FDAB07" w:themeColor="accent4"/>
          <w:right w:val="nil"/>
        </w:tcBorders>
      </w:tcPr>
    </w:tblStylePr>
  </w:style>
  <w:style w:type="table" w:styleId="ListTable3-Accent5">
    <w:name w:val="List Table 3 Accent 5"/>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DC165D" w:themeColor="accent5"/>
        <w:left w:val="single" w:sz="4" w:space="0" w:color="DC165D" w:themeColor="accent5"/>
        <w:bottom w:val="single" w:sz="4" w:space="0" w:color="DC165D" w:themeColor="accent5"/>
        <w:right w:val="single" w:sz="4" w:space="0" w:color="DC165D" w:themeColor="accent5"/>
      </w:tblBorders>
    </w:tblPr>
    <w:tblStylePr w:type="firstRow">
      <w:rPr>
        <w:b/>
        <w:bCs/>
        <w:color w:val="FFFFFF" w:themeColor="background1"/>
      </w:rPr>
      <w:tblPr/>
      <w:tcPr>
        <w:shd w:val="clear" w:color="auto" w:fill="DC165D" w:themeFill="accent5"/>
      </w:tcPr>
    </w:tblStylePr>
    <w:tblStylePr w:type="lastRow">
      <w:rPr>
        <w:b/>
        <w:bCs/>
      </w:rPr>
      <w:tblPr/>
      <w:tcPr>
        <w:tcBorders>
          <w:top w:val="double" w:sz="4" w:space="0" w:color="DC165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C165D" w:themeColor="accent5"/>
          <w:right w:val="single" w:sz="4" w:space="0" w:color="DC165D" w:themeColor="accent5"/>
        </w:tcBorders>
      </w:tcPr>
    </w:tblStylePr>
    <w:tblStylePr w:type="band1Horz">
      <w:tblPr/>
      <w:tcPr>
        <w:tcBorders>
          <w:top w:val="single" w:sz="4" w:space="0" w:color="DC165D" w:themeColor="accent5"/>
          <w:bottom w:val="single" w:sz="4" w:space="0" w:color="DC165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165D" w:themeColor="accent5"/>
          <w:left w:val="nil"/>
        </w:tcBorders>
      </w:tcPr>
    </w:tblStylePr>
    <w:tblStylePr w:type="swCell">
      <w:tblPr/>
      <w:tcPr>
        <w:tcBorders>
          <w:top w:val="double" w:sz="4" w:space="0" w:color="DC165D" w:themeColor="accent5"/>
          <w:right w:val="nil"/>
        </w:tcBorders>
      </w:tcPr>
    </w:tblStylePr>
  </w:style>
  <w:style w:type="table" w:styleId="ListTable3-Accent6">
    <w:name w:val="List Table 3 Accent 6"/>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7030A0" w:themeColor="accent6"/>
        <w:left w:val="single" w:sz="4" w:space="0" w:color="7030A0" w:themeColor="accent6"/>
        <w:bottom w:val="single" w:sz="4" w:space="0" w:color="7030A0" w:themeColor="accent6"/>
        <w:right w:val="single" w:sz="4" w:space="0" w:color="7030A0" w:themeColor="accent6"/>
      </w:tblBorders>
    </w:tblPr>
    <w:tblStylePr w:type="firstRow">
      <w:rPr>
        <w:b/>
        <w:bCs/>
        <w:color w:val="FFFFFF" w:themeColor="background1"/>
      </w:rPr>
      <w:tblPr/>
      <w:tcPr>
        <w:shd w:val="clear" w:color="auto" w:fill="7030A0" w:themeFill="accent6"/>
      </w:tcPr>
    </w:tblStylePr>
    <w:tblStylePr w:type="lastRow">
      <w:rPr>
        <w:b/>
        <w:bCs/>
      </w:rPr>
      <w:tblPr/>
      <w:tcPr>
        <w:tcBorders>
          <w:top w:val="double" w:sz="4" w:space="0" w:color="703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30A0" w:themeColor="accent6"/>
          <w:right w:val="single" w:sz="4" w:space="0" w:color="7030A0" w:themeColor="accent6"/>
        </w:tcBorders>
      </w:tcPr>
    </w:tblStylePr>
    <w:tblStylePr w:type="band1Horz">
      <w:tblPr/>
      <w:tcPr>
        <w:tcBorders>
          <w:top w:val="single" w:sz="4" w:space="0" w:color="7030A0" w:themeColor="accent6"/>
          <w:bottom w:val="single" w:sz="4" w:space="0" w:color="703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themeColor="accent6"/>
          <w:left w:val="nil"/>
        </w:tcBorders>
      </w:tcPr>
    </w:tblStylePr>
    <w:tblStylePr w:type="swCell">
      <w:tblPr/>
      <w:tcPr>
        <w:tcBorders>
          <w:top w:val="double" w:sz="4" w:space="0" w:color="7030A0" w:themeColor="accent6"/>
          <w:right w:val="nil"/>
        </w:tcBorders>
      </w:tcPr>
    </w:tblStylePr>
  </w:style>
  <w:style w:type="table" w:styleId="ListTable4">
    <w:name w:val="List Table 4"/>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tcBorders>
        <w:shd w:val="clear" w:color="auto" w:fill="008139" w:themeFill="accent1"/>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4-Accent2">
    <w:name w:val="List Table 4 Accent 2"/>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tcBorders>
        <w:shd w:val="clear" w:color="auto" w:fill="DE6002" w:themeFill="accent2"/>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4-Accent3">
    <w:name w:val="List Table 4 Accent 3"/>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tcBorders>
        <w:shd w:val="clear" w:color="auto" w:fill="2688FE" w:themeFill="accent3"/>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4-Accent4">
    <w:name w:val="List Table 4 Accent 4"/>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tcBorders>
        <w:shd w:val="clear" w:color="auto" w:fill="FDAB07" w:themeFill="accent4"/>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4-Accent5">
    <w:name w:val="List Table 4 Accent 5"/>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tcBorders>
        <w:shd w:val="clear" w:color="auto" w:fill="DC165D" w:themeFill="accent5"/>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4-Accent6">
    <w:name w:val="List Table 4 Accent 6"/>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tcBorders>
        <w:shd w:val="clear" w:color="auto" w:fill="7030A0" w:themeFill="accent6"/>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5Dark">
    <w:name w:val="List Table 5 Dark"/>
    <w:basedOn w:val="TableNormal"/>
    <w:rsid w:val="00462069"/>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rsid w:val="00462069"/>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008139" w:themeColor="accent1"/>
        <w:left w:val="single" w:sz="24" w:space="0" w:color="008139" w:themeColor="accent1"/>
        <w:bottom w:val="single" w:sz="24" w:space="0" w:color="008139" w:themeColor="accent1"/>
        <w:right w:val="single" w:sz="24" w:space="0" w:color="008139" w:themeColor="accent1"/>
      </w:tblBorders>
    </w:tblPr>
    <w:tcPr>
      <w:shd w:val="clear" w:color="auto" w:fill="00813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rsid w:val="00462069"/>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DE6002" w:themeColor="accent2"/>
        <w:left w:val="single" w:sz="24" w:space="0" w:color="DE6002" w:themeColor="accent2"/>
        <w:bottom w:val="single" w:sz="24" w:space="0" w:color="DE6002" w:themeColor="accent2"/>
        <w:right w:val="single" w:sz="24" w:space="0" w:color="DE6002" w:themeColor="accent2"/>
      </w:tblBorders>
    </w:tblPr>
    <w:tcPr>
      <w:shd w:val="clear" w:color="auto" w:fill="DE600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rsid w:val="00462069"/>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2688FE" w:themeColor="accent3"/>
        <w:left w:val="single" w:sz="24" w:space="0" w:color="2688FE" w:themeColor="accent3"/>
        <w:bottom w:val="single" w:sz="24" w:space="0" w:color="2688FE" w:themeColor="accent3"/>
        <w:right w:val="single" w:sz="24" w:space="0" w:color="2688FE" w:themeColor="accent3"/>
      </w:tblBorders>
    </w:tblPr>
    <w:tcPr>
      <w:shd w:val="clear" w:color="auto" w:fill="2688F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rsid w:val="00462069"/>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FDAB07" w:themeColor="accent4"/>
        <w:left w:val="single" w:sz="24" w:space="0" w:color="FDAB07" w:themeColor="accent4"/>
        <w:bottom w:val="single" w:sz="24" w:space="0" w:color="FDAB07" w:themeColor="accent4"/>
        <w:right w:val="single" w:sz="24" w:space="0" w:color="FDAB07" w:themeColor="accent4"/>
      </w:tblBorders>
    </w:tblPr>
    <w:tcPr>
      <w:shd w:val="clear" w:color="auto" w:fill="FDAB0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rsid w:val="00462069"/>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DC165D" w:themeColor="accent5"/>
        <w:left w:val="single" w:sz="24" w:space="0" w:color="DC165D" w:themeColor="accent5"/>
        <w:bottom w:val="single" w:sz="24" w:space="0" w:color="DC165D" w:themeColor="accent5"/>
        <w:right w:val="single" w:sz="24" w:space="0" w:color="DC165D" w:themeColor="accent5"/>
      </w:tblBorders>
    </w:tblPr>
    <w:tcPr>
      <w:shd w:val="clear" w:color="auto" w:fill="DC165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rsid w:val="00462069"/>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7030A0" w:themeColor="accent6"/>
        <w:left w:val="single" w:sz="24" w:space="0" w:color="7030A0" w:themeColor="accent6"/>
        <w:bottom w:val="single" w:sz="24" w:space="0" w:color="7030A0" w:themeColor="accent6"/>
        <w:right w:val="single" w:sz="24" w:space="0" w:color="7030A0" w:themeColor="accent6"/>
      </w:tblBorders>
    </w:tblPr>
    <w:tcPr>
      <w:shd w:val="clear" w:color="auto" w:fill="703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rsid w:val="00462069"/>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rsid w:val="00462069"/>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008139" w:themeColor="accent1"/>
        <w:bottom w:val="single" w:sz="4" w:space="0" w:color="008139" w:themeColor="accent1"/>
      </w:tblBorders>
    </w:tblPr>
    <w:tblStylePr w:type="firstRow">
      <w:rPr>
        <w:b/>
        <w:bCs/>
      </w:rPr>
      <w:tblPr/>
      <w:tcPr>
        <w:tcBorders>
          <w:bottom w:val="single" w:sz="4" w:space="0" w:color="008139" w:themeColor="accent1"/>
        </w:tcBorders>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6Colorful-Accent2">
    <w:name w:val="List Table 6 Colorful Accent 2"/>
    <w:basedOn w:val="TableNormal"/>
    <w:rsid w:val="00462069"/>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DE6002" w:themeColor="accent2"/>
        <w:bottom w:val="single" w:sz="4" w:space="0" w:color="DE6002" w:themeColor="accent2"/>
      </w:tblBorders>
    </w:tblPr>
    <w:tblStylePr w:type="firstRow">
      <w:rPr>
        <w:b/>
        <w:bCs/>
      </w:rPr>
      <w:tblPr/>
      <w:tcPr>
        <w:tcBorders>
          <w:bottom w:val="single" w:sz="4" w:space="0" w:color="DE6002" w:themeColor="accent2"/>
        </w:tcBorders>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6Colorful-Accent3">
    <w:name w:val="List Table 6 Colorful Accent 3"/>
    <w:basedOn w:val="TableNormal"/>
    <w:rsid w:val="00462069"/>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2688FE" w:themeColor="accent3"/>
        <w:bottom w:val="single" w:sz="4" w:space="0" w:color="2688FE" w:themeColor="accent3"/>
      </w:tblBorders>
    </w:tblPr>
    <w:tblStylePr w:type="firstRow">
      <w:rPr>
        <w:b/>
        <w:bCs/>
      </w:rPr>
      <w:tblPr/>
      <w:tcPr>
        <w:tcBorders>
          <w:bottom w:val="single" w:sz="4" w:space="0" w:color="2688FE" w:themeColor="accent3"/>
        </w:tcBorders>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6Colorful-Accent4">
    <w:name w:val="List Table 6 Colorful Accent 4"/>
    <w:basedOn w:val="TableNormal"/>
    <w:rsid w:val="00462069"/>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AB07" w:themeColor="accent4"/>
        <w:bottom w:val="single" w:sz="4" w:space="0" w:color="FDAB07" w:themeColor="accent4"/>
      </w:tblBorders>
    </w:tblPr>
    <w:tblStylePr w:type="firstRow">
      <w:rPr>
        <w:b/>
        <w:bCs/>
      </w:rPr>
      <w:tblPr/>
      <w:tcPr>
        <w:tcBorders>
          <w:bottom w:val="single" w:sz="4" w:space="0" w:color="FDAB07" w:themeColor="accent4"/>
        </w:tcBorders>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6Colorful-Accent5">
    <w:name w:val="List Table 6 Colorful Accent 5"/>
    <w:basedOn w:val="TableNormal"/>
    <w:rsid w:val="00462069"/>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DC165D" w:themeColor="accent5"/>
        <w:bottom w:val="single" w:sz="4" w:space="0" w:color="DC165D" w:themeColor="accent5"/>
      </w:tblBorders>
    </w:tblPr>
    <w:tblStylePr w:type="firstRow">
      <w:rPr>
        <w:b/>
        <w:bCs/>
      </w:rPr>
      <w:tblPr/>
      <w:tcPr>
        <w:tcBorders>
          <w:bottom w:val="single" w:sz="4" w:space="0" w:color="DC165D" w:themeColor="accent5"/>
        </w:tcBorders>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6Colorful-Accent6">
    <w:name w:val="List Table 6 Colorful Accent 6"/>
    <w:basedOn w:val="TableNormal"/>
    <w:rsid w:val="00462069"/>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7030A0" w:themeColor="accent6"/>
        <w:bottom w:val="single" w:sz="4" w:space="0" w:color="7030A0" w:themeColor="accent6"/>
      </w:tblBorders>
    </w:tblPr>
    <w:tblStylePr w:type="firstRow">
      <w:rPr>
        <w:b/>
        <w:bCs/>
      </w:rPr>
      <w:tblPr/>
      <w:tcPr>
        <w:tcBorders>
          <w:bottom w:val="single" w:sz="4" w:space="0" w:color="7030A0" w:themeColor="accent6"/>
        </w:tcBorders>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7Colorful">
    <w:name w:val="List Table 7 Colorful"/>
    <w:basedOn w:val="TableNormal"/>
    <w:rsid w:val="00462069"/>
    <w:pPr>
      <w:spacing w:after="0" w:line="240" w:lineRule="auto"/>
    </w:pPr>
    <w:rPr>
      <w:rFonts w:ascii="EC Square Sans Pro" w:eastAsia="SimSun" w:hAnsi="EC Square Sans Pro"/>
      <w:color w:val="000000" w:themeColor="text1"/>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rsid w:val="00462069"/>
    <w:pPr>
      <w:spacing w:after="0" w:line="240" w:lineRule="auto"/>
    </w:pPr>
    <w:rPr>
      <w:rFonts w:ascii="EC Square Sans Pro" w:eastAsia="SimSun" w:hAnsi="EC Square Sans Pro"/>
      <w:color w:val="00602A" w:themeColor="accent1"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13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13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13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139" w:themeColor="accent1"/>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rsid w:val="00462069"/>
    <w:pPr>
      <w:spacing w:after="0" w:line="240" w:lineRule="auto"/>
    </w:pPr>
    <w:rPr>
      <w:rFonts w:ascii="EC Square Sans Pro" w:eastAsia="SimSun" w:hAnsi="EC Square Sans Pro"/>
      <w:color w:val="A64701" w:themeColor="accent2"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600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600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600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6002" w:themeColor="accent2"/>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rsid w:val="00462069"/>
    <w:pPr>
      <w:spacing w:after="0" w:line="240" w:lineRule="auto"/>
    </w:pPr>
    <w:rPr>
      <w:rFonts w:ascii="EC Square Sans Pro" w:eastAsia="SimSun" w:hAnsi="EC Square Sans Pro"/>
      <w:color w:val="0162D9" w:themeColor="accent3"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8F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8F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8F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8FE" w:themeColor="accent3"/>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rsid w:val="00462069"/>
    <w:pPr>
      <w:spacing w:after="0" w:line="240" w:lineRule="auto"/>
    </w:pPr>
    <w:rPr>
      <w:rFonts w:ascii="EC Square Sans Pro" w:eastAsia="SimSun" w:hAnsi="EC Square Sans Pro"/>
      <w:color w:val="C18101" w:themeColor="accent4"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AB0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AB0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AB0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AB07" w:themeColor="accent4"/>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rsid w:val="00462069"/>
    <w:pPr>
      <w:spacing w:after="0" w:line="240" w:lineRule="auto"/>
    </w:pPr>
    <w:rPr>
      <w:rFonts w:ascii="EC Square Sans Pro" w:eastAsia="SimSun" w:hAnsi="EC Square Sans Pro"/>
      <w:color w:val="A41045" w:themeColor="accent5"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C165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C165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C165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C165D" w:themeColor="accent5"/>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rsid w:val="00462069"/>
    <w:pPr>
      <w:spacing w:after="0" w:line="240" w:lineRule="auto"/>
    </w:pPr>
    <w:rPr>
      <w:rFonts w:ascii="EC Square Sans Pro" w:eastAsia="SimSun" w:hAnsi="EC Square Sans Pro"/>
      <w:color w:val="532477" w:themeColor="accent6"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3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3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3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30A0" w:themeColor="accent6"/>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39"/>
    <w:semiHidden/>
    <w:rsid w:val="00337B06"/>
    <w:rPr>
      <w:rFonts w:ascii="EC Square Sans Pro" w:eastAsia="SimSun" w:hAnsi="EC Square Sans Pro"/>
      <w:lang w:eastAsia="en-GB"/>
    </w:rPr>
  </w:style>
  <w:style w:type="table" w:styleId="MediumGrid1">
    <w:name w:val="Medium Grid 1"/>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insideV w:val="single" w:sz="8" w:space="0" w:color="00E062" w:themeColor="accent1" w:themeTint="BF"/>
      </w:tblBorders>
    </w:tblPr>
    <w:tcPr>
      <w:shd w:val="clear" w:color="auto" w:fill="A0FFCA" w:themeFill="accent1" w:themeFillTint="3F"/>
    </w:tcPr>
    <w:tblStylePr w:type="firstRow">
      <w:rPr>
        <w:b/>
        <w:bCs/>
      </w:rPr>
    </w:tblStylePr>
    <w:tblStylePr w:type="lastRow">
      <w:rPr>
        <w:b/>
        <w:bCs/>
      </w:rPr>
      <w:tblPr/>
      <w:tcPr>
        <w:tcBorders>
          <w:top w:val="single" w:sz="18" w:space="0" w:color="00E062" w:themeColor="accent1" w:themeTint="BF"/>
        </w:tcBorders>
      </w:tcPr>
    </w:tblStylePr>
    <w:tblStylePr w:type="firstCol">
      <w:rPr>
        <w:b/>
        <w:bCs/>
      </w:rPr>
    </w:tblStylePr>
    <w:tblStylePr w:type="lastCol">
      <w:rPr>
        <w:b/>
        <w:bCs/>
      </w:r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MediumGrid1-Accent2">
    <w:name w:val="Medium Grid 1 Accent 2"/>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insideV w:val="single" w:sz="8" w:space="0" w:color="FD832A" w:themeColor="accent2" w:themeTint="BF"/>
      </w:tblBorders>
    </w:tblPr>
    <w:tcPr>
      <w:shd w:val="clear" w:color="auto" w:fill="FED6B8" w:themeFill="accent2" w:themeFillTint="3F"/>
    </w:tcPr>
    <w:tblStylePr w:type="firstRow">
      <w:rPr>
        <w:b/>
        <w:bCs/>
      </w:rPr>
    </w:tblStylePr>
    <w:tblStylePr w:type="lastRow">
      <w:rPr>
        <w:b/>
        <w:bCs/>
      </w:rPr>
      <w:tblPr/>
      <w:tcPr>
        <w:tcBorders>
          <w:top w:val="single" w:sz="18" w:space="0" w:color="FD832A" w:themeColor="accent2" w:themeTint="BF"/>
        </w:tcBorders>
      </w:tcPr>
    </w:tblStylePr>
    <w:tblStylePr w:type="firstCol">
      <w:rPr>
        <w:b/>
        <w:bCs/>
      </w:rPr>
    </w:tblStylePr>
    <w:tblStylePr w:type="lastCol">
      <w:rPr>
        <w:b/>
        <w:bCs/>
      </w:r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MediumGrid1-Accent3">
    <w:name w:val="Medium Grid 1 Accent 3"/>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insideV w:val="single" w:sz="8" w:space="0" w:color="5CA5FE" w:themeColor="accent3" w:themeTint="BF"/>
      </w:tblBorders>
    </w:tblPr>
    <w:tcPr>
      <w:shd w:val="clear" w:color="auto" w:fill="C9E1FE" w:themeFill="accent3" w:themeFillTint="3F"/>
    </w:tcPr>
    <w:tblStylePr w:type="firstRow">
      <w:rPr>
        <w:b/>
        <w:bCs/>
      </w:rPr>
    </w:tblStylePr>
    <w:tblStylePr w:type="lastRow">
      <w:rPr>
        <w:b/>
        <w:bCs/>
      </w:rPr>
      <w:tblPr/>
      <w:tcPr>
        <w:tcBorders>
          <w:top w:val="single" w:sz="18" w:space="0" w:color="5CA5FE" w:themeColor="accent3" w:themeTint="BF"/>
        </w:tcBorders>
      </w:tcPr>
    </w:tblStylePr>
    <w:tblStylePr w:type="firstCol">
      <w:rPr>
        <w:b/>
        <w:bCs/>
      </w:rPr>
    </w:tblStylePr>
    <w:tblStylePr w:type="lastCol">
      <w:rPr>
        <w:b/>
        <w:bCs/>
      </w:r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MediumGrid1-Accent4">
    <w:name w:val="Medium Grid 1 Accent 4"/>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insideV w:val="single" w:sz="8" w:space="0" w:color="FDC045" w:themeColor="accent4" w:themeTint="BF"/>
      </w:tblBorders>
    </w:tblPr>
    <w:tcPr>
      <w:shd w:val="clear" w:color="auto" w:fill="FEEAC1" w:themeFill="accent4" w:themeFillTint="3F"/>
    </w:tcPr>
    <w:tblStylePr w:type="firstRow">
      <w:rPr>
        <w:b/>
        <w:bCs/>
      </w:rPr>
    </w:tblStylePr>
    <w:tblStylePr w:type="lastRow">
      <w:rPr>
        <w:b/>
        <w:bCs/>
      </w:rPr>
      <w:tblPr/>
      <w:tcPr>
        <w:tcBorders>
          <w:top w:val="single" w:sz="18" w:space="0" w:color="FDC045" w:themeColor="accent4" w:themeTint="BF"/>
        </w:tcBorders>
      </w:tcPr>
    </w:tblStylePr>
    <w:tblStylePr w:type="firstCol">
      <w:rPr>
        <w:b/>
        <w:bCs/>
      </w:rPr>
    </w:tblStylePr>
    <w:tblStylePr w:type="lastCol">
      <w:rPr>
        <w:b/>
        <w:bCs/>
      </w:r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MediumGrid1-Accent5">
    <w:name w:val="Medium Grid 1 Accent 5"/>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insideV w:val="single" w:sz="8" w:space="0" w:color="EC4882" w:themeColor="accent5" w:themeTint="BF"/>
      </w:tblBorders>
    </w:tblPr>
    <w:tcPr>
      <w:shd w:val="clear" w:color="auto" w:fill="F9C2D6" w:themeFill="accent5" w:themeFillTint="3F"/>
    </w:tcPr>
    <w:tblStylePr w:type="firstRow">
      <w:rPr>
        <w:b/>
        <w:bCs/>
      </w:rPr>
    </w:tblStylePr>
    <w:tblStylePr w:type="lastRow">
      <w:rPr>
        <w:b/>
        <w:bCs/>
      </w:rPr>
      <w:tblPr/>
      <w:tcPr>
        <w:tcBorders>
          <w:top w:val="single" w:sz="18" w:space="0" w:color="EC4882" w:themeColor="accent5" w:themeTint="BF"/>
        </w:tcBorders>
      </w:tcPr>
    </w:tblStylePr>
    <w:tblStylePr w:type="firstCol">
      <w:rPr>
        <w:b/>
        <w:bCs/>
      </w:rPr>
    </w:tblStylePr>
    <w:tblStylePr w:type="lastCol">
      <w:rPr>
        <w:b/>
        <w:bCs/>
      </w:r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MediumGrid1-Accent6">
    <w:name w:val="Medium Grid 1 Accent 6"/>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insideV w:val="single" w:sz="8" w:space="0" w:color="9650CA" w:themeColor="accent6" w:themeTint="BF"/>
      </w:tblBorders>
    </w:tblPr>
    <w:tcPr>
      <w:shd w:val="clear" w:color="auto" w:fill="DCC5ED" w:themeFill="accent6" w:themeFillTint="3F"/>
    </w:tcPr>
    <w:tblStylePr w:type="firstRow">
      <w:rPr>
        <w:b/>
        <w:bCs/>
      </w:rPr>
    </w:tblStylePr>
    <w:tblStylePr w:type="lastRow">
      <w:rPr>
        <w:b/>
        <w:bCs/>
      </w:rPr>
      <w:tblPr/>
      <w:tcPr>
        <w:tcBorders>
          <w:top w:val="single" w:sz="18" w:space="0" w:color="9650CA" w:themeColor="accent6" w:themeTint="BF"/>
        </w:tcBorders>
      </w:tcPr>
    </w:tblStylePr>
    <w:tblStylePr w:type="firstCol">
      <w:rPr>
        <w:b/>
        <w:bCs/>
      </w:rPr>
    </w:tblStylePr>
    <w:tblStylePr w:type="lastCol">
      <w:rPr>
        <w:b/>
        <w:bCs/>
      </w:r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MediumGrid2">
    <w:name w:val="Medium Grid 2"/>
    <w:basedOn w:val="TableNormal"/>
    <w:semiHidden/>
    <w:unhideWhenUsed/>
    <w:rsid w:val="00462069"/>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semiHidden/>
    <w:unhideWhenUsed/>
    <w:rsid w:val="00462069"/>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cPr>
      <w:shd w:val="clear" w:color="auto" w:fill="A0FFCA" w:themeFill="accent1" w:themeFillTint="3F"/>
    </w:tcPr>
    <w:tblStylePr w:type="firstRow">
      <w:rPr>
        <w:b/>
        <w:bCs/>
        <w:color w:val="000000" w:themeColor="text1"/>
      </w:rPr>
      <w:tblPr/>
      <w:tcPr>
        <w:shd w:val="clear" w:color="auto" w:fill="D9FF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FD4" w:themeFill="accent1" w:themeFillTint="33"/>
      </w:tcPr>
    </w:tblStylePr>
    <w:tblStylePr w:type="band1Vert">
      <w:tblPr/>
      <w:tcPr>
        <w:shd w:val="clear" w:color="auto" w:fill="41FF94" w:themeFill="accent1" w:themeFillTint="7F"/>
      </w:tcPr>
    </w:tblStylePr>
    <w:tblStylePr w:type="band1Horz">
      <w:tblPr/>
      <w:tcPr>
        <w:tcBorders>
          <w:insideH w:val="single" w:sz="6" w:space="0" w:color="008139" w:themeColor="accent1"/>
          <w:insideV w:val="single" w:sz="6" w:space="0" w:color="008139" w:themeColor="accent1"/>
        </w:tcBorders>
        <w:shd w:val="clear" w:color="auto" w:fill="41FF9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semiHidden/>
    <w:unhideWhenUsed/>
    <w:rsid w:val="00462069"/>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cPr>
      <w:shd w:val="clear" w:color="auto" w:fill="FED6B8" w:themeFill="accent2" w:themeFillTint="3F"/>
    </w:tcPr>
    <w:tblStylePr w:type="firstRow">
      <w:rPr>
        <w:b/>
        <w:bCs/>
        <w:color w:val="000000" w:themeColor="text1"/>
      </w:rPr>
      <w:tblPr/>
      <w:tcPr>
        <w:shd w:val="clear" w:color="auto" w:fill="FEE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6" w:themeFill="accent2" w:themeFillTint="33"/>
      </w:tcPr>
    </w:tblStylePr>
    <w:tblStylePr w:type="band1Vert">
      <w:tblPr/>
      <w:tcPr>
        <w:shd w:val="clear" w:color="auto" w:fill="FDAC71" w:themeFill="accent2" w:themeFillTint="7F"/>
      </w:tcPr>
    </w:tblStylePr>
    <w:tblStylePr w:type="band1Horz">
      <w:tblPr/>
      <w:tcPr>
        <w:tcBorders>
          <w:insideH w:val="single" w:sz="6" w:space="0" w:color="DE6002" w:themeColor="accent2"/>
          <w:insideV w:val="single" w:sz="6" w:space="0" w:color="DE6002" w:themeColor="accent2"/>
        </w:tcBorders>
        <w:shd w:val="clear" w:color="auto" w:fill="FDAC7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semiHidden/>
    <w:unhideWhenUsed/>
    <w:rsid w:val="00462069"/>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cPr>
      <w:shd w:val="clear" w:color="auto" w:fill="C9E1FE" w:themeFill="accent3" w:themeFillTint="3F"/>
    </w:tcPr>
    <w:tblStylePr w:type="firstRow">
      <w:rPr>
        <w:b/>
        <w:bCs/>
        <w:color w:val="000000" w:themeColor="text1"/>
      </w:rPr>
      <w:tblPr/>
      <w:tcPr>
        <w:shd w:val="clear" w:color="auto" w:fill="E9F3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7FE" w:themeFill="accent3" w:themeFillTint="33"/>
      </w:tcPr>
    </w:tblStylePr>
    <w:tblStylePr w:type="band1Vert">
      <w:tblPr/>
      <w:tcPr>
        <w:shd w:val="clear" w:color="auto" w:fill="92C3FE" w:themeFill="accent3" w:themeFillTint="7F"/>
      </w:tcPr>
    </w:tblStylePr>
    <w:tblStylePr w:type="band1Horz">
      <w:tblPr/>
      <w:tcPr>
        <w:tcBorders>
          <w:insideH w:val="single" w:sz="6" w:space="0" w:color="2688FE" w:themeColor="accent3"/>
          <w:insideV w:val="single" w:sz="6" w:space="0" w:color="2688FE" w:themeColor="accent3"/>
        </w:tcBorders>
        <w:shd w:val="clear" w:color="auto" w:fill="92C3F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semiHidden/>
    <w:unhideWhenUsed/>
    <w:rsid w:val="00462069"/>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cPr>
      <w:shd w:val="clear" w:color="auto" w:fill="FEEAC1" w:themeFill="accent4" w:themeFillTint="3F"/>
    </w:tcPr>
    <w:tblStylePr w:type="firstRow">
      <w:rPr>
        <w:b/>
        <w:bCs/>
        <w:color w:val="000000" w:themeColor="text1"/>
      </w:rPr>
      <w:tblPr/>
      <w:tcPr>
        <w:shd w:val="clear" w:color="auto" w:fill="FEF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ECD" w:themeFill="accent4" w:themeFillTint="33"/>
      </w:tcPr>
    </w:tblStylePr>
    <w:tblStylePr w:type="band1Vert">
      <w:tblPr/>
      <w:tcPr>
        <w:shd w:val="clear" w:color="auto" w:fill="FED583" w:themeFill="accent4" w:themeFillTint="7F"/>
      </w:tcPr>
    </w:tblStylePr>
    <w:tblStylePr w:type="band1Horz">
      <w:tblPr/>
      <w:tcPr>
        <w:tcBorders>
          <w:insideH w:val="single" w:sz="6" w:space="0" w:color="FDAB07" w:themeColor="accent4"/>
          <w:insideV w:val="single" w:sz="6" w:space="0" w:color="FDAB07" w:themeColor="accent4"/>
        </w:tcBorders>
        <w:shd w:val="clear" w:color="auto" w:fill="FED58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semiHidden/>
    <w:unhideWhenUsed/>
    <w:rsid w:val="00462069"/>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cPr>
      <w:shd w:val="clear" w:color="auto" w:fill="F9C2D6" w:themeFill="accent5" w:themeFillTint="3F"/>
    </w:tcPr>
    <w:tblStylePr w:type="firstRow">
      <w:rPr>
        <w:b/>
        <w:bCs/>
        <w:color w:val="000000" w:themeColor="text1"/>
      </w:rPr>
      <w:tblPr/>
      <w:tcPr>
        <w:shd w:val="clear" w:color="auto" w:fill="FCE7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CEDD" w:themeFill="accent5" w:themeFillTint="33"/>
      </w:tcPr>
    </w:tblStylePr>
    <w:tblStylePr w:type="band1Vert">
      <w:tblPr/>
      <w:tcPr>
        <w:shd w:val="clear" w:color="auto" w:fill="F285AC" w:themeFill="accent5" w:themeFillTint="7F"/>
      </w:tcPr>
    </w:tblStylePr>
    <w:tblStylePr w:type="band1Horz">
      <w:tblPr/>
      <w:tcPr>
        <w:tcBorders>
          <w:insideH w:val="single" w:sz="6" w:space="0" w:color="DC165D" w:themeColor="accent5"/>
          <w:insideV w:val="single" w:sz="6" w:space="0" w:color="DC165D" w:themeColor="accent5"/>
        </w:tcBorders>
        <w:shd w:val="clear" w:color="auto" w:fill="F285A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semiHidden/>
    <w:unhideWhenUsed/>
    <w:rsid w:val="00462069"/>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cPr>
      <w:shd w:val="clear" w:color="auto" w:fill="DCC5ED" w:themeFill="accent6" w:themeFillTint="3F"/>
    </w:tcPr>
    <w:tblStylePr w:type="firstRow">
      <w:rPr>
        <w:b/>
        <w:bCs/>
        <w:color w:val="000000" w:themeColor="text1"/>
      </w:rPr>
      <w:tblPr/>
      <w:tcPr>
        <w:shd w:val="clear" w:color="auto" w:fill="F1E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F1" w:themeFill="accent6" w:themeFillTint="33"/>
      </w:tcPr>
    </w:tblStylePr>
    <w:tblStylePr w:type="band1Vert">
      <w:tblPr/>
      <w:tcPr>
        <w:shd w:val="clear" w:color="auto" w:fill="B98BDC" w:themeFill="accent6" w:themeFillTint="7F"/>
      </w:tcPr>
    </w:tblStylePr>
    <w:tblStylePr w:type="band1Horz">
      <w:tblPr/>
      <w:tcPr>
        <w:tcBorders>
          <w:insideH w:val="single" w:sz="6" w:space="0" w:color="7030A0" w:themeColor="accent6"/>
          <w:insideV w:val="single" w:sz="6" w:space="0" w:color="7030A0" w:themeColor="accent6"/>
        </w:tcBorders>
        <w:shd w:val="clear" w:color="auto" w:fill="B98BDC" w:themeFill="accent6" w:themeFillTint="7F"/>
      </w:tcPr>
    </w:tblStylePr>
    <w:tblStylePr w:type="nwCell">
      <w:tblPr/>
      <w:tcPr>
        <w:shd w:val="clear" w:color="auto" w:fill="FFFFFF" w:themeFill="background1"/>
      </w:tcPr>
    </w:tblStylePr>
  </w:style>
  <w:style w:type="table" w:styleId="MediumGrid3">
    <w:name w:val="Medium Grid 3"/>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FFC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13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13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1FF9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1FF94" w:themeFill="accent1" w:themeFillTint="7F"/>
      </w:tcPr>
    </w:tblStylePr>
  </w:style>
  <w:style w:type="table" w:styleId="MediumGrid3-Accent2">
    <w:name w:val="Medium Grid 3 Accent 2"/>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6B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600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600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AC7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AC71" w:themeFill="accent2" w:themeFillTint="7F"/>
      </w:tcPr>
    </w:tblStylePr>
  </w:style>
  <w:style w:type="table" w:styleId="MediumGrid3-Accent3">
    <w:name w:val="Medium Grid 3 Accent 3"/>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1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8F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8F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C3F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C3FE" w:themeFill="accent3" w:themeFillTint="7F"/>
      </w:tcPr>
    </w:tblStylePr>
  </w:style>
  <w:style w:type="table" w:styleId="MediumGrid3-Accent4">
    <w:name w:val="Medium Grid 3 Accent 4"/>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AC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AB0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AB0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58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583" w:themeFill="accent4" w:themeFillTint="7F"/>
      </w:tcPr>
    </w:tblStylePr>
  </w:style>
  <w:style w:type="table" w:styleId="MediumGrid3-Accent5">
    <w:name w:val="Medium Grid 3 Accent 5"/>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2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165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165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5A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5AC" w:themeFill="accent5" w:themeFillTint="7F"/>
      </w:tcPr>
    </w:tblStylePr>
  </w:style>
  <w:style w:type="table" w:styleId="MediumGrid3-Accent6">
    <w:name w:val="Medium Grid 3 Accent 6"/>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C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3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3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8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8BDC" w:themeFill="accent6" w:themeFillTint="7F"/>
      </w:tcPr>
    </w:tblStylePr>
  </w:style>
  <w:style w:type="table" w:styleId="MediumList1">
    <w:name w:val="Medium List 1"/>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39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008139" w:themeColor="accent1"/>
        <w:bottom w:val="single" w:sz="8" w:space="0" w:color="008139" w:themeColor="accent1"/>
      </w:tblBorders>
    </w:tblPr>
    <w:tblStylePr w:type="firstRow">
      <w:rPr>
        <w:rFonts w:asciiTheme="majorHAnsi" w:eastAsiaTheme="majorEastAsia" w:hAnsiTheme="majorHAnsi" w:cstheme="majorBidi"/>
      </w:rPr>
      <w:tblPr/>
      <w:tcPr>
        <w:tcBorders>
          <w:top w:val="nil"/>
          <w:bottom w:val="single" w:sz="8" w:space="0" w:color="008139" w:themeColor="accent1"/>
        </w:tcBorders>
      </w:tcPr>
    </w:tblStylePr>
    <w:tblStylePr w:type="lastRow">
      <w:rPr>
        <w:b/>
        <w:bCs/>
        <w:color w:val="003399" w:themeColor="text2"/>
      </w:rPr>
      <w:tblPr/>
      <w:tcPr>
        <w:tcBorders>
          <w:top w:val="single" w:sz="8" w:space="0" w:color="008139" w:themeColor="accent1"/>
          <w:bottom w:val="single" w:sz="8" w:space="0" w:color="008139" w:themeColor="accent1"/>
        </w:tcBorders>
      </w:tcPr>
    </w:tblStylePr>
    <w:tblStylePr w:type="firstCol">
      <w:rPr>
        <w:b/>
        <w:bCs/>
      </w:rPr>
    </w:tblStylePr>
    <w:tblStylePr w:type="lastCol">
      <w:rPr>
        <w:b/>
        <w:bCs/>
      </w:rPr>
      <w:tblPr/>
      <w:tcPr>
        <w:tcBorders>
          <w:top w:val="single" w:sz="8" w:space="0" w:color="008139" w:themeColor="accent1"/>
          <w:bottom w:val="single" w:sz="8" w:space="0" w:color="008139" w:themeColor="accent1"/>
        </w:tcBorders>
      </w:tcPr>
    </w:tblStylePr>
    <w:tblStylePr w:type="band1Vert">
      <w:tblPr/>
      <w:tcPr>
        <w:shd w:val="clear" w:color="auto" w:fill="A0FFCA" w:themeFill="accent1" w:themeFillTint="3F"/>
      </w:tcPr>
    </w:tblStylePr>
    <w:tblStylePr w:type="band1Horz">
      <w:tblPr/>
      <w:tcPr>
        <w:shd w:val="clear" w:color="auto" w:fill="A0FFCA" w:themeFill="accent1" w:themeFillTint="3F"/>
      </w:tcPr>
    </w:tblStylePr>
  </w:style>
  <w:style w:type="table" w:styleId="MediumList1-Accent2">
    <w:name w:val="Medium List 1 Accent 2"/>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DE6002" w:themeColor="accent2"/>
        <w:bottom w:val="single" w:sz="8" w:space="0" w:color="DE6002" w:themeColor="accent2"/>
      </w:tblBorders>
    </w:tblPr>
    <w:tblStylePr w:type="firstRow">
      <w:rPr>
        <w:rFonts w:asciiTheme="majorHAnsi" w:eastAsiaTheme="majorEastAsia" w:hAnsiTheme="majorHAnsi" w:cstheme="majorBidi"/>
      </w:rPr>
      <w:tblPr/>
      <w:tcPr>
        <w:tcBorders>
          <w:top w:val="nil"/>
          <w:bottom w:val="single" w:sz="8" w:space="0" w:color="DE6002" w:themeColor="accent2"/>
        </w:tcBorders>
      </w:tcPr>
    </w:tblStylePr>
    <w:tblStylePr w:type="lastRow">
      <w:rPr>
        <w:b/>
        <w:bCs/>
        <w:color w:val="003399" w:themeColor="text2"/>
      </w:rPr>
      <w:tblPr/>
      <w:tcPr>
        <w:tcBorders>
          <w:top w:val="single" w:sz="8" w:space="0" w:color="DE6002" w:themeColor="accent2"/>
          <w:bottom w:val="single" w:sz="8" w:space="0" w:color="DE6002" w:themeColor="accent2"/>
        </w:tcBorders>
      </w:tcPr>
    </w:tblStylePr>
    <w:tblStylePr w:type="firstCol">
      <w:rPr>
        <w:b/>
        <w:bCs/>
      </w:rPr>
    </w:tblStylePr>
    <w:tblStylePr w:type="lastCol">
      <w:rPr>
        <w:b/>
        <w:bCs/>
      </w:rPr>
      <w:tblPr/>
      <w:tcPr>
        <w:tcBorders>
          <w:top w:val="single" w:sz="8" w:space="0" w:color="DE6002" w:themeColor="accent2"/>
          <w:bottom w:val="single" w:sz="8" w:space="0" w:color="DE6002" w:themeColor="accent2"/>
        </w:tcBorders>
      </w:tcPr>
    </w:tblStylePr>
    <w:tblStylePr w:type="band1Vert">
      <w:tblPr/>
      <w:tcPr>
        <w:shd w:val="clear" w:color="auto" w:fill="FED6B8" w:themeFill="accent2" w:themeFillTint="3F"/>
      </w:tcPr>
    </w:tblStylePr>
    <w:tblStylePr w:type="band1Horz">
      <w:tblPr/>
      <w:tcPr>
        <w:shd w:val="clear" w:color="auto" w:fill="FED6B8" w:themeFill="accent2" w:themeFillTint="3F"/>
      </w:tcPr>
    </w:tblStylePr>
  </w:style>
  <w:style w:type="table" w:styleId="MediumList1-Accent3">
    <w:name w:val="Medium List 1 Accent 3"/>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2688FE" w:themeColor="accent3"/>
        <w:bottom w:val="single" w:sz="8" w:space="0" w:color="2688FE" w:themeColor="accent3"/>
      </w:tblBorders>
    </w:tblPr>
    <w:tblStylePr w:type="firstRow">
      <w:rPr>
        <w:rFonts w:asciiTheme="majorHAnsi" w:eastAsiaTheme="majorEastAsia" w:hAnsiTheme="majorHAnsi" w:cstheme="majorBidi"/>
      </w:rPr>
      <w:tblPr/>
      <w:tcPr>
        <w:tcBorders>
          <w:top w:val="nil"/>
          <w:bottom w:val="single" w:sz="8" w:space="0" w:color="2688FE" w:themeColor="accent3"/>
        </w:tcBorders>
      </w:tcPr>
    </w:tblStylePr>
    <w:tblStylePr w:type="lastRow">
      <w:rPr>
        <w:b/>
        <w:bCs/>
        <w:color w:val="003399" w:themeColor="text2"/>
      </w:rPr>
      <w:tblPr/>
      <w:tcPr>
        <w:tcBorders>
          <w:top w:val="single" w:sz="8" w:space="0" w:color="2688FE" w:themeColor="accent3"/>
          <w:bottom w:val="single" w:sz="8" w:space="0" w:color="2688FE" w:themeColor="accent3"/>
        </w:tcBorders>
      </w:tcPr>
    </w:tblStylePr>
    <w:tblStylePr w:type="firstCol">
      <w:rPr>
        <w:b/>
        <w:bCs/>
      </w:rPr>
    </w:tblStylePr>
    <w:tblStylePr w:type="lastCol">
      <w:rPr>
        <w:b/>
        <w:bCs/>
      </w:rPr>
      <w:tblPr/>
      <w:tcPr>
        <w:tcBorders>
          <w:top w:val="single" w:sz="8" w:space="0" w:color="2688FE" w:themeColor="accent3"/>
          <w:bottom w:val="single" w:sz="8" w:space="0" w:color="2688FE" w:themeColor="accent3"/>
        </w:tcBorders>
      </w:tcPr>
    </w:tblStylePr>
    <w:tblStylePr w:type="band1Vert">
      <w:tblPr/>
      <w:tcPr>
        <w:shd w:val="clear" w:color="auto" w:fill="C9E1FE" w:themeFill="accent3" w:themeFillTint="3F"/>
      </w:tcPr>
    </w:tblStylePr>
    <w:tblStylePr w:type="band1Horz">
      <w:tblPr/>
      <w:tcPr>
        <w:shd w:val="clear" w:color="auto" w:fill="C9E1FE" w:themeFill="accent3" w:themeFillTint="3F"/>
      </w:tcPr>
    </w:tblStylePr>
  </w:style>
  <w:style w:type="table" w:styleId="MediumList1-Accent4">
    <w:name w:val="Medium List 1 Accent 4"/>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FDAB07" w:themeColor="accent4"/>
        <w:bottom w:val="single" w:sz="8" w:space="0" w:color="FDAB07" w:themeColor="accent4"/>
      </w:tblBorders>
    </w:tblPr>
    <w:tblStylePr w:type="firstRow">
      <w:rPr>
        <w:rFonts w:asciiTheme="majorHAnsi" w:eastAsiaTheme="majorEastAsia" w:hAnsiTheme="majorHAnsi" w:cstheme="majorBidi"/>
      </w:rPr>
      <w:tblPr/>
      <w:tcPr>
        <w:tcBorders>
          <w:top w:val="nil"/>
          <w:bottom w:val="single" w:sz="8" w:space="0" w:color="FDAB07" w:themeColor="accent4"/>
        </w:tcBorders>
      </w:tcPr>
    </w:tblStylePr>
    <w:tblStylePr w:type="lastRow">
      <w:rPr>
        <w:b/>
        <w:bCs/>
        <w:color w:val="003399" w:themeColor="text2"/>
      </w:rPr>
      <w:tblPr/>
      <w:tcPr>
        <w:tcBorders>
          <w:top w:val="single" w:sz="8" w:space="0" w:color="FDAB07" w:themeColor="accent4"/>
          <w:bottom w:val="single" w:sz="8" w:space="0" w:color="FDAB07" w:themeColor="accent4"/>
        </w:tcBorders>
      </w:tcPr>
    </w:tblStylePr>
    <w:tblStylePr w:type="firstCol">
      <w:rPr>
        <w:b/>
        <w:bCs/>
      </w:rPr>
    </w:tblStylePr>
    <w:tblStylePr w:type="lastCol">
      <w:rPr>
        <w:b/>
        <w:bCs/>
      </w:rPr>
      <w:tblPr/>
      <w:tcPr>
        <w:tcBorders>
          <w:top w:val="single" w:sz="8" w:space="0" w:color="FDAB07" w:themeColor="accent4"/>
          <w:bottom w:val="single" w:sz="8" w:space="0" w:color="FDAB07" w:themeColor="accent4"/>
        </w:tcBorders>
      </w:tcPr>
    </w:tblStylePr>
    <w:tblStylePr w:type="band1Vert">
      <w:tblPr/>
      <w:tcPr>
        <w:shd w:val="clear" w:color="auto" w:fill="FEEAC1" w:themeFill="accent4" w:themeFillTint="3F"/>
      </w:tcPr>
    </w:tblStylePr>
    <w:tblStylePr w:type="band1Horz">
      <w:tblPr/>
      <w:tcPr>
        <w:shd w:val="clear" w:color="auto" w:fill="FEEAC1" w:themeFill="accent4" w:themeFillTint="3F"/>
      </w:tcPr>
    </w:tblStylePr>
  </w:style>
  <w:style w:type="table" w:styleId="MediumList1-Accent5">
    <w:name w:val="Medium List 1 Accent 5"/>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DC165D" w:themeColor="accent5"/>
        <w:bottom w:val="single" w:sz="8" w:space="0" w:color="DC165D" w:themeColor="accent5"/>
      </w:tblBorders>
    </w:tblPr>
    <w:tblStylePr w:type="firstRow">
      <w:rPr>
        <w:rFonts w:asciiTheme="majorHAnsi" w:eastAsiaTheme="majorEastAsia" w:hAnsiTheme="majorHAnsi" w:cstheme="majorBidi"/>
      </w:rPr>
      <w:tblPr/>
      <w:tcPr>
        <w:tcBorders>
          <w:top w:val="nil"/>
          <w:bottom w:val="single" w:sz="8" w:space="0" w:color="DC165D" w:themeColor="accent5"/>
        </w:tcBorders>
      </w:tcPr>
    </w:tblStylePr>
    <w:tblStylePr w:type="lastRow">
      <w:rPr>
        <w:b/>
        <w:bCs/>
        <w:color w:val="003399" w:themeColor="text2"/>
      </w:rPr>
      <w:tblPr/>
      <w:tcPr>
        <w:tcBorders>
          <w:top w:val="single" w:sz="8" w:space="0" w:color="DC165D" w:themeColor="accent5"/>
          <w:bottom w:val="single" w:sz="8" w:space="0" w:color="DC165D" w:themeColor="accent5"/>
        </w:tcBorders>
      </w:tcPr>
    </w:tblStylePr>
    <w:tblStylePr w:type="firstCol">
      <w:rPr>
        <w:b/>
        <w:bCs/>
      </w:rPr>
    </w:tblStylePr>
    <w:tblStylePr w:type="lastCol">
      <w:rPr>
        <w:b/>
        <w:bCs/>
      </w:rPr>
      <w:tblPr/>
      <w:tcPr>
        <w:tcBorders>
          <w:top w:val="single" w:sz="8" w:space="0" w:color="DC165D" w:themeColor="accent5"/>
          <w:bottom w:val="single" w:sz="8" w:space="0" w:color="DC165D" w:themeColor="accent5"/>
        </w:tcBorders>
      </w:tcPr>
    </w:tblStylePr>
    <w:tblStylePr w:type="band1Vert">
      <w:tblPr/>
      <w:tcPr>
        <w:shd w:val="clear" w:color="auto" w:fill="F9C2D6" w:themeFill="accent5" w:themeFillTint="3F"/>
      </w:tcPr>
    </w:tblStylePr>
    <w:tblStylePr w:type="band1Horz">
      <w:tblPr/>
      <w:tcPr>
        <w:shd w:val="clear" w:color="auto" w:fill="F9C2D6" w:themeFill="accent5" w:themeFillTint="3F"/>
      </w:tcPr>
    </w:tblStylePr>
  </w:style>
  <w:style w:type="table" w:styleId="MediumList1-Accent6">
    <w:name w:val="Medium List 1 Accent 6"/>
    <w:basedOn w:val="TableNormal"/>
    <w:semiHidden/>
    <w:unhideWhenUsed/>
    <w:rsid w:val="00462069"/>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7030A0" w:themeColor="accent6"/>
        <w:bottom w:val="single" w:sz="8" w:space="0" w:color="7030A0" w:themeColor="accent6"/>
      </w:tblBorders>
    </w:tblPr>
    <w:tblStylePr w:type="firstRow">
      <w:rPr>
        <w:rFonts w:asciiTheme="majorHAnsi" w:eastAsiaTheme="majorEastAsia" w:hAnsiTheme="majorHAnsi" w:cstheme="majorBidi"/>
      </w:rPr>
      <w:tblPr/>
      <w:tcPr>
        <w:tcBorders>
          <w:top w:val="nil"/>
          <w:bottom w:val="single" w:sz="8" w:space="0" w:color="7030A0" w:themeColor="accent6"/>
        </w:tcBorders>
      </w:tcPr>
    </w:tblStylePr>
    <w:tblStylePr w:type="lastRow">
      <w:rPr>
        <w:b/>
        <w:bCs/>
        <w:color w:val="003399" w:themeColor="text2"/>
      </w:rPr>
      <w:tblPr/>
      <w:tcPr>
        <w:tcBorders>
          <w:top w:val="single" w:sz="8" w:space="0" w:color="7030A0" w:themeColor="accent6"/>
          <w:bottom w:val="single" w:sz="8" w:space="0" w:color="7030A0" w:themeColor="accent6"/>
        </w:tcBorders>
      </w:tcPr>
    </w:tblStylePr>
    <w:tblStylePr w:type="firstCol">
      <w:rPr>
        <w:b/>
        <w:bCs/>
      </w:rPr>
    </w:tblStylePr>
    <w:tblStylePr w:type="lastCol">
      <w:rPr>
        <w:b/>
        <w:bCs/>
      </w:rPr>
      <w:tblPr/>
      <w:tcPr>
        <w:tcBorders>
          <w:top w:val="single" w:sz="8" w:space="0" w:color="7030A0" w:themeColor="accent6"/>
          <w:bottom w:val="single" w:sz="8" w:space="0" w:color="7030A0" w:themeColor="accent6"/>
        </w:tcBorders>
      </w:tcPr>
    </w:tblStylePr>
    <w:tblStylePr w:type="band1Vert">
      <w:tblPr/>
      <w:tcPr>
        <w:shd w:val="clear" w:color="auto" w:fill="DCC5ED" w:themeFill="accent6" w:themeFillTint="3F"/>
      </w:tcPr>
    </w:tblStylePr>
    <w:tblStylePr w:type="band1Horz">
      <w:tblPr/>
      <w:tcPr>
        <w:shd w:val="clear" w:color="auto" w:fill="DCC5ED" w:themeFill="accent6" w:themeFillTint="3F"/>
      </w:tcPr>
    </w:tblStylePr>
  </w:style>
  <w:style w:type="table" w:styleId="MediumList2">
    <w:name w:val="Medium List 2"/>
    <w:basedOn w:val="TableNormal"/>
    <w:semiHidden/>
    <w:unhideWhenUsed/>
    <w:rsid w:val="00462069"/>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semiHidden/>
    <w:unhideWhenUsed/>
    <w:rsid w:val="00462069"/>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rPr>
        <w:sz w:val="24"/>
        <w:szCs w:val="24"/>
      </w:rPr>
      <w:tblPr/>
      <w:tcPr>
        <w:tcBorders>
          <w:top w:val="nil"/>
          <w:left w:val="nil"/>
          <w:bottom w:val="single" w:sz="24" w:space="0" w:color="008139" w:themeColor="accent1"/>
          <w:right w:val="nil"/>
          <w:insideH w:val="nil"/>
          <w:insideV w:val="nil"/>
        </w:tcBorders>
        <w:shd w:val="clear" w:color="auto" w:fill="FFFFFF" w:themeFill="background1"/>
      </w:tcPr>
    </w:tblStylePr>
    <w:tblStylePr w:type="lastRow">
      <w:tblPr/>
      <w:tcPr>
        <w:tcBorders>
          <w:top w:val="single" w:sz="8" w:space="0" w:color="00813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139" w:themeColor="accent1"/>
          <w:insideH w:val="nil"/>
          <w:insideV w:val="nil"/>
        </w:tcBorders>
        <w:shd w:val="clear" w:color="auto" w:fill="FFFFFF" w:themeFill="background1"/>
      </w:tcPr>
    </w:tblStylePr>
    <w:tblStylePr w:type="lastCol">
      <w:tblPr/>
      <w:tcPr>
        <w:tcBorders>
          <w:top w:val="nil"/>
          <w:left w:val="single" w:sz="8" w:space="0" w:color="00813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top w:val="nil"/>
          <w:bottom w:val="nil"/>
          <w:insideH w:val="nil"/>
          <w:insideV w:val="nil"/>
        </w:tcBorders>
        <w:shd w:val="clear" w:color="auto" w:fill="A0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semiHidden/>
    <w:unhideWhenUsed/>
    <w:rsid w:val="00462069"/>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rPr>
        <w:sz w:val="24"/>
        <w:szCs w:val="24"/>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tblPr/>
      <w:tcPr>
        <w:tcBorders>
          <w:top w:val="single" w:sz="8" w:space="0" w:color="DE600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DE6002" w:themeColor="accent2"/>
          <w:insideH w:val="nil"/>
          <w:insideV w:val="nil"/>
        </w:tcBorders>
        <w:shd w:val="clear" w:color="auto" w:fill="FFFFFF" w:themeFill="background1"/>
      </w:tcPr>
    </w:tblStylePr>
    <w:tblStylePr w:type="lastCol">
      <w:tblPr/>
      <w:tcPr>
        <w:tcBorders>
          <w:top w:val="nil"/>
          <w:left w:val="single" w:sz="8" w:space="0" w:color="DE600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top w:val="nil"/>
          <w:bottom w:val="nil"/>
          <w:insideH w:val="nil"/>
          <w:insideV w:val="nil"/>
        </w:tcBorders>
        <w:shd w:val="clear" w:color="auto" w:fill="FED6B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semiHidden/>
    <w:unhideWhenUsed/>
    <w:rsid w:val="00462069"/>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rPr>
        <w:sz w:val="24"/>
        <w:szCs w:val="24"/>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tblPr/>
      <w:tcPr>
        <w:tcBorders>
          <w:top w:val="single" w:sz="8" w:space="0" w:color="2688F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8FE" w:themeColor="accent3"/>
          <w:insideH w:val="nil"/>
          <w:insideV w:val="nil"/>
        </w:tcBorders>
        <w:shd w:val="clear" w:color="auto" w:fill="FFFFFF" w:themeFill="background1"/>
      </w:tcPr>
    </w:tblStylePr>
    <w:tblStylePr w:type="lastCol">
      <w:tblPr/>
      <w:tcPr>
        <w:tcBorders>
          <w:top w:val="nil"/>
          <w:left w:val="single" w:sz="8" w:space="0" w:color="2688F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top w:val="nil"/>
          <w:bottom w:val="nil"/>
          <w:insideH w:val="nil"/>
          <w:insideV w:val="nil"/>
        </w:tcBorders>
        <w:shd w:val="clear" w:color="auto" w:fill="C9E1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semiHidden/>
    <w:unhideWhenUsed/>
    <w:rsid w:val="00462069"/>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rPr>
        <w:sz w:val="24"/>
        <w:szCs w:val="24"/>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tblPr/>
      <w:tcPr>
        <w:tcBorders>
          <w:top w:val="single" w:sz="8" w:space="0" w:color="FDAB0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AB07" w:themeColor="accent4"/>
          <w:insideH w:val="nil"/>
          <w:insideV w:val="nil"/>
        </w:tcBorders>
        <w:shd w:val="clear" w:color="auto" w:fill="FFFFFF" w:themeFill="background1"/>
      </w:tcPr>
    </w:tblStylePr>
    <w:tblStylePr w:type="lastCol">
      <w:tblPr/>
      <w:tcPr>
        <w:tcBorders>
          <w:top w:val="nil"/>
          <w:left w:val="single" w:sz="8" w:space="0" w:color="FDAB0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top w:val="nil"/>
          <w:bottom w:val="nil"/>
          <w:insideH w:val="nil"/>
          <w:insideV w:val="nil"/>
        </w:tcBorders>
        <w:shd w:val="clear" w:color="auto" w:fill="FEEAC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semiHidden/>
    <w:unhideWhenUsed/>
    <w:rsid w:val="00462069"/>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rPr>
        <w:sz w:val="24"/>
        <w:szCs w:val="24"/>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tblPr/>
      <w:tcPr>
        <w:tcBorders>
          <w:top w:val="single" w:sz="8" w:space="0" w:color="DC165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165D" w:themeColor="accent5"/>
          <w:insideH w:val="nil"/>
          <w:insideV w:val="nil"/>
        </w:tcBorders>
        <w:shd w:val="clear" w:color="auto" w:fill="FFFFFF" w:themeFill="background1"/>
      </w:tcPr>
    </w:tblStylePr>
    <w:tblStylePr w:type="lastCol">
      <w:tblPr/>
      <w:tcPr>
        <w:tcBorders>
          <w:top w:val="nil"/>
          <w:left w:val="single" w:sz="8" w:space="0" w:color="DC165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top w:val="nil"/>
          <w:bottom w:val="nil"/>
          <w:insideH w:val="nil"/>
          <w:insideV w:val="nil"/>
        </w:tcBorders>
        <w:shd w:val="clear" w:color="auto" w:fill="F9C2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semiHidden/>
    <w:unhideWhenUsed/>
    <w:rsid w:val="00462069"/>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rPr>
        <w:sz w:val="24"/>
        <w:szCs w:val="24"/>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tblPr/>
      <w:tcPr>
        <w:tcBorders>
          <w:top w:val="single" w:sz="8" w:space="0" w:color="7030A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30A0" w:themeColor="accent6"/>
          <w:insideH w:val="nil"/>
          <w:insideV w:val="nil"/>
        </w:tcBorders>
        <w:shd w:val="clear" w:color="auto" w:fill="FFFFFF" w:themeFill="background1"/>
      </w:tcPr>
    </w:tblStylePr>
    <w:tblStylePr w:type="lastCol">
      <w:tblPr/>
      <w:tcPr>
        <w:tcBorders>
          <w:top w:val="nil"/>
          <w:left w:val="single" w:sz="8" w:space="0" w:color="703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top w:val="nil"/>
          <w:bottom w:val="nil"/>
          <w:insideH w:val="nil"/>
          <w:insideV w:val="nil"/>
        </w:tcBorders>
        <w:shd w:val="clear" w:color="auto" w:fill="DCC5E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tblBorders>
    </w:tblPr>
    <w:tblStylePr w:type="firstRow">
      <w:pPr>
        <w:spacing w:before="0" w:after="0" w:line="240" w:lineRule="auto"/>
      </w:pPr>
      <w:rPr>
        <w:b/>
        <w:bCs/>
        <w:color w:val="FFFFFF" w:themeColor="background1"/>
      </w:rPr>
      <w:tblPr/>
      <w:tcPr>
        <w:tc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shd w:val="clear" w:color="auto" w:fill="008139" w:themeFill="accent1"/>
      </w:tcPr>
    </w:tblStylePr>
    <w:tblStylePr w:type="lastRow">
      <w:pPr>
        <w:spacing w:before="0" w:after="0" w:line="240" w:lineRule="auto"/>
      </w:pPr>
      <w:rPr>
        <w:b/>
        <w:bCs/>
      </w:rPr>
      <w:tblPr/>
      <w:tcPr>
        <w:tcBorders>
          <w:top w:val="double" w:sz="6"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FFCA" w:themeFill="accent1" w:themeFillTint="3F"/>
      </w:tcPr>
    </w:tblStylePr>
    <w:tblStylePr w:type="band1Horz">
      <w:tblPr/>
      <w:tcPr>
        <w:tcBorders>
          <w:insideH w:val="nil"/>
          <w:insideV w:val="nil"/>
        </w:tcBorders>
        <w:shd w:val="clear" w:color="auto" w:fill="A0FFC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tblBorders>
    </w:tblPr>
    <w:tblStylePr w:type="firstRow">
      <w:pPr>
        <w:spacing w:before="0" w:after="0" w:line="240" w:lineRule="auto"/>
      </w:pPr>
      <w:rPr>
        <w:b/>
        <w:bCs/>
        <w:color w:val="FFFFFF" w:themeColor="background1"/>
      </w:rPr>
      <w:tblPr/>
      <w:tcPr>
        <w:tc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shd w:val="clear" w:color="auto" w:fill="DE6002" w:themeFill="accent2"/>
      </w:tcPr>
    </w:tblStylePr>
    <w:tblStylePr w:type="lastRow">
      <w:pPr>
        <w:spacing w:before="0" w:after="0" w:line="240" w:lineRule="auto"/>
      </w:pPr>
      <w:rPr>
        <w:b/>
        <w:bCs/>
      </w:rPr>
      <w:tblPr/>
      <w:tcPr>
        <w:tcBorders>
          <w:top w:val="double" w:sz="6"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D6B8" w:themeFill="accent2" w:themeFillTint="3F"/>
      </w:tcPr>
    </w:tblStylePr>
    <w:tblStylePr w:type="band1Horz">
      <w:tblPr/>
      <w:tcPr>
        <w:tcBorders>
          <w:insideH w:val="nil"/>
          <w:insideV w:val="nil"/>
        </w:tcBorders>
        <w:shd w:val="clear" w:color="auto" w:fill="FED6B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tblBorders>
    </w:tblPr>
    <w:tblStylePr w:type="firstRow">
      <w:pPr>
        <w:spacing w:before="0" w:after="0" w:line="240" w:lineRule="auto"/>
      </w:pPr>
      <w:rPr>
        <w:b/>
        <w:bCs/>
        <w:color w:val="FFFFFF" w:themeColor="background1"/>
      </w:rPr>
      <w:tblPr/>
      <w:tcPr>
        <w:tc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shd w:val="clear" w:color="auto" w:fill="2688FE" w:themeFill="accent3"/>
      </w:tcPr>
    </w:tblStylePr>
    <w:tblStylePr w:type="lastRow">
      <w:pPr>
        <w:spacing w:before="0" w:after="0" w:line="240" w:lineRule="auto"/>
      </w:pPr>
      <w:rPr>
        <w:b/>
        <w:bCs/>
      </w:rPr>
      <w:tblPr/>
      <w:tcPr>
        <w:tcBorders>
          <w:top w:val="double" w:sz="6"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1FE" w:themeFill="accent3" w:themeFillTint="3F"/>
      </w:tcPr>
    </w:tblStylePr>
    <w:tblStylePr w:type="band1Horz">
      <w:tblPr/>
      <w:tcPr>
        <w:tcBorders>
          <w:insideH w:val="nil"/>
          <w:insideV w:val="nil"/>
        </w:tcBorders>
        <w:shd w:val="clear" w:color="auto" w:fill="C9E1F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tblBorders>
    </w:tblPr>
    <w:tblStylePr w:type="firstRow">
      <w:pPr>
        <w:spacing w:before="0" w:after="0" w:line="240" w:lineRule="auto"/>
      </w:pPr>
      <w:rPr>
        <w:b/>
        <w:bCs/>
        <w:color w:val="FFFFFF" w:themeColor="background1"/>
      </w:rPr>
      <w:tblPr/>
      <w:tcPr>
        <w:tc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shd w:val="clear" w:color="auto" w:fill="FDAB07" w:themeFill="accent4"/>
      </w:tcPr>
    </w:tblStylePr>
    <w:tblStylePr w:type="lastRow">
      <w:pPr>
        <w:spacing w:before="0" w:after="0" w:line="240" w:lineRule="auto"/>
      </w:pPr>
      <w:rPr>
        <w:b/>
        <w:bCs/>
      </w:rPr>
      <w:tblPr/>
      <w:tcPr>
        <w:tcBorders>
          <w:top w:val="double" w:sz="6"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EAC1" w:themeFill="accent4" w:themeFillTint="3F"/>
      </w:tcPr>
    </w:tblStylePr>
    <w:tblStylePr w:type="band1Horz">
      <w:tblPr/>
      <w:tcPr>
        <w:tcBorders>
          <w:insideH w:val="nil"/>
          <w:insideV w:val="nil"/>
        </w:tcBorders>
        <w:shd w:val="clear" w:color="auto" w:fill="FEEAC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tblBorders>
    </w:tblPr>
    <w:tblStylePr w:type="firstRow">
      <w:pPr>
        <w:spacing w:before="0" w:after="0" w:line="240" w:lineRule="auto"/>
      </w:pPr>
      <w:rPr>
        <w:b/>
        <w:bCs/>
        <w:color w:val="FFFFFF" w:themeColor="background1"/>
      </w:rPr>
      <w:tblPr/>
      <w:tcPr>
        <w:tc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shd w:val="clear" w:color="auto" w:fill="DC165D" w:themeFill="accent5"/>
      </w:tcPr>
    </w:tblStylePr>
    <w:tblStylePr w:type="lastRow">
      <w:pPr>
        <w:spacing w:before="0" w:after="0" w:line="240" w:lineRule="auto"/>
      </w:pPr>
      <w:rPr>
        <w:b/>
        <w:bCs/>
      </w:rPr>
      <w:tblPr/>
      <w:tcPr>
        <w:tcBorders>
          <w:top w:val="double" w:sz="6"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C2D6" w:themeFill="accent5" w:themeFillTint="3F"/>
      </w:tcPr>
    </w:tblStylePr>
    <w:tblStylePr w:type="band1Horz">
      <w:tblPr/>
      <w:tcPr>
        <w:tcBorders>
          <w:insideH w:val="nil"/>
          <w:insideV w:val="nil"/>
        </w:tcBorders>
        <w:shd w:val="clear" w:color="auto" w:fill="F9C2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tblBorders>
    </w:tblPr>
    <w:tblStylePr w:type="firstRow">
      <w:pPr>
        <w:spacing w:before="0" w:after="0" w:line="240" w:lineRule="auto"/>
      </w:pPr>
      <w:rPr>
        <w:b/>
        <w:bCs/>
        <w:color w:val="FFFFFF" w:themeColor="background1"/>
      </w:rPr>
      <w:tblPr/>
      <w:tcPr>
        <w:tc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shd w:val="clear" w:color="auto" w:fill="7030A0" w:themeFill="accent6"/>
      </w:tcPr>
    </w:tblStylePr>
    <w:tblStylePr w:type="lastRow">
      <w:pPr>
        <w:spacing w:before="0" w:after="0" w:line="240" w:lineRule="auto"/>
      </w:pPr>
      <w:rPr>
        <w:b/>
        <w:bCs/>
      </w:rPr>
      <w:tblPr/>
      <w:tcPr>
        <w:tcBorders>
          <w:top w:val="double" w:sz="6"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C5ED" w:themeFill="accent6" w:themeFillTint="3F"/>
      </w:tcPr>
    </w:tblStylePr>
    <w:tblStylePr w:type="band1Horz">
      <w:tblPr/>
      <w:tcPr>
        <w:tcBorders>
          <w:insideH w:val="nil"/>
          <w:insideV w:val="nil"/>
        </w:tcBorders>
        <w:shd w:val="clear" w:color="auto" w:fill="DCC5ED" w:themeFill="accent6" w:themeFillTint="3F"/>
      </w:tcPr>
    </w:tblStylePr>
    <w:tblStylePr w:type="band2Horz">
      <w:tblPr/>
      <w:tcPr>
        <w:tcBorders>
          <w:insideH w:val="nil"/>
          <w:insideV w:val="nil"/>
        </w:tcBorders>
      </w:tcPr>
    </w:tblStylePr>
  </w:style>
  <w:style w:type="table" w:styleId="MediumShading2">
    <w:name w:val="Medium Shading 2"/>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13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139" w:themeFill="accent1"/>
      </w:tcPr>
    </w:tblStylePr>
    <w:tblStylePr w:type="lastCol">
      <w:rPr>
        <w:b/>
        <w:bCs/>
        <w:color w:val="FFFFFF" w:themeColor="background1"/>
      </w:rPr>
      <w:tblPr/>
      <w:tcPr>
        <w:tcBorders>
          <w:left w:val="nil"/>
          <w:right w:val="nil"/>
          <w:insideH w:val="nil"/>
          <w:insideV w:val="nil"/>
        </w:tcBorders>
        <w:shd w:val="clear" w:color="auto" w:fill="00813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600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6002" w:themeFill="accent2"/>
      </w:tcPr>
    </w:tblStylePr>
    <w:tblStylePr w:type="lastCol">
      <w:rPr>
        <w:b/>
        <w:bCs/>
        <w:color w:val="FFFFFF" w:themeColor="background1"/>
      </w:rPr>
      <w:tblPr/>
      <w:tcPr>
        <w:tcBorders>
          <w:left w:val="nil"/>
          <w:right w:val="nil"/>
          <w:insideH w:val="nil"/>
          <w:insideV w:val="nil"/>
        </w:tcBorders>
        <w:shd w:val="clear" w:color="auto" w:fill="DE600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8F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688FE" w:themeFill="accent3"/>
      </w:tcPr>
    </w:tblStylePr>
    <w:tblStylePr w:type="lastCol">
      <w:rPr>
        <w:b/>
        <w:bCs/>
        <w:color w:val="FFFFFF" w:themeColor="background1"/>
      </w:rPr>
      <w:tblPr/>
      <w:tcPr>
        <w:tcBorders>
          <w:left w:val="nil"/>
          <w:right w:val="nil"/>
          <w:insideH w:val="nil"/>
          <w:insideV w:val="nil"/>
        </w:tcBorders>
        <w:shd w:val="clear" w:color="auto" w:fill="2688F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AB0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AB07" w:themeFill="accent4"/>
      </w:tcPr>
    </w:tblStylePr>
    <w:tblStylePr w:type="lastCol">
      <w:rPr>
        <w:b/>
        <w:bCs/>
        <w:color w:val="FFFFFF" w:themeColor="background1"/>
      </w:rPr>
      <w:tblPr/>
      <w:tcPr>
        <w:tcBorders>
          <w:left w:val="nil"/>
          <w:right w:val="nil"/>
          <w:insideH w:val="nil"/>
          <w:insideV w:val="nil"/>
        </w:tcBorders>
        <w:shd w:val="clear" w:color="auto" w:fill="FDAB0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165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165D" w:themeFill="accent5"/>
      </w:tcPr>
    </w:tblStylePr>
    <w:tblStylePr w:type="lastCol">
      <w:rPr>
        <w:b/>
        <w:bCs/>
        <w:color w:val="FFFFFF" w:themeColor="background1"/>
      </w:rPr>
      <w:tblPr/>
      <w:tcPr>
        <w:tcBorders>
          <w:left w:val="nil"/>
          <w:right w:val="nil"/>
          <w:insideH w:val="nil"/>
          <w:insideV w:val="nil"/>
        </w:tcBorders>
        <w:shd w:val="clear" w:color="auto" w:fill="DC165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semiHidden/>
    <w:unhideWhenUsed/>
    <w:rsid w:val="00462069"/>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3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30A0" w:themeFill="accent6"/>
      </w:tcPr>
    </w:tblStylePr>
    <w:tblStylePr w:type="lastCol">
      <w:rPr>
        <w:b/>
        <w:bCs/>
        <w:color w:val="FFFFFF" w:themeColor="background1"/>
      </w:rPr>
      <w:tblPr/>
      <w:tcPr>
        <w:tcBorders>
          <w:left w:val="nil"/>
          <w:right w:val="nil"/>
          <w:insideH w:val="nil"/>
          <w:insideV w:val="nil"/>
        </w:tcBorders>
        <w:shd w:val="clear" w:color="auto" w:fill="703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462069"/>
    <w:rPr>
      <w:color w:val="2B579A"/>
      <w:shd w:val="clear" w:color="auto" w:fill="E1DFDD"/>
    </w:rPr>
  </w:style>
  <w:style w:type="paragraph" w:styleId="MessageHeader">
    <w:name w:val="Message Header"/>
    <w:basedOn w:val="Normal"/>
    <w:link w:val="MessageHeaderChar"/>
    <w:semiHidden/>
    <w:rsid w:val="00462069"/>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462069"/>
    <w:rPr>
      <w:rFonts w:asciiTheme="majorHAnsi" w:eastAsiaTheme="majorEastAsia" w:hAnsiTheme="majorHAnsi" w:cstheme="majorBidi"/>
      <w:sz w:val="24"/>
      <w:szCs w:val="24"/>
      <w:shd w:val="pct20" w:color="auto" w:fill="auto"/>
      <w:lang w:eastAsia="en-GB"/>
    </w:rPr>
  </w:style>
  <w:style w:type="paragraph" w:styleId="NormalWeb">
    <w:name w:val="Normal (Web)"/>
    <w:basedOn w:val="Normal"/>
    <w:uiPriority w:val="99"/>
    <w:semiHidden/>
    <w:rsid w:val="00462069"/>
    <w:rPr>
      <w:rFonts w:ascii="Times New Roman" w:hAnsi="Times New Roman"/>
      <w:sz w:val="24"/>
      <w:szCs w:val="24"/>
    </w:rPr>
  </w:style>
  <w:style w:type="paragraph" w:styleId="NormalIndent">
    <w:name w:val="Normal Indent"/>
    <w:basedOn w:val="Normal"/>
    <w:semiHidden/>
    <w:rsid w:val="00462069"/>
    <w:pPr>
      <w:ind w:left="720"/>
    </w:pPr>
  </w:style>
  <w:style w:type="paragraph" w:styleId="NoteHeading">
    <w:name w:val="Note Heading"/>
    <w:basedOn w:val="Normal"/>
    <w:next w:val="Normal"/>
    <w:link w:val="NoteHeadingChar"/>
    <w:semiHidden/>
    <w:rsid w:val="00462069"/>
    <w:pPr>
      <w:spacing w:before="0" w:after="0" w:line="240" w:lineRule="auto"/>
    </w:pPr>
  </w:style>
  <w:style w:type="character" w:customStyle="1" w:styleId="NoteHeadingChar">
    <w:name w:val="Note Heading Char"/>
    <w:basedOn w:val="DefaultParagraphFont"/>
    <w:link w:val="NoteHeading"/>
    <w:semiHidden/>
    <w:rsid w:val="00462069"/>
    <w:rPr>
      <w:rFonts w:ascii="EC Square Sans Pro" w:eastAsia="SimSun" w:hAnsi="EC Square Sans Pro"/>
      <w:lang w:eastAsia="en-GB"/>
    </w:rPr>
  </w:style>
  <w:style w:type="character" w:styleId="PageNumber">
    <w:name w:val="page number"/>
    <w:basedOn w:val="DefaultParagraphFont"/>
    <w:semiHidden/>
    <w:rsid w:val="00462069"/>
    <w:rPr>
      <w:noProof w:val="0"/>
      <w:lang w:val="en-GB"/>
    </w:rPr>
  </w:style>
  <w:style w:type="table" w:styleId="PlainTable1">
    <w:name w:val="Plain Table 1"/>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rsid w:val="00462069"/>
    <w:pPr>
      <w:spacing w:after="0" w:line="240" w:lineRule="auto"/>
    </w:pPr>
    <w:rPr>
      <w:rFonts w:ascii="EC Square Sans Pro" w:eastAsia="SimSun" w:hAnsi="EC Square Sans Pro"/>
      <w:lang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rsid w:val="00462069"/>
    <w:pPr>
      <w:spacing w:after="0" w:line="240" w:lineRule="auto"/>
    </w:pPr>
    <w:rPr>
      <w:rFonts w:ascii="EC Square Sans Pro" w:eastAsia="SimSun" w:hAnsi="EC Square Sans Pro"/>
      <w:lang w:eastAsia="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rsid w:val="00462069"/>
    <w:pPr>
      <w:spacing w:after="0" w:line="240" w:lineRule="auto"/>
    </w:pPr>
    <w:rPr>
      <w:rFonts w:ascii="EC Square Sans Pro" w:eastAsia="SimSun" w:hAnsi="EC Square Sans Pro"/>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rsid w:val="00462069"/>
    <w:pPr>
      <w:spacing w:after="0" w:line="240" w:lineRule="auto"/>
    </w:pPr>
    <w:rPr>
      <w:rFonts w:ascii="EC Square Sans Pro" w:eastAsia="SimSun" w:hAnsi="EC Square Sans Pro"/>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rsid w:val="00462069"/>
    <w:pPr>
      <w:spacing w:before="0" w:after="0" w:line="240" w:lineRule="auto"/>
    </w:pPr>
    <w:rPr>
      <w:rFonts w:ascii="Consolas" w:hAnsi="Consolas"/>
      <w:sz w:val="21"/>
      <w:szCs w:val="21"/>
    </w:rPr>
  </w:style>
  <w:style w:type="character" w:customStyle="1" w:styleId="PlainTextChar">
    <w:name w:val="Plain Text Char"/>
    <w:basedOn w:val="DefaultParagraphFont"/>
    <w:link w:val="PlainText"/>
    <w:semiHidden/>
    <w:rsid w:val="00462069"/>
    <w:rPr>
      <w:rFonts w:ascii="Consolas" w:eastAsia="SimSun" w:hAnsi="Consolas"/>
      <w:sz w:val="21"/>
      <w:szCs w:val="21"/>
      <w:lang w:eastAsia="en-GB"/>
    </w:rPr>
  </w:style>
  <w:style w:type="table" w:customStyle="1" w:styleId="PPO2021">
    <w:name w:val="PPO_2021"/>
    <w:basedOn w:val="TableNormal"/>
    <w:uiPriority w:val="99"/>
    <w:unhideWhenUsed/>
    <w:locked/>
    <w:rsid w:val="00462069"/>
    <w:pPr>
      <w:spacing w:before="100" w:after="100"/>
    </w:pPr>
    <w:rPr>
      <w:rFonts w:ascii="EC Square Sans Pro" w:eastAsiaTheme="minorHAnsi" w:hAnsi="EC Square Sans Pro" w:cstheme="minorBidi"/>
      <w:sz w:val="22"/>
      <w:szCs w:val="22"/>
      <w:lang w:eastAsia="en-US"/>
    </w:rPr>
    <w:tblPr>
      <w:tblStyleRowBandSize w:val="1"/>
      <w:tblStyleColBandSize w:val="1"/>
      <w:jc w:val="center"/>
      <w:tblBorders>
        <w:top w:val="single" w:sz="4" w:space="0" w:color="8C8C8C"/>
        <w:bottom w:val="single" w:sz="4" w:space="0" w:color="8C8C8C"/>
        <w:insideH w:val="single" w:sz="4" w:space="0" w:color="8C8C8C"/>
      </w:tblBorders>
    </w:tblPr>
    <w:trPr>
      <w:cantSplit/>
      <w:jc w:val="center"/>
    </w:trPr>
    <w:tblStylePr w:type="firstRow">
      <w:pPr>
        <w:wordWrap/>
        <w:jc w:val="center"/>
      </w:pPr>
      <w:rPr>
        <w:b/>
        <w:color w:val="auto"/>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tblStylePr w:type="lastRow">
      <w:rPr>
        <w:b/>
        <w:color w:val="auto"/>
      </w:rPr>
      <w:tblPr/>
      <w:tcPr>
        <w:tcBorders>
          <w:top w:val="double" w:sz="4" w:space="0" w:color="8C8C8C"/>
          <w:left w:val="nil"/>
          <w:bottom w:val="single" w:sz="4" w:space="0" w:color="8C8C8C"/>
          <w:right w:val="nil"/>
          <w:insideH w:val="nil"/>
          <w:insideV w:val="nil"/>
          <w:tl2br w:val="nil"/>
          <w:tr2bl w:val="nil"/>
        </w:tcBorders>
        <w:shd w:val="clear" w:color="auto" w:fill="F2F2F2" w:themeFill="background1" w:themeFillShade="F2"/>
      </w:tcPr>
    </w:tblStylePr>
    <w:tblStylePr w:type="firstCol">
      <w:pPr>
        <w:wordWrap/>
        <w:spacing w:beforeLines="0" w:before="100" w:beforeAutospacing="0" w:afterLines="0" w:after="100" w:afterAutospacing="0" w:line="22" w:lineRule="atLeast"/>
        <w:contextualSpacing w:val="0"/>
        <w:jc w:val="left"/>
      </w:pPr>
      <w:rPr>
        <w:b/>
        <w:i w:val="0"/>
        <w:color w:val="auto"/>
      </w:rPr>
    </w:tblStylePr>
    <w:tblStylePr w:type="lastCol">
      <w:rPr>
        <w:b/>
      </w:rPr>
    </w:tblStylePr>
    <w:tblStylePr w:type="band2Vert">
      <w:rPr>
        <w:b w:val="0"/>
      </w:rPr>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rPr>
        <w:b w:val="0"/>
      </w:rPr>
      <w:tblPr/>
      <w:tcPr>
        <w:tcBorders>
          <w:top w:val="single" w:sz="4" w:space="0" w:color="8C8C8C"/>
          <w:left w:val="nil"/>
          <w:bottom w:val="single" w:sz="4" w:space="0" w:color="8C8C8C"/>
          <w:right w:val="nil"/>
          <w:insideH w:val="nil"/>
          <w:insideV w:val="nil"/>
          <w:tl2br w:val="nil"/>
          <w:tr2bl w:val="nil"/>
        </w:tcBorders>
      </w:tcPr>
    </w:tblStylePr>
    <w:tblStylePr w:type="band2Horz">
      <w:rPr>
        <w:b w:val="0"/>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style>
  <w:style w:type="character" w:customStyle="1" w:styleId="PublicationTitleChar">
    <w:name w:val="Publication Title Char"/>
    <w:basedOn w:val="DefaultParagraphFont"/>
    <w:link w:val="PublicationTitle"/>
    <w:uiPriority w:val="80"/>
    <w:rsid w:val="00462069"/>
    <w:rPr>
      <w:rFonts w:asciiTheme="majorHAnsi" w:eastAsia="SimSun" w:hAnsiTheme="majorHAnsi"/>
      <w:bCs/>
      <w:color w:val="003399" w:themeColor="text2"/>
      <w:sz w:val="72"/>
      <w:szCs w:val="72"/>
      <w:lang w:eastAsia="en-GB"/>
    </w:rPr>
  </w:style>
  <w:style w:type="paragraph" w:styleId="Quote">
    <w:name w:val="Quote"/>
    <w:basedOn w:val="Normal"/>
    <w:next w:val="Normal"/>
    <w:link w:val="QuoteChar"/>
    <w:semiHidden/>
    <w:rsid w:val="00462069"/>
    <w:pPr>
      <w:spacing w:before="200" w:after="160"/>
      <w:ind w:left="864" w:right="864"/>
      <w:jc w:val="center"/>
    </w:pPr>
    <w:rPr>
      <w:i/>
      <w:iCs/>
      <w:color w:val="008139" w:themeColor="accent1"/>
    </w:rPr>
  </w:style>
  <w:style w:type="character" w:customStyle="1" w:styleId="QuoteChar">
    <w:name w:val="Quote Char"/>
    <w:basedOn w:val="DefaultParagraphFont"/>
    <w:link w:val="Quote"/>
    <w:rsid w:val="00462069"/>
    <w:rPr>
      <w:rFonts w:ascii="EC Square Sans Pro" w:eastAsia="SimSun" w:hAnsi="EC Square Sans Pro"/>
      <w:i/>
      <w:iCs/>
      <w:color w:val="008139" w:themeColor="accent1"/>
      <w:lang w:eastAsia="en-GB"/>
    </w:rPr>
  </w:style>
  <w:style w:type="paragraph" w:styleId="Salutation">
    <w:name w:val="Salutation"/>
    <w:basedOn w:val="Normal"/>
    <w:next w:val="Normal"/>
    <w:link w:val="SalutationChar"/>
    <w:semiHidden/>
    <w:rsid w:val="00462069"/>
  </w:style>
  <w:style w:type="character" w:customStyle="1" w:styleId="SalutationChar">
    <w:name w:val="Salutation Char"/>
    <w:basedOn w:val="DefaultParagraphFont"/>
    <w:link w:val="Salutation"/>
    <w:semiHidden/>
    <w:rsid w:val="00462069"/>
    <w:rPr>
      <w:rFonts w:ascii="EC Square Sans Pro" w:eastAsia="SimSun" w:hAnsi="EC Square Sans Pro"/>
      <w:lang w:eastAsia="en-GB"/>
    </w:rPr>
  </w:style>
  <w:style w:type="paragraph" w:styleId="Signature">
    <w:name w:val="Signature"/>
    <w:basedOn w:val="Normal"/>
    <w:link w:val="SignatureChar"/>
    <w:semiHidden/>
    <w:rsid w:val="00462069"/>
    <w:pPr>
      <w:spacing w:before="0" w:after="0" w:line="240" w:lineRule="auto"/>
      <w:ind w:left="4252"/>
    </w:pPr>
  </w:style>
  <w:style w:type="character" w:customStyle="1" w:styleId="SignatureChar">
    <w:name w:val="Signature Char"/>
    <w:basedOn w:val="DefaultParagraphFont"/>
    <w:link w:val="Signature"/>
    <w:semiHidden/>
    <w:rsid w:val="00462069"/>
    <w:rPr>
      <w:rFonts w:ascii="EC Square Sans Pro" w:eastAsia="SimSun" w:hAnsi="EC Square Sans Pro"/>
      <w:lang w:eastAsia="en-GB"/>
    </w:rPr>
  </w:style>
  <w:style w:type="table" w:customStyle="1" w:styleId="Simpletable1">
    <w:name w:val="Simple table1"/>
    <w:basedOn w:val="TableNormal"/>
    <w:next w:val="TableGrid"/>
    <w:uiPriority w:val="39"/>
    <w:semiHidden/>
    <w:unhideWhenUsed/>
    <w:locked/>
    <w:rsid w:val="00462069"/>
    <w:pPr>
      <w:spacing w:before="80" w:after="80"/>
    </w:pPr>
    <w:rPr>
      <w:rFonts w:ascii="EC Square Sans Pro" w:eastAsia="Calibri" w:hAnsi="EC Square Sans Pro"/>
      <w:lang w:val="fr-BE"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table2">
    <w:name w:val="Simple table2"/>
    <w:basedOn w:val="TableNormal"/>
    <w:next w:val="TableGrid"/>
    <w:uiPriority w:val="59"/>
    <w:rsid w:val="00462069"/>
    <w:pPr>
      <w:spacing w:before="120" w:after="120" w:line="240" w:lineRule="auto"/>
    </w:pPr>
    <w:rPr>
      <w:rFonts w:ascii="Times New Roman" w:hAnsi="Times New Roman"/>
      <w:lang w:eastAsia="en-GB"/>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0" w:type="dxa"/>
        <w:right w:w="20" w:type="dxa"/>
      </w:tblCellMar>
    </w:tblPr>
    <w:trPr>
      <w:jc w:val="center"/>
    </w:trPr>
    <w:tcPr>
      <w:vAlign w:val="center"/>
    </w:tcPr>
  </w:style>
  <w:style w:type="character" w:styleId="Strong">
    <w:name w:val="Strong"/>
    <w:basedOn w:val="DefaultParagraphFont"/>
    <w:uiPriority w:val="22"/>
    <w:semiHidden/>
    <w:rsid w:val="00462069"/>
    <w:rPr>
      <w:b/>
      <w:bCs/>
      <w:noProof w:val="0"/>
      <w:lang w:val="en-GB"/>
    </w:rPr>
  </w:style>
  <w:style w:type="character" w:styleId="SubtleEmphasis">
    <w:name w:val="Subtle Emphasis"/>
    <w:basedOn w:val="DefaultParagraphFont"/>
    <w:semiHidden/>
    <w:rsid w:val="00462069"/>
    <w:rPr>
      <w:i/>
      <w:iCs/>
      <w:noProof w:val="0"/>
      <w:color w:val="404040" w:themeColor="text1" w:themeTint="BF"/>
      <w:lang w:val="en-GB"/>
    </w:rPr>
  </w:style>
  <w:style w:type="character" w:styleId="SubtleReference">
    <w:name w:val="Subtle Reference"/>
    <w:basedOn w:val="DefaultParagraphFont"/>
    <w:semiHidden/>
    <w:rsid w:val="00462069"/>
    <w:rPr>
      <w:smallCaps/>
      <w:noProof w:val="0"/>
      <w:color w:val="5A5A5A" w:themeColor="text1" w:themeTint="A5"/>
      <w:lang w:val="en-GB"/>
    </w:rPr>
  </w:style>
  <w:style w:type="table" w:styleId="Table3Deffects1">
    <w:name w:val="Table 3D effects 1"/>
    <w:basedOn w:val="TableNormal"/>
    <w:semiHidden/>
    <w:unhideWhenUsed/>
    <w:rsid w:val="00462069"/>
    <w:rPr>
      <w:rFonts w:ascii="EC Square Sans Pro" w:eastAsia="SimSun" w:hAnsi="EC Square Sans Pro"/>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62069"/>
    <w:rPr>
      <w:rFonts w:ascii="EC Square Sans Pro" w:eastAsia="SimSun" w:hAnsi="EC Square Sans Pro"/>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62069"/>
    <w:rPr>
      <w:rFonts w:ascii="EC Square Sans Pro" w:eastAsia="SimSun" w:hAnsi="EC Square Sans Pro"/>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462069"/>
    <w:rPr>
      <w:rFonts w:ascii="EC Square Sans Pro" w:eastAsia="SimSun" w:hAnsi="EC Square Sans Pro"/>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62069"/>
    <w:rPr>
      <w:rFonts w:ascii="EC Square Sans Pro" w:eastAsia="SimSun" w:hAnsi="EC Square Sans Pro"/>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62069"/>
    <w:rPr>
      <w:rFonts w:ascii="EC Square Sans Pro" w:eastAsia="SimSun" w:hAnsi="EC Square Sans Pro"/>
      <w:color w:val="00008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62069"/>
    <w:rPr>
      <w:rFonts w:ascii="EC Square Sans Pro" w:eastAsia="SimSun" w:hAnsi="EC Square Sans Pro"/>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62069"/>
    <w:rPr>
      <w:rFonts w:ascii="EC Square Sans Pro" w:eastAsia="SimSun" w:hAnsi="EC Square Sans Pro"/>
      <w:color w:val="FFFFFF"/>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62069"/>
    <w:rPr>
      <w:rFonts w:ascii="EC Square Sans Pro" w:eastAsia="SimSun" w:hAnsi="EC Square Sans Pro"/>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62069"/>
    <w:rPr>
      <w:rFonts w:ascii="EC Square Sans Pro" w:eastAsia="SimSun" w:hAnsi="EC Square Sans Pro"/>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62069"/>
    <w:rPr>
      <w:rFonts w:ascii="EC Square Sans Pro" w:eastAsia="SimSun" w:hAnsi="EC Square Sans Pro"/>
      <w:b/>
      <w:bCs/>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62069"/>
    <w:rPr>
      <w:rFonts w:ascii="EC Square Sans Pro" w:eastAsia="SimSun" w:hAnsi="EC Square Sans Pro"/>
      <w:b/>
      <w:bCs/>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62069"/>
    <w:rPr>
      <w:rFonts w:ascii="EC Square Sans Pro" w:eastAsia="SimSun" w:hAnsi="EC Square Sans Pro"/>
      <w:b/>
      <w:bCs/>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62069"/>
    <w:rPr>
      <w:rFonts w:ascii="EC Square Sans Pro" w:eastAsia="SimSun" w:hAnsi="EC Square Sans Pro"/>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62069"/>
    <w:rPr>
      <w:rFonts w:ascii="EC Square Sans Pro" w:eastAsia="SimSun" w:hAnsi="EC Square Sans Pro"/>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462069"/>
    <w:rPr>
      <w:rFonts w:ascii="EC Square Sans Pro" w:eastAsia="SimSun" w:hAnsi="EC Square Sans Pro"/>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62069"/>
    <w:rPr>
      <w:rFonts w:ascii="EC Square Sans Pro" w:eastAsia="SimSun" w:hAnsi="EC Square Sans Pro"/>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462069"/>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62069"/>
    <w:rPr>
      <w:rFonts w:ascii="EC Square Sans Pro" w:eastAsia="SimSun" w:hAnsi="EC Square Sans Pro"/>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62069"/>
    <w:rPr>
      <w:rFonts w:ascii="EC Square Sans Pro" w:eastAsia="SimSun" w:hAnsi="EC Square Sans Pro"/>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62069"/>
    <w:rPr>
      <w:rFonts w:ascii="EC Square Sans Pro" w:eastAsia="SimSun" w:hAnsi="EC Square Sans Pro"/>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62069"/>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62069"/>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62069"/>
    <w:rPr>
      <w:rFonts w:ascii="EC Square Sans Pro" w:eastAsia="SimSun" w:hAnsi="EC Square Sans Pro"/>
      <w:b/>
      <w:bCs/>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62069"/>
    <w:rPr>
      <w:rFonts w:ascii="EC Square Sans Pro" w:eastAsia="SimSun" w:hAnsi="EC Square Sans Pro"/>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rsid w:val="00462069"/>
    <w:pPr>
      <w:spacing w:after="0" w:line="240" w:lineRule="auto"/>
    </w:pPr>
    <w:rPr>
      <w:rFonts w:ascii="EC Square Sans Pro" w:eastAsia="SimSun" w:hAnsi="EC Square Sans Pro"/>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462069"/>
    <w:rPr>
      <w:rFonts w:ascii="EC Square Sans Pro" w:eastAsia="SimSun" w:hAnsi="EC Square Sans Pro"/>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62069"/>
    <w:rPr>
      <w:rFonts w:ascii="EC Square Sans Pro" w:eastAsia="SimSun" w:hAnsi="EC Square Sans Pro"/>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62069"/>
    <w:rPr>
      <w:rFonts w:ascii="EC Square Sans Pro" w:eastAsia="SimSun" w:hAnsi="EC Square Sans Pro"/>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62069"/>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62069"/>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62069"/>
    <w:rPr>
      <w:rFonts w:ascii="EC Square Sans Pro" w:eastAsia="SimSun" w:hAnsi="EC Square Sans Pro"/>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62069"/>
    <w:rPr>
      <w:rFonts w:ascii="EC Square Sans Pro" w:eastAsia="SimSun" w:hAnsi="EC Square Sans Pro"/>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62069"/>
    <w:rPr>
      <w:rFonts w:ascii="EC Square Sans Pro" w:eastAsia="SimSun" w:hAnsi="EC Square Sans Pro"/>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462069"/>
    <w:pPr>
      <w:spacing w:after="0"/>
      <w:ind w:left="200" w:hanging="200"/>
    </w:pPr>
    <w:rPr>
      <w:color w:val="003399" w:themeColor="text2"/>
    </w:rPr>
  </w:style>
  <w:style w:type="table" w:styleId="TableProfessional">
    <w:name w:val="Table Professional"/>
    <w:basedOn w:val="TableNormal"/>
    <w:semiHidden/>
    <w:unhideWhenUsed/>
    <w:rsid w:val="00462069"/>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462069"/>
    <w:rPr>
      <w:rFonts w:ascii="EC Square Sans Pro" w:eastAsia="SimSun" w:hAnsi="EC Square Sans Pro"/>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62069"/>
    <w:rPr>
      <w:rFonts w:ascii="EC Square Sans Pro" w:eastAsia="SimSun" w:hAnsi="EC Square Sans Pro"/>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62069"/>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62069"/>
    <w:rPr>
      <w:rFonts w:ascii="EC Square Sans Pro" w:eastAsia="SimSun" w:hAnsi="EC Square Sans Pro"/>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62069"/>
    <w:rPr>
      <w:rFonts w:ascii="EC Square Sans Pro" w:eastAsia="SimSun" w:hAnsi="EC Square Sans Pro"/>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462069"/>
    <w:rPr>
      <w:rFonts w:ascii="EC Square Sans Pro" w:eastAsia="SimSun" w:hAnsi="EC Square Sans Pr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462069"/>
    <w:rPr>
      <w:rFonts w:ascii="EC Square Sans Pro" w:eastAsia="SimSun" w:hAnsi="EC Square Sans Pro"/>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62069"/>
    <w:rPr>
      <w:rFonts w:ascii="EC Square Sans Pro" w:eastAsia="SimSun" w:hAnsi="EC Square Sans Pro"/>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62069"/>
    <w:rPr>
      <w:rFonts w:ascii="EC Square Sans Pro" w:eastAsia="SimSun" w:hAnsi="EC Square Sans Pro"/>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ListBullet-Black">
    <w:name w:val="List Bullet - Black"/>
    <w:basedOn w:val="Normal"/>
    <w:uiPriority w:val="3"/>
    <w:semiHidden/>
    <w:rsid w:val="002F73C5"/>
    <w:pPr>
      <w:spacing w:before="60" w:after="60"/>
      <w:ind w:left="360" w:hanging="59"/>
      <w:jc w:val="both"/>
    </w:pPr>
    <w:rPr>
      <w:rFonts w:eastAsia="EC Square Sans Pro"/>
      <w:color w:val="000000" w:themeColor="text1"/>
      <w:szCs w:val="21"/>
      <w:lang w:eastAsia="fr-BE"/>
    </w:rPr>
  </w:style>
  <w:style w:type="paragraph" w:styleId="TOAHeading">
    <w:name w:val="toa heading"/>
    <w:basedOn w:val="Normal"/>
    <w:next w:val="Normal"/>
    <w:semiHidden/>
    <w:rsid w:val="00462069"/>
    <w:pPr>
      <w:spacing w:before="120"/>
    </w:pPr>
    <w:rPr>
      <w:rFonts w:asciiTheme="majorHAnsi" w:eastAsiaTheme="majorEastAsia" w:hAnsiTheme="majorHAnsi" w:cstheme="majorBidi"/>
      <w:b/>
      <w:bCs/>
      <w:sz w:val="24"/>
      <w:szCs w:val="24"/>
    </w:rPr>
  </w:style>
  <w:style w:type="character" w:styleId="UnresolvedMention">
    <w:name w:val="Unresolved Mention"/>
    <w:basedOn w:val="DefaultParagraphFont"/>
    <w:uiPriority w:val="99"/>
    <w:semiHidden/>
    <w:rsid w:val="00462069"/>
    <w:rPr>
      <w:color w:val="605E5C"/>
      <w:shd w:val="clear" w:color="auto" w:fill="E1DFDD"/>
    </w:rPr>
  </w:style>
  <w:style w:type="paragraph" w:styleId="Revision">
    <w:name w:val="Revision"/>
    <w:hidden/>
    <w:semiHidden/>
    <w:rsid w:val="000D7D9F"/>
    <w:pPr>
      <w:spacing w:before="0" w:after="0" w:line="240" w:lineRule="auto"/>
    </w:pPr>
    <w:rPr>
      <w:rFonts w:ascii="EC Square Sans Pro" w:eastAsia="SimSun" w:hAnsi="EC Square Sans Pro"/>
      <w:lang w:eastAsia="en-GB"/>
    </w:rPr>
  </w:style>
  <w:style w:type="paragraph" w:customStyle="1" w:styleId="amprA1H4thatlookslikeH5">
    <w:name w:val="[ampr A1] H4 that looks like H5"/>
    <w:basedOn w:val="Heading5"/>
    <w:uiPriority w:val="9"/>
    <w:qFormat/>
    <w:rsid w:val="0028507F"/>
    <w:pPr>
      <w:outlineLvl w:val="3"/>
    </w:pPr>
  </w:style>
  <w:style w:type="character" w:styleId="SmartHyperlink">
    <w:name w:val="Smart Hyperlink"/>
    <w:basedOn w:val="DefaultParagraphFont"/>
    <w:uiPriority w:val="99"/>
    <w:semiHidden/>
    <w:rsid w:val="00FE1114"/>
    <w:rPr>
      <w:u w:val="dotted"/>
    </w:rPr>
  </w:style>
  <w:style w:type="character" w:styleId="SmartLink">
    <w:name w:val="Smart Link"/>
    <w:basedOn w:val="DefaultParagraphFont"/>
    <w:uiPriority w:val="99"/>
    <w:semiHidden/>
    <w:rsid w:val="0087086E"/>
    <w:rPr>
      <w:color w:val="003399" w:themeColor="text2"/>
      <w:u w:val="single"/>
      <w:shd w:val="clear" w:color="auto" w:fill="F3F2F1"/>
    </w:rPr>
  </w:style>
  <w:style w:type="paragraph" w:customStyle="1" w:styleId="amprboxBLUEBoxTitle">
    <w:name w:val="[ampr box BLUE] Box Title"/>
    <w:basedOn w:val="amprboxBLUEtext"/>
    <w:next w:val="amprboxBLUEtext"/>
    <w:uiPriority w:val="7"/>
    <w:rsid w:val="00F939C1"/>
    <w:pPr>
      <w:keepNext/>
      <w:keepLines/>
    </w:pPr>
    <w:rPr>
      <w:rFonts w:ascii="EC Square Sans Pro Medium" w:hAnsi="EC Square Sans Pro Medium"/>
      <w:color w:val="DC3903"/>
      <w:sz w:val="22"/>
      <w:szCs w:val="22"/>
    </w:rPr>
  </w:style>
  <w:style w:type="paragraph" w:customStyle="1" w:styleId="amprboxBLUEtext">
    <w:name w:val="[ampr box BLUE] text"/>
    <w:basedOn w:val="Normal"/>
    <w:uiPriority w:val="2"/>
    <w:rsid w:val="00717102"/>
    <w:pPr>
      <w:pBdr>
        <w:top w:val="single" w:sz="12" w:space="12" w:color="F3F7FF" w:themeColor="background2"/>
        <w:left w:val="single" w:sz="12" w:space="12" w:color="F3F7FF" w:themeColor="background2"/>
        <w:bottom w:val="single" w:sz="12" w:space="12" w:color="F3F7FF" w:themeColor="background2"/>
        <w:right w:val="single" w:sz="12" w:space="12" w:color="F3F7FF" w:themeColor="background2"/>
      </w:pBdr>
      <w:shd w:val="clear" w:color="auto" w:fill="F3F7FF" w:themeFill="background2"/>
      <w:spacing w:before="120" w:after="120"/>
      <w:ind w:left="301" w:right="301"/>
    </w:pPr>
    <w:rPr>
      <w:rFonts w:eastAsia="EC Square Sans Pro"/>
      <w:color w:val="003399" w:themeColor="text2"/>
      <w:szCs w:val="21"/>
      <w:lang w:eastAsia="fr-BE"/>
    </w:rPr>
  </w:style>
  <w:style w:type="paragraph" w:customStyle="1" w:styleId="amprboxBLUEbulletlist">
    <w:name w:val="[ampr box BLUE] bullet list"/>
    <w:basedOn w:val="amprboxBLUEtext"/>
    <w:uiPriority w:val="7"/>
    <w:qFormat/>
    <w:rsid w:val="00717102"/>
    <w:pPr>
      <w:numPr>
        <w:numId w:val="28"/>
      </w:numPr>
      <w:spacing w:before="60" w:after="60"/>
    </w:pPr>
  </w:style>
  <w:style w:type="paragraph" w:customStyle="1" w:styleId="amprboxtext">
    <w:name w:val="[ampr box] text"/>
    <w:basedOn w:val="Normal"/>
    <w:uiPriority w:val="7"/>
    <w:rsid w:val="00AE026E"/>
    <w:pPr>
      <w:keepLines/>
      <w:pBdr>
        <w:top w:val="single" w:sz="12" w:space="12" w:color="DC3903"/>
        <w:left w:val="single" w:sz="12" w:space="12" w:color="DC3903"/>
        <w:bottom w:val="single" w:sz="12" w:space="12" w:color="DC3903"/>
        <w:right w:val="single" w:sz="12" w:space="12" w:color="DC3903"/>
      </w:pBdr>
      <w:ind w:left="301" w:right="301"/>
    </w:pPr>
    <w:rPr>
      <w:rFonts w:eastAsia="EC Square Sans Pro"/>
      <w:color w:val="000000" w:themeColor="text1"/>
      <w:szCs w:val="21"/>
      <w:lang w:eastAsia="fr-BE"/>
    </w:rPr>
  </w:style>
  <w:style w:type="paragraph" w:customStyle="1" w:styleId="amprboxbulletlist">
    <w:name w:val="[ampr box] bullet list"/>
    <w:basedOn w:val="amprboxtext"/>
    <w:uiPriority w:val="7"/>
    <w:qFormat/>
    <w:rsid w:val="00C824AF"/>
    <w:pPr>
      <w:numPr>
        <w:numId w:val="22"/>
      </w:numPr>
      <w:spacing w:before="60" w:after="60"/>
    </w:pPr>
    <w:rPr>
      <w:noProof/>
    </w:rPr>
  </w:style>
  <w:style w:type="numbering" w:customStyle="1" w:styleId="amprboxbulletlistLIST">
    <w:name w:val="[ampr box] bullet list LIST"/>
    <w:uiPriority w:val="99"/>
    <w:rsid w:val="00AE026E"/>
    <w:pPr>
      <w:numPr>
        <w:numId w:val="22"/>
      </w:numPr>
    </w:pPr>
  </w:style>
  <w:style w:type="character" w:styleId="FootnoteReference">
    <w:name w:val="footnote reference"/>
    <w:basedOn w:val="DefaultParagraphFont"/>
    <w:uiPriority w:val="1"/>
    <w:unhideWhenUsed/>
    <w:qFormat/>
    <w:rsid w:val="00AA5A4D"/>
    <w:rPr>
      <w:vertAlign w:val="superscript"/>
    </w:rPr>
  </w:style>
  <w:style w:type="character" w:styleId="Hashtag">
    <w:name w:val="Hashtag"/>
    <w:basedOn w:val="DefaultParagraphFont"/>
    <w:uiPriority w:val="99"/>
    <w:semiHidden/>
    <w:unhideWhenUsed/>
    <w:rsid w:val="009C24EA"/>
    <w:rPr>
      <w:color w:val="2B579A"/>
      <w:shd w:val="clear" w:color="auto" w:fill="E1DFDD"/>
    </w:rPr>
  </w:style>
  <w:style w:type="paragraph" w:customStyle="1" w:styleId="FootnoteText1">
    <w:name w:val="Footnote Text1"/>
    <w:basedOn w:val="Normal"/>
    <w:next w:val="FootnoteText"/>
    <w:uiPriority w:val="99"/>
    <w:semiHidden/>
    <w:unhideWhenUsed/>
    <w:rsid w:val="00C416D4"/>
    <w:pPr>
      <w:suppressAutoHyphens w:val="0"/>
      <w:spacing w:before="120" w:after="0" w:line="240" w:lineRule="auto"/>
      <w:jc w:val="both"/>
    </w:pPr>
    <w:rPr>
      <w:rFonts w:eastAsiaTheme="minorHAnsi" w:cstheme="minorBidi"/>
      <w:spacing w:val="-4"/>
      <w:lang w:eastAsia="en-US"/>
    </w:rPr>
  </w:style>
  <w:style w:type="numbering" w:customStyle="1" w:styleId="amprboxBLUEbulletlistLIST">
    <w:name w:val="[ampr box BLUE] bullet list LIST"/>
    <w:uiPriority w:val="99"/>
    <w:rsid w:val="00C824AF"/>
    <w:pPr>
      <w:numPr>
        <w:numId w:val="25"/>
      </w:numPr>
    </w:pPr>
  </w:style>
  <w:style w:type="paragraph" w:customStyle="1" w:styleId="ListBulletorangeLevel1">
    <w:name w:val="List Bullet_orange (Level 1)"/>
    <w:uiPriority w:val="3"/>
    <w:qFormat/>
    <w:rsid w:val="00C824AF"/>
    <w:pPr>
      <w:numPr>
        <w:numId w:val="29"/>
      </w:numPr>
      <w:spacing w:before="60" w:after="60"/>
    </w:pPr>
    <w:rPr>
      <w:rFonts w:ascii="EC Square Sans Pro" w:hAnsi="EC Square Sans Pro"/>
      <w:lang w:eastAsia="en-GB"/>
    </w:rPr>
  </w:style>
  <w:style w:type="numbering" w:customStyle="1" w:styleId="ListBulletorangeLIST">
    <w:name w:val="List Bullet_orange LIST"/>
    <w:uiPriority w:val="99"/>
    <w:rsid w:val="002D48AD"/>
    <w:pPr>
      <w:numPr>
        <w:numId w:val="29"/>
      </w:numPr>
    </w:pPr>
  </w:style>
  <w:style w:type="paragraph" w:customStyle="1" w:styleId="Bulletforinfographic">
    <w:name w:val="Bullet for infographic"/>
    <w:uiPriority w:val="2"/>
    <w:rsid w:val="00C824AF"/>
    <w:pPr>
      <w:numPr>
        <w:numId w:val="30"/>
      </w:numPr>
      <w:suppressAutoHyphens/>
      <w:spacing w:before="60" w:after="60"/>
      <w:ind w:left="360" w:hanging="59"/>
    </w:pPr>
    <w:rPr>
      <w:rFonts w:ascii="EC Square Sans Pro" w:hAnsi="EC Square Sans Pro"/>
      <w:sz w:val="18"/>
      <w:lang w:eastAsia="en-GB"/>
    </w:rPr>
  </w:style>
  <w:style w:type="numbering" w:customStyle="1" w:styleId="LISTBulletforinfographic">
    <w:name w:val="LIST_Bullet_for_infographic"/>
    <w:uiPriority w:val="99"/>
    <w:rsid w:val="002D48AD"/>
    <w:pPr>
      <w:numPr>
        <w:numId w:val="30"/>
      </w:numPr>
    </w:pPr>
  </w:style>
  <w:style w:type="paragraph" w:customStyle="1" w:styleId="Footnotetextbullet">
    <w:name w:val="Footnote text bullet"/>
    <w:basedOn w:val="FootnoteText"/>
    <w:uiPriority w:val="1"/>
    <w:qFormat/>
    <w:rsid w:val="00C824AF"/>
    <w:pPr>
      <w:numPr>
        <w:numId w:val="26"/>
      </w:numPr>
    </w:pPr>
    <w:rPr>
      <w:rFonts w:ascii="EC Square Sans Pro" w:eastAsia="Times New Roman" w:hAnsi="EC Square Sans Pro"/>
    </w:rPr>
  </w:style>
  <w:style w:type="numbering" w:customStyle="1" w:styleId="FootnotetextbulletLIST">
    <w:name w:val="Footnote text bullet LIST"/>
    <w:uiPriority w:val="99"/>
    <w:rsid w:val="002D48AD"/>
    <w:pPr>
      <w:numPr>
        <w:numId w:val="26"/>
      </w:numPr>
    </w:pPr>
  </w:style>
  <w:style w:type="numbering" w:customStyle="1" w:styleId="NumberedwithindentLIST">
    <w:name w:val="Numbered with indent LIST"/>
    <w:uiPriority w:val="99"/>
    <w:rsid w:val="002D48AD"/>
    <w:pPr>
      <w:numPr>
        <w:numId w:val="27"/>
      </w:numPr>
    </w:pPr>
  </w:style>
  <w:style w:type="paragraph" w:customStyle="1" w:styleId="FooterSensitivity">
    <w:name w:val="Footer Sensitivity"/>
    <w:basedOn w:val="Normal"/>
    <w:link w:val="FooterSensitivityChar"/>
    <w:semiHidden/>
    <w:rsid w:val="000919A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basedOn w:val="DefaultParagraphFont"/>
    <w:link w:val="FooterSensitivity"/>
    <w:semiHidden/>
    <w:rsid w:val="00EC57E8"/>
    <w:rPr>
      <w:rFonts w:ascii="Times New Roman" w:eastAsia="SimSun" w:hAnsi="Times New Roman"/>
      <w:b/>
      <w:sz w:val="32"/>
      <w:lang w:eastAsia="en-GB"/>
    </w:rPr>
  </w:style>
  <w:style w:type="paragraph" w:customStyle="1" w:styleId="HeaderCoverPage">
    <w:name w:val="Header Cover Page"/>
    <w:basedOn w:val="Normal"/>
    <w:link w:val="HeaderCoverPageChar"/>
    <w:semiHidden/>
    <w:rsid w:val="000919A7"/>
    <w:pPr>
      <w:tabs>
        <w:tab w:val="center" w:pos="4535"/>
        <w:tab w:val="right" w:pos="9071"/>
      </w:tabs>
      <w:spacing w:before="0" w:after="120" w:line="240" w:lineRule="auto"/>
      <w:jc w:val="both"/>
    </w:pPr>
    <w:rPr>
      <w:rFonts w:ascii="Times New Roman" w:hAnsi="Times New Roman"/>
      <w:sz w:val="24"/>
    </w:rPr>
  </w:style>
  <w:style w:type="character" w:customStyle="1" w:styleId="HeaderCoverPageChar">
    <w:name w:val="Header Cover Page Char"/>
    <w:basedOn w:val="DefaultParagraphFont"/>
    <w:link w:val="HeaderCoverPage"/>
    <w:semiHidden/>
    <w:rsid w:val="00EC3916"/>
    <w:rPr>
      <w:rFonts w:ascii="Times New Roman" w:eastAsia="SimSun" w:hAnsi="Times New Roman"/>
      <w:sz w:val="24"/>
      <w:lang w:eastAsia="en-GB"/>
    </w:rPr>
  </w:style>
  <w:style w:type="paragraph" w:customStyle="1" w:styleId="HeaderSensitivity">
    <w:name w:val="Header Sensitivity"/>
    <w:basedOn w:val="Normal"/>
    <w:link w:val="HeaderSensitivityChar"/>
    <w:semiHidden/>
    <w:rsid w:val="000919A7"/>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b/>
      <w:sz w:val="32"/>
    </w:rPr>
  </w:style>
  <w:style w:type="character" w:customStyle="1" w:styleId="HeaderSensitivityChar">
    <w:name w:val="Header Sensitivity Char"/>
    <w:basedOn w:val="DefaultParagraphFont"/>
    <w:link w:val="HeaderSensitivity"/>
    <w:semiHidden/>
    <w:rsid w:val="00EC57E8"/>
    <w:rPr>
      <w:rFonts w:ascii="Times New Roman" w:eastAsia="SimSun" w:hAnsi="Times New Roman"/>
      <w:b/>
      <w:sz w:val="32"/>
      <w:lang w:eastAsia="en-GB"/>
    </w:rPr>
  </w:style>
  <w:style w:type="paragraph" w:customStyle="1" w:styleId="HeaderSensitivityRight">
    <w:name w:val="Header Sensitivity Right"/>
    <w:basedOn w:val="Normal"/>
    <w:link w:val="HeaderSensitivityRightChar"/>
    <w:semiHidden/>
    <w:rsid w:val="000919A7"/>
    <w:pPr>
      <w:spacing w:before="0" w:after="120" w:line="240" w:lineRule="auto"/>
      <w:jc w:val="right"/>
    </w:pPr>
    <w:rPr>
      <w:rFonts w:ascii="Times New Roman" w:hAnsi="Times New Roman"/>
      <w:sz w:val="28"/>
    </w:rPr>
  </w:style>
  <w:style w:type="character" w:customStyle="1" w:styleId="HeaderSensitivityRightChar">
    <w:name w:val="Header Sensitivity Right Char"/>
    <w:basedOn w:val="DefaultParagraphFont"/>
    <w:link w:val="HeaderSensitivityRight"/>
    <w:semiHidden/>
    <w:rsid w:val="00EC3916"/>
    <w:rPr>
      <w:rFonts w:ascii="Times New Roman" w:eastAsia="SimSun" w:hAnsi="Times New Roman"/>
      <w:sz w:val="28"/>
      <w:lang w:eastAsia="en-GB"/>
    </w:rPr>
  </w:style>
  <w:style w:type="character" w:customStyle="1" w:styleId="Underline">
    <w:name w:val="Underline"/>
    <w:basedOn w:val="DefaultParagraphFont"/>
    <w:rsid w:val="00C8576E"/>
    <w:rPr>
      <w:u w:val="single"/>
    </w:rPr>
  </w:style>
  <w:style w:type="paragraph" w:customStyle="1" w:styleId="ListBulletIndentedLevel1">
    <w:name w:val="List Bullet Indented (Level 1)"/>
    <w:uiPriority w:val="3"/>
    <w:rsid w:val="00F85230"/>
    <w:pPr>
      <w:numPr>
        <w:numId w:val="31"/>
      </w:numPr>
      <w:tabs>
        <w:tab w:val="num" w:pos="720"/>
      </w:tabs>
      <w:spacing w:before="60" w:after="60"/>
      <w:ind w:left="720" w:hanging="720"/>
    </w:pPr>
    <w:rPr>
      <w:rFonts w:ascii="EC Square Sans Pro" w:hAnsi="EC Square Sans Pro"/>
      <w:lang w:eastAsia="en-GB"/>
    </w:rPr>
  </w:style>
  <w:style w:type="paragraph" w:customStyle="1" w:styleId="ListBulletIndentedLevel2">
    <w:name w:val="List Bullet Indented (Level 2)"/>
    <w:uiPriority w:val="3"/>
    <w:semiHidden/>
    <w:unhideWhenUsed/>
    <w:rsid w:val="00F85230"/>
    <w:pPr>
      <w:numPr>
        <w:ilvl w:val="1"/>
        <w:numId w:val="31"/>
      </w:numPr>
      <w:spacing w:before="60" w:after="60"/>
    </w:pPr>
    <w:rPr>
      <w:rFonts w:ascii="EC Square Sans Pro" w:hAnsi="EC Square Sans Pro"/>
      <w:lang w:eastAsia="en-GB"/>
    </w:rPr>
  </w:style>
  <w:style w:type="paragraph" w:customStyle="1" w:styleId="ListBulletIndentedLevel3">
    <w:name w:val="List Bullet Indented (Level 3)"/>
    <w:uiPriority w:val="3"/>
    <w:unhideWhenUsed/>
    <w:rsid w:val="00F85230"/>
    <w:pPr>
      <w:numPr>
        <w:ilvl w:val="2"/>
        <w:numId w:val="31"/>
      </w:numPr>
      <w:spacing w:before="60" w:after="60"/>
    </w:pPr>
    <w:rPr>
      <w:rFonts w:ascii="EC Square Sans Pro" w:hAnsi="EC Square Sans Pro"/>
      <w:lang w:eastAsia="en-GB"/>
    </w:rPr>
  </w:style>
  <w:style w:type="paragraph" w:customStyle="1" w:styleId="ListBulletIndentedLevel4">
    <w:name w:val="List Bullet Indented (Level 4)"/>
    <w:uiPriority w:val="3"/>
    <w:unhideWhenUsed/>
    <w:rsid w:val="00F85230"/>
    <w:pPr>
      <w:numPr>
        <w:ilvl w:val="3"/>
        <w:numId w:val="31"/>
      </w:numPr>
      <w:spacing w:before="60" w:after="60"/>
    </w:pPr>
    <w:rPr>
      <w:rFonts w:ascii="EC Square Sans Pro" w:hAnsi="EC Square Sans Pro"/>
      <w:lang w:eastAsia="en-GB"/>
    </w:rPr>
  </w:style>
  <w:style w:type="numbering" w:customStyle="1" w:styleId="ListBulletIndentedLIST">
    <w:name w:val="List Bullet Indented LIST"/>
    <w:uiPriority w:val="99"/>
    <w:rsid w:val="00F85230"/>
    <w:pPr>
      <w:numPr>
        <w:numId w:val="31"/>
      </w:numPr>
    </w:pPr>
  </w:style>
  <w:style w:type="paragraph" w:customStyle="1" w:styleId="amprboxbulletlistorange">
    <w:name w:val="[ampr box] bullet list (orange)"/>
    <w:basedOn w:val="amprboxtext"/>
    <w:uiPriority w:val="3"/>
    <w:qFormat/>
    <w:rsid w:val="005E6B02"/>
    <w:pPr>
      <w:numPr>
        <w:numId w:val="34"/>
      </w:numPr>
      <w:spacing w:before="60" w:after="60"/>
    </w:pPr>
    <w:rPr>
      <w:noProof/>
    </w:rPr>
  </w:style>
  <w:style w:type="numbering" w:customStyle="1" w:styleId="amprboxbulletlistorangeLIST">
    <w:name w:val="[ampr box] bullet list (orange) LIST"/>
    <w:uiPriority w:val="99"/>
    <w:rsid w:val="005E6B02"/>
    <w:pPr>
      <w:numPr>
        <w:numId w:val="34"/>
      </w:numPr>
    </w:pPr>
  </w:style>
  <w:style w:type="numbering" w:customStyle="1" w:styleId="ListNumberNonindentedLIST">
    <w:name w:val="List Number Nonindented LIST"/>
    <w:uiPriority w:val="99"/>
    <w:rsid w:val="00F85230"/>
    <w:pPr>
      <w:numPr>
        <w:numId w:val="33"/>
      </w:numPr>
    </w:pPr>
  </w:style>
  <w:style w:type="paragraph" w:customStyle="1" w:styleId="HNum-fromh2Heading2-1">
    <w:name w:val="H Num - from h2 | Heading 2  - 1."/>
    <w:next w:val="Normal"/>
    <w:uiPriority w:val="9"/>
    <w:qFormat/>
    <w:locked/>
    <w:rsid w:val="006F7DD4"/>
    <w:pPr>
      <w:keepNext/>
      <w:keepLines/>
      <w:pageBreakBefore/>
      <w:numPr>
        <w:numId w:val="43"/>
      </w:numPr>
      <w:suppressAutoHyphens/>
      <w:spacing w:before="0"/>
      <w:outlineLvl w:val="1"/>
    </w:pPr>
    <w:rPr>
      <w:rFonts w:asciiTheme="majorHAnsi" w:eastAsia="SimSun" w:hAnsiTheme="majorHAnsi"/>
      <w:noProof/>
      <w:color w:val="003399" w:themeColor="text2"/>
      <w:sz w:val="48"/>
      <w:lang w:eastAsia="en-GB"/>
    </w:rPr>
  </w:style>
  <w:style w:type="paragraph" w:customStyle="1" w:styleId="HNum-fromh2Heading3-11">
    <w:name w:val="H Num - from h2 | Heading 3  - 1.1."/>
    <w:basedOn w:val="Normal"/>
    <w:next w:val="Normal"/>
    <w:uiPriority w:val="9"/>
    <w:qFormat/>
    <w:locked/>
    <w:rsid w:val="006F7DD4"/>
    <w:pPr>
      <w:keepNext/>
      <w:keepLines/>
      <w:numPr>
        <w:ilvl w:val="1"/>
        <w:numId w:val="43"/>
      </w:numPr>
      <w:pBdr>
        <w:bottom w:val="single" w:sz="6" w:space="1" w:color="DE6002"/>
      </w:pBdr>
      <w:spacing w:before="480"/>
      <w:outlineLvl w:val="2"/>
    </w:pPr>
    <w:rPr>
      <w:rFonts w:eastAsia="EC Square Sans Pro"/>
      <w:b/>
      <w:color w:val="003399" w:themeColor="text2"/>
      <w:sz w:val="28"/>
      <w:szCs w:val="21"/>
      <w:lang w:eastAsia="zh-CN"/>
    </w:rPr>
  </w:style>
  <w:style w:type="paragraph" w:customStyle="1" w:styleId="HNum-fromh2Heading4-111">
    <w:name w:val="H Num - from h2 | Heading 4  - 1.1.1."/>
    <w:basedOn w:val="Normal"/>
    <w:next w:val="Normal"/>
    <w:uiPriority w:val="9"/>
    <w:qFormat/>
    <w:locked/>
    <w:rsid w:val="006F7DD4"/>
    <w:pPr>
      <w:keepNext/>
      <w:keepLines/>
      <w:numPr>
        <w:ilvl w:val="2"/>
        <w:numId w:val="43"/>
      </w:numPr>
      <w:spacing w:before="360"/>
      <w:outlineLvl w:val="3"/>
    </w:pPr>
    <w:rPr>
      <w:rFonts w:eastAsia="EC Square Sans Pro"/>
      <w:color w:val="003399" w:themeColor="text2"/>
      <w:sz w:val="28"/>
      <w:szCs w:val="21"/>
      <w:lang w:eastAsia="zh-CN"/>
    </w:rPr>
  </w:style>
  <w:style w:type="character" w:customStyle="1" w:styleId="Marker">
    <w:name w:val="Marker"/>
    <w:basedOn w:val="DefaultParagraphFont"/>
    <w:rsid w:val="00D95FB4"/>
    <w:rPr>
      <w:color w:val="0000FF"/>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9885">
      <w:bodyDiv w:val="1"/>
      <w:marLeft w:val="0"/>
      <w:marRight w:val="0"/>
      <w:marTop w:val="0"/>
      <w:marBottom w:val="0"/>
      <w:divBdr>
        <w:top w:val="none" w:sz="0" w:space="0" w:color="auto"/>
        <w:left w:val="none" w:sz="0" w:space="0" w:color="auto"/>
        <w:bottom w:val="none" w:sz="0" w:space="0" w:color="auto"/>
        <w:right w:val="none" w:sz="0" w:space="0" w:color="auto"/>
      </w:divBdr>
    </w:div>
    <w:div w:id="39212501">
      <w:bodyDiv w:val="1"/>
      <w:marLeft w:val="0"/>
      <w:marRight w:val="0"/>
      <w:marTop w:val="0"/>
      <w:marBottom w:val="0"/>
      <w:divBdr>
        <w:top w:val="none" w:sz="0" w:space="0" w:color="auto"/>
        <w:left w:val="none" w:sz="0" w:space="0" w:color="auto"/>
        <w:bottom w:val="none" w:sz="0" w:space="0" w:color="auto"/>
        <w:right w:val="none" w:sz="0" w:space="0" w:color="auto"/>
      </w:divBdr>
      <w:divsChild>
        <w:div w:id="314458515">
          <w:marLeft w:val="0"/>
          <w:marRight w:val="0"/>
          <w:marTop w:val="0"/>
          <w:marBottom w:val="0"/>
          <w:divBdr>
            <w:top w:val="none" w:sz="0" w:space="0" w:color="auto"/>
            <w:left w:val="none" w:sz="0" w:space="0" w:color="auto"/>
            <w:bottom w:val="none" w:sz="0" w:space="0" w:color="auto"/>
            <w:right w:val="none" w:sz="0" w:space="0" w:color="auto"/>
          </w:divBdr>
        </w:div>
        <w:div w:id="835191440">
          <w:marLeft w:val="0"/>
          <w:marRight w:val="0"/>
          <w:marTop w:val="0"/>
          <w:marBottom w:val="0"/>
          <w:divBdr>
            <w:top w:val="none" w:sz="0" w:space="0" w:color="auto"/>
            <w:left w:val="none" w:sz="0" w:space="0" w:color="auto"/>
            <w:bottom w:val="none" w:sz="0" w:space="0" w:color="auto"/>
            <w:right w:val="none" w:sz="0" w:space="0" w:color="auto"/>
          </w:divBdr>
        </w:div>
        <w:div w:id="1251739088">
          <w:marLeft w:val="0"/>
          <w:marRight w:val="0"/>
          <w:marTop w:val="0"/>
          <w:marBottom w:val="0"/>
          <w:divBdr>
            <w:top w:val="none" w:sz="0" w:space="0" w:color="auto"/>
            <w:left w:val="none" w:sz="0" w:space="0" w:color="auto"/>
            <w:bottom w:val="none" w:sz="0" w:space="0" w:color="auto"/>
            <w:right w:val="none" w:sz="0" w:space="0" w:color="auto"/>
          </w:divBdr>
        </w:div>
      </w:divsChild>
    </w:div>
    <w:div w:id="61610649">
      <w:bodyDiv w:val="1"/>
      <w:marLeft w:val="0"/>
      <w:marRight w:val="0"/>
      <w:marTop w:val="0"/>
      <w:marBottom w:val="0"/>
      <w:divBdr>
        <w:top w:val="none" w:sz="0" w:space="0" w:color="auto"/>
        <w:left w:val="none" w:sz="0" w:space="0" w:color="auto"/>
        <w:bottom w:val="none" w:sz="0" w:space="0" w:color="auto"/>
        <w:right w:val="none" w:sz="0" w:space="0" w:color="auto"/>
      </w:divBdr>
    </w:div>
    <w:div w:id="104663373">
      <w:bodyDiv w:val="1"/>
      <w:marLeft w:val="0"/>
      <w:marRight w:val="0"/>
      <w:marTop w:val="0"/>
      <w:marBottom w:val="0"/>
      <w:divBdr>
        <w:top w:val="none" w:sz="0" w:space="0" w:color="auto"/>
        <w:left w:val="none" w:sz="0" w:space="0" w:color="auto"/>
        <w:bottom w:val="none" w:sz="0" w:space="0" w:color="auto"/>
        <w:right w:val="none" w:sz="0" w:space="0" w:color="auto"/>
      </w:divBdr>
    </w:div>
    <w:div w:id="139468484">
      <w:bodyDiv w:val="1"/>
      <w:marLeft w:val="0"/>
      <w:marRight w:val="0"/>
      <w:marTop w:val="0"/>
      <w:marBottom w:val="0"/>
      <w:divBdr>
        <w:top w:val="none" w:sz="0" w:space="0" w:color="auto"/>
        <w:left w:val="none" w:sz="0" w:space="0" w:color="auto"/>
        <w:bottom w:val="none" w:sz="0" w:space="0" w:color="auto"/>
        <w:right w:val="none" w:sz="0" w:space="0" w:color="auto"/>
      </w:divBdr>
    </w:div>
    <w:div w:id="140579469">
      <w:bodyDiv w:val="1"/>
      <w:marLeft w:val="0"/>
      <w:marRight w:val="0"/>
      <w:marTop w:val="0"/>
      <w:marBottom w:val="0"/>
      <w:divBdr>
        <w:top w:val="none" w:sz="0" w:space="0" w:color="auto"/>
        <w:left w:val="none" w:sz="0" w:space="0" w:color="auto"/>
        <w:bottom w:val="none" w:sz="0" w:space="0" w:color="auto"/>
        <w:right w:val="none" w:sz="0" w:space="0" w:color="auto"/>
      </w:divBdr>
      <w:divsChild>
        <w:div w:id="121463417">
          <w:marLeft w:val="0"/>
          <w:marRight w:val="0"/>
          <w:marTop w:val="0"/>
          <w:marBottom w:val="0"/>
          <w:divBdr>
            <w:top w:val="none" w:sz="0" w:space="0" w:color="auto"/>
            <w:left w:val="none" w:sz="0" w:space="0" w:color="auto"/>
            <w:bottom w:val="none" w:sz="0" w:space="0" w:color="auto"/>
            <w:right w:val="none" w:sz="0" w:space="0" w:color="auto"/>
          </w:divBdr>
        </w:div>
        <w:div w:id="1487742588">
          <w:marLeft w:val="0"/>
          <w:marRight w:val="0"/>
          <w:marTop w:val="0"/>
          <w:marBottom w:val="0"/>
          <w:divBdr>
            <w:top w:val="none" w:sz="0" w:space="0" w:color="auto"/>
            <w:left w:val="none" w:sz="0" w:space="0" w:color="auto"/>
            <w:bottom w:val="none" w:sz="0" w:space="0" w:color="auto"/>
            <w:right w:val="none" w:sz="0" w:space="0" w:color="auto"/>
          </w:divBdr>
        </w:div>
        <w:div w:id="1875383978">
          <w:marLeft w:val="0"/>
          <w:marRight w:val="0"/>
          <w:marTop w:val="0"/>
          <w:marBottom w:val="0"/>
          <w:divBdr>
            <w:top w:val="none" w:sz="0" w:space="0" w:color="auto"/>
            <w:left w:val="none" w:sz="0" w:space="0" w:color="auto"/>
            <w:bottom w:val="none" w:sz="0" w:space="0" w:color="auto"/>
            <w:right w:val="none" w:sz="0" w:space="0" w:color="auto"/>
          </w:divBdr>
        </w:div>
      </w:divsChild>
    </w:div>
    <w:div w:id="143667947">
      <w:bodyDiv w:val="1"/>
      <w:marLeft w:val="0"/>
      <w:marRight w:val="0"/>
      <w:marTop w:val="0"/>
      <w:marBottom w:val="0"/>
      <w:divBdr>
        <w:top w:val="none" w:sz="0" w:space="0" w:color="auto"/>
        <w:left w:val="none" w:sz="0" w:space="0" w:color="auto"/>
        <w:bottom w:val="none" w:sz="0" w:space="0" w:color="auto"/>
        <w:right w:val="none" w:sz="0" w:space="0" w:color="auto"/>
      </w:divBdr>
    </w:div>
    <w:div w:id="146751609">
      <w:bodyDiv w:val="1"/>
      <w:marLeft w:val="0"/>
      <w:marRight w:val="0"/>
      <w:marTop w:val="0"/>
      <w:marBottom w:val="0"/>
      <w:divBdr>
        <w:top w:val="none" w:sz="0" w:space="0" w:color="auto"/>
        <w:left w:val="none" w:sz="0" w:space="0" w:color="auto"/>
        <w:bottom w:val="none" w:sz="0" w:space="0" w:color="auto"/>
        <w:right w:val="none" w:sz="0" w:space="0" w:color="auto"/>
      </w:divBdr>
    </w:div>
    <w:div w:id="176430540">
      <w:bodyDiv w:val="1"/>
      <w:marLeft w:val="0"/>
      <w:marRight w:val="0"/>
      <w:marTop w:val="0"/>
      <w:marBottom w:val="0"/>
      <w:divBdr>
        <w:top w:val="none" w:sz="0" w:space="0" w:color="auto"/>
        <w:left w:val="none" w:sz="0" w:space="0" w:color="auto"/>
        <w:bottom w:val="none" w:sz="0" w:space="0" w:color="auto"/>
        <w:right w:val="none" w:sz="0" w:space="0" w:color="auto"/>
      </w:divBdr>
      <w:divsChild>
        <w:div w:id="1194884581">
          <w:marLeft w:val="0"/>
          <w:marRight w:val="0"/>
          <w:marTop w:val="0"/>
          <w:marBottom w:val="0"/>
          <w:divBdr>
            <w:top w:val="none" w:sz="0" w:space="0" w:color="auto"/>
            <w:left w:val="none" w:sz="0" w:space="0" w:color="auto"/>
            <w:bottom w:val="none" w:sz="0" w:space="0" w:color="auto"/>
            <w:right w:val="none" w:sz="0" w:space="0" w:color="auto"/>
          </w:divBdr>
        </w:div>
        <w:div w:id="1362978692">
          <w:marLeft w:val="0"/>
          <w:marRight w:val="0"/>
          <w:marTop w:val="0"/>
          <w:marBottom w:val="0"/>
          <w:divBdr>
            <w:top w:val="none" w:sz="0" w:space="0" w:color="auto"/>
            <w:left w:val="none" w:sz="0" w:space="0" w:color="auto"/>
            <w:bottom w:val="none" w:sz="0" w:space="0" w:color="auto"/>
            <w:right w:val="none" w:sz="0" w:space="0" w:color="auto"/>
          </w:divBdr>
        </w:div>
        <w:div w:id="1674381990">
          <w:marLeft w:val="0"/>
          <w:marRight w:val="0"/>
          <w:marTop w:val="0"/>
          <w:marBottom w:val="0"/>
          <w:divBdr>
            <w:top w:val="none" w:sz="0" w:space="0" w:color="auto"/>
            <w:left w:val="none" w:sz="0" w:space="0" w:color="auto"/>
            <w:bottom w:val="none" w:sz="0" w:space="0" w:color="auto"/>
            <w:right w:val="none" w:sz="0" w:space="0" w:color="auto"/>
          </w:divBdr>
        </w:div>
      </w:divsChild>
    </w:div>
    <w:div w:id="182784864">
      <w:bodyDiv w:val="1"/>
      <w:marLeft w:val="0"/>
      <w:marRight w:val="0"/>
      <w:marTop w:val="0"/>
      <w:marBottom w:val="0"/>
      <w:divBdr>
        <w:top w:val="none" w:sz="0" w:space="0" w:color="auto"/>
        <w:left w:val="none" w:sz="0" w:space="0" w:color="auto"/>
        <w:bottom w:val="none" w:sz="0" w:space="0" w:color="auto"/>
        <w:right w:val="none" w:sz="0" w:space="0" w:color="auto"/>
      </w:divBdr>
    </w:div>
    <w:div w:id="204873087">
      <w:bodyDiv w:val="1"/>
      <w:marLeft w:val="0"/>
      <w:marRight w:val="0"/>
      <w:marTop w:val="0"/>
      <w:marBottom w:val="0"/>
      <w:divBdr>
        <w:top w:val="none" w:sz="0" w:space="0" w:color="auto"/>
        <w:left w:val="none" w:sz="0" w:space="0" w:color="auto"/>
        <w:bottom w:val="none" w:sz="0" w:space="0" w:color="auto"/>
        <w:right w:val="none" w:sz="0" w:space="0" w:color="auto"/>
      </w:divBdr>
    </w:div>
    <w:div w:id="205609907">
      <w:bodyDiv w:val="1"/>
      <w:marLeft w:val="0"/>
      <w:marRight w:val="0"/>
      <w:marTop w:val="0"/>
      <w:marBottom w:val="0"/>
      <w:divBdr>
        <w:top w:val="none" w:sz="0" w:space="0" w:color="auto"/>
        <w:left w:val="none" w:sz="0" w:space="0" w:color="auto"/>
        <w:bottom w:val="none" w:sz="0" w:space="0" w:color="auto"/>
        <w:right w:val="none" w:sz="0" w:space="0" w:color="auto"/>
      </w:divBdr>
    </w:div>
    <w:div w:id="287705115">
      <w:bodyDiv w:val="1"/>
      <w:marLeft w:val="0"/>
      <w:marRight w:val="0"/>
      <w:marTop w:val="0"/>
      <w:marBottom w:val="0"/>
      <w:divBdr>
        <w:top w:val="none" w:sz="0" w:space="0" w:color="auto"/>
        <w:left w:val="none" w:sz="0" w:space="0" w:color="auto"/>
        <w:bottom w:val="none" w:sz="0" w:space="0" w:color="auto"/>
        <w:right w:val="none" w:sz="0" w:space="0" w:color="auto"/>
      </w:divBdr>
      <w:divsChild>
        <w:div w:id="211771893">
          <w:marLeft w:val="0"/>
          <w:marRight w:val="0"/>
          <w:marTop w:val="0"/>
          <w:marBottom w:val="0"/>
          <w:divBdr>
            <w:top w:val="none" w:sz="0" w:space="0" w:color="auto"/>
            <w:left w:val="none" w:sz="0" w:space="0" w:color="auto"/>
            <w:bottom w:val="none" w:sz="0" w:space="0" w:color="auto"/>
            <w:right w:val="none" w:sz="0" w:space="0" w:color="auto"/>
          </w:divBdr>
        </w:div>
        <w:div w:id="971592766">
          <w:marLeft w:val="0"/>
          <w:marRight w:val="0"/>
          <w:marTop w:val="0"/>
          <w:marBottom w:val="0"/>
          <w:divBdr>
            <w:top w:val="none" w:sz="0" w:space="0" w:color="auto"/>
            <w:left w:val="none" w:sz="0" w:space="0" w:color="auto"/>
            <w:bottom w:val="none" w:sz="0" w:space="0" w:color="auto"/>
            <w:right w:val="none" w:sz="0" w:space="0" w:color="auto"/>
          </w:divBdr>
        </w:div>
        <w:div w:id="1313825308">
          <w:marLeft w:val="0"/>
          <w:marRight w:val="0"/>
          <w:marTop w:val="0"/>
          <w:marBottom w:val="0"/>
          <w:divBdr>
            <w:top w:val="none" w:sz="0" w:space="0" w:color="auto"/>
            <w:left w:val="none" w:sz="0" w:space="0" w:color="auto"/>
            <w:bottom w:val="none" w:sz="0" w:space="0" w:color="auto"/>
            <w:right w:val="none" w:sz="0" w:space="0" w:color="auto"/>
          </w:divBdr>
        </w:div>
        <w:div w:id="1352730757">
          <w:marLeft w:val="0"/>
          <w:marRight w:val="0"/>
          <w:marTop w:val="0"/>
          <w:marBottom w:val="0"/>
          <w:divBdr>
            <w:top w:val="none" w:sz="0" w:space="0" w:color="auto"/>
            <w:left w:val="none" w:sz="0" w:space="0" w:color="auto"/>
            <w:bottom w:val="none" w:sz="0" w:space="0" w:color="auto"/>
            <w:right w:val="none" w:sz="0" w:space="0" w:color="auto"/>
          </w:divBdr>
        </w:div>
        <w:div w:id="1562449871">
          <w:marLeft w:val="0"/>
          <w:marRight w:val="0"/>
          <w:marTop w:val="0"/>
          <w:marBottom w:val="0"/>
          <w:divBdr>
            <w:top w:val="none" w:sz="0" w:space="0" w:color="auto"/>
            <w:left w:val="none" w:sz="0" w:space="0" w:color="auto"/>
            <w:bottom w:val="none" w:sz="0" w:space="0" w:color="auto"/>
            <w:right w:val="none" w:sz="0" w:space="0" w:color="auto"/>
          </w:divBdr>
        </w:div>
        <w:div w:id="2054377823">
          <w:marLeft w:val="0"/>
          <w:marRight w:val="0"/>
          <w:marTop w:val="0"/>
          <w:marBottom w:val="0"/>
          <w:divBdr>
            <w:top w:val="none" w:sz="0" w:space="0" w:color="auto"/>
            <w:left w:val="none" w:sz="0" w:space="0" w:color="auto"/>
            <w:bottom w:val="none" w:sz="0" w:space="0" w:color="auto"/>
            <w:right w:val="none" w:sz="0" w:space="0" w:color="auto"/>
          </w:divBdr>
        </w:div>
      </w:divsChild>
    </w:div>
    <w:div w:id="337734657">
      <w:bodyDiv w:val="1"/>
      <w:marLeft w:val="0"/>
      <w:marRight w:val="0"/>
      <w:marTop w:val="0"/>
      <w:marBottom w:val="0"/>
      <w:divBdr>
        <w:top w:val="none" w:sz="0" w:space="0" w:color="auto"/>
        <w:left w:val="none" w:sz="0" w:space="0" w:color="auto"/>
        <w:bottom w:val="none" w:sz="0" w:space="0" w:color="auto"/>
        <w:right w:val="none" w:sz="0" w:space="0" w:color="auto"/>
      </w:divBdr>
    </w:div>
    <w:div w:id="345905655">
      <w:bodyDiv w:val="1"/>
      <w:marLeft w:val="0"/>
      <w:marRight w:val="0"/>
      <w:marTop w:val="0"/>
      <w:marBottom w:val="0"/>
      <w:divBdr>
        <w:top w:val="none" w:sz="0" w:space="0" w:color="auto"/>
        <w:left w:val="none" w:sz="0" w:space="0" w:color="auto"/>
        <w:bottom w:val="none" w:sz="0" w:space="0" w:color="auto"/>
        <w:right w:val="none" w:sz="0" w:space="0" w:color="auto"/>
      </w:divBdr>
      <w:divsChild>
        <w:div w:id="332032959">
          <w:marLeft w:val="0"/>
          <w:marRight w:val="0"/>
          <w:marTop w:val="0"/>
          <w:marBottom w:val="0"/>
          <w:divBdr>
            <w:top w:val="none" w:sz="0" w:space="0" w:color="auto"/>
            <w:left w:val="none" w:sz="0" w:space="0" w:color="auto"/>
            <w:bottom w:val="none" w:sz="0" w:space="0" w:color="auto"/>
            <w:right w:val="none" w:sz="0" w:space="0" w:color="auto"/>
          </w:divBdr>
        </w:div>
        <w:div w:id="528418672">
          <w:marLeft w:val="0"/>
          <w:marRight w:val="0"/>
          <w:marTop w:val="0"/>
          <w:marBottom w:val="0"/>
          <w:divBdr>
            <w:top w:val="none" w:sz="0" w:space="0" w:color="auto"/>
            <w:left w:val="none" w:sz="0" w:space="0" w:color="auto"/>
            <w:bottom w:val="none" w:sz="0" w:space="0" w:color="auto"/>
            <w:right w:val="none" w:sz="0" w:space="0" w:color="auto"/>
          </w:divBdr>
        </w:div>
        <w:div w:id="1765415404">
          <w:marLeft w:val="0"/>
          <w:marRight w:val="0"/>
          <w:marTop w:val="0"/>
          <w:marBottom w:val="0"/>
          <w:divBdr>
            <w:top w:val="none" w:sz="0" w:space="0" w:color="auto"/>
            <w:left w:val="none" w:sz="0" w:space="0" w:color="auto"/>
            <w:bottom w:val="none" w:sz="0" w:space="0" w:color="auto"/>
            <w:right w:val="none" w:sz="0" w:space="0" w:color="auto"/>
          </w:divBdr>
        </w:div>
      </w:divsChild>
    </w:div>
    <w:div w:id="360667900">
      <w:bodyDiv w:val="1"/>
      <w:marLeft w:val="0"/>
      <w:marRight w:val="0"/>
      <w:marTop w:val="0"/>
      <w:marBottom w:val="0"/>
      <w:divBdr>
        <w:top w:val="none" w:sz="0" w:space="0" w:color="auto"/>
        <w:left w:val="none" w:sz="0" w:space="0" w:color="auto"/>
        <w:bottom w:val="none" w:sz="0" w:space="0" w:color="auto"/>
        <w:right w:val="none" w:sz="0" w:space="0" w:color="auto"/>
      </w:divBdr>
      <w:divsChild>
        <w:div w:id="1148747312">
          <w:marLeft w:val="0"/>
          <w:marRight w:val="0"/>
          <w:marTop w:val="0"/>
          <w:marBottom w:val="0"/>
          <w:divBdr>
            <w:top w:val="none" w:sz="0" w:space="0" w:color="auto"/>
            <w:left w:val="none" w:sz="0" w:space="0" w:color="auto"/>
            <w:bottom w:val="none" w:sz="0" w:space="0" w:color="auto"/>
            <w:right w:val="none" w:sz="0" w:space="0" w:color="auto"/>
          </w:divBdr>
        </w:div>
        <w:div w:id="1401750584">
          <w:marLeft w:val="0"/>
          <w:marRight w:val="0"/>
          <w:marTop w:val="0"/>
          <w:marBottom w:val="0"/>
          <w:divBdr>
            <w:top w:val="none" w:sz="0" w:space="0" w:color="auto"/>
            <w:left w:val="none" w:sz="0" w:space="0" w:color="auto"/>
            <w:bottom w:val="none" w:sz="0" w:space="0" w:color="auto"/>
            <w:right w:val="none" w:sz="0" w:space="0" w:color="auto"/>
          </w:divBdr>
        </w:div>
        <w:div w:id="1491293219">
          <w:marLeft w:val="0"/>
          <w:marRight w:val="0"/>
          <w:marTop w:val="0"/>
          <w:marBottom w:val="0"/>
          <w:divBdr>
            <w:top w:val="none" w:sz="0" w:space="0" w:color="auto"/>
            <w:left w:val="none" w:sz="0" w:space="0" w:color="auto"/>
            <w:bottom w:val="none" w:sz="0" w:space="0" w:color="auto"/>
            <w:right w:val="none" w:sz="0" w:space="0" w:color="auto"/>
          </w:divBdr>
        </w:div>
      </w:divsChild>
    </w:div>
    <w:div w:id="366372291">
      <w:bodyDiv w:val="1"/>
      <w:marLeft w:val="0"/>
      <w:marRight w:val="0"/>
      <w:marTop w:val="0"/>
      <w:marBottom w:val="0"/>
      <w:divBdr>
        <w:top w:val="none" w:sz="0" w:space="0" w:color="auto"/>
        <w:left w:val="none" w:sz="0" w:space="0" w:color="auto"/>
        <w:bottom w:val="none" w:sz="0" w:space="0" w:color="auto"/>
        <w:right w:val="none" w:sz="0" w:space="0" w:color="auto"/>
      </w:divBdr>
    </w:div>
    <w:div w:id="372389954">
      <w:bodyDiv w:val="1"/>
      <w:marLeft w:val="0"/>
      <w:marRight w:val="0"/>
      <w:marTop w:val="0"/>
      <w:marBottom w:val="0"/>
      <w:divBdr>
        <w:top w:val="none" w:sz="0" w:space="0" w:color="auto"/>
        <w:left w:val="none" w:sz="0" w:space="0" w:color="auto"/>
        <w:bottom w:val="none" w:sz="0" w:space="0" w:color="auto"/>
        <w:right w:val="none" w:sz="0" w:space="0" w:color="auto"/>
      </w:divBdr>
    </w:div>
    <w:div w:id="374040870">
      <w:bodyDiv w:val="1"/>
      <w:marLeft w:val="0"/>
      <w:marRight w:val="0"/>
      <w:marTop w:val="0"/>
      <w:marBottom w:val="0"/>
      <w:divBdr>
        <w:top w:val="none" w:sz="0" w:space="0" w:color="auto"/>
        <w:left w:val="none" w:sz="0" w:space="0" w:color="auto"/>
        <w:bottom w:val="none" w:sz="0" w:space="0" w:color="auto"/>
        <w:right w:val="none" w:sz="0" w:space="0" w:color="auto"/>
      </w:divBdr>
    </w:div>
    <w:div w:id="374889769">
      <w:bodyDiv w:val="1"/>
      <w:marLeft w:val="0"/>
      <w:marRight w:val="0"/>
      <w:marTop w:val="0"/>
      <w:marBottom w:val="0"/>
      <w:divBdr>
        <w:top w:val="none" w:sz="0" w:space="0" w:color="auto"/>
        <w:left w:val="none" w:sz="0" w:space="0" w:color="auto"/>
        <w:bottom w:val="none" w:sz="0" w:space="0" w:color="auto"/>
        <w:right w:val="none" w:sz="0" w:space="0" w:color="auto"/>
      </w:divBdr>
      <w:divsChild>
        <w:div w:id="186912166">
          <w:marLeft w:val="0"/>
          <w:marRight w:val="0"/>
          <w:marTop w:val="0"/>
          <w:marBottom w:val="0"/>
          <w:divBdr>
            <w:top w:val="none" w:sz="0" w:space="0" w:color="auto"/>
            <w:left w:val="none" w:sz="0" w:space="0" w:color="auto"/>
            <w:bottom w:val="none" w:sz="0" w:space="0" w:color="auto"/>
            <w:right w:val="none" w:sz="0" w:space="0" w:color="auto"/>
          </w:divBdr>
          <w:divsChild>
            <w:div w:id="1458375914">
              <w:marLeft w:val="0"/>
              <w:marRight w:val="0"/>
              <w:marTop w:val="0"/>
              <w:marBottom w:val="0"/>
              <w:divBdr>
                <w:top w:val="none" w:sz="0" w:space="0" w:color="auto"/>
                <w:left w:val="none" w:sz="0" w:space="0" w:color="auto"/>
                <w:bottom w:val="none" w:sz="0" w:space="0" w:color="auto"/>
                <w:right w:val="none" w:sz="0" w:space="0" w:color="auto"/>
              </w:divBdr>
              <w:divsChild>
                <w:div w:id="165636422">
                  <w:marLeft w:val="0"/>
                  <w:marRight w:val="0"/>
                  <w:marTop w:val="0"/>
                  <w:marBottom w:val="0"/>
                  <w:divBdr>
                    <w:top w:val="none" w:sz="0" w:space="0" w:color="auto"/>
                    <w:left w:val="none" w:sz="0" w:space="0" w:color="auto"/>
                    <w:bottom w:val="none" w:sz="0" w:space="0" w:color="auto"/>
                    <w:right w:val="none" w:sz="0" w:space="0" w:color="auto"/>
                  </w:divBdr>
                  <w:divsChild>
                    <w:div w:id="191523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206216">
          <w:marLeft w:val="0"/>
          <w:marRight w:val="0"/>
          <w:marTop w:val="0"/>
          <w:marBottom w:val="0"/>
          <w:divBdr>
            <w:top w:val="none" w:sz="0" w:space="0" w:color="auto"/>
            <w:left w:val="none" w:sz="0" w:space="0" w:color="auto"/>
            <w:bottom w:val="none" w:sz="0" w:space="0" w:color="auto"/>
            <w:right w:val="none" w:sz="0" w:space="0" w:color="auto"/>
          </w:divBdr>
          <w:divsChild>
            <w:div w:id="65268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985339">
      <w:bodyDiv w:val="1"/>
      <w:marLeft w:val="0"/>
      <w:marRight w:val="0"/>
      <w:marTop w:val="0"/>
      <w:marBottom w:val="0"/>
      <w:divBdr>
        <w:top w:val="none" w:sz="0" w:space="0" w:color="auto"/>
        <w:left w:val="none" w:sz="0" w:space="0" w:color="auto"/>
        <w:bottom w:val="none" w:sz="0" w:space="0" w:color="auto"/>
        <w:right w:val="none" w:sz="0" w:space="0" w:color="auto"/>
      </w:divBdr>
    </w:div>
    <w:div w:id="382800962">
      <w:bodyDiv w:val="1"/>
      <w:marLeft w:val="0"/>
      <w:marRight w:val="0"/>
      <w:marTop w:val="0"/>
      <w:marBottom w:val="0"/>
      <w:divBdr>
        <w:top w:val="none" w:sz="0" w:space="0" w:color="auto"/>
        <w:left w:val="none" w:sz="0" w:space="0" w:color="auto"/>
        <w:bottom w:val="none" w:sz="0" w:space="0" w:color="auto"/>
        <w:right w:val="none" w:sz="0" w:space="0" w:color="auto"/>
      </w:divBdr>
    </w:div>
    <w:div w:id="408043897">
      <w:bodyDiv w:val="1"/>
      <w:marLeft w:val="0"/>
      <w:marRight w:val="0"/>
      <w:marTop w:val="0"/>
      <w:marBottom w:val="0"/>
      <w:divBdr>
        <w:top w:val="none" w:sz="0" w:space="0" w:color="auto"/>
        <w:left w:val="none" w:sz="0" w:space="0" w:color="auto"/>
        <w:bottom w:val="none" w:sz="0" w:space="0" w:color="auto"/>
        <w:right w:val="none" w:sz="0" w:space="0" w:color="auto"/>
      </w:divBdr>
    </w:div>
    <w:div w:id="412044361">
      <w:bodyDiv w:val="1"/>
      <w:marLeft w:val="0"/>
      <w:marRight w:val="0"/>
      <w:marTop w:val="0"/>
      <w:marBottom w:val="0"/>
      <w:divBdr>
        <w:top w:val="none" w:sz="0" w:space="0" w:color="auto"/>
        <w:left w:val="none" w:sz="0" w:space="0" w:color="auto"/>
        <w:bottom w:val="none" w:sz="0" w:space="0" w:color="auto"/>
        <w:right w:val="none" w:sz="0" w:space="0" w:color="auto"/>
      </w:divBdr>
    </w:div>
    <w:div w:id="416365185">
      <w:bodyDiv w:val="1"/>
      <w:marLeft w:val="0"/>
      <w:marRight w:val="0"/>
      <w:marTop w:val="0"/>
      <w:marBottom w:val="0"/>
      <w:divBdr>
        <w:top w:val="none" w:sz="0" w:space="0" w:color="auto"/>
        <w:left w:val="none" w:sz="0" w:space="0" w:color="auto"/>
        <w:bottom w:val="none" w:sz="0" w:space="0" w:color="auto"/>
        <w:right w:val="none" w:sz="0" w:space="0" w:color="auto"/>
      </w:divBdr>
    </w:div>
    <w:div w:id="422455165">
      <w:bodyDiv w:val="1"/>
      <w:marLeft w:val="0"/>
      <w:marRight w:val="0"/>
      <w:marTop w:val="0"/>
      <w:marBottom w:val="0"/>
      <w:divBdr>
        <w:top w:val="none" w:sz="0" w:space="0" w:color="auto"/>
        <w:left w:val="none" w:sz="0" w:space="0" w:color="auto"/>
        <w:bottom w:val="none" w:sz="0" w:space="0" w:color="auto"/>
        <w:right w:val="none" w:sz="0" w:space="0" w:color="auto"/>
      </w:divBdr>
    </w:div>
    <w:div w:id="423453324">
      <w:bodyDiv w:val="1"/>
      <w:marLeft w:val="0"/>
      <w:marRight w:val="0"/>
      <w:marTop w:val="0"/>
      <w:marBottom w:val="0"/>
      <w:divBdr>
        <w:top w:val="none" w:sz="0" w:space="0" w:color="auto"/>
        <w:left w:val="none" w:sz="0" w:space="0" w:color="auto"/>
        <w:bottom w:val="none" w:sz="0" w:space="0" w:color="auto"/>
        <w:right w:val="none" w:sz="0" w:space="0" w:color="auto"/>
      </w:divBdr>
    </w:div>
    <w:div w:id="431122740">
      <w:bodyDiv w:val="1"/>
      <w:marLeft w:val="0"/>
      <w:marRight w:val="0"/>
      <w:marTop w:val="0"/>
      <w:marBottom w:val="0"/>
      <w:divBdr>
        <w:top w:val="none" w:sz="0" w:space="0" w:color="auto"/>
        <w:left w:val="none" w:sz="0" w:space="0" w:color="auto"/>
        <w:bottom w:val="none" w:sz="0" w:space="0" w:color="auto"/>
        <w:right w:val="none" w:sz="0" w:space="0" w:color="auto"/>
      </w:divBdr>
    </w:div>
    <w:div w:id="433329007">
      <w:bodyDiv w:val="1"/>
      <w:marLeft w:val="0"/>
      <w:marRight w:val="0"/>
      <w:marTop w:val="0"/>
      <w:marBottom w:val="0"/>
      <w:divBdr>
        <w:top w:val="none" w:sz="0" w:space="0" w:color="auto"/>
        <w:left w:val="none" w:sz="0" w:space="0" w:color="auto"/>
        <w:bottom w:val="none" w:sz="0" w:space="0" w:color="auto"/>
        <w:right w:val="none" w:sz="0" w:space="0" w:color="auto"/>
      </w:divBdr>
    </w:div>
    <w:div w:id="434712124">
      <w:bodyDiv w:val="1"/>
      <w:marLeft w:val="0"/>
      <w:marRight w:val="0"/>
      <w:marTop w:val="0"/>
      <w:marBottom w:val="0"/>
      <w:divBdr>
        <w:top w:val="none" w:sz="0" w:space="0" w:color="auto"/>
        <w:left w:val="none" w:sz="0" w:space="0" w:color="auto"/>
        <w:bottom w:val="none" w:sz="0" w:space="0" w:color="auto"/>
        <w:right w:val="none" w:sz="0" w:space="0" w:color="auto"/>
      </w:divBdr>
    </w:div>
    <w:div w:id="441582379">
      <w:bodyDiv w:val="1"/>
      <w:marLeft w:val="0"/>
      <w:marRight w:val="0"/>
      <w:marTop w:val="0"/>
      <w:marBottom w:val="0"/>
      <w:divBdr>
        <w:top w:val="none" w:sz="0" w:space="0" w:color="auto"/>
        <w:left w:val="none" w:sz="0" w:space="0" w:color="auto"/>
        <w:bottom w:val="none" w:sz="0" w:space="0" w:color="auto"/>
        <w:right w:val="none" w:sz="0" w:space="0" w:color="auto"/>
      </w:divBdr>
    </w:div>
    <w:div w:id="465584467">
      <w:bodyDiv w:val="1"/>
      <w:marLeft w:val="0"/>
      <w:marRight w:val="0"/>
      <w:marTop w:val="0"/>
      <w:marBottom w:val="0"/>
      <w:divBdr>
        <w:top w:val="none" w:sz="0" w:space="0" w:color="auto"/>
        <w:left w:val="none" w:sz="0" w:space="0" w:color="auto"/>
        <w:bottom w:val="none" w:sz="0" w:space="0" w:color="auto"/>
        <w:right w:val="none" w:sz="0" w:space="0" w:color="auto"/>
      </w:divBdr>
      <w:divsChild>
        <w:div w:id="194276618">
          <w:marLeft w:val="0"/>
          <w:marRight w:val="0"/>
          <w:marTop w:val="0"/>
          <w:marBottom w:val="0"/>
          <w:divBdr>
            <w:top w:val="none" w:sz="0" w:space="0" w:color="auto"/>
            <w:left w:val="none" w:sz="0" w:space="0" w:color="auto"/>
            <w:bottom w:val="none" w:sz="0" w:space="0" w:color="auto"/>
            <w:right w:val="none" w:sz="0" w:space="0" w:color="auto"/>
          </w:divBdr>
        </w:div>
        <w:div w:id="220943479">
          <w:marLeft w:val="0"/>
          <w:marRight w:val="0"/>
          <w:marTop w:val="0"/>
          <w:marBottom w:val="0"/>
          <w:divBdr>
            <w:top w:val="none" w:sz="0" w:space="0" w:color="auto"/>
            <w:left w:val="none" w:sz="0" w:space="0" w:color="auto"/>
            <w:bottom w:val="none" w:sz="0" w:space="0" w:color="auto"/>
            <w:right w:val="none" w:sz="0" w:space="0" w:color="auto"/>
          </w:divBdr>
        </w:div>
        <w:div w:id="1174108760">
          <w:marLeft w:val="0"/>
          <w:marRight w:val="0"/>
          <w:marTop w:val="0"/>
          <w:marBottom w:val="0"/>
          <w:divBdr>
            <w:top w:val="none" w:sz="0" w:space="0" w:color="auto"/>
            <w:left w:val="none" w:sz="0" w:space="0" w:color="auto"/>
            <w:bottom w:val="none" w:sz="0" w:space="0" w:color="auto"/>
            <w:right w:val="none" w:sz="0" w:space="0" w:color="auto"/>
          </w:divBdr>
        </w:div>
      </w:divsChild>
    </w:div>
    <w:div w:id="478305854">
      <w:bodyDiv w:val="1"/>
      <w:marLeft w:val="0"/>
      <w:marRight w:val="0"/>
      <w:marTop w:val="0"/>
      <w:marBottom w:val="0"/>
      <w:divBdr>
        <w:top w:val="none" w:sz="0" w:space="0" w:color="auto"/>
        <w:left w:val="none" w:sz="0" w:space="0" w:color="auto"/>
        <w:bottom w:val="none" w:sz="0" w:space="0" w:color="auto"/>
        <w:right w:val="none" w:sz="0" w:space="0" w:color="auto"/>
      </w:divBdr>
    </w:div>
    <w:div w:id="480850127">
      <w:bodyDiv w:val="1"/>
      <w:marLeft w:val="0"/>
      <w:marRight w:val="0"/>
      <w:marTop w:val="0"/>
      <w:marBottom w:val="0"/>
      <w:divBdr>
        <w:top w:val="none" w:sz="0" w:space="0" w:color="auto"/>
        <w:left w:val="none" w:sz="0" w:space="0" w:color="auto"/>
        <w:bottom w:val="none" w:sz="0" w:space="0" w:color="auto"/>
        <w:right w:val="none" w:sz="0" w:space="0" w:color="auto"/>
      </w:divBdr>
    </w:div>
    <w:div w:id="485707461">
      <w:bodyDiv w:val="1"/>
      <w:marLeft w:val="0"/>
      <w:marRight w:val="0"/>
      <w:marTop w:val="0"/>
      <w:marBottom w:val="0"/>
      <w:divBdr>
        <w:top w:val="none" w:sz="0" w:space="0" w:color="auto"/>
        <w:left w:val="none" w:sz="0" w:space="0" w:color="auto"/>
        <w:bottom w:val="none" w:sz="0" w:space="0" w:color="auto"/>
        <w:right w:val="none" w:sz="0" w:space="0" w:color="auto"/>
      </w:divBdr>
    </w:div>
    <w:div w:id="497887747">
      <w:bodyDiv w:val="1"/>
      <w:marLeft w:val="0"/>
      <w:marRight w:val="0"/>
      <w:marTop w:val="0"/>
      <w:marBottom w:val="0"/>
      <w:divBdr>
        <w:top w:val="none" w:sz="0" w:space="0" w:color="auto"/>
        <w:left w:val="none" w:sz="0" w:space="0" w:color="auto"/>
        <w:bottom w:val="none" w:sz="0" w:space="0" w:color="auto"/>
        <w:right w:val="none" w:sz="0" w:space="0" w:color="auto"/>
      </w:divBdr>
    </w:div>
    <w:div w:id="526917778">
      <w:bodyDiv w:val="1"/>
      <w:marLeft w:val="0"/>
      <w:marRight w:val="0"/>
      <w:marTop w:val="0"/>
      <w:marBottom w:val="0"/>
      <w:divBdr>
        <w:top w:val="none" w:sz="0" w:space="0" w:color="auto"/>
        <w:left w:val="none" w:sz="0" w:space="0" w:color="auto"/>
        <w:bottom w:val="none" w:sz="0" w:space="0" w:color="auto"/>
        <w:right w:val="none" w:sz="0" w:space="0" w:color="auto"/>
      </w:divBdr>
    </w:div>
    <w:div w:id="534118915">
      <w:bodyDiv w:val="1"/>
      <w:marLeft w:val="0"/>
      <w:marRight w:val="0"/>
      <w:marTop w:val="0"/>
      <w:marBottom w:val="0"/>
      <w:divBdr>
        <w:top w:val="none" w:sz="0" w:space="0" w:color="auto"/>
        <w:left w:val="none" w:sz="0" w:space="0" w:color="auto"/>
        <w:bottom w:val="none" w:sz="0" w:space="0" w:color="auto"/>
        <w:right w:val="none" w:sz="0" w:space="0" w:color="auto"/>
      </w:divBdr>
    </w:div>
    <w:div w:id="549146749">
      <w:bodyDiv w:val="1"/>
      <w:marLeft w:val="0"/>
      <w:marRight w:val="0"/>
      <w:marTop w:val="0"/>
      <w:marBottom w:val="0"/>
      <w:divBdr>
        <w:top w:val="none" w:sz="0" w:space="0" w:color="auto"/>
        <w:left w:val="none" w:sz="0" w:space="0" w:color="auto"/>
        <w:bottom w:val="none" w:sz="0" w:space="0" w:color="auto"/>
        <w:right w:val="none" w:sz="0" w:space="0" w:color="auto"/>
      </w:divBdr>
    </w:div>
    <w:div w:id="550113261">
      <w:bodyDiv w:val="1"/>
      <w:marLeft w:val="0"/>
      <w:marRight w:val="0"/>
      <w:marTop w:val="0"/>
      <w:marBottom w:val="0"/>
      <w:divBdr>
        <w:top w:val="none" w:sz="0" w:space="0" w:color="auto"/>
        <w:left w:val="none" w:sz="0" w:space="0" w:color="auto"/>
        <w:bottom w:val="none" w:sz="0" w:space="0" w:color="auto"/>
        <w:right w:val="none" w:sz="0" w:space="0" w:color="auto"/>
      </w:divBdr>
    </w:div>
    <w:div w:id="569467572">
      <w:bodyDiv w:val="1"/>
      <w:marLeft w:val="0"/>
      <w:marRight w:val="0"/>
      <w:marTop w:val="0"/>
      <w:marBottom w:val="0"/>
      <w:divBdr>
        <w:top w:val="none" w:sz="0" w:space="0" w:color="auto"/>
        <w:left w:val="none" w:sz="0" w:space="0" w:color="auto"/>
        <w:bottom w:val="none" w:sz="0" w:space="0" w:color="auto"/>
        <w:right w:val="none" w:sz="0" w:space="0" w:color="auto"/>
      </w:divBdr>
      <w:divsChild>
        <w:div w:id="186450996">
          <w:marLeft w:val="0"/>
          <w:marRight w:val="0"/>
          <w:marTop w:val="0"/>
          <w:marBottom w:val="0"/>
          <w:divBdr>
            <w:top w:val="none" w:sz="0" w:space="0" w:color="auto"/>
            <w:left w:val="none" w:sz="0" w:space="0" w:color="auto"/>
            <w:bottom w:val="none" w:sz="0" w:space="0" w:color="auto"/>
            <w:right w:val="none" w:sz="0" w:space="0" w:color="auto"/>
          </w:divBdr>
        </w:div>
        <w:div w:id="1330522286">
          <w:marLeft w:val="0"/>
          <w:marRight w:val="0"/>
          <w:marTop w:val="0"/>
          <w:marBottom w:val="0"/>
          <w:divBdr>
            <w:top w:val="none" w:sz="0" w:space="0" w:color="auto"/>
            <w:left w:val="none" w:sz="0" w:space="0" w:color="auto"/>
            <w:bottom w:val="none" w:sz="0" w:space="0" w:color="auto"/>
            <w:right w:val="none" w:sz="0" w:space="0" w:color="auto"/>
          </w:divBdr>
        </w:div>
        <w:div w:id="1398356863">
          <w:marLeft w:val="0"/>
          <w:marRight w:val="0"/>
          <w:marTop w:val="0"/>
          <w:marBottom w:val="0"/>
          <w:divBdr>
            <w:top w:val="none" w:sz="0" w:space="0" w:color="auto"/>
            <w:left w:val="none" w:sz="0" w:space="0" w:color="auto"/>
            <w:bottom w:val="none" w:sz="0" w:space="0" w:color="auto"/>
            <w:right w:val="none" w:sz="0" w:space="0" w:color="auto"/>
          </w:divBdr>
        </w:div>
      </w:divsChild>
    </w:div>
    <w:div w:id="578098255">
      <w:bodyDiv w:val="1"/>
      <w:marLeft w:val="0"/>
      <w:marRight w:val="0"/>
      <w:marTop w:val="0"/>
      <w:marBottom w:val="0"/>
      <w:divBdr>
        <w:top w:val="none" w:sz="0" w:space="0" w:color="auto"/>
        <w:left w:val="none" w:sz="0" w:space="0" w:color="auto"/>
        <w:bottom w:val="none" w:sz="0" w:space="0" w:color="auto"/>
        <w:right w:val="none" w:sz="0" w:space="0" w:color="auto"/>
      </w:divBdr>
    </w:div>
    <w:div w:id="578951441">
      <w:bodyDiv w:val="1"/>
      <w:marLeft w:val="0"/>
      <w:marRight w:val="0"/>
      <w:marTop w:val="0"/>
      <w:marBottom w:val="0"/>
      <w:divBdr>
        <w:top w:val="none" w:sz="0" w:space="0" w:color="auto"/>
        <w:left w:val="none" w:sz="0" w:space="0" w:color="auto"/>
        <w:bottom w:val="none" w:sz="0" w:space="0" w:color="auto"/>
        <w:right w:val="none" w:sz="0" w:space="0" w:color="auto"/>
      </w:divBdr>
      <w:divsChild>
        <w:div w:id="563108364">
          <w:marLeft w:val="0"/>
          <w:marRight w:val="225"/>
          <w:marTop w:val="0"/>
          <w:marBottom w:val="0"/>
          <w:divBdr>
            <w:top w:val="none" w:sz="0" w:space="0" w:color="auto"/>
            <w:left w:val="none" w:sz="0" w:space="0" w:color="auto"/>
            <w:bottom w:val="none" w:sz="0" w:space="0" w:color="auto"/>
            <w:right w:val="none" w:sz="0" w:space="0" w:color="auto"/>
          </w:divBdr>
          <w:divsChild>
            <w:div w:id="2113624845">
              <w:marLeft w:val="0"/>
              <w:marRight w:val="0"/>
              <w:marTop w:val="0"/>
              <w:marBottom w:val="0"/>
              <w:divBdr>
                <w:top w:val="none" w:sz="0" w:space="0" w:color="auto"/>
                <w:left w:val="none" w:sz="0" w:space="0" w:color="auto"/>
                <w:bottom w:val="none" w:sz="0" w:space="0" w:color="auto"/>
                <w:right w:val="none" w:sz="0" w:space="0" w:color="auto"/>
              </w:divBdr>
            </w:div>
          </w:divsChild>
        </w:div>
        <w:div w:id="1425953214">
          <w:marLeft w:val="0"/>
          <w:marRight w:val="0"/>
          <w:marTop w:val="0"/>
          <w:marBottom w:val="0"/>
          <w:divBdr>
            <w:top w:val="none" w:sz="0" w:space="0" w:color="auto"/>
            <w:left w:val="none" w:sz="0" w:space="0" w:color="auto"/>
            <w:bottom w:val="none" w:sz="0" w:space="0" w:color="auto"/>
            <w:right w:val="none" w:sz="0" w:space="0" w:color="auto"/>
          </w:divBdr>
          <w:divsChild>
            <w:div w:id="691151857">
              <w:marLeft w:val="0"/>
              <w:marRight w:val="0"/>
              <w:marTop w:val="0"/>
              <w:marBottom w:val="0"/>
              <w:divBdr>
                <w:top w:val="none" w:sz="0" w:space="0" w:color="auto"/>
                <w:left w:val="none" w:sz="0" w:space="0" w:color="auto"/>
                <w:bottom w:val="none" w:sz="0" w:space="0" w:color="auto"/>
                <w:right w:val="none" w:sz="0" w:space="0" w:color="auto"/>
              </w:divBdr>
              <w:divsChild>
                <w:div w:id="87060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07103">
          <w:marLeft w:val="0"/>
          <w:marRight w:val="225"/>
          <w:marTop w:val="0"/>
          <w:marBottom w:val="0"/>
          <w:divBdr>
            <w:top w:val="none" w:sz="0" w:space="0" w:color="auto"/>
            <w:left w:val="none" w:sz="0" w:space="0" w:color="auto"/>
            <w:bottom w:val="none" w:sz="0" w:space="0" w:color="auto"/>
            <w:right w:val="none" w:sz="0" w:space="0" w:color="auto"/>
          </w:divBdr>
        </w:div>
      </w:divsChild>
    </w:div>
    <w:div w:id="587693077">
      <w:bodyDiv w:val="1"/>
      <w:marLeft w:val="0"/>
      <w:marRight w:val="0"/>
      <w:marTop w:val="0"/>
      <w:marBottom w:val="0"/>
      <w:divBdr>
        <w:top w:val="none" w:sz="0" w:space="0" w:color="auto"/>
        <w:left w:val="none" w:sz="0" w:space="0" w:color="auto"/>
        <w:bottom w:val="none" w:sz="0" w:space="0" w:color="auto"/>
        <w:right w:val="none" w:sz="0" w:space="0" w:color="auto"/>
      </w:divBdr>
      <w:divsChild>
        <w:div w:id="690839329">
          <w:marLeft w:val="0"/>
          <w:marRight w:val="0"/>
          <w:marTop w:val="0"/>
          <w:marBottom w:val="0"/>
          <w:divBdr>
            <w:top w:val="none" w:sz="0" w:space="0" w:color="auto"/>
            <w:left w:val="none" w:sz="0" w:space="0" w:color="auto"/>
            <w:bottom w:val="none" w:sz="0" w:space="0" w:color="auto"/>
            <w:right w:val="none" w:sz="0" w:space="0" w:color="auto"/>
          </w:divBdr>
        </w:div>
        <w:div w:id="1153258072">
          <w:marLeft w:val="0"/>
          <w:marRight w:val="0"/>
          <w:marTop w:val="0"/>
          <w:marBottom w:val="0"/>
          <w:divBdr>
            <w:top w:val="none" w:sz="0" w:space="0" w:color="auto"/>
            <w:left w:val="none" w:sz="0" w:space="0" w:color="auto"/>
            <w:bottom w:val="none" w:sz="0" w:space="0" w:color="auto"/>
            <w:right w:val="none" w:sz="0" w:space="0" w:color="auto"/>
          </w:divBdr>
        </w:div>
      </w:divsChild>
    </w:div>
    <w:div w:id="591549662">
      <w:bodyDiv w:val="1"/>
      <w:marLeft w:val="0"/>
      <w:marRight w:val="0"/>
      <w:marTop w:val="0"/>
      <w:marBottom w:val="0"/>
      <w:divBdr>
        <w:top w:val="none" w:sz="0" w:space="0" w:color="auto"/>
        <w:left w:val="none" w:sz="0" w:space="0" w:color="auto"/>
        <w:bottom w:val="none" w:sz="0" w:space="0" w:color="auto"/>
        <w:right w:val="none" w:sz="0" w:space="0" w:color="auto"/>
      </w:divBdr>
      <w:divsChild>
        <w:div w:id="631717093">
          <w:marLeft w:val="0"/>
          <w:marRight w:val="0"/>
          <w:marTop w:val="0"/>
          <w:marBottom w:val="0"/>
          <w:divBdr>
            <w:top w:val="none" w:sz="0" w:space="0" w:color="auto"/>
            <w:left w:val="none" w:sz="0" w:space="0" w:color="auto"/>
            <w:bottom w:val="none" w:sz="0" w:space="0" w:color="auto"/>
            <w:right w:val="none" w:sz="0" w:space="0" w:color="auto"/>
          </w:divBdr>
        </w:div>
        <w:div w:id="683359169">
          <w:marLeft w:val="0"/>
          <w:marRight w:val="0"/>
          <w:marTop w:val="0"/>
          <w:marBottom w:val="0"/>
          <w:divBdr>
            <w:top w:val="none" w:sz="0" w:space="0" w:color="auto"/>
            <w:left w:val="none" w:sz="0" w:space="0" w:color="auto"/>
            <w:bottom w:val="none" w:sz="0" w:space="0" w:color="auto"/>
            <w:right w:val="none" w:sz="0" w:space="0" w:color="auto"/>
          </w:divBdr>
        </w:div>
        <w:div w:id="1249462268">
          <w:marLeft w:val="0"/>
          <w:marRight w:val="0"/>
          <w:marTop w:val="0"/>
          <w:marBottom w:val="0"/>
          <w:divBdr>
            <w:top w:val="none" w:sz="0" w:space="0" w:color="auto"/>
            <w:left w:val="none" w:sz="0" w:space="0" w:color="auto"/>
            <w:bottom w:val="none" w:sz="0" w:space="0" w:color="auto"/>
            <w:right w:val="none" w:sz="0" w:space="0" w:color="auto"/>
          </w:divBdr>
        </w:div>
        <w:div w:id="2027946282">
          <w:marLeft w:val="0"/>
          <w:marRight w:val="0"/>
          <w:marTop w:val="0"/>
          <w:marBottom w:val="0"/>
          <w:divBdr>
            <w:top w:val="none" w:sz="0" w:space="0" w:color="auto"/>
            <w:left w:val="none" w:sz="0" w:space="0" w:color="auto"/>
            <w:bottom w:val="none" w:sz="0" w:space="0" w:color="auto"/>
            <w:right w:val="none" w:sz="0" w:space="0" w:color="auto"/>
          </w:divBdr>
        </w:div>
      </w:divsChild>
    </w:div>
    <w:div w:id="624774470">
      <w:bodyDiv w:val="1"/>
      <w:marLeft w:val="0"/>
      <w:marRight w:val="0"/>
      <w:marTop w:val="0"/>
      <w:marBottom w:val="0"/>
      <w:divBdr>
        <w:top w:val="none" w:sz="0" w:space="0" w:color="auto"/>
        <w:left w:val="none" w:sz="0" w:space="0" w:color="auto"/>
        <w:bottom w:val="none" w:sz="0" w:space="0" w:color="auto"/>
        <w:right w:val="none" w:sz="0" w:space="0" w:color="auto"/>
      </w:divBdr>
      <w:divsChild>
        <w:div w:id="985816444">
          <w:marLeft w:val="0"/>
          <w:marRight w:val="0"/>
          <w:marTop w:val="0"/>
          <w:marBottom w:val="0"/>
          <w:divBdr>
            <w:top w:val="none" w:sz="0" w:space="0" w:color="auto"/>
            <w:left w:val="none" w:sz="0" w:space="0" w:color="auto"/>
            <w:bottom w:val="none" w:sz="0" w:space="0" w:color="auto"/>
            <w:right w:val="none" w:sz="0" w:space="0" w:color="auto"/>
          </w:divBdr>
        </w:div>
        <w:div w:id="1661881072">
          <w:marLeft w:val="0"/>
          <w:marRight w:val="0"/>
          <w:marTop w:val="0"/>
          <w:marBottom w:val="0"/>
          <w:divBdr>
            <w:top w:val="none" w:sz="0" w:space="0" w:color="auto"/>
            <w:left w:val="none" w:sz="0" w:space="0" w:color="auto"/>
            <w:bottom w:val="none" w:sz="0" w:space="0" w:color="auto"/>
            <w:right w:val="none" w:sz="0" w:space="0" w:color="auto"/>
          </w:divBdr>
        </w:div>
        <w:div w:id="1815368968">
          <w:marLeft w:val="0"/>
          <w:marRight w:val="0"/>
          <w:marTop w:val="0"/>
          <w:marBottom w:val="0"/>
          <w:divBdr>
            <w:top w:val="none" w:sz="0" w:space="0" w:color="auto"/>
            <w:left w:val="none" w:sz="0" w:space="0" w:color="auto"/>
            <w:bottom w:val="none" w:sz="0" w:space="0" w:color="auto"/>
            <w:right w:val="none" w:sz="0" w:space="0" w:color="auto"/>
          </w:divBdr>
        </w:div>
      </w:divsChild>
    </w:div>
    <w:div w:id="635260716">
      <w:bodyDiv w:val="1"/>
      <w:marLeft w:val="0"/>
      <w:marRight w:val="0"/>
      <w:marTop w:val="0"/>
      <w:marBottom w:val="0"/>
      <w:divBdr>
        <w:top w:val="none" w:sz="0" w:space="0" w:color="auto"/>
        <w:left w:val="none" w:sz="0" w:space="0" w:color="auto"/>
        <w:bottom w:val="none" w:sz="0" w:space="0" w:color="auto"/>
        <w:right w:val="none" w:sz="0" w:space="0" w:color="auto"/>
      </w:divBdr>
      <w:divsChild>
        <w:div w:id="693074158">
          <w:marLeft w:val="0"/>
          <w:marRight w:val="0"/>
          <w:marTop w:val="0"/>
          <w:marBottom w:val="0"/>
          <w:divBdr>
            <w:top w:val="none" w:sz="0" w:space="0" w:color="auto"/>
            <w:left w:val="none" w:sz="0" w:space="0" w:color="auto"/>
            <w:bottom w:val="none" w:sz="0" w:space="0" w:color="auto"/>
            <w:right w:val="none" w:sz="0" w:space="0" w:color="auto"/>
          </w:divBdr>
        </w:div>
        <w:div w:id="1022560184">
          <w:marLeft w:val="0"/>
          <w:marRight w:val="0"/>
          <w:marTop w:val="0"/>
          <w:marBottom w:val="0"/>
          <w:divBdr>
            <w:top w:val="none" w:sz="0" w:space="0" w:color="auto"/>
            <w:left w:val="none" w:sz="0" w:space="0" w:color="auto"/>
            <w:bottom w:val="none" w:sz="0" w:space="0" w:color="auto"/>
            <w:right w:val="none" w:sz="0" w:space="0" w:color="auto"/>
          </w:divBdr>
        </w:div>
        <w:div w:id="2079355356">
          <w:marLeft w:val="0"/>
          <w:marRight w:val="0"/>
          <w:marTop w:val="0"/>
          <w:marBottom w:val="0"/>
          <w:divBdr>
            <w:top w:val="none" w:sz="0" w:space="0" w:color="auto"/>
            <w:left w:val="none" w:sz="0" w:space="0" w:color="auto"/>
            <w:bottom w:val="none" w:sz="0" w:space="0" w:color="auto"/>
            <w:right w:val="none" w:sz="0" w:space="0" w:color="auto"/>
          </w:divBdr>
        </w:div>
      </w:divsChild>
    </w:div>
    <w:div w:id="645209136">
      <w:bodyDiv w:val="1"/>
      <w:marLeft w:val="0"/>
      <w:marRight w:val="0"/>
      <w:marTop w:val="0"/>
      <w:marBottom w:val="0"/>
      <w:divBdr>
        <w:top w:val="none" w:sz="0" w:space="0" w:color="auto"/>
        <w:left w:val="none" w:sz="0" w:space="0" w:color="auto"/>
        <w:bottom w:val="none" w:sz="0" w:space="0" w:color="auto"/>
        <w:right w:val="none" w:sz="0" w:space="0" w:color="auto"/>
      </w:divBdr>
    </w:div>
    <w:div w:id="650017021">
      <w:bodyDiv w:val="1"/>
      <w:marLeft w:val="0"/>
      <w:marRight w:val="0"/>
      <w:marTop w:val="0"/>
      <w:marBottom w:val="0"/>
      <w:divBdr>
        <w:top w:val="none" w:sz="0" w:space="0" w:color="auto"/>
        <w:left w:val="none" w:sz="0" w:space="0" w:color="auto"/>
        <w:bottom w:val="none" w:sz="0" w:space="0" w:color="auto"/>
        <w:right w:val="none" w:sz="0" w:space="0" w:color="auto"/>
      </w:divBdr>
      <w:divsChild>
        <w:div w:id="142818173">
          <w:marLeft w:val="0"/>
          <w:marRight w:val="0"/>
          <w:marTop w:val="0"/>
          <w:marBottom w:val="0"/>
          <w:divBdr>
            <w:top w:val="none" w:sz="0" w:space="0" w:color="auto"/>
            <w:left w:val="none" w:sz="0" w:space="0" w:color="auto"/>
            <w:bottom w:val="none" w:sz="0" w:space="0" w:color="auto"/>
            <w:right w:val="none" w:sz="0" w:space="0" w:color="auto"/>
          </w:divBdr>
        </w:div>
        <w:div w:id="575669347">
          <w:marLeft w:val="0"/>
          <w:marRight w:val="0"/>
          <w:marTop w:val="0"/>
          <w:marBottom w:val="0"/>
          <w:divBdr>
            <w:top w:val="none" w:sz="0" w:space="0" w:color="auto"/>
            <w:left w:val="none" w:sz="0" w:space="0" w:color="auto"/>
            <w:bottom w:val="none" w:sz="0" w:space="0" w:color="auto"/>
            <w:right w:val="none" w:sz="0" w:space="0" w:color="auto"/>
          </w:divBdr>
        </w:div>
        <w:div w:id="766971992">
          <w:marLeft w:val="0"/>
          <w:marRight w:val="0"/>
          <w:marTop w:val="0"/>
          <w:marBottom w:val="0"/>
          <w:divBdr>
            <w:top w:val="none" w:sz="0" w:space="0" w:color="auto"/>
            <w:left w:val="none" w:sz="0" w:space="0" w:color="auto"/>
            <w:bottom w:val="none" w:sz="0" w:space="0" w:color="auto"/>
            <w:right w:val="none" w:sz="0" w:space="0" w:color="auto"/>
          </w:divBdr>
        </w:div>
        <w:div w:id="801726418">
          <w:marLeft w:val="0"/>
          <w:marRight w:val="0"/>
          <w:marTop w:val="0"/>
          <w:marBottom w:val="0"/>
          <w:divBdr>
            <w:top w:val="none" w:sz="0" w:space="0" w:color="auto"/>
            <w:left w:val="none" w:sz="0" w:space="0" w:color="auto"/>
            <w:bottom w:val="none" w:sz="0" w:space="0" w:color="auto"/>
            <w:right w:val="none" w:sz="0" w:space="0" w:color="auto"/>
          </w:divBdr>
        </w:div>
        <w:div w:id="1068309469">
          <w:marLeft w:val="0"/>
          <w:marRight w:val="0"/>
          <w:marTop w:val="0"/>
          <w:marBottom w:val="0"/>
          <w:divBdr>
            <w:top w:val="none" w:sz="0" w:space="0" w:color="auto"/>
            <w:left w:val="none" w:sz="0" w:space="0" w:color="auto"/>
            <w:bottom w:val="none" w:sz="0" w:space="0" w:color="auto"/>
            <w:right w:val="none" w:sz="0" w:space="0" w:color="auto"/>
          </w:divBdr>
        </w:div>
        <w:div w:id="1231580331">
          <w:marLeft w:val="0"/>
          <w:marRight w:val="0"/>
          <w:marTop w:val="0"/>
          <w:marBottom w:val="0"/>
          <w:divBdr>
            <w:top w:val="none" w:sz="0" w:space="0" w:color="auto"/>
            <w:left w:val="none" w:sz="0" w:space="0" w:color="auto"/>
            <w:bottom w:val="none" w:sz="0" w:space="0" w:color="auto"/>
            <w:right w:val="none" w:sz="0" w:space="0" w:color="auto"/>
          </w:divBdr>
        </w:div>
        <w:div w:id="1559516918">
          <w:marLeft w:val="0"/>
          <w:marRight w:val="0"/>
          <w:marTop w:val="0"/>
          <w:marBottom w:val="0"/>
          <w:divBdr>
            <w:top w:val="none" w:sz="0" w:space="0" w:color="auto"/>
            <w:left w:val="none" w:sz="0" w:space="0" w:color="auto"/>
            <w:bottom w:val="none" w:sz="0" w:space="0" w:color="auto"/>
            <w:right w:val="none" w:sz="0" w:space="0" w:color="auto"/>
          </w:divBdr>
        </w:div>
      </w:divsChild>
    </w:div>
    <w:div w:id="662123096">
      <w:bodyDiv w:val="1"/>
      <w:marLeft w:val="0"/>
      <w:marRight w:val="0"/>
      <w:marTop w:val="0"/>
      <w:marBottom w:val="0"/>
      <w:divBdr>
        <w:top w:val="none" w:sz="0" w:space="0" w:color="auto"/>
        <w:left w:val="none" w:sz="0" w:space="0" w:color="auto"/>
        <w:bottom w:val="none" w:sz="0" w:space="0" w:color="auto"/>
        <w:right w:val="none" w:sz="0" w:space="0" w:color="auto"/>
      </w:divBdr>
    </w:div>
    <w:div w:id="674840050">
      <w:bodyDiv w:val="1"/>
      <w:marLeft w:val="0"/>
      <w:marRight w:val="0"/>
      <w:marTop w:val="0"/>
      <w:marBottom w:val="0"/>
      <w:divBdr>
        <w:top w:val="none" w:sz="0" w:space="0" w:color="auto"/>
        <w:left w:val="none" w:sz="0" w:space="0" w:color="auto"/>
        <w:bottom w:val="none" w:sz="0" w:space="0" w:color="auto"/>
        <w:right w:val="none" w:sz="0" w:space="0" w:color="auto"/>
      </w:divBdr>
    </w:div>
    <w:div w:id="676814324">
      <w:bodyDiv w:val="1"/>
      <w:marLeft w:val="0"/>
      <w:marRight w:val="0"/>
      <w:marTop w:val="0"/>
      <w:marBottom w:val="0"/>
      <w:divBdr>
        <w:top w:val="none" w:sz="0" w:space="0" w:color="auto"/>
        <w:left w:val="none" w:sz="0" w:space="0" w:color="auto"/>
        <w:bottom w:val="none" w:sz="0" w:space="0" w:color="auto"/>
        <w:right w:val="none" w:sz="0" w:space="0" w:color="auto"/>
      </w:divBdr>
    </w:div>
    <w:div w:id="682512060">
      <w:bodyDiv w:val="1"/>
      <w:marLeft w:val="0"/>
      <w:marRight w:val="0"/>
      <w:marTop w:val="0"/>
      <w:marBottom w:val="0"/>
      <w:divBdr>
        <w:top w:val="none" w:sz="0" w:space="0" w:color="auto"/>
        <w:left w:val="none" w:sz="0" w:space="0" w:color="auto"/>
        <w:bottom w:val="none" w:sz="0" w:space="0" w:color="auto"/>
        <w:right w:val="none" w:sz="0" w:space="0" w:color="auto"/>
      </w:divBdr>
    </w:div>
    <w:div w:id="707143396">
      <w:bodyDiv w:val="1"/>
      <w:marLeft w:val="0"/>
      <w:marRight w:val="0"/>
      <w:marTop w:val="0"/>
      <w:marBottom w:val="0"/>
      <w:divBdr>
        <w:top w:val="none" w:sz="0" w:space="0" w:color="auto"/>
        <w:left w:val="none" w:sz="0" w:space="0" w:color="auto"/>
        <w:bottom w:val="none" w:sz="0" w:space="0" w:color="auto"/>
        <w:right w:val="none" w:sz="0" w:space="0" w:color="auto"/>
      </w:divBdr>
    </w:div>
    <w:div w:id="711347293">
      <w:bodyDiv w:val="1"/>
      <w:marLeft w:val="0"/>
      <w:marRight w:val="0"/>
      <w:marTop w:val="0"/>
      <w:marBottom w:val="0"/>
      <w:divBdr>
        <w:top w:val="none" w:sz="0" w:space="0" w:color="auto"/>
        <w:left w:val="none" w:sz="0" w:space="0" w:color="auto"/>
        <w:bottom w:val="none" w:sz="0" w:space="0" w:color="auto"/>
        <w:right w:val="none" w:sz="0" w:space="0" w:color="auto"/>
      </w:divBdr>
    </w:div>
    <w:div w:id="714232051">
      <w:bodyDiv w:val="1"/>
      <w:marLeft w:val="0"/>
      <w:marRight w:val="0"/>
      <w:marTop w:val="0"/>
      <w:marBottom w:val="0"/>
      <w:divBdr>
        <w:top w:val="none" w:sz="0" w:space="0" w:color="auto"/>
        <w:left w:val="none" w:sz="0" w:space="0" w:color="auto"/>
        <w:bottom w:val="none" w:sz="0" w:space="0" w:color="auto"/>
        <w:right w:val="none" w:sz="0" w:space="0" w:color="auto"/>
      </w:divBdr>
    </w:div>
    <w:div w:id="722219143">
      <w:bodyDiv w:val="1"/>
      <w:marLeft w:val="0"/>
      <w:marRight w:val="0"/>
      <w:marTop w:val="0"/>
      <w:marBottom w:val="0"/>
      <w:divBdr>
        <w:top w:val="none" w:sz="0" w:space="0" w:color="auto"/>
        <w:left w:val="none" w:sz="0" w:space="0" w:color="auto"/>
        <w:bottom w:val="none" w:sz="0" w:space="0" w:color="auto"/>
        <w:right w:val="none" w:sz="0" w:space="0" w:color="auto"/>
      </w:divBdr>
      <w:divsChild>
        <w:div w:id="414983378">
          <w:marLeft w:val="0"/>
          <w:marRight w:val="0"/>
          <w:marTop w:val="0"/>
          <w:marBottom w:val="0"/>
          <w:divBdr>
            <w:top w:val="none" w:sz="0" w:space="0" w:color="auto"/>
            <w:left w:val="none" w:sz="0" w:space="0" w:color="auto"/>
            <w:bottom w:val="none" w:sz="0" w:space="0" w:color="auto"/>
            <w:right w:val="none" w:sz="0" w:space="0" w:color="auto"/>
          </w:divBdr>
          <w:divsChild>
            <w:div w:id="479930341">
              <w:marLeft w:val="0"/>
              <w:marRight w:val="0"/>
              <w:marTop w:val="0"/>
              <w:marBottom w:val="0"/>
              <w:divBdr>
                <w:top w:val="none" w:sz="0" w:space="0" w:color="auto"/>
                <w:left w:val="none" w:sz="0" w:space="0" w:color="auto"/>
                <w:bottom w:val="none" w:sz="0" w:space="0" w:color="auto"/>
                <w:right w:val="none" w:sz="0" w:space="0" w:color="auto"/>
              </w:divBdr>
              <w:divsChild>
                <w:div w:id="904221986">
                  <w:marLeft w:val="0"/>
                  <w:marRight w:val="0"/>
                  <w:marTop w:val="0"/>
                  <w:marBottom w:val="0"/>
                  <w:divBdr>
                    <w:top w:val="none" w:sz="0" w:space="0" w:color="auto"/>
                    <w:left w:val="none" w:sz="0" w:space="0" w:color="auto"/>
                    <w:bottom w:val="none" w:sz="0" w:space="0" w:color="auto"/>
                    <w:right w:val="none" w:sz="0" w:space="0" w:color="auto"/>
                  </w:divBdr>
                  <w:divsChild>
                    <w:div w:id="130486351">
                      <w:marLeft w:val="0"/>
                      <w:marRight w:val="0"/>
                      <w:marTop w:val="0"/>
                      <w:marBottom w:val="0"/>
                      <w:divBdr>
                        <w:top w:val="none" w:sz="0" w:space="0" w:color="auto"/>
                        <w:left w:val="none" w:sz="0" w:space="0" w:color="auto"/>
                        <w:bottom w:val="none" w:sz="0" w:space="0" w:color="auto"/>
                        <w:right w:val="none" w:sz="0" w:space="0" w:color="auto"/>
                      </w:divBdr>
                      <w:divsChild>
                        <w:div w:id="313337348">
                          <w:marLeft w:val="0"/>
                          <w:marRight w:val="0"/>
                          <w:marTop w:val="0"/>
                          <w:marBottom w:val="0"/>
                          <w:divBdr>
                            <w:top w:val="none" w:sz="0" w:space="0" w:color="auto"/>
                            <w:left w:val="none" w:sz="0" w:space="0" w:color="auto"/>
                            <w:bottom w:val="none" w:sz="0" w:space="0" w:color="auto"/>
                            <w:right w:val="none" w:sz="0" w:space="0" w:color="auto"/>
                          </w:divBdr>
                          <w:divsChild>
                            <w:div w:id="2005355459">
                              <w:marLeft w:val="0"/>
                              <w:marRight w:val="0"/>
                              <w:marTop w:val="0"/>
                              <w:marBottom w:val="0"/>
                              <w:divBdr>
                                <w:top w:val="none" w:sz="0" w:space="0" w:color="auto"/>
                                <w:left w:val="none" w:sz="0" w:space="0" w:color="auto"/>
                                <w:bottom w:val="none" w:sz="0" w:space="0" w:color="auto"/>
                                <w:right w:val="none" w:sz="0" w:space="0" w:color="auto"/>
                              </w:divBdr>
                              <w:divsChild>
                                <w:div w:id="165453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692241">
      <w:bodyDiv w:val="1"/>
      <w:marLeft w:val="0"/>
      <w:marRight w:val="0"/>
      <w:marTop w:val="0"/>
      <w:marBottom w:val="0"/>
      <w:divBdr>
        <w:top w:val="none" w:sz="0" w:space="0" w:color="auto"/>
        <w:left w:val="none" w:sz="0" w:space="0" w:color="auto"/>
        <w:bottom w:val="none" w:sz="0" w:space="0" w:color="auto"/>
        <w:right w:val="none" w:sz="0" w:space="0" w:color="auto"/>
      </w:divBdr>
    </w:div>
    <w:div w:id="757093668">
      <w:bodyDiv w:val="1"/>
      <w:marLeft w:val="0"/>
      <w:marRight w:val="0"/>
      <w:marTop w:val="0"/>
      <w:marBottom w:val="0"/>
      <w:divBdr>
        <w:top w:val="none" w:sz="0" w:space="0" w:color="auto"/>
        <w:left w:val="none" w:sz="0" w:space="0" w:color="auto"/>
        <w:bottom w:val="none" w:sz="0" w:space="0" w:color="auto"/>
        <w:right w:val="none" w:sz="0" w:space="0" w:color="auto"/>
      </w:divBdr>
      <w:divsChild>
        <w:div w:id="103156558">
          <w:marLeft w:val="0"/>
          <w:marRight w:val="0"/>
          <w:marTop w:val="0"/>
          <w:marBottom w:val="0"/>
          <w:divBdr>
            <w:top w:val="none" w:sz="0" w:space="0" w:color="auto"/>
            <w:left w:val="none" w:sz="0" w:space="0" w:color="auto"/>
            <w:bottom w:val="none" w:sz="0" w:space="0" w:color="auto"/>
            <w:right w:val="none" w:sz="0" w:space="0" w:color="auto"/>
          </w:divBdr>
        </w:div>
        <w:div w:id="1095252742">
          <w:marLeft w:val="0"/>
          <w:marRight w:val="0"/>
          <w:marTop w:val="0"/>
          <w:marBottom w:val="0"/>
          <w:divBdr>
            <w:top w:val="none" w:sz="0" w:space="0" w:color="auto"/>
            <w:left w:val="none" w:sz="0" w:space="0" w:color="auto"/>
            <w:bottom w:val="none" w:sz="0" w:space="0" w:color="auto"/>
            <w:right w:val="none" w:sz="0" w:space="0" w:color="auto"/>
          </w:divBdr>
        </w:div>
        <w:div w:id="1383017947">
          <w:marLeft w:val="0"/>
          <w:marRight w:val="0"/>
          <w:marTop w:val="0"/>
          <w:marBottom w:val="0"/>
          <w:divBdr>
            <w:top w:val="none" w:sz="0" w:space="0" w:color="auto"/>
            <w:left w:val="none" w:sz="0" w:space="0" w:color="auto"/>
            <w:bottom w:val="none" w:sz="0" w:space="0" w:color="auto"/>
            <w:right w:val="none" w:sz="0" w:space="0" w:color="auto"/>
          </w:divBdr>
        </w:div>
        <w:div w:id="1948344185">
          <w:marLeft w:val="0"/>
          <w:marRight w:val="0"/>
          <w:marTop w:val="0"/>
          <w:marBottom w:val="0"/>
          <w:divBdr>
            <w:top w:val="none" w:sz="0" w:space="0" w:color="auto"/>
            <w:left w:val="none" w:sz="0" w:space="0" w:color="auto"/>
            <w:bottom w:val="none" w:sz="0" w:space="0" w:color="auto"/>
            <w:right w:val="none" w:sz="0" w:space="0" w:color="auto"/>
          </w:divBdr>
        </w:div>
      </w:divsChild>
    </w:div>
    <w:div w:id="767315748">
      <w:bodyDiv w:val="1"/>
      <w:marLeft w:val="0"/>
      <w:marRight w:val="0"/>
      <w:marTop w:val="0"/>
      <w:marBottom w:val="0"/>
      <w:divBdr>
        <w:top w:val="none" w:sz="0" w:space="0" w:color="auto"/>
        <w:left w:val="none" w:sz="0" w:space="0" w:color="auto"/>
        <w:bottom w:val="none" w:sz="0" w:space="0" w:color="auto"/>
        <w:right w:val="none" w:sz="0" w:space="0" w:color="auto"/>
      </w:divBdr>
    </w:div>
    <w:div w:id="802188047">
      <w:bodyDiv w:val="1"/>
      <w:marLeft w:val="0"/>
      <w:marRight w:val="0"/>
      <w:marTop w:val="0"/>
      <w:marBottom w:val="0"/>
      <w:divBdr>
        <w:top w:val="none" w:sz="0" w:space="0" w:color="auto"/>
        <w:left w:val="none" w:sz="0" w:space="0" w:color="auto"/>
        <w:bottom w:val="none" w:sz="0" w:space="0" w:color="auto"/>
        <w:right w:val="none" w:sz="0" w:space="0" w:color="auto"/>
      </w:divBdr>
    </w:div>
    <w:div w:id="802776371">
      <w:bodyDiv w:val="1"/>
      <w:marLeft w:val="0"/>
      <w:marRight w:val="0"/>
      <w:marTop w:val="0"/>
      <w:marBottom w:val="0"/>
      <w:divBdr>
        <w:top w:val="none" w:sz="0" w:space="0" w:color="auto"/>
        <w:left w:val="none" w:sz="0" w:space="0" w:color="auto"/>
        <w:bottom w:val="none" w:sz="0" w:space="0" w:color="auto"/>
        <w:right w:val="none" w:sz="0" w:space="0" w:color="auto"/>
      </w:divBdr>
    </w:div>
    <w:div w:id="807747838">
      <w:bodyDiv w:val="1"/>
      <w:marLeft w:val="0"/>
      <w:marRight w:val="0"/>
      <w:marTop w:val="0"/>
      <w:marBottom w:val="0"/>
      <w:divBdr>
        <w:top w:val="none" w:sz="0" w:space="0" w:color="auto"/>
        <w:left w:val="none" w:sz="0" w:space="0" w:color="auto"/>
        <w:bottom w:val="none" w:sz="0" w:space="0" w:color="auto"/>
        <w:right w:val="none" w:sz="0" w:space="0" w:color="auto"/>
      </w:divBdr>
    </w:div>
    <w:div w:id="808130401">
      <w:bodyDiv w:val="1"/>
      <w:marLeft w:val="0"/>
      <w:marRight w:val="0"/>
      <w:marTop w:val="0"/>
      <w:marBottom w:val="0"/>
      <w:divBdr>
        <w:top w:val="none" w:sz="0" w:space="0" w:color="auto"/>
        <w:left w:val="none" w:sz="0" w:space="0" w:color="auto"/>
        <w:bottom w:val="none" w:sz="0" w:space="0" w:color="auto"/>
        <w:right w:val="none" w:sz="0" w:space="0" w:color="auto"/>
      </w:divBdr>
    </w:div>
    <w:div w:id="828864208">
      <w:bodyDiv w:val="1"/>
      <w:marLeft w:val="0"/>
      <w:marRight w:val="0"/>
      <w:marTop w:val="0"/>
      <w:marBottom w:val="0"/>
      <w:divBdr>
        <w:top w:val="none" w:sz="0" w:space="0" w:color="auto"/>
        <w:left w:val="none" w:sz="0" w:space="0" w:color="auto"/>
        <w:bottom w:val="none" w:sz="0" w:space="0" w:color="auto"/>
        <w:right w:val="none" w:sz="0" w:space="0" w:color="auto"/>
      </w:divBdr>
    </w:div>
    <w:div w:id="837623786">
      <w:bodyDiv w:val="1"/>
      <w:marLeft w:val="0"/>
      <w:marRight w:val="0"/>
      <w:marTop w:val="0"/>
      <w:marBottom w:val="0"/>
      <w:divBdr>
        <w:top w:val="none" w:sz="0" w:space="0" w:color="auto"/>
        <w:left w:val="none" w:sz="0" w:space="0" w:color="auto"/>
        <w:bottom w:val="none" w:sz="0" w:space="0" w:color="auto"/>
        <w:right w:val="none" w:sz="0" w:space="0" w:color="auto"/>
      </w:divBdr>
    </w:div>
    <w:div w:id="857161650">
      <w:bodyDiv w:val="1"/>
      <w:marLeft w:val="0"/>
      <w:marRight w:val="0"/>
      <w:marTop w:val="0"/>
      <w:marBottom w:val="0"/>
      <w:divBdr>
        <w:top w:val="none" w:sz="0" w:space="0" w:color="auto"/>
        <w:left w:val="none" w:sz="0" w:space="0" w:color="auto"/>
        <w:bottom w:val="none" w:sz="0" w:space="0" w:color="auto"/>
        <w:right w:val="none" w:sz="0" w:space="0" w:color="auto"/>
      </w:divBdr>
      <w:divsChild>
        <w:div w:id="231740082">
          <w:marLeft w:val="0"/>
          <w:marRight w:val="0"/>
          <w:marTop w:val="0"/>
          <w:marBottom w:val="0"/>
          <w:divBdr>
            <w:top w:val="none" w:sz="0" w:space="0" w:color="auto"/>
            <w:left w:val="none" w:sz="0" w:space="0" w:color="auto"/>
            <w:bottom w:val="none" w:sz="0" w:space="0" w:color="auto"/>
            <w:right w:val="none" w:sz="0" w:space="0" w:color="auto"/>
          </w:divBdr>
        </w:div>
      </w:divsChild>
    </w:div>
    <w:div w:id="872352478">
      <w:bodyDiv w:val="1"/>
      <w:marLeft w:val="0"/>
      <w:marRight w:val="0"/>
      <w:marTop w:val="0"/>
      <w:marBottom w:val="0"/>
      <w:divBdr>
        <w:top w:val="none" w:sz="0" w:space="0" w:color="auto"/>
        <w:left w:val="none" w:sz="0" w:space="0" w:color="auto"/>
        <w:bottom w:val="none" w:sz="0" w:space="0" w:color="auto"/>
        <w:right w:val="none" w:sz="0" w:space="0" w:color="auto"/>
      </w:divBdr>
      <w:divsChild>
        <w:div w:id="193806102">
          <w:marLeft w:val="0"/>
          <w:marRight w:val="0"/>
          <w:marTop w:val="0"/>
          <w:marBottom w:val="0"/>
          <w:divBdr>
            <w:top w:val="none" w:sz="0" w:space="0" w:color="auto"/>
            <w:left w:val="none" w:sz="0" w:space="0" w:color="auto"/>
            <w:bottom w:val="none" w:sz="0" w:space="0" w:color="auto"/>
            <w:right w:val="none" w:sz="0" w:space="0" w:color="auto"/>
          </w:divBdr>
        </w:div>
        <w:div w:id="456412958">
          <w:marLeft w:val="0"/>
          <w:marRight w:val="0"/>
          <w:marTop w:val="0"/>
          <w:marBottom w:val="0"/>
          <w:divBdr>
            <w:top w:val="none" w:sz="0" w:space="0" w:color="auto"/>
            <w:left w:val="none" w:sz="0" w:space="0" w:color="auto"/>
            <w:bottom w:val="none" w:sz="0" w:space="0" w:color="auto"/>
            <w:right w:val="none" w:sz="0" w:space="0" w:color="auto"/>
          </w:divBdr>
        </w:div>
        <w:div w:id="1035155762">
          <w:marLeft w:val="0"/>
          <w:marRight w:val="0"/>
          <w:marTop w:val="0"/>
          <w:marBottom w:val="0"/>
          <w:divBdr>
            <w:top w:val="none" w:sz="0" w:space="0" w:color="auto"/>
            <w:left w:val="none" w:sz="0" w:space="0" w:color="auto"/>
            <w:bottom w:val="none" w:sz="0" w:space="0" w:color="auto"/>
            <w:right w:val="none" w:sz="0" w:space="0" w:color="auto"/>
          </w:divBdr>
        </w:div>
        <w:div w:id="1402829328">
          <w:marLeft w:val="0"/>
          <w:marRight w:val="0"/>
          <w:marTop w:val="0"/>
          <w:marBottom w:val="0"/>
          <w:divBdr>
            <w:top w:val="none" w:sz="0" w:space="0" w:color="auto"/>
            <w:left w:val="none" w:sz="0" w:space="0" w:color="auto"/>
            <w:bottom w:val="none" w:sz="0" w:space="0" w:color="auto"/>
            <w:right w:val="none" w:sz="0" w:space="0" w:color="auto"/>
          </w:divBdr>
        </w:div>
        <w:div w:id="1405029895">
          <w:marLeft w:val="0"/>
          <w:marRight w:val="0"/>
          <w:marTop w:val="0"/>
          <w:marBottom w:val="0"/>
          <w:divBdr>
            <w:top w:val="none" w:sz="0" w:space="0" w:color="auto"/>
            <w:left w:val="none" w:sz="0" w:space="0" w:color="auto"/>
            <w:bottom w:val="none" w:sz="0" w:space="0" w:color="auto"/>
            <w:right w:val="none" w:sz="0" w:space="0" w:color="auto"/>
          </w:divBdr>
        </w:div>
        <w:div w:id="1470980932">
          <w:marLeft w:val="0"/>
          <w:marRight w:val="0"/>
          <w:marTop w:val="0"/>
          <w:marBottom w:val="0"/>
          <w:divBdr>
            <w:top w:val="none" w:sz="0" w:space="0" w:color="auto"/>
            <w:left w:val="none" w:sz="0" w:space="0" w:color="auto"/>
            <w:bottom w:val="none" w:sz="0" w:space="0" w:color="auto"/>
            <w:right w:val="none" w:sz="0" w:space="0" w:color="auto"/>
          </w:divBdr>
        </w:div>
        <w:div w:id="1685470283">
          <w:marLeft w:val="0"/>
          <w:marRight w:val="0"/>
          <w:marTop w:val="0"/>
          <w:marBottom w:val="0"/>
          <w:divBdr>
            <w:top w:val="none" w:sz="0" w:space="0" w:color="auto"/>
            <w:left w:val="none" w:sz="0" w:space="0" w:color="auto"/>
            <w:bottom w:val="none" w:sz="0" w:space="0" w:color="auto"/>
            <w:right w:val="none" w:sz="0" w:space="0" w:color="auto"/>
          </w:divBdr>
        </w:div>
      </w:divsChild>
    </w:div>
    <w:div w:id="877817398">
      <w:bodyDiv w:val="1"/>
      <w:marLeft w:val="0"/>
      <w:marRight w:val="0"/>
      <w:marTop w:val="0"/>
      <w:marBottom w:val="0"/>
      <w:divBdr>
        <w:top w:val="none" w:sz="0" w:space="0" w:color="auto"/>
        <w:left w:val="none" w:sz="0" w:space="0" w:color="auto"/>
        <w:bottom w:val="none" w:sz="0" w:space="0" w:color="auto"/>
        <w:right w:val="none" w:sz="0" w:space="0" w:color="auto"/>
      </w:divBdr>
    </w:div>
    <w:div w:id="919294708">
      <w:bodyDiv w:val="1"/>
      <w:marLeft w:val="0"/>
      <w:marRight w:val="0"/>
      <w:marTop w:val="0"/>
      <w:marBottom w:val="0"/>
      <w:divBdr>
        <w:top w:val="none" w:sz="0" w:space="0" w:color="auto"/>
        <w:left w:val="none" w:sz="0" w:space="0" w:color="auto"/>
        <w:bottom w:val="none" w:sz="0" w:space="0" w:color="auto"/>
        <w:right w:val="none" w:sz="0" w:space="0" w:color="auto"/>
      </w:divBdr>
      <w:divsChild>
        <w:div w:id="239601079">
          <w:marLeft w:val="0"/>
          <w:marRight w:val="0"/>
          <w:marTop w:val="0"/>
          <w:marBottom w:val="0"/>
          <w:divBdr>
            <w:top w:val="none" w:sz="0" w:space="0" w:color="auto"/>
            <w:left w:val="none" w:sz="0" w:space="0" w:color="auto"/>
            <w:bottom w:val="none" w:sz="0" w:space="0" w:color="auto"/>
            <w:right w:val="none" w:sz="0" w:space="0" w:color="auto"/>
          </w:divBdr>
        </w:div>
        <w:div w:id="313218169">
          <w:marLeft w:val="0"/>
          <w:marRight w:val="0"/>
          <w:marTop w:val="0"/>
          <w:marBottom w:val="0"/>
          <w:divBdr>
            <w:top w:val="none" w:sz="0" w:space="0" w:color="auto"/>
            <w:left w:val="none" w:sz="0" w:space="0" w:color="auto"/>
            <w:bottom w:val="none" w:sz="0" w:space="0" w:color="auto"/>
            <w:right w:val="none" w:sz="0" w:space="0" w:color="auto"/>
          </w:divBdr>
        </w:div>
        <w:div w:id="1022627231">
          <w:marLeft w:val="0"/>
          <w:marRight w:val="0"/>
          <w:marTop w:val="0"/>
          <w:marBottom w:val="0"/>
          <w:divBdr>
            <w:top w:val="none" w:sz="0" w:space="0" w:color="auto"/>
            <w:left w:val="none" w:sz="0" w:space="0" w:color="auto"/>
            <w:bottom w:val="none" w:sz="0" w:space="0" w:color="auto"/>
            <w:right w:val="none" w:sz="0" w:space="0" w:color="auto"/>
          </w:divBdr>
        </w:div>
      </w:divsChild>
    </w:div>
    <w:div w:id="935014209">
      <w:bodyDiv w:val="1"/>
      <w:marLeft w:val="0"/>
      <w:marRight w:val="0"/>
      <w:marTop w:val="0"/>
      <w:marBottom w:val="0"/>
      <w:divBdr>
        <w:top w:val="none" w:sz="0" w:space="0" w:color="auto"/>
        <w:left w:val="none" w:sz="0" w:space="0" w:color="auto"/>
        <w:bottom w:val="none" w:sz="0" w:space="0" w:color="auto"/>
        <w:right w:val="none" w:sz="0" w:space="0" w:color="auto"/>
      </w:divBdr>
    </w:div>
    <w:div w:id="955449610">
      <w:bodyDiv w:val="1"/>
      <w:marLeft w:val="0"/>
      <w:marRight w:val="0"/>
      <w:marTop w:val="0"/>
      <w:marBottom w:val="0"/>
      <w:divBdr>
        <w:top w:val="none" w:sz="0" w:space="0" w:color="auto"/>
        <w:left w:val="none" w:sz="0" w:space="0" w:color="auto"/>
        <w:bottom w:val="none" w:sz="0" w:space="0" w:color="auto"/>
        <w:right w:val="none" w:sz="0" w:space="0" w:color="auto"/>
      </w:divBdr>
      <w:divsChild>
        <w:div w:id="500462671">
          <w:marLeft w:val="0"/>
          <w:marRight w:val="0"/>
          <w:marTop w:val="0"/>
          <w:marBottom w:val="0"/>
          <w:divBdr>
            <w:top w:val="none" w:sz="0" w:space="0" w:color="auto"/>
            <w:left w:val="none" w:sz="0" w:space="0" w:color="auto"/>
            <w:bottom w:val="none" w:sz="0" w:space="0" w:color="auto"/>
            <w:right w:val="none" w:sz="0" w:space="0" w:color="auto"/>
          </w:divBdr>
        </w:div>
        <w:div w:id="509370985">
          <w:marLeft w:val="0"/>
          <w:marRight w:val="0"/>
          <w:marTop w:val="0"/>
          <w:marBottom w:val="0"/>
          <w:divBdr>
            <w:top w:val="none" w:sz="0" w:space="0" w:color="auto"/>
            <w:left w:val="none" w:sz="0" w:space="0" w:color="auto"/>
            <w:bottom w:val="none" w:sz="0" w:space="0" w:color="auto"/>
            <w:right w:val="none" w:sz="0" w:space="0" w:color="auto"/>
          </w:divBdr>
        </w:div>
        <w:div w:id="967391428">
          <w:marLeft w:val="0"/>
          <w:marRight w:val="0"/>
          <w:marTop w:val="0"/>
          <w:marBottom w:val="0"/>
          <w:divBdr>
            <w:top w:val="none" w:sz="0" w:space="0" w:color="auto"/>
            <w:left w:val="none" w:sz="0" w:space="0" w:color="auto"/>
            <w:bottom w:val="none" w:sz="0" w:space="0" w:color="auto"/>
            <w:right w:val="none" w:sz="0" w:space="0" w:color="auto"/>
          </w:divBdr>
        </w:div>
        <w:div w:id="1551458202">
          <w:marLeft w:val="0"/>
          <w:marRight w:val="0"/>
          <w:marTop w:val="0"/>
          <w:marBottom w:val="0"/>
          <w:divBdr>
            <w:top w:val="none" w:sz="0" w:space="0" w:color="auto"/>
            <w:left w:val="none" w:sz="0" w:space="0" w:color="auto"/>
            <w:bottom w:val="none" w:sz="0" w:space="0" w:color="auto"/>
            <w:right w:val="none" w:sz="0" w:space="0" w:color="auto"/>
          </w:divBdr>
        </w:div>
        <w:div w:id="1918593003">
          <w:marLeft w:val="0"/>
          <w:marRight w:val="0"/>
          <w:marTop w:val="0"/>
          <w:marBottom w:val="0"/>
          <w:divBdr>
            <w:top w:val="none" w:sz="0" w:space="0" w:color="auto"/>
            <w:left w:val="none" w:sz="0" w:space="0" w:color="auto"/>
            <w:bottom w:val="none" w:sz="0" w:space="0" w:color="auto"/>
            <w:right w:val="none" w:sz="0" w:space="0" w:color="auto"/>
          </w:divBdr>
        </w:div>
      </w:divsChild>
    </w:div>
    <w:div w:id="1055856579">
      <w:bodyDiv w:val="1"/>
      <w:marLeft w:val="0"/>
      <w:marRight w:val="0"/>
      <w:marTop w:val="0"/>
      <w:marBottom w:val="0"/>
      <w:divBdr>
        <w:top w:val="none" w:sz="0" w:space="0" w:color="auto"/>
        <w:left w:val="none" w:sz="0" w:space="0" w:color="auto"/>
        <w:bottom w:val="none" w:sz="0" w:space="0" w:color="auto"/>
        <w:right w:val="none" w:sz="0" w:space="0" w:color="auto"/>
      </w:divBdr>
    </w:div>
    <w:div w:id="1060983855">
      <w:bodyDiv w:val="1"/>
      <w:marLeft w:val="0"/>
      <w:marRight w:val="0"/>
      <w:marTop w:val="0"/>
      <w:marBottom w:val="0"/>
      <w:divBdr>
        <w:top w:val="none" w:sz="0" w:space="0" w:color="auto"/>
        <w:left w:val="none" w:sz="0" w:space="0" w:color="auto"/>
        <w:bottom w:val="none" w:sz="0" w:space="0" w:color="auto"/>
        <w:right w:val="none" w:sz="0" w:space="0" w:color="auto"/>
      </w:divBdr>
    </w:div>
    <w:div w:id="1061565398">
      <w:bodyDiv w:val="1"/>
      <w:marLeft w:val="0"/>
      <w:marRight w:val="0"/>
      <w:marTop w:val="0"/>
      <w:marBottom w:val="0"/>
      <w:divBdr>
        <w:top w:val="none" w:sz="0" w:space="0" w:color="auto"/>
        <w:left w:val="none" w:sz="0" w:space="0" w:color="auto"/>
        <w:bottom w:val="none" w:sz="0" w:space="0" w:color="auto"/>
        <w:right w:val="none" w:sz="0" w:space="0" w:color="auto"/>
      </w:divBdr>
    </w:div>
    <w:div w:id="1068303413">
      <w:bodyDiv w:val="1"/>
      <w:marLeft w:val="0"/>
      <w:marRight w:val="0"/>
      <w:marTop w:val="0"/>
      <w:marBottom w:val="0"/>
      <w:divBdr>
        <w:top w:val="none" w:sz="0" w:space="0" w:color="auto"/>
        <w:left w:val="none" w:sz="0" w:space="0" w:color="auto"/>
        <w:bottom w:val="none" w:sz="0" w:space="0" w:color="auto"/>
        <w:right w:val="none" w:sz="0" w:space="0" w:color="auto"/>
      </w:divBdr>
      <w:divsChild>
        <w:div w:id="122968166">
          <w:marLeft w:val="0"/>
          <w:marRight w:val="0"/>
          <w:marTop w:val="0"/>
          <w:marBottom w:val="0"/>
          <w:divBdr>
            <w:top w:val="none" w:sz="0" w:space="0" w:color="auto"/>
            <w:left w:val="none" w:sz="0" w:space="0" w:color="auto"/>
            <w:bottom w:val="none" w:sz="0" w:space="0" w:color="auto"/>
            <w:right w:val="none" w:sz="0" w:space="0" w:color="auto"/>
          </w:divBdr>
        </w:div>
        <w:div w:id="223805573">
          <w:marLeft w:val="0"/>
          <w:marRight w:val="0"/>
          <w:marTop w:val="0"/>
          <w:marBottom w:val="0"/>
          <w:divBdr>
            <w:top w:val="none" w:sz="0" w:space="0" w:color="auto"/>
            <w:left w:val="none" w:sz="0" w:space="0" w:color="auto"/>
            <w:bottom w:val="none" w:sz="0" w:space="0" w:color="auto"/>
            <w:right w:val="none" w:sz="0" w:space="0" w:color="auto"/>
          </w:divBdr>
        </w:div>
        <w:div w:id="375587506">
          <w:marLeft w:val="0"/>
          <w:marRight w:val="0"/>
          <w:marTop w:val="0"/>
          <w:marBottom w:val="0"/>
          <w:divBdr>
            <w:top w:val="none" w:sz="0" w:space="0" w:color="auto"/>
            <w:left w:val="none" w:sz="0" w:space="0" w:color="auto"/>
            <w:bottom w:val="none" w:sz="0" w:space="0" w:color="auto"/>
            <w:right w:val="none" w:sz="0" w:space="0" w:color="auto"/>
          </w:divBdr>
        </w:div>
        <w:div w:id="1547526813">
          <w:marLeft w:val="0"/>
          <w:marRight w:val="0"/>
          <w:marTop w:val="0"/>
          <w:marBottom w:val="0"/>
          <w:divBdr>
            <w:top w:val="none" w:sz="0" w:space="0" w:color="auto"/>
            <w:left w:val="none" w:sz="0" w:space="0" w:color="auto"/>
            <w:bottom w:val="none" w:sz="0" w:space="0" w:color="auto"/>
            <w:right w:val="none" w:sz="0" w:space="0" w:color="auto"/>
          </w:divBdr>
        </w:div>
        <w:div w:id="2115586982">
          <w:marLeft w:val="0"/>
          <w:marRight w:val="0"/>
          <w:marTop w:val="0"/>
          <w:marBottom w:val="0"/>
          <w:divBdr>
            <w:top w:val="none" w:sz="0" w:space="0" w:color="auto"/>
            <w:left w:val="none" w:sz="0" w:space="0" w:color="auto"/>
            <w:bottom w:val="none" w:sz="0" w:space="0" w:color="auto"/>
            <w:right w:val="none" w:sz="0" w:space="0" w:color="auto"/>
          </w:divBdr>
        </w:div>
      </w:divsChild>
    </w:div>
    <w:div w:id="1075057553">
      <w:bodyDiv w:val="1"/>
      <w:marLeft w:val="0"/>
      <w:marRight w:val="0"/>
      <w:marTop w:val="0"/>
      <w:marBottom w:val="0"/>
      <w:divBdr>
        <w:top w:val="none" w:sz="0" w:space="0" w:color="auto"/>
        <w:left w:val="none" w:sz="0" w:space="0" w:color="auto"/>
        <w:bottom w:val="none" w:sz="0" w:space="0" w:color="auto"/>
        <w:right w:val="none" w:sz="0" w:space="0" w:color="auto"/>
      </w:divBdr>
    </w:div>
    <w:div w:id="1084494864">
      <w:bodyDiv w:val="1"/>
      <w:marLeft w:val="0"/>
      <w:marRight w:val="0"/>
      <w:marTop w:val="0"/>
      <w:marBottom w:val="0"/>
      <w:divBdr>
        <w:top w:val="none" w:sz="0" w:space="0" w:color="auto"/>
        <w:left w:val="none" w:sz="0" w:space="0" w:color="auto"/>
        <w:bottom w:val="none" w:sz="0" w:space="0" w:color="auto"/>
        <w:right w:val="none" w:sz="0" w:space="0" w:color="auto"/>
      </w:divBdr>
      <w:divsChild>
        <w:div w:id="949969101">
          <w:marLeft w:val="0"/>
          <w:marRight w:val="0"/>
          <w:marTop w:val="0"/>
          <w:marBottom w:val="0"/>
          <w:divBdr>
            <w:top w:val="none" w:sz="0" w:space="0" w:color="auto"/>
            <w:left w:val="none" w:sz="0" w:space="0" w:color="auto"/>
            <w:bottom w:val="none" w:sz="0" w:space="0" w:color="auto"/>
            <w:right w:val="none" w:sz="0" w:space="0" w:color="auto"/>
          </w:divBdr>
        </w:div>
      </w:divsChild>
    </w:div>
    <w:div w:id="1110663154">
      <w:bodyDiv w:val="1"/>
      <w:marLeft w:val="0"/>
      <w:marRight w:val="0"/>
      <w:marTop w:val="0"/>
      <w:marBottom w:val="0"/>
      <w:divBdr>
        <w:top w:val="none" w:sz="0" w:space="0" w:color="auto"/>
        <w:left w:val="none" w:sz="0" w:space="0" w:color="auto"/>
        <w:bottom w:val="none" w:sz="0" w:space="0" w:color="auto"/>
        <w:right w:val="none" w:sz="0" w:space="0" w:color="auto"/>
      </w:divBdr>
    </w:div>
    <w:div w:id="1152138223">
      <w:bodyDiv w:val="1"/>
      <w:marLeft w:val="0"/>
      <w:marRight w:val="0"/>
      <w:marTop w:val="0"/>
      <w:marBottom w:val="0"/>
      <w:divBdr>
        <w:top w:val="none" w:sz="0" w:space="0" w:color="auto"/>
        <w:left w:val="none" w:sz="0" w:space="0" w:color="auto"/>
        <w:bottom w:val="none" w:sz="0" w:space="0" w:color="auto"/>
        <w:right w:val="none" w:sz="0" w:space="0" w:color="auto"/>
      </w:divBdr>
      <w:divsChild>
        <w:div w:id="548809926">
          <w:marLeft w:val="0"/>
          <w:marRight w:val="0"/>
          <w:marTop w:val="0"/>
          <w:marBottom w:val="0"/>
          <w:divBdr>
            <w:top w:val="none" w:sz="0" w:space="0" w:color="auto"/>
            <w:left w:val="none" w:sz="0" w:space="0" w:color="auto"/>
            <w:bottom w:val="none" w:sz="0" w:space="0" w:color="auto"/>
            <w:right w:val="none" w:sz="0" w:space="0" w:color="auto"/>
          </w:divBdr>
        </w:div>
      </w:divsChild>
    </w:div>
    <w:div w:id="1159269384">
      <w:bodyDiv w:val="1"/>
      <w:marLeft w:val="0"/>
      <w:marRight w:val="0"/>
      <w:marTop w:val="0"/>
      <w:marBottom w:val="0"/>
      <w:divBdr>
        <w:top w:val="none" w:sz="0" w:space="0" w:color="auto"/>
        <w:left w:val="none" w:sz="0" w:space="0" w:color="auto"/>
        <w:bottom w:val="none" w:sz="0" w:space="0" w:color="auto"/>
        <w:right w:val="none" w:sz="0" w:space="0" w:color="auto"/>
      </w:divBdr>
    </w:div>
    <w:div w:id="1159419710">
      <w:bodyDiv w:val="1"/>
      <w:marLeft w:val="0"/>
      <w:marRight w:val="0"/>
      <w:marTop w:val="0"/>
      <w:marBottom w:val="0"/>
      <w:divBdr>
        <w:top w:val="none" w:sz="0" w:space="0" w:color="auto"/>
        <w:left w:val="none" w:sz="0" w:space="0" w:color="auto"/>
        <w:bottom w:val="none" w:sz="0" w:space="0" w:color="auto"/>
        <w:right w:val="none" w:sz="0" w:space="0" w:color="auto"/>
      </w:divBdr>
    </w:div>
    <w:div w:id="1171456012">
      <w:bodyDiv w:val="1"/>
      <w:marLeft w:val="0"/>
      <w:marRight w:val="0"/>
      <w:marTop w:val="0"/>
      <w:marBottom w:val="0"/>
      <w:divBdr>
        <w:top w:val="none" w:sz="0" w:space="0" w:color="auto"/>
        <w:left w:val="none" w:sz="0" w:space="0" w:color="auto"/>
        <w:bottom w:val="none" w:sz="0" w:space="0" w:color="auto"/>
        <w:right w:val="none" w:sz="0" w:space="0" w:color="auto"/>
      </w:divBdr>
    </w:div>
    <w:div w:id="1173952752">
      <w:bodyDiv w:val="1"/>
      <w:marLeft w:val="0"/>
      <w:marRight w:val="0"/>
      <w:marTop w:val="0"/>
      <w:marBottom w:val="0"/>
      <w:divBdr>
        <w:top w:val="none" w:sz="0" w:space="0" w:color="auto"/>
        <w:left w:val="none" w:sz="0" w:space="0" w:color="auto"/>
        <w:bottom w:val="none" w:sz="0" w:space="0" w:color="auto"/>
        <w:right w:val="none" w:sz="0" w:space="0" w:color="auto"/>
      </w:divBdr>
    </w:div>
    <w:div w:id="1174999601">
      <w:bodyDiv w:val="1"/>
      <w:marLeft w:val="0"/>
      <w:marRight w:val="0"/>
      <w:marTop w:val="0"/>
      <w:marBottom w:val="0"/>
      <w:divBdr>
        <w:top w:val="none" w:sz="0" w:space="0" w:color="auto"/>
        <w:left w:val="none" w:sz="0" w:space="0" w:color="auto"/>
        <w:bottom w:val="none" w:sz="0" w:space="0" w:color="auto"/>
        <w:right w:val="none" w:sz="0" w:space="0" w:color="auto"/>
      </w:divBdr>
      <w:divsChild>
        <w:div w:id="40132853">
          <w:marLeft w:val="0"/>
          <w:marRight w:val="0"/>
          <w:marTop w:val="0"/>
          <w:marBottom w:val="0"/>
          <w:divBdr>
            <w:top w:val="none" w:sz="0" w:space="0" w:color="auto"/>
            <w:left w:val="none" w:sz="0" w:space="0" w:color="auto"/>
            <w:bottom w:val="none" w:sz="0" w:space="0" w:color="auto"/>
            <w:right w:val="none" w:sz="0" w:space="0" w:color="auto"/>
          </w:divBdr>
        </w:div>
        <w:div w:id="755247148">
          <w:marLeft w:val="0"/>
          <w:marRight w:val="0"/>
          <w:marTop w:val="0"/>
          <w:marBottom w:val="0"/>
          <w:divBdr>
            <w:top w:val="none" w:sz="0" w:space="0" w:color="auto"/>
            <w:left w:val="none" w:sz="0" w:space="0" w:color="auto"/>
            <w:bottom w:val="none" w:sz="0" w:space="0" w:color="auto"/>
            <w:right w:val="none" w:sz="0" w:space="0" w:color="auto"/>
          </w:divBdr>
        </w:div>
      </w:divsChild>
    </w:div>
    <w:div w:id="1190028458">
      <w:bodyDiv w:val="1"/>
      <w:marLeft w:val="0"/>
      <w:marRight w:val="0"/>
      <w:marTop w:val="0"/>
      <w:marBottom w:val="0"/>
      <w:divBdr>
        <w:top w:val="none" w:sz="0" w:space="0" w:color="auto"/>
        <w:left w:val="none" w:sz="0" w:space="0" w:color="auto"/>
        <w:bottom w:val="none" w:sz="0" w:space="0" w:color="auto"/>
        <w:right w:val="none" w:sz="0" w:space="0" w:color="auto"/>
      </w:divBdr>
      <w:divsChild>
        <w:div w:id="1545369714">
          <w:marLeft w:val="0"/>
          <w:marRight w:val="0"/>
          <w:marTop w:val="0"/>
          <w:marBottom w:val="0"/>
          <w:divBdr>
            <w:top w:val="none" w:sz="0" w:space="0" w:color="auto"/>
            <w:left w:val="none" w:sz="0" w:space="0" w:color="auto"/>
            <w:bottom w:val="none" w:sz="0" w:space="0" w:color="auto"/>
            <w:right w:val="none" w:sz="0" w:space="0" w:color="auto"/>
          </w:divBdr>
        </w:div>
        <w:div w:id="1734087210">
          <w:marLeft w:val="0"/>
          <w:marRight w:val="0"/>
          <w:marTop w:val="0"/>
          <w:marBottom w:val="0"/>
          <w:divBdr>
            <w:top w:val="none" w:sz="0" w:space="0" w:color="auto"/>
            <w:left w:val="none" w:sz="0" w:space="0" w:color="auto"/>
            <w:bottom w:val="none" w:sz="0" w:space="0" w:color="auto"/>
            <w:right w:val="none" w:sz="0" w:space="0" w:color="auto"/>
          </w:divBdr>
        </w:div>
        <w:div w:id="1942369749">
          <w:marLeft w:val="0"/>
          <w:marRight w:val="0"/>
          <w:marTop w:val="0"/>
          <w:marBottom w:val="0"/>
          <w:divBdr>
            <w:top w:val="none" w:sz="0" w:space="0" w:color="auto"/>
            <w:left w:val="none" w:sz="0" w:space="0" w:color="auto"/>
            <w:bottom w:val="none" w:sz="0" w:space="0" w:color="auto"/>
            <w:right w:val="none" w:sz="0" w:space="0" w:color="auto"/>
          </w:divBdr>
        </w:div>
      </w:divsChild>
    </w:div>
    <w:div w:id="1190295839">
      <w:bodyDiv w:val="1"/>
      <w:marLeft w:val="0"/>
      <w:marRight w:val="0"/>
      <w:marTop w:val="0"/>
      <w:marBottom w:val="0"/>
      <w:divBdr>
        <w:top w:val="none" w:sz="0" w:space="0" w:color="auto"/>
        <w:left w:val="none" w:sz="0" w:space="0" w:color="auto"/>
        <w:bottom w:val="none" w:sz="0" w:space="0" w:color="auto"/>
        <w:right w:val="none" w:sz="0" w:space="0" w:color="auto"/>
      </w:divBdr>
      <w:divsChild>
        <w:div w:id="89931892">
          <w:marLeft w:val="0"/>
          <w:marRight w:val="0"/>
          <w:marTop w:val="0"/>
          <w:marBottom w:val="0"/>
          <w:divBdr>
            <w:top w:val="none" w:sz="0" w:space="0" w:color="auto"/>
            <w:left w:val="none" w:sz="0" w:space="0" w:color="auto"/>
            <w:bottom w:val="none" w:sz="0" w:space="0" w:color="auto"/>
            <w:right w:val="none" w:sz="0" w:space="0" w:color="auto"/>
          </w:divBdr>
        </w:div>
        <w:div w:id="169494154">
          <w:marLeft w:val="0"/>
          <w:marRight w:val="0"/>
          <w:marTop w:val="0"/>
          <w:marBottom w:val="0"/>
          <w:divBdr>
            <w:top w:val="none" w:sz="0" w:space="0" w:color="auto"/>
            <w:left w:val="none" w:sz="0" w:space="0" w:color="auto"/>
            <w:bottom w:val="none" w:sz="0" w:space="0" w:color="auto"/>
            <w:right w:val="none" w:sz="0" w:space="0" w:color="auto"/>
          </w:divBdr>
        </w:div>
        <w:div w:id="562328148">
          <w:marLeft w:val="0"/>
          <w:marRight w:val="0"/>
          <w:marTop w:val="0"/>
          <w:marBottom w:val="0"/>
          <w:divBdr>
            <w:top w:val="none" w:sz="0" w:space="0" w:color="auto"/>
            <w:left w:val="none" w:sz="0" w:space="0" w:color="auto"/>
            <w:bottom w:val="none" w:sz="0" w:space="0" w:color="auto"/>
            <w:right w:val="none" w:sz="0" w:space="0" w:color="auto"/>
          </w:divBdr>
        </w:div>
        <w:div w:id="1541472901">
          <w:marLeft w:val="0"/>
          <w:marRight w:val="0"/>
          <w:marTop w:val="0"/>
          <w:marBottom w:val="0"/>
          <w:divBdr>
            <w:top w:val="none" w:sz="0" w:space="0" w:color="auto"/>
            <w:left w:val="none" w:sz="0" w:space="0" w:color="auto"/>
            <w:bottom w:val="none" w:sz="0" w:space="0" w:color="auto"/>
            <w:right w:val="none" w:sz="0" w:space="0" w:color="auto"/>
          </w:divBdr>
        </w:div>
        <w:div w:id="1593662136">
          <w:marLeft w:val="0"/>
          <w:marRight w:val="0"/>
          <w:marTop w:val="0"/>
          <w:marBottom w:val="0"/>
          <w:divBdr>
            <w:top w:val="none" w:sz="0" w:space="0" w:color="auto"/>
            <w:left w:val="none" w:sz="0" w:space="0" w:color="auto"/>
            <w:bottom w:val="none" w:sz="0" w:space="0" w:color="auto"/>
            <w:right w:val="none" w:sz="0" w:space="0" w:color="auto"/>
          </w:divBdr>
        </w:div>
        <w:div w:id="1728648909">
          <w:marLeft w:val="0"/>
          <w:marRight w:val="0"/>
          <w:marTop w:val="0"/>
          <w:marBottom w:val="0"/>
          <w:divBdr>
            <w:top w:val="none" w:sz="0" w:space="0" w:color="auto"/>
            <w:left w:val="none" w:sz="0" w:space="0" w:color="auto"/>
            <w:bottom w:val="none" w:sz="0" w:space="0" w:color="auto"/>
            <w:right w:val="none" w:sz="0" w:space="0" w:color="auto"/>
          </w:divBdr>
        </w:div>
      </w:divsChild>
    </w:div>
    <w:div w:id="1199390953">
      <w:bodyDiv w:val="1"/>
      <w:marLeft w:val="0"/>
      <w:marRight w:val="0"/>
      <w:marTop w:val="0"/>
      <w:marBottom w:val="0"/>
      <w:divBdr>
        <w:top w:val="none" w:sz="0" w:space="0" w:color="auto"/>
        <w:left w:val="none" w:sz="0" w:space="0" w:color="auto"/>
        <w:bottom w:val="none" w:sz="0" w:space="0" w:color="auto"/>
        <w:right w:val="none" w:sz="0" w:space="0" w:color="auto"/>
      </w:divBdr>
    </w:div>
    <w:div w:id="1202792138">
      <w:bodyDiv w:val="1"/>
      <w:marLeft w:val="0"/>
      <w:marRight w:val="0"/>
      <w:marTop w:val="0"/>
      <w:marBottom w:val="0"/>
      <w:divBdr>
        <w:top w:val="none" w:sz="0" w:space="0" w:color="auto"/>
        <w:left w:val="none" w:sz="0" w:space="0" w:color="auto"/>
        <w:bottom w:val="none" w:sz="0" w:space="0" w:color="auto"/>
        <w:right w:val="none" w:sz="0" w:space="0" w:color="auto"/>
      </w:divBdr>
    </w:div>
    <w:div w:id="1238712204">
      <w:bodyDiv w:val="1"/>
      <w:marLeft w:val="0"/>
      <w:marRight w:val="0"/>
      <w:marTop w:val="0"/>
      <w:marBottom w:val="0"/>
      <w:divBdr>
        <w:top w:val="none" w:sz="0" w:space="0" w:color="auto"/>
        <w:left w:val="none" w:sz="0" w:space="0" w:color="auto"/>
        <w:bottom w:val="none" w:sz="0" w:space="0" w:color="auto"/>
        <w:right w:val="none" w:sz="0" w:space="0" w:color="auto"/>
      </w:divBdr>
    </w:div>
    <w:div w:id="1294941477">
      <w:bodyDiv w:val="1"/>
      <w:marLeft w:val="0"/>
      <w:marRight w:val="0"/>
      <w:marTop w:val="0"/>
      <w:marBottom w:val="0"/>
      <w:divBdr>
        <w:top w:val="none" w:sz="0" w:space="0" w:color="auto"/>
        <w:left w:val="none" w:sz="0" w:space="0" w:color="auto"/>
        <w:bottom w:val="none" w:sz="0" w:space="0" w:color="auto"/>
        <w:right w:val="none" w:sz="0" w:space="0" w:color="auto"/>
      </w:divBdr>
    </w:div>
    <w:div w:id="1296063974">
      <w:bodyDiv w:val="1"/>
      <w:marLeft w:val="0"/>
      <w:marRight w:val="0"/>
      <w:marTop w:val="0"/>
      <w:marBottom w:val="0"/>
      <w:divBdr>
        <w:top w:val="none" w:sz="0" w:space="0" w:color="auto"/>
        <w:left w:val="none" w:sz="0" w:space="0" w:color="auto"/>
        <w:bottom w:val="none" w:sz="0" w:space="0" w:color="auto"/>
        <w:right w:val="none" w:sz="0" w:space="0" w:color="auto"/>
      </w:divBdr>
    </w:div>
    <w:div w:id="1325276130">
      <w:bodyDiv w:val="1"/>
      <w:marLeft w:val="0"/>
      <w:marRight w:val="0"/>
      <w:marTop w:val="0"/>
      <w:marBottom w:val="0"/>
      <w:divBdr>
        <w:top w:val="none" w:sz="0" w:space="0" w:color="auto"/>
        <w:left w:val="none" w:sz="0" w:space="0" w:color="auto"/>
        <w:bottom w:val="none" w:sz="0" w:space="0" w:color="auto"/>
        <w:right w:val="none" w:sz="0" w:space="0" w:color="auto"/>
      </w:divBdr>
    </w:div>
    <w:div w:id="1326934199">
      <w:bodyDiv w:val="1"/>
      <w:marLeft w:val="0"/>
      <w:marRight w:val="0"/>
      <w:marTop w:val="0"/>
      <w:marBottom w:val="0"/>
      <w:divBdr>
        <w:top w:val="none" w:sz="0" w:space="0" w:color="auto"/>
        <w:left w:val="none" w:sz="0" w:space="0" w:color="auto"/>
        <w:bottom w:val="none" w:sz="0" w:space="0" w:color="auto"/>
        <w:right w:val="none" w:sz="0" w:space="0" w:color="auto"/>
      </w:divBdr>
      <w:divsChild>
        <w:div w:id="88277428">
          <w:marLeft w:val="0"/>
          <w:marRight w:val="0"/>
          <w:marTop w:val="0"/>
          <w:marBottom w:val="0"/>
          <w:divBdr>
            <w:top w:val="none" w:sz="0" w:space="0" w:color="auto"/>
            <w:left w:val="none" w:sz="0" w:space="0" w:color="auto"/>
            <w:bottom w:val="none" w:sz="0" w:space="0" w:color="auto"/>
            <w:right w:val="none" w:sz="0" w:space="0" w:color="auto"/>
          </w:divBdr>
        </w:div>
        <w:div w:id="1007099992">
          <w:marLeft w:val="0"/>
          <w:marRight w:val="0"/>
          <w:marTop w:val="0"/>
          <w:marBottom w:val="0"/>
          <w:divBdr>
            <w:top w:val="none" w:sz="0" w:space="0" w:color="auto"/>
            <w:left w:val="none" w:sz="0" w:space="0" w:color="auto"/>
            <w:bottom w:val="none" w:sz="0" w:space="0" w:color="auto"/>
            <w:right w:val="none" w:sz="0" w:space="0" w:color="auto"/>
          </w:divBdr>
        </w:div>
      </w:divsChild>
    </w:div>
    <w:div w:id="1327636497">
      <w:bodyDiv w:val="1"/>
      <w:marLeft w:val="0"/>
      <w:marRight w:val="0"/>
      <w:marTop w:val="0"/>
      <w:marBottom w:val="0"/>
      <w:divBdr>
        <w:top w:val="none" w:sz="0" w:space="0" w:color="auto"/>
        <w:left w:val="none" w:sz="0" w:space="0" w:color="auto"/>
        <w:bottom w:val="none" w:sz="0" w:space="0" w:color="auto"/>
        <w:right w:val="none" w:sz="0" w:space="0" w:color="auto"/>
      </w:divBdr>
    </w:div>
    <w:div w:id="1332831267">
      <w:bodyDiv w:val="1"/>
      <w:marLeft w:val="0"/>
      <w:marRight w:val="0"/>
      <w:marTop w:val="0"/>
      <w:marBottom w:val="0"/>
      <w:divBdr>
        <w:top w:val="none" w:sz="0" w:space="0" w:color="auto"/>
        <w:left w:val="none" w:sz="0" w:space="0" w:color="auto"/>
        <w:bottom w:val="none" w:sz="0" w:space="0" w:color="auto"/>
        <w:right w:val="none" w:sz="0" w:space="0" w:color="auto"/>
      </w:divBdr>
    </w:div>
    <w:div w:id="1363632852">
      <w:bodyDiv w:val="1"/>
      <w:marLeft w:val="0"/>
      <w:marRight w:val="0"/>
      <w:marTop w:val="0"/>
      <w:marBottom w:val="0"/>
      <w:divBdr>
        <w:top w:val="none" w:sz="0" w:space="0" w:color="auto"/>
        <w:left w:val="none" w:sz="0" w:space="0" w:color="auto"/>
        <w:bottom w:val="none" w:sz="0" w:space="0" w:color="auto"/>
        <w:right w:val="none" w:sz="0" w:space="0" w:color="auto"/>
      </w:divBdr>
    </w:div>
    <w:div w:id="1375884942">
      <w:bodyDiv w:val="1"/>
      <w:marLeft w:val="0"/>
      <w:marRight w:val="0"/>
      <w:marTop w:val="0"/>
      <w:marBottom w:val="0"/>
      <w:divBdr>
        <w:top w:val="none" w:sz="0" w:space="0" w:color="auto"/>
        <w:left w:val="none" w:sz="0" w:space="0" w:color="auto"/>
        <w:bottom w:val="none" w:sz="0" w:space="0" w:color="auto"/>
        <w:right w:val="none" w:sz="0" w:space="0" w:color="auto"/>
      </w:divBdr>
    </w:div>
    <w:div w:id="1376078760">
      <w:bodyDiv w:val="1"/>
      <w:marLeft w:val="0"/>
      <w:marRight w:val="0"/>
      <w:marTop w:val="0"/>
      <w:marBottom w:val="0"/>
      <w:divBdr>
        <w:top w:val="none" w:sz="0" w:space="0" w:color="auto"/>
        <w:left w:val="none" w:sz="0" w:space="0" w:color="auto"/>
        <w:bottom w:val="none" w:sz="0" w:space="0" w:color="auto"/>
        <w:right w:val="none" w:sz="0" w:space="0" w:color="auto"/>
      </w:divBdr>
    </w:div>
    <w:div w:id="1377004881">
      <w:bodyDiv w:val="1"/>
      <w:marLeft w:val="0"/>
      <w:marRight w:val="0"/>
      <w:marTop w:val="0"/>
      <w:marBottom w:val="0"/>
      <w:divBdr>
        <w:top w:val="none" w:sz="0" w:space="0" w:color="auto"/>
        <w:left w:val="none" w:sz="0" w:space="0" w:color="auto"/>
        <w:bottom w:val="none" w:sz="0" w:space="0" w:color="auto"/>
        <w:right w:val="none" w:sz="0" w:space="0" w:color="auto"/>
      </w:divBdr>
    </w:div>
    <w:div w:id="1418558328">
      <w:bodyDiv w:val="1"/>
      <w:marLeft w:val="0"/>
      <w:marRight w:val="0"/>
      <w:marTop w:val="0"/>
      <w:marBottom w:val="0"/>
      <w:divBdr>
        <w:top w:val="none" w:sz="0" w:space="0" w:color="auto"/>
        <w:left w:val="none" w:sz="0" w:space="0" w:color="auto"/>
        <w:bottom w:val="none" w:sz="0" w:space="0" w:color="auto"/>
        <w:right w:val="none" w:sz="0" w:space="0" w:color="auto"/>
      </w:divBdr>
    </w:div>
    <w:div w:id="1420130041">
      <w:bodyDiv w:val="1"/>
      <w:marLeft w:val="0"/>
      <w:marRight w:val="0"/>
      <w:marTop w:val="0"/>
      <w:marBottom w:val="0"/>
      <w:divBdr>
        <w:top w:val="none" w:sz="0" w:space="0" w:color="auto"/>
        <w:left w:val="none" w:sz="0" w:space="0" w:color="auto"/>
        <w:bottom w:val="none" w:sz="0" w:space="0" w:color="auto"/>
        <w:right w:val="none" w:sz="0" w:space="0" w:color="auto"/>
      </w:divBdr>
    </w:div>
    <w:div w:id="1420172566">
      <w:bodyDiv w:val="1"/>
      <w:marLeft w:val="0"/>
      <w:marRight w:val="0"/>
      <w:marTop w:val="0"/>
      <w:marBottom w:val="0"/>
      <w:divBdr>
        <w:top w:val="none" w:sz="0" w:space="0" w:color="auto"/>
        <w:left w:val="none" w:sz="0" w:space="0" w:color="auto"/>
        <w:bottom w:val="none" w:sz="0" w:space="0" w:color="auto"/>
        <w:right w:val="none" w:sz="0" w:space="0" w:color="auto"/>
      </w:divBdr>
    </w:div>
    <w:div w:id="1421950709">
      <w:bodyDiv w:val="1"/>
      <w:marLeft w:val="0"/>
      <w:marRight w:val="0"/>
      <w:marTop w:val="0"/>
      <w:marBottom w:val="0"/>
      <w:divBdr>
        <w:top w:val="none" w:sz="0" w:space="0" w:color="auto"/>
        <w:left w:val="none" w:sz="0" w:space="0" w:color="auto"/>
        <w:bottom w:val="none" w:sz="0" w:space="0" w:color="auto"/>
        <w:right w:val="none" w:sz="0" w:space="0" w:color="auto"/>
      </w:divBdr>
    </w:div>
    <w:div w:id="1447501045">
      <w:bodyDiv w:val="1"/>
      <w:marLeft w:val="0"/>
      <w:marRight w:val="0"/>
      <w:marTop w:val="0"/>
      <w:marBottom w:val="0"/>
      <w:divBdr>
        <w:top w:val="none" w:sz="0" w:space="0" w:color="auto"/>
        <w:left w:val="none" w:sz="0" w:space="0" w:color="auto"/>
        <w:bottom w:val="none" w:sz="0" w:space="0" w:color="auto"/>
        <w:right w:val="none" w:sz="0" w:space="0" w:color="auto"/>
      </w:divBdr>
      <w:divsChild>
        <w:div w:id="1324507518">
          <w:marLeft w:val="0"/>
          <w:marRight w:val="0"/>
          <w:marTop w:val="0"/>
          <w:marBottom w:val="0"/>
          <w:divBdr>
            <w:top w:val="none" w:sz="0" w:space="0" w:color="auto"/>
            <w:left w:val="none" w:sz="0" w:space="0" w:color="auto"/>
            <w:bottom w:val="none" w:sz="0" w:space="0" w:color="auto"/>
            <w:right w:val="none" w:sz="0" w:space="0" w:color="auto"/>
          </w:divBdr>
        </w:div>
        <w:div w:id="2005165589">
          <w:marLeft w:val="0"/>
          <w:marRight w:val="0"/>
          <w:marTop w:val="0"/>
          <w:marBottom w:val="0"/>
          <w:divBdr>
            <w:top w:val="none" w:sz="0" w:space="0" w:color="auto"/>
            <w:left w:val="none" w:sz="0" w:space="0" w:color="auto"/>
            <w:bottom w:val="none" w:sz="0" w:space="0" w:color="auto"/>
            <w:right w:val="none" w:sz="0" w:space="0" w:color="auto"/>
          </w:divBdr>
        </w:div>
      </w:divsChild>
    </w:div>
    <w:div w:id="1450591826">
      <w:bodyDiv w:val="1"/>
      <w:marLeft w:val="0"/>
      <w:marRight w:val="0"/>
      <w:marTop w:val="0"/>
      <w:marBottom w:val="0"/>
      <w:divBdr>
        <w:top w:val="none" w:sz="0" w:space="0" w:color="auto"/>
        <w:left w:val="none" w:sz="0" w:space="0" w:color="auto"/>
        <w:bottom w:val="none" w:sz="0" w:space="0" w:color="auto"/>
        <w:right w:val="none" w:sz="0" w:space="0" w:color="auto"/>
      </w:divBdr>
    </w:div>
    <w:div w:id="1453791956">
      <w:bodyDiv w:val="1"/>
      <w:marLeft w:val="0"/>
      <w:marRight w:val="0"/>
      <w:marTop w:val="0"/>
      <w:marBottom w:val="0"/>
      <w:divBdr>
        <w:top w:val="none" w:sz="0" w:space="0" w:color="auto"/>
        <w:left w:val="none" w:sz="0" w:space="0" w:color="auto"/>
        <w:bottom w:val="none" w:sz="0" w:space="0" w:color="auto"/>
        <w:right w:val="none" w:sz="0" w:space="0" w:color="auto"/>
      </w:divBdr>
    </w:div>
    <w:div w:id="1459300866">
      <w:bodyDiv w:val="1"/>
      <w:marLeft w:val="0"/>
      <w:marRight w:val="0"/>
      <w:marTop w:val="0"/>
      <w:marBottom w:val="0"/>
      <w:divBdr>
        <w:top w:val="none" w:sz="0" w:space="0" w:color="auto"/>
        <w:left w:val="none" w:sz="0" w:space="0" w:color="auto"/>
        <w:bottom w:val="none" w:sz="0" w:space="0" w:color="auto"/>
        <w:right w:val="none" w:sz="0" w:space="0" w:color="auto"/>
      </w:divBdr>
    </w:div>
    <w:div w:id="1486124052">
      <w:bodyDiv w:val="1"/>
      <w:marLeft w:val="0"/>
      <w:marRight w:val="0"/>
      <w:marTop w:val="0"/>
      <w:marBottom w:val="0"/>
      <w:divBdr>
        <w:top w:val="none" w:sz="0" w:space="0" w:color="auto"/>
        <w:left w:val="none" w:sz="0" w:space="0" w:color="auto"/>
        <w:bottom w:val="none" w:sz="0" w:space="0" w:color="auto"/>
        <w:right w:val="none" w:sz="0" w:space="0" w:color="auto"/>
      </w:divBdr>
      <w:divsChild>
        <w:div w:id="739333321">
          <w:marLeft w:val="0"/>
          <w:marRight w:val="0"/>
          <w:marTop w:val="0"/>
          <w:marBottom w:val="0"/>
          <w:divBdr>
            <w:top w:val="none" w:sz="0" w:space="0" w:color="auto"/>
            <w:left w:val="none" w:sz="0" w:space="0" w:color="auto"/>
            <w:bottom w:val="none" w:sz="0" w:space="0" w:color="auto"/>
            <w:right w:val="none" w:sz="0" w:space="0" w:color="auto"/>
          </w:divBdr>
        </w:div>
        <w:div w:id="1202942396">
          <w:marLeft w:val="0"/>
          <w:marRight w:val="0"/>
          <w:marTop w:val="0"/>
          <w:marBottom w:val="0"/>
          <w:divBdr>
            <w:top w:val="none" w:sz="0" w:space="0" w:color="auto"/>
            <w:left w:val="none" w:sz="0" w:space="0" w:color="auto"/>
            <w:bottom w:val="none" w:sz="0" w:space="0" w:color="auto"/>
            <w:right w:val="none" w:sz="0" w:space="0" w:color="auto"/>
          </w:divBdr>
        </w:div>
        <w:div w:id="1472020175">
          <w:marLeft w:val="0"/>
          <w:marRight w:val="0"/>
          <w:marTop w:val="0"/>
          <w:marBottom w:val="0"/>
          <w:divBdr>
            <w:top w:val="none" w:sz="0" w:space="0" w:color="auto"/>
            <w:left w:val="none" w:sz="0" w:space="0" w:color="auto"/>
            <w:bottom w:val="none" w:sz="0" w:space="0" w:color="auto"/>
            <w:right w:val="none" w:sz="0" w:space="0" w:color="auto"/>
          </w:divBdr>
        </w:div>
      </w:divsChild>
    </w:div>
    <w:div w:id="1516378148">
      <w:bodyDiv w:val="1"/>
      <w:marLeft w:val="0"/>
      <w:marRight w:val="0"/>
      <w:marTop w:val="0"/>
      <w:marBottom w:val="0"/>
      <w:divBdr>
        <w:top w:val="none" w:sz="0" w:space="0" w:color="auto"/>
        <w:left w:val="none" w:sz="0" w:space="0" w:color="auto"/>
        <w:bottom w:val="none" w:sz="0" w:space="0" w:color="auto"/>
        <w:right w:val="none" w:sz="0" w:space="0" w:color="auto"/>
      </w:divBdr>
    </w:div>
    <w:div w:id="1560824605">
      <w:bodyDiv w:val="1"/>
      <w:marLeft w:val="0"/>
      <w:marRight w:val="0"/>
      <w:marTop w:val="0"/>
      <w:marBottom w:val="0"/>
      <w:divBdr>
        <w:top w:val="none" w:sz="0" w:space="0" w:color="auto"/>
        <w:left w:val="none" w:sz="0" w:space="0" w:color="auto"/>
        <w:bottom w:val="none" w:sz="0" w:space="0" w:color="auto"/>
        <w:right w:val="none" w:sz="0" w:space="0" w:color="auto"/>
      </w:divBdr>
    </w:div>
    <w:div w:id="1572889805">
      <w:bodyDiv w:val="1"/>
      <w:marLeft w:val="0"/>
      <w:marRight w:val="0"/>
      <w:marTop w:val="0"/>
      <w:marBottom w:val="0"/>
      <w:divBdr>
        <w:top w:val="none" w:sz="0" w:space="0" w:color="auto"/>
        <w:left w:val="none" w:sz="0" w:space="0" w:color="auto"/>
        <w:bottom w:val="none" w:sz="0" w:space="0" w:color="auto"/>
        <w:right w:val="none" w:sz="0" w:space="0" w:color="auto"/>
      </w:divBdr>
    </w:div>
    <w:div w:id="1580285095">
      <w:bodyDiv w:val="1"/>
      <w:marLeft w:val="0"/>
      <w:marRight w:val="0"/>
      <w:marTop w:val="0"/>
      <w:marBottom w:val="0"/>
      <w:divBdr>
        <w:top w:val="none" w:sz="0" w:space="0" w:color="auto"/>
        <w:left w:val="none" w:sz="0" w:space="0" w:color="auto"/>
        <w:bottom w:val="none" w:sz="0" w:space="0" w:color="auto"/>
        <w:right w:val="none" w:sz="0" w:space="0" w:color="auto"/>
      </w:divBdr>
    </w:div>
    <w:div w:id="1580481322">
      <w:bodyDiv w:val="1"/>
      <w:marLeft w:val="0"/>
      <w:marRight w:val="0"/>
      <w:marTop w:val="0"/>
      <w:marBottom w:val="0"/>
      <w:divBdr>
        <w:top w:val="none" w:sz="0" w:space="0" w:color="auto"/>
        <w:left w:val="none" w:sz="0" w:space="0" w:color="auto"/>
        <w:bottom w:val="none" w:sz="0" w:space="0" w:color="auto"/>
        <w:right w:val="none" w:sz="0" w:space="0" w:color="auto"/>
      </w:divBdr>
    </w:div>
    <w:div w:id="1589465247">
      <w:bodyDiv w:val="1"/>
      <w:marLeft w:val="0"/>
      <w:marRight w:val="0"/>
      <w:marTop w:val="0"/>
      <w:marBottom w:val="0"/>
      <w:divBdr>
        <w:top w:val="none" w:sz="0" w:space="0" w:color="auto"/>
        <w:left w:val="none" w:sz="0" w:space="0" w:color="auto"/>
        <w:bottom w:val="none" w:sz="0" w:space="0" w:color="auto"/>
        <w:right w:val="none" w:sz="0" w:space="0" w:color="auto"/>
      </w:divBdr>
    </w:div>
    <w:div w:id="1598101080">
      <w:bodyDiv w:val="1"/>
      <w:marLeft w:val="0"/>
      <w:marRight w:val="0"/>
      <w:marTop w:val="0"/>
      <w:marBottom w:val="0"/>
      <w:divBdr>
        <w:top w:val="none" w:sz="0" w:space="0" w:color="auto"/>
        <w:left w:val="none" w:sz="0" w:space="0" w:color="auto"/>
        <w:bottom w:val="none" w:sz="0" w:space="0" w:color="auto"/>
        <w:right w:val="none" w:sz="0" w:space="0" w:color="auto"/>
      </w:divBdr>
    </w:div>
    <w:div w:id="1616597886">
      <w:bodyDiv w:val="1"/>
      <w:marLeft w:val="0"/>
      <w:marRight w:val="0"/>
      <w:marTop w:val="0"/>
      <w:marBottom w:val="0"/>
      <w:divBdr>
        <w:top w:val="none" w:sz="0" w:space="0" w:color="auto"/>
        <w:left w:val="none" w:sz="0" w:space="0" w:color="auto"/>
        <w:bottom w:val="none" w:sz="0" w:space="0" w:color="auto"/>
        <w:right w:val="none" w:sz="0" w:space="0" w:color="auto"/>
      </w:divBdr>
      <w:divsChild>
        <w:div w:id="641811917">
          <w:marLeft w:val="0"/>
          <w:marRight w:val="0"/>
          <w:marTop w:val="0"/>
          <w:marBottom w:val="0"/>
          <w:divBdr>
            <w:top w:val="none" w:sz="0" w:space="0" w:color="auto"/>
            <w:left w:val="none" w:sz="0" w:space="0" w:color="auto"/>
            <w:bottom w:val="none" w:sz="0" w:space="0" w:color="auto"/>
            <w:right w:val="none" w:sz="0" w:space="0" w:color="auto"/>
          </w:divBdr>
        </w:div>
      </w:divsChild>
    </w:div>
    <w:div w:id="1661734648">
      <w:bodyDiv w:val="1"/>
      <w:marLeft w:val="0"/>
      <w:marRight w:val="0"/>
      <w:marTop w:val="0"/>
      <w:marBottom w:val="0"/>
      <w:divBdr>
        <w:top w:val="none" w:sz="0" w:space="0" w:color="auto"/>
        <w:left w:val="none" w:sz="0" w:space="0" w:color="auto"/>
        <w:bottom w:val="none" w:sz="0" w:space="0" w:color="auto"/>
        <w:right w:val="none" w:sz="0" w:space="0" w:color="auto"/>
      </w:divBdr>
    </w:div>
    <w:div w:id="1684360782">
      <w:bodyDiv w:val="1"/>
      <w:marLeft w:val="0"/>
      <w:marRight w:val="0"/>
      <w:marTop w:val="0"/>
      <w:marBottom w:val="0"/>
      <w:divBdr>
        <w:top w:val="none" w:sz="0" w:space="0" w:color="auto"/>
        <w:left w:val="none" w:sz="0" w:space="0" w:color="auto"/>
        <w:bottom w:val="none" w:sz="0" w:space="0" w:color="auto"/>
        <w:right w:val="none" w:sz="0" w:space="0" w:color="auto"/>
      </w:divBdr>
      <w:divsChild>
        <w:div w:id="598493171">
          <w:marLeft w:val="0"/>
          <w:marRight w:val="0"/>
          <w:marTop w:val="0"/>
          <w:marBottom w:val="0"/>
          <w:divBdr>
            <w:top w:val="none" w:sz="0" w:space="0" w:color="auto"/>
            <w:left w:val="none" w:sz="0" w:space="0" w:color="auto"/>
            <w:bottom w:val="none" w:sz="0" w:space="0" w:color="auto"/>
            <w:right w:val="none" w:sz="0" w:space="0" w:color="auto"/>
          </w:divBdr>
        </w:div>
        <w:div w:id="1595283048">
          <w:marLeft w:val="0"/>
          <w:marRight w:val="0"/>
          <w:marTop w:val="0"/>
          <w:marBottom w:val="0"/>
          <w:divBdr>
            <w:top w:val="none" w:sz="0" w:space="0" w:color="auto"/>
            <w:left w:val="none" w:sz="0" w:space="0" w:color="auto"/>
            <w:bottom w:val="none" w:sz="0" w:space="0" w:color="auto"/>
            <w:right w:val="none" w:sz="0" w:space="0" w:color="auto"/>
          </w:divBdr>
        </w:div>
      </w:divsChild>
    </w:div>
    <w:div w:id="1692604025">
      <w:bodyDiv w:val="1"/>
      <w:marLeft w:val="0"/>
      <w:marRight w:val="0"/>
      <w:marTop w:val="0"/>
      <w:marBottom w:val="0"/>
      <w:divBdr>
        <w:top w:val="none" w:sz="0" w:space="0" w:color="auto"/>
        <w:left w:val="none" w:sz="0" w:space="0" w:color="auto"/>
        <w:bottom w:val="none" w:sz="0" w:space="0" w:color="auto"/>
        <w:right w:val="none" w:sz="0" w:space="0" w:color="auto"/>
      </w:divBdr>
    </w:div>
    <w:div w:id="1702197763">
      <w:bodyDiv w:val="1"/>
      <w:marLeft w:val="0"/>
      <w:marRight w:val="0"/>
      <w:marTop w:val="0"/>
      <w:marBottom w:val="0"/>
      <w:divBdr>
        <w:top w:val="none" w:sz="0" w:space="0" w:color="auto"/>
        <w:left w:val="none" w:sz="0" w:space="0" w:color="auto"/>
        <w:bottom w:val="none" w:sz="0" w:space="0" w:color="auto"/>
        <w:right w:val="none" w:sz="0" w:space="0" w:color="auto"/>
      </w:divBdr>
      <w:divsChild>
        <w:div w:id="1705014039">
          <w:marLeft w:val="0"/>
          <w:marRight w:val="0"/>
          <w:marTop w:val="0"/>
          <w:marBottom w:val="0"/>
          <w:divBdr>
            <w:top w:val="none" w:sz="0" w:space="0" w:color="auto"/>
            <w:left w:val="none" w:sz="0" w:space="0" w:color="auto"/>
            <w:bottom w:val="none" w:sz="0" w:space="0" w:color="auto"/>
            <w:right w:val="none" w:sz="0" w:space="0" w:color="auto"/>
          </w:divBdr>
        </w:div>
        <w:div w:id="1874609641">
          <w:marLeft w:val="0"/>
          <w:marRight w:val="0"/>
          <w:marTop w:val="0"/>
          <w:marBottom w:val="0"/>
          <w:divBdr>
            <w:top w:val="none" w:sz="0" w:space="0" w:color="auto"/>
            <w:left w:val="none" w:sz="0" w:space="0" w:color="auto"/>
            <w:bottom w:val="none" w:sz="0" w:space="0" w:color="auto"/>
            <w:right w:val="none" w:sz="0" w:space="0" w:color="auto"/>
          </w:divBdr>
        </w:div>
      </w:divsChild>
    </w:div>
    <w:div w:id="1753890335">
      <w:bodyDiv w:val="1"/>
      <w:marLeft w:val="0"/>
      <w:marRight w:val="0"/>
      <w:marTop w:val="0"/>
      <w:marBottom w:val="0"/>
      <w:divBdr>
        <w:top w:val="none" w:sz="0" w:space="0" w:color="auto"/>
        <w:left w:val="none" w:sz="0" w:space="0" w:color="auto"/>
        <w:bottom w:val="none" w:sz="0" w:space="0" w:color="auto"/>
        <w:right w:val="none" w:sz="0" w:space="0" w:color="auto"/>
      </w:divBdr>
    </w:div>
    <w:div w:id="1766149659">
      <w:bodyDiv w:val="1"/>
      <w:marLeft w:val="0"/>
      <w:marRight w:val="0"/>
      <w:marTop w:val="0"/>
      <w:marBottom w:val="0"/>
      <w:divBdr>
        <w:top w:val="none" w:sz="0" w:space="0" w:color="auto"/>
        <w:left w:val="none" w:sz="0" w:space="0" w:color="auto"/>
        <w:bottom w:val="none" w:sz="0" w:space="0" w:color="auto"/>
        <w:right w:val="none" w:sz="0" w:space="0" w:color="auto"/>
      </w:divBdr>
    </w:div>
    <w:div w:id="1770546407">
      <w:bodyDiv w:val="1"/>
      <w:marLeft w:val="0"/>
      <w:marRight w:val="0"/>
      <w:marTop w:val="0"/>
      <w:marBottom w:val="0"/>
      <w:divBdr>
        <w:top w:val="none" w:sz="0" w:space="0" w:color="auto"/>
        <w:left w:val="none" w:sz="0" w:space="0" w:color="auto"/>
        <w:bottom w:val="none" w:sz="0" w:space="0" w:color="auto"/>
        <w:right w:val="none" w:sz="0" w:space="0" w:color="auto"/>
      </w:divBdr>
    </w:div>
    <w:div w:id="1789856448">
      <w:bodyDiv w:val="1"/>
      <w:marLeft w:val="0"/>
      <w:marRight w:val="0"/>
      <w:marTop w:val="0"/>
      <w:marBottom w:val="0"/>
      <w:divBdr>
        <w:top w:val="none" w:sz="0" w:space="0" w:color="auto"/>
        <w:left w:val="none" w:sz="0" w:space="0" w:color="auto"/>
        <w:bottom w:val="none" w:sz="0" w:space="0" w:color="auto"/>
        <w:right w:val="none" w:sz="0" w:space="0" w:color="auto"/>
      </w:divBdr>
    </w:div>
    <w:div w:id="1800413383">
      <w:bodyDiv w:val="1"/>
      <w:marLeft w:val="0"/>
      <w:marRight w:val="0"/>
      <w:marTop w:val="0"/>
      <w:marBottom w:val="0"/>
      <w:divBdr>
        <w:top w:val="none" w:sz="0" w:space="0" w:color="auto"/>
        <w:left w:val="none" w:sz="0" w:space="0" w:color="auto"/>
        <w:bottom w:val="none" w:sz="0" w:space="0" w:color="auto"/>
        <w:right w:val="none" w:sz="0" w:space="0" w:color="auto"/>
      </w:divBdr>
      <w:divsChild>
        <w:div w:id="534345668">
          <w:marLeft w:val="0"/>
          <w:marRight w:val="0"/>
          <w:marTop w:val="0"/>
          <w:marBottom w:val="0"/>
          <w:divBdr>
            <w:top w:val="none" w:sz="0" w:space="0" w:color="auto"/>
            <w:left w:val="none" w:sz="0" w:space="0" w:color="auto"/>
            <w:bottom w:val="none" w:sz="0" w:space="0" w:color="auto"/>
            <w:right w:val="none" w:sz="0" w:space="0" w:color="auto"/>
          </w:divBdr>
        </w:div>
        <w:div w:id="1235579306">
          <w:marLeft w:val="0"/>
          <w:marRight w:val="0"/>
          <w:marTop w:val="0"/>
          <w:marBottom w:val="0"/>
          <w:divBdr>
            <w:top w:val="none" w:sz="0" w:space="0" w:color="auto"/>
            <w:left w:val="none" w:sz="0" w:space="0" w:color="auto"/>
            <w:bottom w:val="none" w:sz="0" w:space="0" w:color="auto"/>
            <w:right w:val="none" w:sz="0" w:space="0" w:color="auto"/>
          </w:divBdr>
        </w:div>
        <w:div w:id="1294485247">
          <w:marLeft w:val="0"/>
          <w:marRight w:val="0"/>
          <w:marTop w:val="0"/>
          <w:marBottom w:val="0"/>
          <w:divBdr>
            <w:top w:val="none" w:sz="0" w:space="0" w:color="auto"/>
            <w:left w:val="none" w:sz="0" w:space="0" w:color="auto"/>
            <w:bottom w:val="none" w:sz="0" w:space="0" w:color="auto"/>
            <w:right w:val="none" w:sz="0" w:space="0" w:color="auto"/>
          </w:divBdr>
        </w:div>
        <w:div w:id="1399859753">
          <w:marLeft w:val="0"/>
          <w:marRight w:val="0"/>
          <w:marTop w:val="0"/>
          <w:marBottom w:val="0"/>
          <w:divBdr>
            <w:top w:val="none" w:sz="0" w:space="0" w:color="auto"/>
            <w:left w:val="none" w:sz="0" w:space="0" w:color="auto"/>
            <w:bottom w:val="none" w:sz="0" w:space="0" w:color="auto"/>
            <w:right w:val="none" w:sz="0" w:space="0" w:color="auto"/>
          </w:divBdr>
        </w:div>
        <w:div w:id="1598445697">
          <w:marLeft w:val="0"/>
          <w:marRight w:val="0"/>
          <w:marTop w:val="0"/>
          <w:marBottom w:val="0"/>
          <w:divBdr>
            <w:top w:val="none" w:sz="0" w:space="0" w:color="auto"/>
            <w:left w:val="none" w:sz="0" w:space="0" w:color="auto"/>
            <w:bottom w:val="none" w:sz="0" w:space="0" w:color="auto"/>
            <w:right w:val="none" w:sz="0" w:space="0" w:color="auto"/>
          </w:divBdr>
        </w:div>
        <w:div w:id="1882086535">
          <w:marLeft w:val="0"/>
          <w:marRight w:val="0"/>
          <w:marTop w:val="0"/>
          <w:marBottom w:val="0"/>
          <w:divBdr>
            <w:top w:val="none" w:sz="0" w:space="0" w:color="auto"/>
            <w:left w:val="none" w:sz="0" w:space="0" w:color="auto"/>
            <w:bottom w:val="none" w:sz="0" w:space="0" w:color="auto"/>
            <w:right w:val="none" w:sz="0" w:space="0" w:color="auto"/>
          </w:divBdr>
        </w:div>
        <w:div w:id="1981765480">
          <w:marLeft w:val="0"/>
          <w:marRight w:val="0"/>
          <w:marTop w:val="0"/>
          <w:marBottom w:val="0"/>
          <w:divBdr>
            <w:top w:val="none" w:sz="0" w:space="0" w:color="auto"/>
            <w:left w:val="none" w:sz="0" w:space="0" w:color="auto"/>
            <w:bottom w:val="none" w:sz="0" w:space="0" w:color="auto"/>
            <w:right w:val="none" w:sz="0" w:space="0" w:color="auto"/>
          </w:divBdr>
        </w:div>
      </w:divsChild>
    </w:div>
    <w:div w:id="1802384338">
      <w:bodyDiv w:val="1"/>
      <w:marLeft w:val="0"/>
      <w:marRight w:val="0"/>
      <w:marTop w:val="0"/>
      <w:marBottom w:val="0"/>
      <w:divBdr>
        <w:top w:val="none" w:sz="0" w:space="0" w:color="auto"/>
        <w:left w:val="none" w:sz="0" w:space="0" w:color="auto"/>
        <w:bottom w:val="none" w:sz="0" w:space="0" w:color="auto"/>
        <w:right w:val="none" w:sz="0" w:space="0" w:color="auto"/>
      </w:divBdr>
    </w:div>
    <w:div w:id="1810975583">
      <w:bodyDiv w:val="1"/>
      <w:marLeft w:val="0"/>
      <w:marRight w:val="0"/>
      <w:marTop w:val="0"/>
      <w:marBottom w:val="0"/>
      <w:divBdr>
        <w:top w:val="none" w:sz="0" w:space="0" w:color="auto"/>
        <w:left w:val="none" w:sz="0" w:space="0" w:color="auto"/>
        <w:bottom w:val="none" w:sz="0" w:space="0" w:color="auto"/>
        <w:right w:val="none" w:sz="0" w:space="0" w:color="auto"/>
      </w:divBdr>
    </w:div>
    <w:div w:id="1835224539">
      <w:bodyDiv w:val="1"/>
      <w:marLeft w:val="0"/>
      <w:marRight w:val="0"/>
      <w:marTop w:val="0"/>
      <w:marBottom w:val="0"/>
      <w:divBdr>
        <w:top w:val="none" w:sz="0" w:space="0" w:color="auto"/>
        <w:left w:val="none" w:sz="0" w:space="0" w:color="auto"/>
        <w:bottom w:val="none" w:sz="0" w:space="0" w:color="auto"/>
        <w:right w:val="none" w:sz="0" w:space="0" w:color="auto"/>
      </w:divBdr>
    </w:div>
    <w:div w:id="1847090108">
      <w:bodyDiv w:val="1"/>
      <w:marLeft w:val="0"/>
      <w:marRight w:val="0"/>
      <w:marTop w:val="0"/>
      <w:marBottom w:val="0"/>
      <w:divBdr>
        <w:top w:val="none" w:sz="0" w:space="0" w:color="auto"/>
        <w:left w:val="none" w:sz="0" w:space="0" w:color="auto"/>
        <w:bottom w:val="none" w:sz="0" w:space="0" w:color="auto"/>
        <w:right w:val="none" w:sz="0" w:space="0" w:color="auto"/>
      </w:divBdr>
    </w:div>
    <w:div w:id="1850949941">
      <w:bodyDiv w:val="1"/>
      <w:marLeft w:val="0"/>
      <w:marRight w:val="0"/>
      <w:marTop w:val="0"/>
      <w:marBottom w:val="0"/>
      <w:divBdr>
        <w:top w:val="none" w:sz="0" w:space="0" w:color="auto"/>
        <w:left w:val="none" w:sz="0" w:space="0" w:color="auto"/>
        <w:bottom w:val="none" w:sz="0" w:space="0" w:color="auto"/>
        <w:right w:val="none" w:sz="0" w:space="0" w:color="auto"/>
      </w:divBdr>
      <w:divsChild>
        <w:div w:id="278874295">
          <w:marLeft w:val="0"/>
          <w:marRight w:val="0"/>
          <w:marTop w:val="0"/>
          <w:marBottom w:val="0"/>
          <w:divBdr>
            <w:top w:val="none" w:sz="0" w:space="0" w:color="auto"/>
            <w:left w:val="none" w:sz="0" w:space="0" w:color="auto"/>
            <w:bottom w:val="none" w:sz="0" w:space="0" w:color="auto"/>
            <w:right w:val="none" w:sz="0" w:space="0" w:color="auto"/>
          </w:divBdr>
        </w:div>
        <w:div w:id="637995376">
          <w:marLeft w:val="0"/>
          <w:marRight w:val="0"/>
          <w:marTop w:val="0"/>
          <w:marBottom w:val="0"/>
          <w:divBdr>
            <w:top w:val="none" w:sz="0" w:space="0" w:color="auto"/>
            <w:left w:val="none" w:sz="0" w:space="0" w:color="auto"/>
            <w:bottom w:val="none" w:sz="0" w:space="0" w:color="auto"/>
            <w:right w:val="none" w:sz="0" w:space="0" w:color="auto"/>
          </w:divBdr>
        </w:div>
        <w:div w:id="726343735">
          <w:marLeft w:val="0"/>
          <w:marRight w:val="0"/>
          <w:marTop w:val="0"/>
          <w:marBottom w:val="0"/>
          <w:divBdr>
            <w:top w:val="none" w:sz="0" w:space="0" w:color="auto"/>
            <w:left w:val="none" w:sz="0" w:space="0" w:color="auto"/>
            <w:bottom w:val="none" w:sz="0" w:space="0" w:color="auto"/>
            <w:right w:val="none" w:sz="0" w:space="0" w:color="auto"/>
          </w:divBdr>
        </w:div>
      </w:divsChild>
    </w:div>
    <w:div w:id="1870289486">
      <w:bodyDiv w:val="1"/>
      <w:marLeft w:val="0"/>
      <w:marRight w:val="0"/>
      <w:marTop w:val="0"/>
      <w:marBottom w:val="0"/>
      <w:divBdr>
        <w:top w:val="none" w:sz="0" w:space="0" w:color="auto"/>
        <w:left w:val="none" w:sz="0" w:space="0" w:color="auto"/>
        <w:bottom w:val="none" w:sz="0" w:space="0" w:color="auto"/>
        <w:right w:val="none" w:sz="0" w:space="0" w:color="auto"/>
      </w:divBdr>
    </w:div>
    <w:div w:id="1874420299">
      <w:bodyDiv w:val="1"/>
      <w:marLeft w:val="0"/>
      <w:marRight w:val="0"/>
      <w:marTop w:val="0"/>
      <w:marBottom w:val="0"/>
      <w:divBdr>
        <w:top w:val="none" w:sz="0" w:space="0" w:color="auto"/>
        <w:left w:val="none" w:sz="0" w:space="0" w:color="auto"/>
        <w:bottom w:val="none" w:sz="0" w:space="0" w:color="auto"/>
        <w:right w:val="none" w:sz="0" w:space="0" w:color="auto"/>
      </w:divBdr>
      <w:divsChild>
        <w:div w:id="859046655">
          <w:marLeft w:val="0"/>
          <w:marRight w:val="0"/>
          <w:marTop w:val="0"/>
          <w:marBottom w:val="0"/>
          <w:divBdr>
            <w:top w:val="none" w:sz="0" w:space="0" w:color="auto"/>
            <w:left w:val="none" w:sz="0" w:space="0" w:color="auto"/>
            <w:bottom w:val="none" w:sz="0" w:space="0" w:color="auto"/>
            <w:right w:val="none" w:sz="0" w:space="0" w:color="auto"/>
          </w:divBdr>
        </w:div>
        <w:div w:id="1196430025">
          <w:marLeft w:val="0"/>
          <w:marRight w:val="0"/>
          <w:marTop w:val="0"/>
          <w:marBottom w:val="0"/>
          <w:divBdr>
            <w:top w:val="none" w:sz="0" w:space="0" w:color="auto"/>
            <w:left w:val="none" w:sz="0" w:space="0" w:color="auto"/>
            <w:bottom w:val="none" w:sz="0" w:space="0" w:color="auto"/>
            <w:right w:val="none" w:sz="0" w:space="0" w:color="auto"/>
          </w:divBdr>
        </w:div>
        <w:div w:id="1920946518">
          <w:marLeft w:val="0"/>
          <w:marRight w:val="0"/>
          <w:marTop w:val="0"/>
          <w:marBottom w:val="0"/>
          <w:divBdr>
            <w:top w:val="none" w:sz="0" w:space="0" w:color="auto"/>
            <w:left w:val="none" w:sz="0" w:space="0" w:color="auto"/>
            <w:bottom w:val="none" w:sz="0" w:space="0" w:color="auto"/>
            <w:right w:val="none" w:sz="0" w:space="0" w:color="auto"/>
          </w:divBdr>
        </w:div>
      </w:divsChild>
    </w:div>
    <w:div w:id="1882472025">
      <w:bodyDiv w:val="1"/>
      <w:marLeft w:val="0"/>
      <w:marRight w:val="0"/>
      <w:marTop w:val="0"/>
      <w:marBottom w:val="0"/>
      <w:divBdr>
        <w:top w:val="none" w:sz="0" w:space="0" w:color="auto"/>
        <w:left w:val="none" w:sz="0" w:space="0" w:color="auto"/>
        <w:bottom w:val="none" w:sz="0" w:space="0" w:color="auto"/>
        <w:right w:val="none" w:sz="0" w:space="0" w:color="auto"/>
      </w:divBdr>
    </w:div>
    <w:div w:id="1893034056">
      <w:bodyDiv w:val="1"/>
      <w:marLeft w:val="0"/>
      <w:marRight w:val="0"/>
      <w:marTop w:val="0"/>
      <w:marBottom w:val="0"/>
      <w:divBdr>
        <w:top w:val="none" w:sz="0" w:space="0" w:color="auto"/>
        <w:left w:val="none" w:sz="0" w:space="0" w:color="auto"/>
        <w:bottom w:val="none" w:sz="0" w:space="0" w:color="auto"/>
        <w:right w:val="none" w:sz="0" w:space="0" w:color="auto"/>
      </w:divBdr>
      <w:divsChild>
        <w:div w:id="84615237">
          <w:marLeft w:val="0"/>
          <w:marRight w:val="0"/>
          <w:marTop w:val="0"/>
          <w:marBottom w:val="0"/>
          <w:divBdr>
            <w:top w:val="none" w:sz="0" w:space="0" w:color="auto"/>
            <w:left w:val="none" w:sz="0" w:space="0" w:color="auto"/>
            <w:bottom w:val="none" w:sz="0" w:space="0" w:color="auto"/>
            <w:right w:val="none" w:sz="0" w:space="0" w:color="auto"/>
          </w:divBdr>
        </w:div>
        <w:div w:id="281694509">
          <w:marLeft w:val="0"/>
          <w:marRight w:val="0"/>
          <w:marTop w:val="0"/>
          <w:marBottom w:val="0"/>
          <w:divBdr>
            <w:top w:val="none" w:sz="0" w:space="0" w:color="auto"/>
            <w:left w:val="none" w:sz="0" w:space="0" w:color="auto"/>
            <w:bottom w:val="none" w:sz="0" w:space="0" w:color="auto"/>
            <w:right w:val="none" w:sz="0" w:space="0" w:color="auto"/>
          </w:divBdr>
        </w:div>
        <w:div w:id="1398017592">
          <w:marLeft w:val="0"/>
          <w:marRight w:val="0"/>
          <w:marTop w:val="0"/>
          <w:marBottom w:val="0"/>
          <w:divBdr>
            <w:top w:val="none" w:sz="0" w:space="0" w:color="auto"/>
            <w:left w:val="none" w:sz="0" w:space="0" w:color="auto"/>
            <w:bottom w:val="none" w:sz="0" w:space="0" w:color="auto"/>
            <w:right w:val="none" w:sz="0" w:space="0" w:color="auto"/>
          </w:divBdr>
        </w:div>
        <w:div w:id="1854878256">
          <w:marLeft w:val="0"/>
          <w:marRight w:val="0"/>
          <w:marTop w:val="0"/>
          <w:marBottom w:val="0"/>
          <w:divBdr>
            <w:top w:val="none" w:sz="0" w:space="0" w:color="auto"/>
            <w:left w:val="none" w:sz="0" w:space="0" w:color="auto"/>
            <w:bottom w:val="none" w:sz="0" w:space="0" w:color="auto"/>
            <w:right w:val="none" w:sz="0" w:space="0" w:color="auto"/>
          </w:divBdr>
        </w:div>
        <w:div w:id="1955792385">
          <w:marLeft w:val="0"/>
          <w:marRight w:val="0"/>
          <w:marTop w:val="0"/>
          <w:marBottom w:val="0"/>
          <w:divBdr>
            <w:top w:val="none" w:sz="0" w:space="0" w:color="auto"/>
            <w:left w:val="none" w:sz="0" w:space="0" w:color="auto"/>
            <w:bottom w:val="none" w:sz="0" w:space="0" w:color="auto"/>
            <w:right w:val="none" w:sz="0" w:space="0" w:color="auto"/>
          </w:divBdr>
        </w:div>
      </w:divsChild>
    </w:div>
    <w:div w:id="1900095114">
      <w:bodyDiv w:val="1"/>
      <w:marLeft w:val="0"/>
      <w:marRight w:val="0"/>
      <w:marTop w:val="0"/>
      <w:marBottom w:val="0"/>
      <w:divBdr>
        <w:top w:val="none" w:sz="0" w:space="0" w:color="auto"/>
        <w:left w:val="none" w:sz="0" w:space="0" w:color="auto"/>
        <w:bottom w:val="none" w:sz="0" w:space="0" w:color="auto"/>
        <w:right w:val="none" w:sz="0" w:space="0" w:color="auto"/>
      </w:divBdr>
    </w:div>
    <w:div w:id="1908176883">
      <w:bodyDiv w:val="1"/>
      <w:marLeft w:val="0"/>
      <w:marRight w:val="0"/>
      <w:marTop w:val="0"/>
      <w:marBottom w:val="0"/>
      <w:divBdr>
        <w:top w:val="none" w:sz="0" w:space="0" w:color="auto"/>
        <w:left w:val="none" w:sz="0" w:space="0" w:color="auto"/>
        <w:bottom w:val="none" w:sz="0" w:space="0" w:color="auto"/>
        <w:right w:val="none" w:sz="0" w:space="0" w:color="auto"/>
      </w:divBdr>
      <w:divsChild>
        <w:div w:id="265772802">
          <w:marLeft w:val="0"/>
          <w:marRight w:val="0"/>
          <w:marTop w:val="0"/>
          <w:marBottom w:val="0"/>
          <w:divBdr>
            <w:top w:val="none" w:sz="0" w:space="0" w:color="auto"/>
            <w:left w:val="none" w:sz="0" w:space="0" w:color="auto"/>
            <w:bottom w:val="none" w:sz="0" w:space="0" w:color="auto"/>
            <w:right w:val="none" w:sz="0" w:space="0" w:color="auto"/>
          </w:divBdr>
        </w:div>
        <w:div w:id="891160320">
          <w:marLeft w:val="0"/>
          <w:marRight w:val="0"/>
          <w:marTop w:val="0"/>
          <w:marBottom w:val="0"/>
          <w:divBdr>
            <w:top w:val="none" w:sz="0" w:space="0" w:color="auto"/>
            <w:left w:val="none" w:sz="0" w:space="0" w:color="auto"/>
            <w:bottom w:val="none" w:sz="0" w:space="0" w:color="auto"/>
            <w:right w:val="none" w:sz="0" w:space="0" w:color="auto"/>
          </w:divBdr>
        </w:div>
        <w:div w:id="1079013083">
          <w:marLeft w:val="0"/>
          <w:marRight w:val="0"/>
          <w:marTop w:val="0"/>
          <w:marBottom w:val="0"/>
          <w:divBdr>
            <w:top w:val="none" w:sz="0" w:space="0" w:color="auto"/>
            <w:left w:val="none" w:sz="0" w:space="0" w:color="auto"/>
            <w:bottom w:val="none" w:sz="0" w:space="0" w:color="auto"/>
            <w:right w:val="none" w:sz="0" w:space="0" w:color="auto"/>
          </w:divBdr>
        </w:div>
        <w:div w:id="1123692145">
          <w:marLeft w:val="0"/>
          <w:marRight w:val="0"/>
          <w:marTop w:val="0"/>
          <w:marBottom w:val="0"/>
          <w:divBdr>
            <w:top w:val="none" w:sz="0" w:space="0" w:color="auto"/>
            <w:left w:val="none" w:sz="0" w:space="0" w:color="auto"/>
            <w:bottom w:val="none" w:sz="0" w:space="0" w:color="auto"/>
            <w:right w:val="none" w:sz="0" w:space="0" w:color="auto"/>
          </w:divBdr>
        </w:div>
        <w:div w:id="1373650408">
          <w:marLeft w:val="0"/>
          <w:marRight w:val="0"/>
          <w:marTop w:val="0"/>
          <w:marBottom w:val="0"/>
          <w:divBdr>
            <w:top w:val="none" w:sz="0" w:space="0" w:color="auto"/>
            <w:left w:val="none" w:sz="0" w:space="0" w:color="auto"/>
            <w:bottom w:val="none" w:sz="0" w:space="0" w:color="auto"/>
            <w:right w:val="none" w:sz="0" w:space="0" w:color="auto"/>
          </w:divBdr>
        </w:div>
        <w:div w:id="1399548742">
          <w:marLeft w:val="0"/>
          <w:marRight w:val="0"/>
          <w:marTop w:val="0"/>
          <w:marBottom w:val="0"/>
          <w:divBdr>
            <w:top w:val="none" w:sz="0" w:space="0" w:color="auto"/>
            <w:left w:val="none" w:sz="0" w:space="0" w:color="auto"/>
            <w:bottom w:val="none" w:sz="0" w:space="0" w:color="auto"/>
            <w:right w:val="none" w:sz="0" w:space="0" w:color="auto"/>
          </w:divBdr>
        </w:div>
        <w:div w:id="2068141175">
          <w:marLeft w:val="0"/>
          <w:marRight w:val="0"/>
          <w:marTop w:val="0"/>
          <w:marBottom w:val="0"/>
          <w:divBdr>
            <w:top w:val="none" w:sz="0" w:space="0" w:color="auto"/>
            <w:left w:val="none" w:sz="0" w:space="0" w:color="auto"/>
            <w:bottom w:val="none" w:sz="0" w:space="0" w:color="auto"/>
            <w:right w:val="none" w:sz="0" w:space="0" w:color="auto"/>
          </w:divBdr>
        </w:div>
      </w:divsChild>
    </w:div>
    <w:div w:id="1949770120">
      <w:bodyDiv w:val="1"/>
      <w:marLeft w:val="0"/>
      <w:marRight w:val="0"/>
      <w:marTop w:val="0"/>
      <w:marBottom w:val="0"/>
      <w:divBdr>
        <w:top w:val="none" w:sz="0" w:space="0" w:color="auto"/>
        <w:left w:val="none" w:sz="0" w:space="0" w:color="auto"/>
        <w:bottom w:val="none" w:sz="0" w:space="0" w:color="auto"/>
        <w:right w:val="none" w:sz="0" w:space="0" w:color="auto"/>
      </w:divBdr>
    </w:div>
    <w:div w:id="1969434955">
      <w:bodyDiv w:val="1"/>
      <w:marLeft w:val="0"/>
      <w:marRight w:val="0"/>
      <w:marTop w:val="0"/>
      <w:marBottom w:val="0"/>
      <w:divBdr>
        <w:top w:val="none" w:sz="0" w:space="0" w:color="auto"/>
        <w:left w:val="none" w:sz="0" w:space="0" w:color="auto"/>
        <w:bottom w:val="none" w:sz="0" w:space="0" w:color="auto"/>
        <w:right w:val="none" w:sz="0" w:space="0" w:color="auto"/>
      </w:divBdr>
    </w:div>
    <w:div w:id="1972439303">
      <w:bodyDiv w:val="1"/>
      <w:marLeft w:val="0"/>
      <w:marRight w:val="0"/>
      <w:marTop w:val="0"/>
      <w:marBottom w:val="0"/>
      <w:divBdr>
        <w:top w:val="none" w:sz="0" w:space="0" w:color="auto"/>
        <w:left w:val="none" w:sz="0" w:space="0" w:color="auto"/>
        <w:bottom w:val="none" w:sz="0" w:space="0" w:color="auto"/>
        <w:right w:val="none" w:sz="0" w:space="0" w:color="auto"/>
      </w:divBdr>
      <w:divsChild>
        <w:div w:id="747264226">
          <w:marLeft w:val="0"/>
          <w:marRight w:val="0"/>
          <w:marTop w:val="0"/>
          <w:marBottom w:val="0"/>
          <w:divBdr>
            <w:top w:val="none" w:sz="0" w:space="0" w:color="auto"/>
            <w:left w:val="none" w:sz="0" w:space="0" w:color="auto"/>
            <w:bottom w:val="none" w:sz="0" w:space="0" w:color="auto"/>
            <w:right w:val="none" w:sz="0" w:space="0" w:color="auto"/>
          </w:divBdr>
        </w:div>
        <w:div w:id="980772172">
          <w:marLeft w:val="0"/>
          <w:marRight w:val="0"/>
          <w:marTop w:val="0"/>
          <w:marBottom w:val="0"/>
          <w:divBdr>
            <w:top w:val="none" w:sz="0" w:space="0" w:color="auto"/>
            <w:left w:val="none" w:sz="0" w:space="0" w:color="auto"/>
            <w:bottom w:val="none" w:sz="0" w:space="0" w:color="auto"/>
            <w:right w:val="none" w:sz="0" w:space="0" w:color="auto"/>
          </w:divBdr>
        </w:div>
        <w:div w:id="1767577751">
          <w:marLeft w:val="0"/>
          <w:marRight w:val="0"/>
          <w:marTop w:val="0"/>
          <w:marBottom w:val="0"/>
          <w:divBdr>
            <w:top w:val="none" w:sz="0" w:space="0" w:color="auto"/>
            <w:left w:val="none" w:sz="0" w:space="0" w:color="auto"/>
            <w:bottom w:val="none" w:sz="0" w:space="0" w:color="auto"/>
            <w:right w:val="none" w:sz="0" w:space="0" w:color="auto"/>
          </w:divBdr>
        </w:div>
      </w:divsChild>
    </w:div>
    <w:div w:id="1979721606">
      <w:bodyDiv w:val="1"/>
      <w:marLeft w:val="0"/>
      <w:marRight w:val="0"/>
      <w:marTop w:val="0"/>
      <w:marBottom w:val="0"/>
      <w:divBdr>
        <w:top w:val="none" w:sz="0" w:space="0" w:color="auto"/>
        <w:left w:val="none" w:sz="0" w:space="0" w:color="auto"/>
        <w:bottom w:val="none" w:sz="0" w:space="0" w:color="auto"/>
        <w:right w:val="none" w:sz="0" w:space="0" w:color="auto"/>
      </w:divBdr>
    </w:div>
    <w:div w:id="1987079959">
      <w:bodyDiv w:val="1"/>
      <w:marLeft w:val="0"/>
      <w:marRight w:val="0"/>
      <w:marTop w:val="0"/>
      <w:marBottom w:val="0"/>
      <w:divBdr>
        <w:top w:val="none" w:sz="0" w:space="0" w:color="auto"/>
        <w:left w:val="none" w:sz="0" w:space="0" w:color="auto"/>
        <w:bottom w:val="none" w:sz="0" w:space="0" w:color="auto"/>
        <w:right w:val="none" w:sz="0" w:space="0" w:color="auto"/>
      </w:divBdr>
    </w:div>
    <w:div w:id="2013339235">
      <w:bodyDiv w:val="1"/>
      <w:marLeft w:val="0"/>
      <w:marRight w:val="0"/>
      <w:marTop w:val="0"/>
      <w:marBottom w:val="0"/>
      <w:divBdr>
        <w:top w:val="none" w:sz="0" w:space="0" w:color="auto"/>
        <w:left w:val="none" w:sz="0" w:space="0" w:color="auto"/>
        <w:bottom w:val="none" w:sz="0" w:space="0" w:color="auto"/>
        <w:right w:val="none" w:sz="0" w:space="0" w:color="auto"/>
      </w:divBdr>
    </w:div>
    <w:div w:id="2019696826">
      <w:bodyDiv w:val="1"/>
      <w:marLeft w:val="0"/>
      <w:marRight w:val="0"/>
      <w:marTop w:val="0"/>
      <w:marBottom w:val="0"/>
      <w:divBdr>
        <w:top w:val="none" w:sz="0" w:space="0" w:color="auto"/>
        <w:left w:val="none" w:sz="0" w:space="0" w:color="auto"/>
        <w:bottom w:val="none" w:sz="0" w:space="0" w:color="auto"/>
        <w:right w:val="none" w:sz="0" w:space="0" w:color="auto"/>
      </w:divBdr>
    </w:div>
    <w:div w:id="2021663920">
      <w:bodyDiv w:val="1"/>
      <w:marLeft w:val="0"/>
      <w:marRight w:val="0"/>
      <w:marTop w:val="0"/>
      <w:marBottom w:val="0"/>
      <w:divBdr>
        <w:top w:val="none" w:sz="0" w:space="0" w:color="auto"/>
        <w:left w:val="none" w:sz="0" w:space="0" w:color="auto"/>
        <w:bottom w:val="none" w:sz="0" w:space="0" w:color="auto"/>
        <w:right w:val="none" w:sz="0" w:space="0" w:color="auto"/>
      </w:divBdr>
      <w:divsChild>
        <w:div w:id="153684198">
          <w:marLeft w:val="0"/>
          <w:marRight w:val="0"/>
          <w:marTop w:val="0"/>
          <w:marBottom w:val="0"/>
          <w:divBdr>
            <w:top w:val="none" w:sz="0" w:space="0" w:color="auto"/>
            <w:left w:val="none" w:sz="0" w:space="0" w:color="auto"/>
            <w:bottom w:val="none" w:sz="0" w:space="0" w:color="auto"/>
            <w:right w:val="none" w:sz="0" w:space="0" w:color="auto"/>
          </w:divBdr>
        </w:div>
        <w:div w:id="278219453">
          <w:marLeft w:val="0"/>
          <w:marRight w:val="0"/>
          <w:marTop w:val="0"/>
          <w:marBottom w:val="0"/>
          <w:divBdr>
            <w:top w:val="none" w:sz="0" w:space="0" w:color="auto"/>
            <w:left w:val="none" w:sz="0" w:space="0" w:color="auto"/>
            <w:bottom w:val="none" w:sz="0" w:space="0" w:color="auto"/>
            <w:right w:val="none" w:sz="0" w:space="0" w:color="auto"/>
          </w:divBdr>
        </w:div>
      </w:divsChild>
    </w:div>
    <w:div w:id="2022320458">
      <w:bodyDiv w:val="1"/>
      <w:marLeft w:val="0"/>
      <w:marRight w:val="0"/>
      <w:marTop w:val="0"/>
      <w:marBottom w:val="0"/>
      <w:divBdr>
        <w:top w:val="none" w:sz="0" w:space="0" w:color="auto"/>
        <w:left w:val="none" w:sz="0" w:space="0" w:color="auto"/>
        <w:bottom w:val="none" w:sz="0" w:space="0" w:color="auto"/>
        <w:right w:val="none" w:sz="0" w:space="0" w:color="auto"/>
      </w:divBdr>
    </w:div>
    <w:div w:id="2024938240">
      <w:bodyDiv w:val="1"/>
      <w:marLeft w:val="0"/>
      <w:marRight w:val="0"/>
      <w:marTop w:val="0"/>
      <w:marBottom w:val="0"/>
      <w:divBdr>
        <w:top w:val="none" w:sz="0" w:space="0" w:color="auto"/>
        <w:left w:val="none" w:sz="0" w:space="0" w:color="auto"/>
        <w:bottom w:val="none" w:sz="0" w:space="0" w:color="auto"/>
        <w:right w:val="none" w:sz="0" w:space="0" w:color="auto"/>
      </w:divBdr>
      <w:divsChild>
        <w:div w:id="1843547831">
          <w:marLeft w:val="0"/>
          <w:marRight w:val="0"/>
          <w:marTop w:val="0"/>
          <w:marBottom w:val="0"/>
          <w:divBdr>
            <w:top w:val="none" w:sz="0" w:space="0" w:color="auto"/>
            <w:left w:val="none" w:sz="0" w:space="0" w:color="auto"/>
            <w:bottom w:val="none" w:sz="0" w:space="0" w:color="auto"/>
            <w:right w:val="none" w:sz="0" w:space="0" w:color="auto"/>
          </w:divBdr>
        </w:div>
        <w:div w:id="1843549964">
          <w:marLeft w:val="0"/>
          <w:marRight w:val="0"/>
          <w:marTop w:val="0"/>
          <w:marBottom w:val="0"/>
          <w:divBdr>
            <w:top w:val="none" w:sz="0" w:space="0" w:color="auto"/>
            <w:left w:val="none" w:sz="0" w:space="0" w:color="auto"/>
            <w:bottom w:val="none" w:sz="0" w:space="0" w:color="auto"/>
            <w:right w:val="none" w:sz="0" w:space="0" w:color="auto"/>
          </w:divBdr>
        </w:div>
        <w:div w:id="1926919940">
          <w:marLeft w:val="0"/>
          <w:marRight w:val="0"/>
          <w:marTop w:val="0"/>
          <w:marBottom w:val="0"/>
          <w:divBdr>
            <w:top w:val="none" w:sz="0" w:space="0" w:color="auto"/>
            <w:left w:val="none" w:sz="0" w:space="0" w:color="auto"/>
            <w:bottom w:val="none" w:sz="0" w:space="0" w:color="auto"/>
            <w:right w:val="none" w:sz="0" w:space="0" w:color="auto"/>
          </w:divBdr>
        </w:div>
      </w:divsChild>
    </w:div>
    <w:div w:id="2038190853">
      <w:bodyDiv w:val="1"/>
      <w:marLeft w:val="0"/>
      <w:marRight w:val="0"/>
      <w:marTop w:val="0"/>
      <w:marBottom w:val="0"/>
      <w:divBdr>
        <w:top w:val="none" w:sz="0" w:space="0" w:color="auto"/>
        <w:left w:val="none" w:sz="0" w:space="0" w:color="auto"/>
        <w:bottom w:val="none" w:sz="0" w:space="0" w:color="auto"/>
        <w:right w:val="none" w:sz="0" w:space="0" w:color="auto"/>
      </w:divBdr>
    </w:div>
    <w:div w:id="2043747388">
      <w:bodyDiv w:val="1"/>
      <w:marLeft w:val="0"/>
      <w:marRight w:val="0"/>
      <w:marTop w:val="0"/>
      <w:marBottom w:val="0"/>
      <w:divBdr>
        <w:top w:val="none" w:sz="0" w:space="0" w:color="auto"/>
        <w:left w:val="none" w:sz="0" w:space="0" w:color="auto"/>
        <w:bottom w:val="none" w:sz="0" w:space="0" w:color="auto"/>
        <w:right w:val="none" w:sz="0" w:space="0" w:color="auto"/>
      </w:divBdr>
    </w:div>
    <w:div w:id="2048334230">
      <w:bodyDiv w:val="1"/>
      <w:marLeft w:val="0"/>
      <w:marRight w:val="0"/>
      <w:marTop w:val="0"/>
      <w:marBottom w:val="0"/>
      <w:divBdr>
        <w:top w:val="none" w:sz="0" w:space="0" w:color="auto"/>
        <w:left w:val="none" w:sz="0" w:space="0" w:color="auto"/>
        <w:bottom w:val="none" w:sz="0" w:space="0" w:color="auto"/>
        <w:right w:val="none" w:sz="0" w:space="0" w:color="auto"/>
      </w:divBdr>
    </w:div>
    <w:div w:id="2049530177">
      <w:bodyDiv w:val="1"/>
      <w:marLeft w:val="0"/>
      <w:marRight w:val="0"/>
      <w:marTop w:val="0"/>
      <w:marBottom w:val="0"/>
      <w:divBdr>
        <w:top w:val="none" w:sz="0" w:space="0" w:color="auto"/>
        <w:left w:val="none" w:sz="0" w:space="0" w:color="auto"/>
        <w:bottom w:val="none" w:sz="0" w:space="0" w:color="auto"/>
        <w:right w:val="none" w:sz="0" w:space="0" w:color="auto"/>
      </w:divBdr>
    </w:div>
    <w:div w:id="2063090878">
      <w:bodyDiv w:val="1"/>
      <w:marLeft w:val="0"/>
      <w:marRight w:val="0"/>
      <w:marTop w:val="0"/>
      <w:marBottom w:val="0"/>
      <w:divBdr>
        <w:top w:val="none" w:sz="0" w:space="0" w:color="auto"/>
        <w:left w:val="none" w:sz="0" w:space="0" w:color="auto"/>
        <w:bottom w:val="none" w:sz="0" w:space="0" w:color="auto"/>
        <w:right w:val="none" w:sz="0" w:space="0" w:color="auto"/>
      </w:divBdr>
    </w:div>
    <w:div w:id="2124768132">
      <w:bodyDiv w:val="1"/>
      <w:marLeft w:val="0"/>
      <w:marRight w:val="0"/>
      <w:marTop w:val="0"/>
      <w:marBottom w:val="0"/>
      <w:divBdr>
        <w:top w:val="none" w:sz="0" w:space="0" w:color="auto"/>
        <w:left w:val="none" w:sz="0" w:space="0" w:color="auto"/>
        <w:bottom w:val="none" w:sz="0" w:space="0" w:color="auto"/>
        <w:right w:val="none" w:sz="0" w:space="0" w:color="auto"/>
      </w:divBdr>
    </w:div>
    <w:div w:id="2126267385">
      <w:bodyDiv w:val="1"/>
      <w:marLeft w:val="0"/>
      <w:marRight w:val="0"/>
      <w:marTop w:val="0"/>
      <w:marBottom w:val="0"/>
      <w:divBdr>
        <w:top w:val="none" w:sz="0" w:space="0" w:color="auto"/>
        <w:left w:val="none" w:sz="0" w:space="0" w:color="auto"/>
        <w:bottom w:val="none" w:sz="0" w:space="0" w:color="auto"/>
        <w:right w:val="none" w:sz="0" w:space="0" w:color="auto"/>
      </w:divBdr>
    </w:div>
    <w:div w:id="2128884488">
      <w:bodyDiv w:val="1"/>
      <w:marLeft w:val="0"/>
      <w:marRight w:val="0"/>
      <w:marTop w:val="0"/>
      <w:marBottom w:val="0"/>
      <w:divBdr>
        <w:top w:val="none" w:sz="0" w:space="0" w:color="auto"/>
        <w:left w:val="none" w:sz="0" w:space="0" w:color="auto"/>
        <w:bottom w:val="none" w:sz="0" w:space="0" w:color="auto"/>
        <w:right w:val="none" w:sz="0" w:space="0" w:color="auto"/>
      </w:divBdr>
    </w:div>
    <w:div w:id="2137209845">
      <w:bodyDiv w:val="1"/>
      <w:marLeft w:val="0"/>
      <w:marRight w:val="0"/>
      <w:marTop w:val="0"/>
      <w:marBottom w:val="0"/>
      <w:divBdr>
        <w:top w:val="none" w:sz="0" w:space="0" w:color="auto"/>
        <w:left w:val="none" w:sz="0" w:space="0" w:color="auto"/>
        <w:bottom w:val="none" w:sz="0" w:space="0" w:color="auto"/>
        <w:right w:val="none" w:sz="0" w:space="0" w:color="auto"/>
      </w:divBdr>
      <w:divsChild>
        <w:div w:id="1731996422">
          <w:marLeft w:val="0"/>
          <w:marRight w:val="0"/>
          <w:marTop w:val="0"/>
          <w:marBottom w:val="0"/>
          <w:divBdr>
            <w:top w:val="none" w:sz="0" w:space="0" w:color="auto"/>
            <w:left w:val="none" w:sz="0" w:space="0" w:color="auto"/>
            <w:bottom w:val="none" w:sz="0" w:space="0" w:color="auto"/>
            <w:right w:val="none" w:sz="0" w:space="0" w:color="auto"/>
          </w:divBdr>
          <w:divsChild>
            <w:div w:id="608005667">
              <w:marLeft w:val="0"/>
              <w:marRight w:val="0"/>
              <w:marTop w:val="0"/>
              <w:marBottom w:val="0"/>
              <w:divBdr>
                <w:top w:val="none" w:sz="0" w:space="0" w:color="auto"/>
                <w:left w:val="none" w:sz="0" w:space="0" w:color="auto"/>
                <w:bottom w:val="none" w:sz="0" w:space="0" w:color="auto"/>
                <w:right w:val="none" w:sz="0" w:space="0" w:color="auto"/>
              </w:divBdr>
              <w:divsChild>
                <w:div w:id="832842305">
                  <w:marLeft w:val="0"/>
                  <w:marRight w:val="0"/>
                  <w:marTop w:val="0"/>
                  <w:marBottom w:val="0"/>
                  <w:divBdr>
                    <w:top w:val="none" w:sz="0" w:space="0" w:color="auto"/>
                    <w:left w:val="none" w:sz="0" w:space="0" w:color="auto"/>
                    <w:bottom w:val="none" w:sz="0" w:space="0" w:color="auto"/>
                    <w:right w:val="none" w:sz="0" w:space="0" w:color="auto"/>
                  </w:divBdr>
                  <w:divsChild>
                    <w:div w:id="128981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028585">
          <w:marLeft w:val="0"/>
          <w:marRight w:val="0"/>
          <w:marTop w:val="0"/>
          <w:marBottom w:val="0"/>
          <w:divBdr>
            <w:top w:val="none" w:sz="0" w:space="0" w:color="auto"/>
            <w:left w:val="none" w:sz="0" w:space="0" w:color="auto"/>
            <w:bottom w:val="none" w:sz="0" w:space="0" w:color="auto"/>
            <w:right w:val="none" w:sz="0" w:space="0" w:color="auto"/>
          </w:divBdr>
          <w:divsChild>
            <w:div w:id="18383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196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4.xml"/><Relationship Id="rId42" Type="http://schemas.openxmlformats.org/officeDocument/2006/relationships/footer" Target="footer14.xml"/><Relationship Id="rId47" Type="http://schemas.openxmlformats.org/officeDocument/2006/relationships/footer" Target="footer16.xml"/><Relationship Id="rId63" Type="http://schemas.openxmlformats.org/officeDocument/2006/relationships/hyperlink" Target="https://ec.europa.eu/assets/cinea/project_fiches/cef/cef_transport/24-UA-TG-EUUA1435PLUABCPML1.pdf" TargetMode="External"/><Relationship Id="rId68" Type="http://schemas.openxmlformats.org/officeDocument/2006/relationships/hyperlink" Target="https://international-partnerships.ec.europa.eu/funding-and-technical-assistance/funding-instruments/european-fund-sustainable-development-plus/access-finance_en" TargetMode="External"/><Relationship Id="rId84" Type="http://schemas.openxmlformats.org/officeDocument/2006/relationships/hyperlink" Target="https://kohesio.ec.europa.eu/en/projects/Q7445174" TargetMode="External"/><Relationship Id="rId89" Type="http://schemas.openxmlformats.org/officeDocument/2006/relationships/image" Target="media/image28.png"/><Relationship Id="rId16" Type="http://schemas.openxmlformats.org/officeDocument/2006/relationships/header" Target="header2.xml"/><Relationship Id="rId107" Type="http://schemas.openxmlformats.org/officeDocument/2006/relationships/fontTable" Target="fontTable.xml"/><Relationship Id="rId11" Type="http://schemas.openxmlformats.org/officeDocument/2006/relationships/webSettings" Target="webSettings.xml"/><Relationship Id="rId32" Type="http://schemas.openxmlformats.org/officeDocument/2006/relationships/footer" Target="footer9.xml"/><Relationship Id="rId37" Type="http://schemas.openxmlformats.org/officeDocument/2006/relationships/header" Target="header12.xml"/><Relationship Id="rId53" Type="http://schemas.openxmlformats.org/officeDocument/2006/relationships/hyperlink" Target="https://commission.europa.eu/strategy-and-policy/eu-budget/performance-and-reporting/programme-performance-statements_en" TargetMode="External"/><Relationship Id="rId58" Type="http://schemas.openxmlformats.org/officeDocument/2006/relationships/hyperlink" Target="https://commission.europa.eu/topics/competitiveness/draghi-report_en" TargetMode="External"/><Relationship Id="rId74" Type="http://schemas.openxmlformats.org/officeDocument/2006/relationships/image" Target="media/image15.emf"/><Relationship Id="rId79" Type="http://schemas.openxmlformats.org/officeDocument/2006/relationships/image" Target="media/image19.emf"/><Relationship Id="rId102" Type="http://schemas.openxmlformats.org/officeDocument/2006/relationships/header" Target="header20.xml"/><Relationship Id="rId5" Type="http://schemas.openxmlformats.org/officeDocument/2006/relationships/customXml" Target="../customXml/item5.xml"/><Relationship Id="rId90" Type="http://schemas.openxmlformats.org/officeDocument/2006/relationships/image" Target="media/image29.png"/><Relationship Id="rId95" Type="http://schemas.openxmlformats.org/officeDocument/2006/relationships/image" Target="media/image34.png"/><Relationship Id="rId22" Type="http://schemas.openxmlformats.org/officeDocument/2006/relationships/header" Target="header5.xml"/><Relationship Id="rId27" Type="http://schemas.openxmlformats.org/officeDocument/2006/relationships/header" Target="header7.xml"/><Relationship Id="rId43" Type="http://schemas.openxmlformats.org/officeDocument/2006/relationships/header" Target="header15.xml"/><Relationship Id="rId48" Type="http://schemas.openxmlformats.org/officeDocument/2006/relationships/footer" Target="footer17.xml"/><Relationship Id="rId64" Type="http://schemas.openxmlformats.org/officeDocument/2006/relationships/hyperlink" Target="https://transport.ec.europa.eu/news-events/news/new-eu-funded-railway-line-brings-ukraine-even-closer-eu-2025-09-05_en" TargetMode="External"/><Relationship Id="rId69" Type="http://schemas.openxmlformats.org/officeDocument/2006/relationships/image" Target="media/image11.emf"/><Relationship Id="rId80" Type="http://schemas.openxmlformats.org/officeDocument/2006/relationships/image" Target="media/image20.emf"/><Relationship Id="rId85" Type="http://schemas.openxmlformats.org/officeDocument/2006/relationships/image" Target="media/image24.jpeg"/><Relationship Id="rId12" Type="http://schemas.openxmlformats.org/officeDocument/2006/relationships/footnotes" Target="footnotes.xml"/><Relationship Id="rId17" Type="http://schemas.openxmlformats.org/officeDocument/2006/relationships/footer" Target="footer1.xml"/><Relationship Id="rId33" Type="http://schemas.openxmlformats.org/officeDocument/2006/relationships/header" Target="header10.xml"/><Relationship Id="rId38" Type="http://schemas.openxmlformats.org/officeDocument/2006/relationships/footer" Target="footer12.xml"/><Relationship Id="rId59" Type="http://schemas.openxmlformats.org/officeDocument/2006/relationships/hyperlink" Target="https://commission.europa.eu/topics/competitiveness/competitiveness-compass_en" TargetMode="External"/><Relationship Id="rId103" Type="http://schemas.openxmlformats.org/officeDocument/2006/relationships/footer" Target="footer19.xml"/><Relationship Id="rId108"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footer" Target="footer13.xml"/><Relationship Id="rId54" Type="http://schemas.openxmlformats.org/officeDocument/2006/relationships/image" Target="media/image6.emf"/><Relationship Id="rId62" Type="http://schemas.openxmlformats.org/officeDocument/2006/relationships/image" Target="media/image9.emf"/><Relationship Id="rId70" Type="http://schemas.openxmlformats.org/officeDocument/2006/relationships/image" Target="media/image12.emf"/><Relationship Id="rId75" Type="http://schemas.openxmlformats.org/officeDocument/2006/relationships/image" Target="media/image16.emf"/><Relationship Id="rId83" Type="http://schemas.openxmlformats.org/officeDocument/2006/relationships/image" Target="media/image23.jpeg"/><Relationship Id="rId88" Type="http://schemas.openxmlformats.org/officeDocument/2006/relationships/image" Target="media/image27.png"/><Relationship Id="rId91" Type="http://schemas.openxmlformats.org/officeDocument/2006/relationships/image" Target="media/image30.png"/><Relationship Id="rId96"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11.xml"/><Relationship Id="rId49" Type="http://schemas.openxmlformats.org/officeDocument/2006/relationships/header" Target="header18.xml"/><Relationship Id="rId57" Type="http://schemas.openxmlformats.org/officeDocument/2006/relationships/hyperlink" Target="https://reform-support.ec.europa.eu/our-projects/flagship-technical-support-projects/tsi-2025-flagship-pace-public-administration-cooperation-exchange_en" TargetMode="External"/><Relationship Id="rId106" Type="http://schemas.openxmlformats.org/officeDocument/2006/relationships/footer" Target="footer21.xml"/><Relationship Id="rId10" Type="http://schemas.openxmlformats.org/officeDocument/2006/relationships/settings" Target="settings.xml"/><Relationship Id="rId31" Type="http://schemas.openxmlformats.org/officeDocument/2006/relationships/header" Target="header9.xml"/><Relationship Id="rId44" Type="http://schemas.openxmlformats.org/officeDocument/2006/relationships/footer" Target="footer15.xml"/><Relationship Id="rId52" Type="http://schemas.openxmlformats.org/officeDocument/2006/relationships/image" Target="media/image5.emf"/><Relationship Id="rId60" Type="http://schemas.openxmlformats.org/officeDocument/2006/relationships/image" Target="media/image7.emf"/><Relationship Id="rId65" Type="http://schemas.openxmlformats.org/officeDocument/2006/relationships/image" Target="media/image10.emf"/><Relationship Id="rId73" Type="http://schemas.openxmlformats.org/officeDocument/2006/relationships/hyperlink" Target="http://data.europa.eu/eli/reg/2021/1060/oj" TargetMode="External"/><Relationship Id="rId78" Type="http://schemas.openxmlformats.org/officeDocument/2006/relationships/hyperlink" Target="https://eur-lex.europa.eu/eli/reg/2024/2509/oj" TargetMode="External"/><Relationship Id="rId81" Type="http://schemas.openxmlformats.org/officeDocument/2006/relationships/image" Target="media/image21.emf"/><Relationship Id="rId86" Type="http://schemas.openxmlformats.org/officeDocument/2006/relationships/image" Target="media/image25.jpeg"/><Relationship Id="rId94" Type="http://schemas.openxmlformats.org/officeDocument/2006/relationships/image" Target="media/image33.png"/><Relationship Id="rId99" Type="http://schemas.openxmlformats.org/officeDocument/2006/relationships/image" Target="media/image38.png"/><Relationship Id="rId101" Type="http://schemas.openxmlformats.org/officeDocument/2006/relationships/header" Target="header19.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2.xml"/><Relationship Id="rId39" Type="http://schemas.openxmlformats.org/officeDocument/2006/relationships/header" Target="header13.xml"/><Relationship Id="rId34" Type="http://schemas.openxmlformats.org/officeDocument/2006/relationships/header" Target="header11.xml"/><Relationship Id="rId50" Type="http://schemas.openxmlformats.org/officeDocument/2006/relationships/footer" Target="footer18.xml"/><Relationship Id="rId55" Type="http://schemas.openxmlformats.org/officeDocument/2006/relationships/hyperlink" Target="https://reforms-investments.ec.europa.eu/technical-support-instrument-0/revenue-administration-and-public-financial-management/sustainability-local-public-finances-slpf_en" TargetMode="External"/><Relationship Id="rId76" Type="http://schemas.openxmlformats.org/officeDocument/2006/relationships/image" Target="media/image17.emf"/><Relationship Id="rId97" Type="http://schemas.openxmlformats.org/officeDocument/2006/relationships/image" Target="media/image36.png"/><Relationship Id="rId104" Type="http://schemas.openxmlformats.org/officeDocument/2006/relationships/footer" Target="footer20.xml"/><Relationship Id="rId7" Type="http://schemas.openxmlformats.org/officeDocument/2006/relationships/customXml" Target="../customXml/item7.xml"/><Relationship Id="rId71" Type="http://schemas.openxmlformats.org/officeDocument/2006/relationships/image" Target="media/image13.emf"/><Relationship Id="rId92" Type="http://schemas.openxmlformats.org/officeDocument/2006/relationships/image" Target="media/image31.png"/><Relationship Id="rId2" Type="http://schemas.openxmlformats.org/officeDocument/2006/relationships/customXml" Target="../customXml/item2.xml"/><Relationship Id="rId29" Type="http://schemas.openxmlformats.org/officeDocument/2006/relationships/footer" Target="footer7.xml"/><Relationship Id="rId24" Type="http://schemas.openxmlformats.org/officeDocument/2006/relationships/footer" Target="footer5.xml"/><Relationship Id="rId40" Type="http://schemas.openxmlformats.org/officeDocument/2006/relationships/header" Target="header14.xml"/><Relationship Id="rId45" Type="http://schemas.openxmlformats.org/officeDocument/2006/relationships/header" Target="header16.xml"/><Relationship Id="rId66" Type="http://schemas.openxmlformats.org/officeDocument/2006/relationships/hyperlink" Target="https://international-partnerships.ec.europa.eu/funding-and-technical-assistance/funding-instruments/european-fund-sustainable-development-plus/african-local-currency-bond-fund_en" TargetMode="External"/><Relationship Id="rId87" Type="http://schemas.openxmlformats.org/officeDocument/2006/relationships/image" Target="media/image26.png"/><Relationship Id="rId61" Type="http://schemas.openxmlformats.org/officeDocument/2006/relationships/image" Target="media/image8.emf"/><Relationship Id="rId82" Type="http://schemas.openxmlformats.org/officeDocument/2006/relationships/image" Target="media/image22.emf"/><Relationship Id="rId19" Type="http://schemas.openxmlformats.org/officeDocument/2006/relationships/header" Target="header3.xml"/><Relationship Id="rId14" Type="http://schemas.openxmlformats.org/officeDocument/2006/relationships/image" Target="media/image1.emf"/><Relationship Id="rId30" Type="http://schemas.openxmlformats.org/officeDocument/2006/relationships/footer" Target="footer8.xml"/><Relationship Id="rId35" Type="http://schemas.openxmlformats.org/officeDocument/2006/relationships/footer" Target="footer10.xml"/><Relationship Id="rId56" Type="http://schemas.openxmlformats.org/officeDocument/2006/relationships/hyperlink" Target="https://reforms-investments.ec.europa.eu/document/download/f161f935-c17c-407d-babc-600dab6a25cd_en?filename=COM_2025_468_1_EN_ACT_part1_v3.pdf" TargetMode="External"/><Relationship Id="rId77" Type="http://schemas.openxmlformats.org/officeDocument/2006/relationships/image" Target="media/image18.emf"/><Relationship Id="rId100" Type="http://schemas.openxmlformats.org/officeDocument/2006/relationships/image" Target="media/image39.png"/><Relationship Id="rId105" Type="http://schemas.openxmlformats.org/officeDocument/2006/relationships/header" Target="header21.xml"/><Relationship Id="rId8" Type="http://schemas.openxmlformats.org/officeDocument/2006/relationships/numbering" Target="numbering.xml"/><Relationship Id="rId51" Type="http://schemas.openxmlformats.org/officeDocument/2006/relationships/image" Target="media/image4.emf"/><Relationship Id="rId72" Type="http://schemas.openxmlformats.org/officeDocument/2006/relationships/image" Target="media/image14.emf"/><Relationship Id="rId93" Type="http://schemas.openxmlformats.org/officeDocument/2006/relationships/image" Target="media/image32.png"/><Relationship Id="rId98" Type="http://schemas.openxmlformats.org/officeDocument/2006/relationships/image" Target="media/image37.png"/><Relationship Id="rId3" Type="http://schemas.openxmlformats.org/officeDocument/2006/relationships/customXml" Target="../customXml/item3.xml"/><Relationship Id="rId25" Type="http://schemas.openxmlformats.org/officeDocument/2006/relationships/header" Target="header6.xml"/><Relationship Id="rId46" Type="http://schemas.openxmlformats.org/officeDocument/2006/relationships/header" Target="header17.xml"/><Relationship Id="rId67" Type="http://schemas.openxmlformats.org/officeDocument/2006/relationships/hyperlink" Target="https://international-partnerships.ec.europa.eu/funding-and-technical-assistance/funding-instruments/european-fund-sustainable-development-plus/accelerate-energy-transition-acceleret_en"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investeu.europa.eu/investeu-operations/investeu-operations-list/sg-pan-eu-wind-package_en" TargetMode="External"/><Relationship Id="rId18" Type="http://schemas.openxmlformats.org/officeDocument/2006/relationships/hyperlink" Target="https://ec.europa.eu/assets/cinea/project_fiches/cef/cef_transport/23-EU-TC-RBGP%20Part%20IX%20C.pdf" TargetMode="External"/><Relationship Id="rId26" Type="http://schemas.openxmlformats.org/officeDocument/2006/relationships/hyperlink" Target="https://cinea.ec.europa.eu/cef-energy-instrumental-funding-achieve-baltic-synchronisation-continental-european-network_en" TargetMode="External"/><Relationship Id="rId39" Type="http://schemas.openxmlformats.org/officeDocument/2006/relationships/hyperlink" Target="https://cinea.ec.europa.eu/featured-projects/decarbonyt-decarbonising-fishing-fleet-mediterranean-and-black-sea_en" TargetMode="External"/><Relationship Id="rId21" Type="http://schemas.openxmlformats.org/officeDocument/2006/relationships/hyperlink" Target="http://data.europa.eu/eli/reg/2025/2653/oj" TargetMode="External"/><Relationship Id="rId34" Type="http://schemas.openxmlformats.org/officeDocument/2006/relationships/hyperlink" Target="http://data.europa.eu/eli/reg_impl/2025/2061/oj" TargetMode="External"/><Relationship Id="rId42" Type="http://schemas.openxmlformats.org/officeDocument/2006/relationships/hyperlink" Target="https://citizens-initiative.europa.eu/find-initiative_en" TargetMode="External"/><Relationship Id="rId47" Type="http://schemas.openxmlformats.org/officeDocument/2006/relationships/hyperlink" Target="https://transport.ec.europa.eu/news-events/news/new-eu-funded-railway-line-brings-ukraine-even-closer-eu-2025-09-05_en" TargetMode="External"/><Relationship Id="rId50" Type="http://schemas.openxmlformats.org/officeDocument/2006/relationships/hyperlink" Target="https://international-partnerships.ec.europa.eu/funding-and-technical-assistance/funding-instruments/european-fund-sustainable-development-plus/african-local-currency-bond-fund_en" TargetMode="External"/><Relationship Id="rId55" Type="http://schemas.openxmlformats.org/officeDocument/2006/relationships/hyperlink" Target="https://eur-lex.europa.eu/legal-content/EN/TXT/PDF/?uri=CELEX:52025SC0590" TargetMode="External"/><Relationship Id="rId7" Type="http://schemas.openxmlformats.org/officeDocument/2006/relationships/hyperlink" Target="https://eic.ec.europa.eu/impact/eic-data-hub_en" TargetMode="External"/><Relationship Id="rId2" Type="http://schemas.openxmlformats.org/officeDocument/2006/relationships/hyperlink" Target="https://enlargement.ec.europa.eu/enhancing-accession-process-credible-eu-perspective-western-balkans_en" TargetMode="External"/><Relationship Id="rId16" Type="http://schemas.openxmlformats.org/officeDocument/2006/relationships/hyperlink" Target="https://kohesio.ec.europa.eu/en/projects/Q7421383" TargetMode="External"/><Relationship Id="rId29" Type="http://schemas.openxmlformats.org/officeDocument/2006/relationships/hyperlink" Target="https://ec.europa.eu/commission/presscorner/detail/en/speech_25_2462" TargetMode="External"/><Relationship Id="rId11" Type="http://schemas.openxmlformats.org/officeDocument/2006/relationships/hyperlink" Target="https://ec.europa.eu/assets/cinea/project_fiches/innovation_fund/101241587.pdf" TargetMode="External"/><Relationship Id="rId24" Type="http://schemas.openxmlformats.org/officeDocument/2006/relationships/hyperlink" Target="https://ec.europa.eu/commission/presscorner/detail/en/speech_25_2462" TargetMode="External"/><Relationship Id="rId32" Type="http://schemas.openxmlformats.org/officeDocument/2006/relationships/hyperlink" Target="http://data.europa.eu/eli/reg_impl/2025/1137/oj" TargetMode="External"/><Relationship Id="rId37" Type="http://schemas.openxmlformats.org/officeDocument/2006/relationships/hyperlink" Target="https://cinea.ec.europa.eu/featured-projects/blue-ports-empowering-ports-greener-future_en" TargetMode="External"/><Relationship Id="rId40" Type="http://schemas.openxmlformats.org/officeDocument/2006/relationships/hyperlink" Target="https://op.europa.eu/webpub/com/general-report-2025/en/chapter5.html" TargetMode="External"/><Relationship Id="rId45" Type="http://schemas.openxmlformats.org/officeDocument/2006/relationships/hyperlink" Target="https://ec.europa.eu/commission/presscorner/detail/en/ip_25_1429" TargetMode="External"/><Relationship Id="rId53" Type="http://schemas.openxmlformats.org/officeDocument/2006/relationships/hyperlink" Target="https://ec.europa.eu/commission/presscorner/detail/en/speech_25_2673" TargetMode="External"/><Relationship Id="rId58" Type="http://schemas.openxmlformats.org/officeDocument/2006/relationships/hyperlink" Target="https://ec.europa.eu/eurostat/product?code=KS-01-25-064" TargetMode="External"/><Relationship Id="rId5" Type="http://schemas.openxmlformats.org/officeDocument/2006/relationships/hyperlink" Target="https://ec.europa.eu/info/funding-tenders/opportunities/docs/2021-2027/horizon/wp-call/2026-2027/wp-14-horizontal-activities_horizon-2026-2027_en.pdf" TargetMode="External"/><Relationship Id="rId19" Type="http://schemas.openxmlformats.org/officeDocument/2006/relationships/hyperlink" Target="https://ec.europa.eu/assets/cinea/project_fiches/cef/cef_transport/24-EU-TG-MILES%20General.pdf" TargetMode="External"/><Relationship Id="rId4" Type="http://schemas.openxmlformats.org/officeDocument/2006/relationships/hyperlink" Target="https://ec.europa.eu/commission/presscorner/detail/en/speech_25_2272" TargetMode="External"/><Relationship Id="rId9" Type="http://schemas.openxmlformats.org/officeDocument/2006/relationships/hyperlink" Target="https://ec.europa.eu/assets/cinea/project_fiches/innovation_fund/101250958.pdf" TargetMode="External"/><Relationship Id="rId14" Type="http://schemas.openxmlformats.org/officeDocument/2006/relationships/hyperlink" Target="https://investeu.europa.eu/investeu-operations/investeu-operations-list/marguerite-iii-cdpe_en" TargetMode="External"/><Relationship Id="rId22" Type="http://schemas.openxmlformats.org/officeDocument/2006/relationships/hyperlink" Target="https://commission.europa.eu/strategy-and-policy/state-union/state-union-2025_en" TargetMode="External"/><Relationship Id="rId27" Type="http://schemas.openxmlformats.org/officeDocument/2006/relationships/hyperlink" Target="https://eur-lex.europa.eu/legal-content/EN/TXT/?uri=celex:52025DC0090" TargetMode="External"/><Relationship Id="rId30" Type="http://schemas.openxmlformats.org/officeDocument/2006/relationships/hyperlink" Target="https://op.europa.eu/webpub/com/general-report-2025/en/chapter5.html" TargetMode="External"/><Relationship Id="rId35" Type="http://schemas.openxmlformats.org/officeDocument/2006/relationships/hyperlink" Target="http://data.europa.eu/eli/reg_impl/2025/1485/oj" TargetMode="External"/><Relationship Id="rId43" Type="http://schemas.openxmlformats.org/officeDocument/2006/relationships/hyperlink" Target="https://ec.europa.eu/commission/presscorner/detail/en/speech_25_2337" TargetMode="External"/><Relationship Id="rId48" Type="http://schemas.openxmlformats.org/officeDocument/2006/relationships/hyperlink" Target="https://op.europa.eu/webpub/com/general-report-2025/en/chapter1.html" TargetMode="External"/><Relationship Id="rId56" Type="http://schemas.openxmlformats.org/officeDocument/2006/relationships/hyperlink" Target="https://www.eca.europa.eu/lists/ecadocuments/sr21_10/sr_gender_mainstreaming_en.pdf" TargetMode="External"/><Relationship Id="rId8" Type="http://schemas.openxmlformats.org/officeDocument/2006/relationships/hyperlink" Target="https://research-and-innovation.ec.europa.eu/funding/funding-opportunities/funding-programmes-and-open-calls/horizon-europe/horizon-europe-work-programmes_en" TargetMode="External"/><Relationship Id="rId51" Type="http://schemas.openxmlformats.org/officeDocument/2006/relationships/hyperlink" Target="https://international-partnerships.ec.europa.eu/funding-and-technical-assistance/funding-instruments/european-fund-sustainable-development-plus/accelerate-energy-transition-acceleret_en" TargetMode="External"/><Relationship Id="rId3" Type="http://schemas.openxmlformats.org/officeDocument/2006/relationships/hyperlink" Target="http://data.europa.eu/eli/dec_impl/2024/1447/oj" TargetMode="External"/><Relationship Id="rId12" Type="http://schemas.openxmlformats.org/officeDocument/2006/relationships/hyperlink" Target="https://ec.europa.eu/assets/cinea/project_fiches/innovation_fund/101191050.pdf" TargetMode="External"/><Relationship Id="rId17" Type="http://schemas.openxmlformats.org/officeDocument/2006/relationships/hyperlink" Target="https://kohesio.ec.europa.eu/en/projects/Q7423897" TargetMode="External"/><Relationship Id="rId25" Type="http://schemas.openxmlformats.org/officeDocument/2006/relationships/hyperlink" Target="https://eur-lex.europa.eu/legal-content/EN/TXT/?uri=CELEX:52025DC0079" TargetMode="External"/><Relationship Id="rId33" Type="http://schemas.openxmlformats.org/officeDocument/2006/relationships/hyperlink" Target="http://data.europa.eu/eli/reg_impl/2025/1145/oj" TargetMode="External"/><Relationship Id="rId38" Type="http://schemas.openxmlformats.org/officeDocument/2006/relationships/hyperlink" Target="https://cinea.ec.europa.eu/featured-projects/diaspara-project-unlocking-secrets-europes-endangered-eel-and-salmon_en" TargetMode="External"/><Relationship Id="rId46" Type="http://schemas.openxmlformats.org/officeDocument/2006/relationships/hyperlink" Target="https://ec.europa.eu/assets/cinea/project_fiches/cef/cef_transport/24-UA-TG-EUUA1435PLUABCPML1.pdf" TargetMode="External"/><Relationship Id="rId20" Type="http://schemas.openxmlformats.org/officeDocument/2006/relationships/hyperlink" Target="http://data.europa.eu/eli/reg/2025/1914/oj" TargetMode="External"/><Relationship Id="rId41" Type="http://schemas.openxmlformats.org/officeDocument/2006/relationships/hyperlink" Target="https://commission.europa.eu/strategy-and-policy/state-union/state-union-2025_en" TargetMode="External"/><Relationship Id="rId54" Type="http://schemas.openxmlformats.org/officeDocument/2006/relationships/hyperlink" Target="http://data.europa.eu/eli/agree_interinstit/2020/1222/oj" TargetMode="External"/><Relationship Id="rId1" Type="http://schemas.openxmlformats.org/officeDocument/2006/relationships/hyperlink" Target="https://eur-lex.europa.eu/legal-content/EN/TXT/?uri=CELEX%3A52025PC0545&amp;qid=1753797488776" TargetMode="External"/><Relationship Id="rId6" Type="http://schemas.openxmlformats.org/officeDocument/2006/relationships/hyperlink" Target="http://data.europa.eu/eli/reg/2025/2005/oj" TargetMode="External"/><Relationship Id="rId15" Type="http://schemas.openxmlformats.org/officeDocument/2006/relationships/hyperlink" Target="https://investeu.europa.eu/investeu-operations/investeu-operations-list/cristal-fibre-rollout_en" TargetMode="External"/><Relationship Id="rId23" Type="http://schemas.openxmlformats.org/officeDocument/2006/relationships/hyperlink" Target="https://home-affairs.ec.europa.eu/document/download/cc4034e6-bc2a-4d71-9238-9f61d465c91b_en?filename=Projects%20funded%20under%20ISF_booklet.pdf" TargetMode="External"/><Relationship Id="rId28" Type="http://schemas.openxmlformats.org/officeDocument/2006/relationships/hyperlink" Target="https://pact-for-skills.ec.europa.eu/document/download/84378a3e-3380-488f-b35a-9bd97a024ab1_en?filename=Annual%20Report%202025_FINAL.pdf" TargetMode="External"/><Relationship Id="rId36" Type="http://schemas.openxmlformats.org/officeDocument/2006/relationships/hyperlink" Target="http://data.europa.eu/eli/reg/2025/1276/oj" TargetMode="External"/><Relationship Id="rId49" Type="http://schemas.openxmlformats.org/officeDocument/2006/relationships/hyperlink" Target="https://ec.europa.eu/commission/presscorner/detail/en/ip_25_2781" TargetMode="External"/><Relationship Id="rId57" Type="http://schemas.openxmlformats.org/officeDocument/2006/relationships/hyperlink" Target="https://data.europa.eu/doi/10.2785/9931334" TargetMode="External"/><Relationship Id="rId10" Type="http://schemas.openxmlformats.org/officeDocument/2006/relationships/hyperlink" Target="https://ec.europa.eu/assets/cinea/project_fiches/innovation_fund/101250933.pdf" TargetMode="External"/><Relationship Id="rId31" Type="http://schemas.openxmlformats.org/officeDocument/2006/relationships/hyperlink" Target="http://data.europa.eu/eli/reg_impl/2025/441/oj" TargetMode="External"/><Relationship Id="rId44" Type="http://schemas.openxmlformats.org/officeDocument/2006/relationships/hyperlink" Target="https://ec.europa.eu/commission/presscorner/detail/en/ip_25_3137" TargetMode="External"/><Relationship Id="rId52" Type="http://schemas.openxmlformats.org/officeDocument/2006/relationships/hyperlink" Target="https://international-partnerships.ec.europa.eu/funding-and-technical-assistance/funding-instruments/european-fund-sustainable-development-plus/access-finance_en" TargetMode="External"/></Relationships>
</file>

<file path=word/_rels/header13.xml.rels><?xml version="1.0" encoding="UTF-8" standalone="yes"?>
<Relationships xmlns="http://schemas.openxmlformats.org/package/2006/relationships"><Relationship Id="rId1" Type="http://schemas.openxmlformats.org/officeDocument/2006/relationships/image" Target="media/image2.jpg"/></Relationships>
</file>

<file path=word/_rels/header14.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Management Plan 2022">
  <a:themeElements>
    <a:clrScheme name="Custom 2">
      <a:dk1>
        <a:srgbClr val="000000"/>
      </a:dk1>
      <a:lt1>
        <a:sysClr val="window" lastClr="FFFFFF"/>
      </a:lt1>
      <a:dk2>
        <a:srgbClr val="003399"/>
      </a:dk2>
      <a:lt2>
        <a:srgbClr val="F3F7FF"/>
      </a:lt2>
      <a:accent1>
        <a:srgbClr val="008139"/>
      </a:accent1>
      <a:accent2>
        <a:srgbClr val="DE6002"/>
      </a:accent2>
      <a:accent3>
        <a:srgbClr val="2688FE"/>
      </a:accent3>
      <a:accent4>
        <a:srgbClr val="FDAB07"/>
      </a:accent4>
      <a:accent5>
        <a:srgbClr val="DC165D"/>
      </a:accent5>
      <a:accent6>
        <a:srgbClr val="7030A0"/>
      </a:accent6>
      <a:hlink>
        <a:srgbClr val="003399"/>
      </a:hlink>
      <a:folHlink>
        <a:srgbClr val="003399"/>
      </a:folHlink>
    </a:clrScheme>
    <a:fontScheme name="Management Plan 2022">
      <a:majorFont>
        <a:latin typeface="EC Square Sans Pro"/>
        <a:ea typeface=""/>
        <a:cs typeface=""/>
      </a:majorFont>
      <a:minorFont>
        <a:latin typeface="EC Squar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ReferencesTablePictures>Table of Pictures</ReferencesTablePictures>
  <ReferencesIndex>Index</ReferencesIndex>
  <LabelAlternativeText>Alternative text: </LabelAlternativeText>
  <LabelTableSeqOP>Table { SEQ Table \* ARABIC } – </LabelTableSeqOP>
  <LabelSource>Source</LabelSource>
  <LabelFigureSeqEC>Figure {SEQ Figure \* ARABIC }: </LabelFigureSeqEC>
  <LabelFigureSeqWChapter>Table {field: STYLEREF "Chapter Number" \s }.{field: SEQ Table \* ARABIC } –</LabelFigureSeqWChapter>
  <OP_ManagementPlan_CopyrightPage_Copyright>© European Union, {freetext:&lt;Year&gt;}</OP_ManagementPlan_CopyrightPage_Copyright>
  <OP_ManagementPlan_CopyrightPage_Reuse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useIsAuthorised2>
  <OP_ManagementPlan_CopyrightPage_PubIDs-EPUB>EPUB{tab}ISBN {freetext:&lt;xxx-xx-xx-xxxxx-x&gt;}{tab}ISSN {freetext:&lt;xxxx-xxxx&gt;}{tab}doi:10.{freetext:&lt;xxxx/xx...x&gt;}{tab}{freetext:&lt;xx-xx-xx-xxx-xx-x&gt;}</OP_ManagementPlan_CopyrightPage_PubIDs-EPUB>
  <OP_ManagementPlan_CopyrightPage_ManuscriptCompleted>Manuscript completed in {freetext:&lt;Month&gt;} {freetext:&lt;Year&gt;}</OP_ManagementPlan_CopyrightPage_ManuscriptCompleted>
  <OP_ManagementPlan_CopyrightPage_ReuseIsAuthorised>Reuse is authorised provided the source is acknowledged and the original meaning or message of the document is not distorted. The European Commission shall not be liable for any consequence stemming from the reuse. The reuse policy of European Commission documents is implemented under Commission Decision 2011/833/EU of 12 December 2011 on the reuse of Commission documents (OJ L 330, 14.12.2011, p. 39, ELI: {field:HYPERLINK "http://data.europa.eu/eli/dec/2011/833/oj"|http://data.europa.eu/eli/dec/2011/833/oj}).</OP_ManagementPlan_CopyrightPage_ReuseIsAuthorised>
  <OP_ManagementPlan_CopyrightPage_Edition>{freetext:&lt;Revised/Corrected/nth&gt;} edition</OP_ManagementPlan_CopyrightPage_Edition>
  <OP_ManagementPlan_CopyrightPage_PubIDs-Print>Print{tab}ISBN {freetext:&lt;xxx-xx-xx-xxxxx-x&gt;}{tab}ISSN {freetext:&lt;xxxx-xxxx&gt;}{tab}doi:10.{freetext:&lt;xxxx/xx...x&gt;}{tab}{freetext:&lt;xx-xx-xx-xxx-xx-x&gt;}</OP_ManagementPlan_CopyrightPage_PubIDs-Print>
  <OP_ManagementPlan_CopyrightPage_PubIDs-PDF>PDF{tab}ISBN {freetext:&lt;xxx-xx-xx-xxxxx-x&gt;}{tab}ISSN {freetext:&lt;xxxx-xxxx&gt;}{tab}doi:10.{freetext:&lt;xxxx/xx...x&gt;}{tab}{freetext:&lt;xx-xx-xx-xxx-xx-x&gt;}</OP_ManagementPlan_CopyrightPage_PubIDs-PDF>
  <OP_ManagementPlan_CopyrightPage_ReuseStatement>This document has been prepared for the European Commission however it reflects the views only of the authors, and the European Commission is not liable for any consequence stemming from the reuse of this publication.</OP_ManagementPlan_CopyrightPage_ReuseStatement>
  <OP_ManagementPlan_CopyrightPage_PubIDs-HTML>HTML{tab}ISBN {freetext:&lt;xxx-xx-xx-xxxxx-x&gt;}{tab}ISSN {freetext:&lt;xxxx-xxxx&gt;}{tab}doi:10.{freetext:&lt;xxxx/xx...x&gt;}{tab}{freetext:&lt;xx-xx-xx-xxx-xx-x&gt;}</OP_ManagementPlan_CopyrightPage_PubIDs-HTML>
  <OP_ManagementPlan_CopyrightPage_ReuseIsAuthorised3>For any use or reproduction of elements that are not owned by the European Union, permission may need to be sought directly from the respective rightholders.</OP_ManagementPlan_CopyrightPage_ReuseIsAuthorised3>
  <OP_ManagementPlan_CopyrightPage_LuxembourgPublicationsOffice>Luxembourg: Publications Office of the European Union, {freetext:&lt;Year&gt;}</OP_ManagementPlan_CopyrightPage_LuxembourgPublicationsOffice>
  <OP_ManagementPlan_AboutEU_Online>Online</OP_ManagementPlan_AboutEU_Online>
  <OP_ManagementPlan_AboutEU_ByForm>via the following form: {field:HYPERLINK "https://european-union.europa.eu/contact-eu/write-us_en"|european-union.europa.eu/contact-eu/write-us_en}.</OP_ManagementPlan_AboutEU_ByForm>
  <OP_ManagementPlan_AboutEU_EULawAndRelated>EU law and related documents</OP_ManagementPlan_AboutEU_EULawAndRelated>
  <OP_ManagementPlan_AboutEU_InPerson>In person</OP_ManagementPlan_AboutEU_InPerson>
  <OP_ManagementPlan_AboutEU_YouCanView>You can view or order EU publications at {field:HYPERLINK "https://op.europa.eu/en/publications"|op.europa.eu/en/publications}. Multiple copies of free publications can be obtained by contacting Europe Direct or your local documentation centre ({field:HYPERLINK "https://european-union.europa.eu/contact-eu/meet-us_en"|european-union.europa.eu/contact-eu/meet-us_en}).</OP_ManagementPlan_AboutEU_YouCanView>
  <OP_ManagementPlan_AboutEU_EUPublications>EU publications</OP_ManagementPlan_AboutEU_EUPublications>
  <OP_ManagementPlan_AboutEU_ThePortal>The portal {field:HYPERLINK "https://data.europa.eu"|data.europa.eu} provides access to open datasets from the EU institutions, bodies and agencies. These can be downloaded and reused for free, for both commercial and non-commercial purposes. The portal also provides access to a wealth of datasets from European countries.</OP_ManagementPlan_AboutEU_ThePortal>
  <OP_ManagementPlan_AboutEU_ByFreephone>by freephone: 00 800 6 7 8 9 10 11 (certain operators may charge for these calls),</OP_ManagementPlan_AboutEU_ByFreephone>
  <OP_ManagementPlan_AboutEU_ForAccessTo>For access to legal information from the EU, including all EU law since 1951 in all the official language versions, go to EUR-Lex ({field:HYPERLINK "https://eur-lex.europa.eu"|eur-lex.europa.eu}).</OP_ManagementPlan_AboutEU_ForAccessTo>
  <OP_ManagementPlan_AboutEU_FindingInformation>Finding information about the EU</OP_ManagementPlan_AboutEU_FindingInformation>
  <OP_ManagementPlan_AboutEU_EUOpenData>EU open data</OP_ManagementPlan_AboutEU_EUOpenData>
  <OP_ManagementPlan_AboutEU_InformationAbout>Information about the European Union in all the official languages of the EU is available on the Europa website ({field:HYPERLINK "https://european-union.europa.eu"|european-union.europa.eu}).</OP_ManagementPlan_AboutEU_InformationAbout>
  <OP_ManagementPlan_AboutEU_ByStandardNumber>at the following standard number: +32 22999696,</OP_ManagementPlan_AboutEU_ByStandardNumber>
  <OP_ManagementPlan_AboutEU_GettingInTouch>Getting in touch with the EU</OP_ManagementPlan_AboutEU_GettingInTouch>
  <OP_ManagementPlan_AboutEU_AllOverEU>All over the European Union there are hundreds of Europe Direct centres. You can find the address of the centre nearest you online ({field:HYPERLINK "https://european-union.europa.eu/contact-eu/meet-us_en"|european-union.europa.eu/contact-eu/meet-us_en}).</OP_ManagementPlan_AboutEU_AllOverEU>
  <OP_ManagementPlan_AboutEU_OnPhoneOrWriting>On the phone or in writing</OP_ManagementPlan_AboutEU_OnPhoneOrWriting>
  <OP_ManagementPlan_AboutEU_EuropeDirect>Europe Direct is a service that answers your questions about the European Union. You can contact this service:</OP_ManagementPlan_AboutEU_EuropeDirect>
  <ReferencesSectionTitle>References</ReferencesSectionTitle>
  <OP_ManagementPlan_OT_Objective>Objective:</OP_ManagementPlan_OT_Objective>
  <OP_ManagementPlan_CopyrightPage_CC_Statement>This document has been prepared for the European Commission however it reflects the views only of the authors, and the European Commission is not liable for any consequence stemming from the reuse of this publication.</OP_ManagementPlan_CopyrightPage_CC_Statement>
  <OP_ManagementPlan_CopyrightPage_TheReusePolicy>The Commission’s reuse policy is implemented under Commission Decision 2011/833/EU of 12 December 2011 on the reuse of Commission documents (OJ L 330, 14.12.2011, p. 39, ELI: {field:HYPERLINK "http://data.europa.eu/eli/dec/2011/833/oj"|http://data.europa.eu/eli/dec/2011/833/oj}).{br}Unless otherwise noted, the reuse of this document is authorised under the Creative Commons Attribution 4.0 International (CC BY 4.0) licence ({field:HYPERLINK "https://creativecommons.org/licenses/by/4.0/"|https://creativecommons.org/licenses/by/4.0/}). This means that reuse is allowed, provided appropriate credit is given and any changes are indicated.</OP_ManagementPlan_CopyrightPage_TheReusePolicy>
  <OP_ManagementPlan_CopyrightPage_Reproduction>For any use or reproduction of elements that are not owned by the European Union, permission may need to be sought directly from the respective rightholders.</OP_ManagementPlan_CopyrightPage_Reproduction>
  <OP_ManagementPlan_CopyrightPage_Permissions>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Permissions>
  <LabelPictureSeq>Figure {SEQ Figure \* ARABIC }: </LabelPictureSeq>
  <LabelFigureSeqOP>Figure {SEQ Figure \* ARABIC } – </LabelFigureSeqOP>
  <OP_ManagementPlan_CopyrightPage_ReproductionIsAuthorised>Reproduction is authorised provided the source is acknowledged.</OP_ManagementPlan_CopyrightPage_ReproductionIsAuthorised>
  <OP_ManagementPlan_CopyrightPage_ReproductionIsAuthorised3>For any use or reproduction of elements that are not owned by the European Union, permission may need to be sought directly from the respective rightholders.</OP_ManagementPlan_CopyrightPage_ReproductionIsAuthorised3>
  <OP_ManagementPlan_CopyrightPage_Reproduction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productionIsAuthorised2>
  <OP_ManagementPlan_CopyrightPage_ThisDocumentShouldNot>Neither the {freetext:[institution/body/service]} nor any person acting on behalf of the {freetext:[institution/body/service]} is responsible for the use that might be made of the following information.</OP_ManagementPlan_CopyrightPage_ThisDocumentShouldNot>
  <LabelTableSeqWChapter>Table { STYLEREF "Chapter Number" \s }.{ SEQ Table \* ARABIC } – </LabelTableSeqWChapter>
  <LabelTableSeqEC>Table {SEQ Table \* ARABIC }: </LabelTableSeqEC>
  <ReferencesTableTables>Table of Tables</ReferencesTableTables>
  <OP_ManagementPlan_LayoutPage_AfterBody2>The total page count in printed publications must be dividable by four.</OP_ManagementPlan_LayoutPage_AfterBody2>
  <OP_ManagementPlan_LayoutPage_AfterBody1>Please keep this page empty until ready for publishing.</OP_ManagementPlan_LayoutPage_AfterBody1>
  <OP_ManagementPlan_LayoutPage_AfterBody3>Before publishing, remove this comment and depending on the total page count remove this page or add more empty pages.</OP_ManagementPlan_LayoutPage_AfterBody3>
  <OP_ManagementPlan_OT_Target>Target</OP_ManagementPlan_OT_Target>
  <OP_ManagementPlan_OT_Indicator>Indicator</OP_ManagementPlan_OT_Indicator>
  <OP_ManagementPlan_OT_Output>Output</OP_ManagementPlan_OT_Output>
  <OP_ManagementPlan_LayoutPage_AfterCoverPage>Please keep this page empty after deleting this comment.</OP_ManagementPlan_LayoutPage_AfterCoverPage>
  <OP_ManagementPlan_OT_SpecificObjective>Specific Objective:</OP_ManagementPlan_OT_SpecificObjective>
  <OP_TOCHeading>Contents</OP_TOCHeading>
  <OP_ManagementPlan_OT_GeneralObjective>General Objective:</OP_ManagementPlan_OT_GeneralObjective>
  <ReferencesTableBoxes>Table of Boxes</ReferencesTableBoxes>
  <DateFormatShort>dd/MM/yyyy</DateFormatShort>
  <DateFormatLong>d MMMM yyyy</DateFormatLong>
</Texts>
</file>

<file path=customXml/item2.xml><?xml version="1.0" encoding="utf-8"?>
<Author Role="Creator" AuthorRoleName="Writer" AuthorRoleDisplayName="Writer" AuthorRoleId="a4fbaff4-b07c-48b4-a21e-e7b9eedf3796">
  <Id>3a1d888b-7080-451f-a773-95a004840198</Id>
  <Names>
    <Latin>
      <FirstName>Raimonds</FirstName>
      <LastName>ERTS</LastName>
    </Latin>
    <Greek>
      <FirstName/>
      <LastName/>
    </Greek>
    <Cyrillic>
      <FirstName/>
      <LastName/>
    </Cyrillic>
    <DocumentScript>
      <FirstName>Raimonds</FirstName>
      <LastName>ERTS</LastName>
      <FullName>Raimonds ERTS</FullName>
    </DocumentScript>
  </Names>
  <Initials>RE</Initials>
  <Gender>m</Gender>
  <Email>Raimonds.ERTS@publications.europa.eu</Email>
  <Service>OP.B.2.001</Service>
  <Function ADCode="" ShowInSignature="true" ShowInHeader="false" HeaderText=""/>
  <WebAddress/>
  <FunctionalMailbox/>
  <InheritedWebAddress>http://europa.eu</InheritedWebAddress>
  <OrgaEntity1>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1>
  <OrgaEntity2>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2>
  <OrgaEntity3>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3>
  <Hierarchy>
    <OrgaEntity>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
    <OrgaEntity>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
    <OrgaEntity>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1264fb81-f6bb-475e-9f9d-a937d3be6ee2</AddressId>
    <Fax/>
    <Phone>+352 4301-44063</Phone>
    <Office>MERP 02/A001</Office>
  </MainWorkplace>
  <Workplaces>
    <Workplace IsMain="true">
      <AddressId>1264fb81-f6bb-475e-9f9d-a937d3be6ee2</AddressId>
      <Fax/>
      <Phone>+352 4301-44063</Phone>
      <Office>MERP 02/A001</Office>
    </Workplace>
  </Workplaces>
</Author>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EurolookProperties>
  <ProductCustomizationId>EC</ProductCustomizationId>
  <Created>
    <Version>10.0.47989.0</Version>
    <Date>2026-03-16T09:38:17</Date>
    <Language>EN</Language>
    <Note>Created using 'Convert To Eurolook'</Note>
  </Created>
  <DocumentModel>
    <Id>7136d7b7-c4fa-4d30-b9ff-62b00d5a473e</Id>
    <Name>Management Report (Publication)</Name>
  </DocumentModel>
  <CustomTemplate>
    <Id/>
    <Name/>
  </CustomTemplate>
  <DocumentDate>2026-03-16T09:38:17</DocumentDate>
  <DocumentVersion>0.1</DocumentVersion>
  <CompatibilityMode>Eurolook10</CompatibilityMode>
  <DocumentMetadata>
    <PublishingFormat MetadataSerializationType="SimpleValue"/>
  </DocumentMetadata>
</EurolookProperties>
</file>

<file path=customXml/item6.xml><?xml version="1.0" encoding="utf-8"?>
<ct:contentTypeSchema xmlns:ct="http://schemas.microsoft.com/office/2006/metadata/contentType" xmlns:ma="http://schemas.microsoft.com/office/2006/metadata/properties/metaAttributes" ct:_="" ma:_="" ma:contentTypeName="EC Document" ma:contentTypeID="0x0101002A9ECA2606335F4BA5305B32386134E00063A1563B14B2C349B8DD161C5ADC9DBB" ma:contentTypeVersion="23" ma:contentTypeDescription="Create a new document in this library." ma:contentTypeScope="" ma:versionID="e136fab5c578c5dbbaf04396e60b34f1">
  <xsd:schema xmlns:xsd="http://www.w3.org/2001/XMLSchema" xmlns:xs="http://www.w3.org/2001/XMLSchema" xmlns:p="http://schemas.microsoft.com/office/2006/metadata/properties" xmlns:ns3="5a2aaeef-7754-4071-a86d-fc61c328f6f7" xmlns:ns4="e226d4ca-1ed8-42f0-8f23-f43336c44f4f" targetNamespace="http://schemas.microsoft.com/office/2006/metadata/properties" ma:root="true" ma:fieldsID="a5ec91dbdf37fbba4745ee3c84746937" ns3:_="" ns4:_="">
    <xsd:import namespace="5a2aaeef-7754-4071-a86d-fc61c328f6f7"/>
    <xsd:import namespace="e226d4ca-1ed8-42f0-8f23-f43336c44f4f"/>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SearchPropertie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aaeef-7754-4071-a86d-fc61c328f6f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ma:readOnly="false">
      <xsd:simpleType>
        <xsd:restriction base="dms:DateTime"/>
      </xsd:simpleType>
    </xsd:element>
    <xsd:element name="EC_ARES_TRANSFERRED_BY" ma:index="17" nillable="true" ma:displayName="Transferred By" ma:internalName="EC_ARES_TRANSFERRED_BY" ma:readOnly="false">
      <xsd:simpleType>
        <xsd:restriction base="dms:Text"/>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26d4ca-1ed8-42f0-8f23-f43336c44f4f" elementFormDefault="qualified">
    <xsd:import namespace="http://schemas.microsoft.com/office/2006/documentManagement/types"/>
    <xsd:import namespace="http://schemas.microsoft.com/office/infopath/2007/PartnerControls"/>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EC_Collab_DocumentLanguage xmlns="5a2aaeef-7754-4071-a86d-fc61c328f6f7">EN</EC_Collab_DocumentLanguage>
    <EC_Collab_Reference xmlns="5a2aaeef-7754-4071-a86d-fc61c328f6f7" xsi:nil="true"/>
    <EC_ARES_DATE_TRANSFERRED xmlns="5a2aaeef-7754-4071-a86d-fc61c328f6f7" xsi:nil="true"/>
    <EC_ARES_TRANSFERRED_BY xmlns="5a2aaeef-7754-4071-a86d-fc61c328f6f7" xsi:nil="true"/>
    <EC_ARES_NUMBER xmlns="5a2aaeef-7754-4071-a86d-fc61c328f6f7">
      <Url xsi:nil="true"/>
      <Description xsi:nil="true"/>
    </EC_ARES_NUMBER>
    <EC_Collab_Status xmlns="5a2aaeef-7754-4071-a86d-fc61c328f6f7">Not Started</EC_Collab_Status>
  </documentManagement>
</p:properties>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47A93C97-2451-45CA-843D-A3FB8DDB4233}">
  <ds:schemaRefs/>
</ds:datastoreItem>
</file>

<file path=customXml/itemProps3.xml><?xml version="1.0" encoding="utf-8"?>
<ds:datastoreItem xmlns:ds="http://schemas.openxmlformats.org/officeDocument/2006/customXml" ds:itemID="{B567BD0A-F291-425E-89CB-BA94840A0A01}">
  <ds:schemaRefs>
    <ds:schemaRef ds:uri="http://schemas.microsoft.com/sharepoint/v3/contenttype/forms"/>
  </ds:schemaRefs>
</ds:datastoreItem>
</file>

<file path=customXml/itemProps4.xml><?xml version="1.0" encoding="utf-8"?>
<ds:datastoreItem xmlns:ds="http://schemas.openxmlformats.org/officeDocument/2006/customXml" ds:itemID="{E8DD6083-1395-4E08-BEF0-15F81F2D263E}">
  <ds:schemaRefs>
    <ds:schemaRef ds:uri="http://schemas.openxmlformats.org/officeDocument/2006/bibliography"/>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BBEB3B6B-CA22-4B42-AC6C-0D96C53AA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aaeef-7754-4071-a86d-fc61c328f6f7"/>
    <ds:schemaRef ds:uri="e226d4ca-1ed8-42f0-8f23-f43336c44f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47FBA3D8-9495-4F95-8EDB-44B970507BA7}">
  <ds:schemaRefs>
    <ds:schemaRef ds:uri="http://schemas.microsoft.com/office/2006/metadata/properties"/>
    <ds:schemaRef ds:uri="http://schemas.microsoft.com/office/infopath/2007/PartnerControls"/>
    <ds:schemaRef ds:uri="5a2aaeef-7754-4071-a86d-fc61c328f6f7"/>
  </ds:schemaRefs>
</ds:datastoreItem>
</file>

<file path=docProps/app.xml><?xml version="1.0" encoding="utf-8"?>
<Properties xmlns="http://schemas.openxmlformats.org/officeDocument/2006/extended-properties" xmlns:vt="http://schemas.openxmlformats.org/officeDocument/2006/docPropsVTypes">
  <Template>Eurolook.dotm</Template>
  <TotalTime>14</TotalTime>
  <Pages>75</Pages>
  <Words>26271</Words>
  <Characters>146596</Characters>
  <Application>Microsoft Office Word</Application>
  <DocSecurity>0</DocSecurity>
  <PresentationFormat>Microsoft Word 14.0</PresentationFormat>
  <Lines>4442</Lines>
  <Paragraphs>2505</Paragraphs>
  <ScaleCrop>true</ScaleCrop>
  <Manager/>
  <Company/>
  <LinksUpToDate>false</LinksUpToDate>
  <CharactersWithSpaces>170362</CharactersWithSpaces>
  <SharedDoc>false</SharedDoc>
  <HLinks>
    <vt:vector size="468" baseType="variant">
      <vt:variant>
        <vt:i4>393304</vt:i4>
      </vt:variant>
      <vt:variant>
        <vt:i4>75</vt:i4>
      </vt:variant>
      <vt:variant>
        <vt:i4>0</vt:i4>
      </vt:variant>
      <vt:variant>
        <vt:i4>5</vt:i4>
      </vt:variant>
      <vt:variant>
        <vt:lpwstr>https://kohesio.ec.europa.eu/en/projects/Q7445174</vt:lpwstr>
      </vt:variant>
      <vt:variant>
        <vt:lpwstr/>
      </vt:variant>
      <vt:variant>
        <vt:i4>7929898</vt:i4>
      </vt:variant>
      <vt:variant>
        <vt:i4>72</vt:i4>
      </vt:variant>
      <vt:variant>
        <vt:i4>0</vt:i4>
      </vt:variant>
      <vt:variant>
        <vt:i4>5</vt:i4>
      </vt:variant>
      <vt:variant>
        <vt:lpwstr>https://eur-lex.europa.eu/eli/reg/2024/2509/oj</vt:lpwstr>
      </vt:variant>
      <vt:variant>
        <vt:lpwstr/>
      </vt:variant>
      <vt:variant>
        <vt:i4>7209068</vt:i4>
      </vt:variant>
      <vt:variant>
        <vt:i4>69</vt:i4>
      </vt:variant>
      <vt:variant>
        <vt:i4>0</vt:i4>
      </vt:variant>
      <vt:variant>
        <vt:i4>5</vt:i4>
      </vt:variant>
      <vt:variant>
        <vt:lpwstr>http://data.europa.eu/eli/reg/2021/1060/oj</vt:lpwstr>
      </vt:variant>
      <vt:variant>
        <vt:lpwstr/>
      </vt:variant>
      <vt:variant>
        <vt:i4>1441826</vt:i4>
      </vt:variant>
      <vt:variant>
        <vt:i4>66</vt:i4>
      </vt:variant>
      <vt:variant>
        <vt:i4>0</vt:i4>
      </vt:variant>
      <vt:variant>
        <vt:i4>5</vt:i4>
      </vt:variant>
      <vt:variant>
        <vt:lpwstr>https://international-partnerships.ec.europa.eu/funding-and-technical-assistance/funding-instruments/european-fund-sustainable-development-plus/access-finance_en</vt:lpwstr>
      </vt:variant>
      <vt:variant>
        <vt:lpwstr/>
      </vt:variant>
      <vt:variant>
        <vt:i4>5701731</vt:i4>
      </vt:variant>
      <vt:variant>
        <vt:i4>63</vt:i4>
      </vt:variant>
      <vt:variant>
        <vt:i4>0</vt:i4>
      </vt:variant>
      <vt:variant>
        <vt:i4>5</vt:i4>
      </vt:variant>
      <vt:variant>
        <vt:lpwstr>https://international-partnerships.ec.europa.eu/funding-and-technical-assistance/funding-instruments/european-fund-sustainable-development-plus/accelerate-energy-transition-acceleret_en</vt:lpwstr>
      </vt:variant>
      <vt:variant>
        <vt:lpwstr/>
      </vt:variant>
      <vt:variant>
        <vt:i4>2097233</vt:i4>
      </vt:variant>
      <vt:variant>
        <vt:i4>60</vt:i4>
      </vt:variant>
      <vt:variant>
        <vt:i4>0</vt:i4>
      </vt:variant>
      <vt:variant>
        <vt:i4>5</vt:i4>
      </vt:variant>
      <vt:variant>
        <vt:lpwstr>https://international-partnerships.ec.europa.eu/funding-and-technical-assistance/funding-instruments/european-fund-sustainable-development-plus/african-local-currency-bond-fund_en</vt:lpwstr>
      </vt:variant>
      <vt:variant>
        <vt:lpwstr/>
      </vt:variant>
      <vt:variant>
        <vt:i4>1245222</vt:i4>
      </vt:variant>
      <vt:variant>
        <vt:i4>57</vt:i4>
      </vt:variant>
      <vt:variant>
        <vt:i4>0</vt:i4>
      </vt:variant>
      <vt:variant>
        <vt:i4>5</vt:i4>
      </vt:variant>
      <vt:variant>
        <vt:lpwstr>https://transport.ec.europa.eu/news-events/news/new-eu-funded-railway-line-brings-ukraine-even-closer-eu-2025-09-05_en</vt:lpwstr>
      </vt:variant>
      <vt:variant>
        <vt:lpwstr/>
      </vt:variant>
      <vt:variant>
        <vt:i4>1638427</vt:i4>
      </vt:variant>
      <vt:variant>
        <vt:i4>54</vt:i4>
      </vt:variant>
      <vt:variant>
        <vt:i4>0</vt:i4>
      </vt:variant>
      <vt:variant>
        <vt:i4>5</vt:i4>
      </vt:variant>
      <vt:variant>
        <vt:lpwstr>https://ec.europa.eu/assets/cinea/project_fiches/cef/cef_transport/24-UA-TG-EUUA1435PLUABCPML1.pdf</vt:lpwstr>
      </vt:variant>
      <vt:variant>
        <vt:lpwstr/>
      </vt:variant>
      <vt:variant>
        <vt:i4>4980776</vt:i4>
      </vt:variant>
      <vt:variant>
        <vt:i4>51</vt:i4>
      </vt:variant>
      <vt:variant>
        <vt:i4>0</vt:i4>
      </vt:variant>
      <vt:variant>
        <vt:i4>5</vt:i4>
      </vt:variant>
      <vt:variant>
        <vt:lpwstr>https://commission.europa.eu/topics/competitiveness/competitiveness-compass_en</vt:lpwstr>
      </vt:variant>
      <vt:variant>
        <vt:lpwstr/>
      </vt:variant>
      <vt:variant>
        <vt:i4>7667730</vt:i4>
      </vt:variant>
      <vt:variant>
        <vt:i4>48</vt:i4>
      </vt:variant>
      <vt:variant>
        <vt:i4>0</vt:i4>
      </vt:variant>
      <vt:variant>
        <vt:i4>5</vt:i4>
      </vt:variant>
      <vt:variant>
        <vt:lpwstr>https://commission.europa.eu/topics/competitiveness/draghi-report_en</vt:lpwstr>
      </vt:variant>
      <vt:variant>
        <vt:lpwstr/>
      </vt:variant>
      <vt:variant>
        <vt:i4>1638514</vt:i4>
      </vt:variant>
      <vt:variant>
        <vt:i4>45</vt:i4>
      </vt:variant>
      <vt:variant>
        <vt:i4>0</vt:i4>
      </vt:variant>
      <vt:variant>
        <vt:i4>5</vt:i4>
      </vt:variant>
      <vt:variant>
        <vt:lpwstr>https://reform-support.ec.europa.eu/our-projects/flagship-technical-support-projects/tsi-2025-flagship-pace-public-administration-cooperation-exchange_en</vt:lpwstr>
      </vt:variant>
      <vt:variant>
        <vt:lpwstr/>
      </vt:variant>
      <vt:variant>
        <vt:i4>5701698</vt:i4>
      </vt:variant>
      <vt:variant>
        <vt:i4>42</vt:i4>
      </vt:variant>
      <vt:variant>
        <vt:i4>0</vt:i4>
      </vt:variant>
      <vt:variant>
        <vt:i4>5</vt:i4>
      </vt:variant>
      <vt:variant>
        <vt:lpwstr>https://reforms-investments.ec.europa.eu/document/download/f161f935-c17c-407d-babc-600dab6a25cd_en?filename=COM_2025_468_1_EN_ACT_part1_v3.pdf</vt:lpwstr>
      </vt:variant>
      <vt:variant>
        <vt:lpwstr/>
      </vt:variant>
      <vt:variant>
        <vt:i4>2949190</vt:i4>
      </vt:variant>
      <vt:variant>
        <vt:i4>39</vt:i4>
      </vt:variant>
      <vt:variant>
        <vt:i4>0</vt:i4>
      </vt:variant>
      <vt:variant>
        <vt:i4>5</vt:i4>
      </vt:variant>
      <vt:variant>
        <vt:lpwstr>https://reforms-investments.ec.europa.eu/technical-support-instrument-0/revenue-administration-and-public-financial-management/sustainability-local-public-finances-slpf_en</vt:lpwstr>
      </vt:variant>
      <vt:variant>
        <vt:lpwstr/>
      </vt:variant>
      <vt:variant>
        <vt:i4>4128796</vt:i4>
      </vt:variant>
      <vt:variant>
        <vt:i4>36</vt:i4>
      </vt:variant>
      <vt:variant>
        <vt:i4>0</vt:i4>
      </vt:variant>
      <vt:variant>
        <vt:i4>5</vt:i4>
      </vt:variant>
      <vt:variant>
        <vt:lpwstr>https://commission.europa.eu/strategy-and-policy/eu-budget/performance-and-reporting/programme-performance-statements_en</vt:lpwstr>
      </vt:variant>
      <vt:variant>
        <vt:lpwstr/>
      </vt:variant>
      <vt:variant>
        <vt:i4>1376312</vt:i4>
      </vt:variant>
      <vt:variant>
        <vt:i4>29</vt:i4>
      </vt:variant>
      <vt:variant>
        <vt:i4>0</vt:i4>
      </vt:variant>
      <vt:variant>
        <vt:i4>5</vt:i4>
      </vt:variant>
      <vt:variant>
        <vt:lpwstr/>
      </vt:variant>
      <vt:variant>
        <vt:lpwstr>_Toc231480357</vt:lpwstr>
      </vt:variant>
      <vt:variant>
        <vt:i4>1376312</vt:i4>
      </vt:variant>
      <vt:variant>
        <vt:i4>23</vt:i4>
      </vt:variant>
      <vt:variant>
        <vt:i4>0</vt:i4>
      </vt:variant>
      <vt:variant>
        <vt:i4>5</vt:i4>
      </vt:variant>
      <vt:variant>
        <vt:lpwstr/>
      </vt:variant>
      <vt:variant>
        <vt:lpwstr>_Toc231480356</vt:lpwstr>
      </vt:variant>
      <vt:variant>
        <vt:i4>1376312</vt:i4>
      </vt:variant>
      <vt:variant>
        <vt:i4>17</vt:i4>
      </vt:variant>
      <vt:variant>
        <vt:i4>0</vt:i4>
      </vt:variant>
      <vt:variant>
        <vt:i4>5</vt:i4>
      </vt:variant>
      <vt:variant>
        <vt:lpwstr/>
      </vt:variant>
      <vt:variant>
        <vt:lpwstr>_Toc231480355</vt:lpwstr>
      </vt:variant>
      <vt:variant>
        <vt:i4>1376312</vt:i4>
      </vt:variant>
      <vt:variant>
        <vt:i4>11</vt:i4>
      </vt:variant>
      <vt:variant>
        <vt:i4>0</vt:i4>
      </vt:variant>
      <vt:variant>
        <vt:i4>5</vt:i4>
      </vt:variant>
      <vt:variant>
        <vt:lpwstr/>
      </vt:variant>
      <vt:variant>
        <vt:lpwstr>_Toc231480354</vt:lpwstr>
      </vt:variant>
      <vt:variant>
        <vt:i4>1376312</vt:i4>
      </vt:variant>
      <vt:variant>
        <vt:i4>5</vt:i4>
      </vt:variant>
      <vt:variant>
        <vt:i4>0</vt:i4>
      </vt:variant>
      <vt:variant>
        <vt:i4>5</vt:i4>
      </vt:variant>
      <vt:variant>
        <vt:lpwstr/>
      </vt:variant>
      <vt:variant>
        <vt:lpwstr>_Toc231480353</vt:lpwstr>
      </vt:variant>
      <vt:variant>
        <vt:i4>1376312</vt:i4>
      </vt:variant>
      <vt:variant>
        <vt:i4>2</vt:i4>
      </vt:variant>
      <vt:variant>
        <vt:i4>0</vt:i4>
      </vt:variant>
      <vt:variant>
        <vt:i4>5</vt:i4>
      </vt:variant>
      <vt:variant>
        <vt:lpwstr/>
      </vt:variant>
      <vt:variant>
        <vt:lpwstr>_Toc231480352</vt:lpwstr>
      </vt:variant>
      <vt:variant>
        <vt:i4>7995503</vt:i4>
      </vt:variant>
      <vt:variant>
        <vt:i4>171</vt:i4>
      </vt:variant>
      <vt:variant>
        <vt:i4>0</vt:i4>
      </vt:variant>
      <vt:variant>
        <vt:i4>5</vt:i4>
      </vt:variant>
      <vt:variant>
        <vt:lpwstr>https://ec.europa.eu/eurostat/product?code=KS-01-25-064</vt:lpwstr>
      </vt:variant>
      <vt:variant>
        <vt:lpwstr/>
      </vt:variant>
      <vt:variant>
        <vt:i4>3145761</vt:i4>
      </vt:variant>
      <vt:variant>
        <vt:i4>168</vt:i4>
      </vt:variant>
      <vt:variant>
        <vt:i4>0</vt:i4>
      </vt:variant>
      <vt:variant>
        <vt:i4>5</vt:i4>
      </vt:variant>
      <vt:variant>
        <vt:lpwstr>https://data.europa.eu/doi/10.2785/9931334</vt:lpwstr>
      </vt:variant>
      <vt:variant>
        <vt:lpwstr/>
      </vt:variant>
      <vt:variant>
        <vt:i4>2490484</vt:i4>
      </vt:variant>
      <vt:variant>
        <vt:i4>165</vt:i4>
      </vt:variant>
      <vt:variant>
        <vt:i4>0</vt:i4>
      </vt:variant>
      <vt:variant>
        <vt:i4>5</vt:i4>
      </vt:variant>
      <vt:variant>
        <vt:lpwstr>https://www.eca.europa.eu/lists/ecadocuments/sr21_10/sr_gender_mainstreaming_en.pdf</vt:lpwstr>
      </vt:variant>
      <vt:variant>
        <vt:lpwstr/>
      </vt:variant>
      <vt:variant>
        <vt:i4>524383</vt:i4>
      </vt:variant>
      <vt:variant>
        <vt:i4>162</vt:i4>
      </vt:variant>
      <vt:variant>
        <vt:i4>0</vt:i4>
      </vt:variant>
      <vt:variant>
        <vt:i4>5</vt:i4>
      </vt:variant>
      <vt:variant>
        <vt:lpwstr>https://eur-lex.europa.eu/legal-content/EN/TXT/PDF/?uri=CELEX:52025SC0590</vt:lpwstr>
      </vt:variant>
      <vt:variant>
        <vt:lpwstr/>
      </vt:variant>
      <vt:variant>
        <vt:i4>2818062</vt:i4>
      </vt:variant>
      <vt:variant>
        <vt:i4>159</vt:i4>
      </vt:variant>
      <vt:variant>
        <vt:i4>0</vt:i4>
      </vt:variant>
      <vt:variant>
        <vt:i4>5</vt:i4>
      </vt:variant>
      <vt:variant>
        <vt:lpwstr>http://data.europa.eu/eli/agree_interinstit/2020/1222/oj</vt:lpwstr>
      </vt:variant>
      <vt:variant>
        <vt:lpwstr/>
      </vt:variant>
      <vt:variant>
        <vt:i4>7798907</vt:i4>
      </vt:variant>
      <vt:variant>
        <vt:i4>156</vt:i4>
      </vt:variant>
      <vt:variant>
        <vt:i4>0</vt:i4>
      </vt:variant>
      <vt:variant>
        <vt:i4>5</vt:i4>
      </vt:variant>
      <vt:variant>
        <vt:lpwstr>https://ec.europa.eu/commission/presscorner/detail/en/speech_25_2673</vt:lpwstr>
      </vt:variant>
      <vt:variant>
        <vt:lpwstr/>
      </vt:variant>
      <vt:variant>
        <vt:i4>1441826</vt:i4>
      </vt:variant>
      <vt:variant>
        <vt:i4>153</vt:i4>
      </vt:variant>
      <vt:variant>
        <vt:i4>0</vt:i4>
      </vt:variant>
      <vt:variant>
        <vt:i4>5</vt:i4>
      </vt:variant>
      <vt:variant>
        <vt:lpwstr>https://international-partnerships.ec.europa.eu/funding-and-technical-assistance/funding-instruments/european-fund-sustainable-development-plus/access-finance_en</vt:lpwstr>
      </vt:variant>
      <vt:variant>
        <vt:lpwstr/>
      </vt:variant>
      <vt:variant>
        <vt:i4>5701731</vt:i4>
      </vt:variant>
      <vt:variant>
        <vt:i4>150</vt:i4>
      </vt:variant>
      <vt:variant>
        <vt:i4>0</vt:i4>
      </vt:variant>
      <vt:variant>
        <vt:i4>5</vt:i4>
      </vt:variant>
      <vt:variant>
        <vt:lpwstr>https://international-partnerships.ec.europa.eu/funding-and-technical-assistance/funding-instruments/european-fund-sustainable-development-plus/accelerate-energy-transition-acceleret_en</vt:lpwstr>
      </vt:variant>
      <vt:variant>
        <vt:lpwstr/>
      </vt:variant>
      <vt:variant>
        <vt:i4>2097233</vt:i4>
      </vt:variant>
      <vt:variant>
        <vt:i4>147</vt:i4>
      </vt:variant>
      <vt:variant>
        <vt:i4>0</vt:i4>
      </vt:variant>
      <vt:variant>
        <vt:i4>5</vt:i4>
      </vt:variant>
      <vt:variant>
        <vt:lpwstr>https://international-partnerships.ec.europa.eu/funding-and-technical-assistance/funding-instruments/european-fund-sustainable-development-plus/african-local-currency-bond-fund_en</vt:lpwstr>
      </vt:variant>
      <vt:variant>
        <vt:lpwstr/>
      </vt:variant>
      <vt:variant>
        <vt:i4>7929960</vt:i4>
      </vt:variant>
      <vt:variant>
        <vt:i4>144</vt:i4>
      </vt:variant>
      <vt:variant>
        <vt:i4>0</vt:i4>
      </vt:variant>
      <vt:variant>
        <vt:i4>5</vt:i4>
      </vt:variant>
      <vt:variant>
        <vt:lpwstr>https://ec.europa.eu/commission/presscorner/detail/en/ip_25_2781</vt:lpwstr>
      </vt:variant>
      <vt:variant>
        <vt:lpwstr/>
      </vt:variant>
      <vt:variant>
        <vt:i4>5177432</vt:i4>
      </vt:variant>
      <vt:variant>
        <vt:i4>141</vt:i4>
      </vt:variant>
      <vt:variant>
        <vt:i4>0</vt:i4>
      </vt:variant>
      <vt:variant>
        <vt:i4>5</vt:i4>
      </vt:variant>
      <vt:variant>
        <vt:lpwstr>https://op.europa.eu/webpub/com/general-report-2025/en/chapter1.html</vt:lpwstr>
      </vt:variant>
      <vt:variant>
        <vt:lpwstr>subchapter1-1</vt:lpwstr>
      </vt:variant>
      <vt:variant>
        <vt:i4>1245222</vt:i4>
      </vt:variant>
      <vt:variant>
        <vt:i4>138</vt:i4>
      </vt:variant>
      <vt:variant>
        <vt:i4>0</vt:i4>
      </vt:variant>
      <vt:variant>
        <vt:i4>5</vt:i4>
      </vt:variant>
      <vt:variant>
        <vt:lpwstr>https://transport.ec.europa.eu/news-events/news/new-eu-funded-railway-line-brings-ukraine-even-closer-eu-2025-09-05_en</vt:lpwstr>
      </vt:variant>
      <vt:variant>
        <vt:lpwstr/>
      </vt:variant>
      <vt:variant>
        <vt:i4>1638427</vt:i4>
      </vt:variant>
      <vt:variant>
        <vt:i4>135</vt:i4>
      </vt:variant>
      <vt:variant>
        <vt:i4>0</vt:i4>
      </vt:variant>
      <vt:variant>
        <vt:i4>5</vt:i4>
      </vt:variant>
      <vt:variant>
        <vt:lpwstr>https://ec.europa.eu/assets/cinea/project_fiches/cef/cef_transport/24-UA-TG-EUUA1435PLUABCPML1.pdf</vt:lpwstr>
      </vt:variant>
      <vt:variant>
        <vt:lpwstr/>
      </vt:variant>
      <vt:variant>
        <vt:i4>7471201</vt:i4>
      </vt:variant>
      <vt:variant>
        <vt:i4>132</vt:i4>
      </vt:variant>
      <vt:variant>
        <vt:i4>0</vt:i4>
      </vt:variant>
      <vt:variant>
        <vt:i4>5</vt:i4>
      </vt:variant>
      <vt:variant>
        <vt:lpwstr>https://ec.europa.eu/commission/presscorner/detail/en/ip_25_1429</vt:lpwstr>
      </vt:variant>
      <vt:variant>
        <vt:lpwstr/>
      </vt:variant>
      <vt:variant>
        <vt:i4>7929954</vt:i4>
      </vt:variant>
      <vt:variant>
        <vt:i4>129</vt:i4>
      </vt:variant>
      <vt:variant>
        <vt:i4>0</vt:i4>
      </vt:variant>
      <vt:variant>
        <vt:i4>5</vt:i4>
      </vt:variant>
      <vt:variant>
        <vt:lpwstr>https://ec.europa.eu/commission/presscorner/detail/en/ip_25_3137</vt:lpwstr>
      </vt:variant>
      <vt:variant>
        <vt:lpwstr/>
      </vt:variant>
      <vt:variant>
        <vt:i4>7733375</vt:i4>
      </vt:variant>
      <vt:variant>
        <vt:i4>126</vt:i4>
      </vt:variant>
      <vt:variant>
        <vt:i4>0</vt:i4>
      </vt:variant>
      <vt:variant>
        <vt:i4>5</vt:i4>
      </vt:variant>
      <vt:variant>
        <vt:lpwstr>https://ec.europa.eu/commission/presscorner/detail/en/speech_25_2337</vt:lpwstr>
      </vt:variant>
      <vt:variant>
        <vt:lpwstr/>
      </vt:variant>
      <vt:variant>
        <vt:i4>2359314</vt:i4>
      </vt:variant>
      <vt:variant>
        <vt:i4>123</vt:i4>
      </vt:variant>
      <vt:variant>
        <vt:i4>0</vt:i4>
      </vt:variant>
      <vt:variant>
        <vt:i4>5</vt:i4>
      </vt:variant>
      <vt:variant>
        <vt:lpwstr>https://citizens-initiative.europa.eu/find-initiative_en</vt:lpwstr>
      </vt:variant>
      <vt:variant>
        <vt:lpwstr/>
      </vt:variant>
      <vt:variant>
        <vt:i4>6881306</vt:i4>
      </vt:variant>
      <vt:variant>
        <vt:i4>120</vt:i4>
      </vt:variant>
      <vt:variant>
        <vt:i4>0</vt:i4>
      </vt:variant>
      <vt:variant>
        <vt:i4>5</vt:i4>
      </vt:variant>
      <vt:variant>
        <vt:lpwstr>https://commission.europa.eu/strategy-and-policy/state-union/state-union-2025_en</vt:lpwstr>
      </vt:variant>
      <vt:variant>
        <vt:lpwstr/>
      </vt:variant>
      <vt:variant>
        <vt:i4>5177432</vt:i4>
      </vt:variant>
      <vt:variant>
        <vt:i4>117</vt:i4>
      </vt:variant>
      <vt:variant>
        <vt:i4>0</vt:i4>
      </vt:variant>
      <vt:variant>
        <vt:i4>5</vt:i4>
      </vt:variant>
      <vt:variant>
        <vt:lpwstr>https://op.europa.eu/webpub/com/general-report-2025/en/chapter5.html</vt:lpwstr>
      </vt:variant>
      <vt:variant>
        <vt:lpwstr>subchapter5-2</vt:lpwstr>
      </vt:variant>
      <vt:variant>
        <vt:i4>4325474</vt:i4>
      </vt:variant>
      <vt:variant>
        <vt:i4>114</vt:i4>
      </vt:variant>
      <vt:variant>
        <vt:i4>0</vt:i4>
      </vt:variant>
      <vt:variant>
        <vt:i4>5</vt:i4>
      </vt:variant>
      <vt:variant>
        <vt:lpwstr>https://cinea.ec.europa.eu/featured-projects/decarbonyt-decarbonising-fishing-fleet-mediterranean-and-black-sea_en</vt:lpwstr>
      </vt:variant>
      <vt:variant>
        <vt:lpwstr/>
      </vt:variant>
      <vt:variant>
        <vt:i4>2359372</vt:i4>
      </vt:variant>
      <vt:variant>
        <vt:i4>111</vt:i4>
      </vt:variant>
      <vt:variant>
        <vt:i4>0</vt:i4>
      </vt:variant>
      <vt:variant>
        <vt:i4>5</vt:i4>
      </vt:variant>
      <vt:variant>
        <vt:lpwstr>https://cinea.ec.europa.eu/featured-projects/diaspara-project-unlocking-secrets-europes-endangered-eel-and-salmon_en</vt:lpwstr>
      </vt:variant>
      <vt:variant>
        <vt:lpwstr/>
      </vt:variant>
      <vt:variant>
        <vt:i4>327730</vt:i4>
      </vt:variant>
      <vt:variant>
        <vt:i4>108</vt:i4>
      </vt:variant>
      <vt:variant>
        <vt:i4>0</vt:i4>
      </vt:variant>
      <vt:variant>
        <vt:i4>5</vt:i4>
      </vt:variant>
      <vt:variant>
        <vt:lpwstr>https://cinea.ec.europa.eu/featured-projects/blue-ports-empowering-ports-greener-future_en</vt:lpwstr>
      </vt:variant>
      <vt:variant>
        <vt:lpwstr/>
      </vt:variant>
      <vt:variant>
        <vt:i4>7012456</vt:i4>
      </vt:variant>
      <vt:variant>
        <vt:i4>105</vt:i4>
      </vt:variant>
      <vt:variant>
        <vt:i4>0</vt:i4>
      </vt:variant>
      <vt:variant>
        <vt:i4>5</vt:i4>
      </vt:variant>
      <vt:variant>
        <vt:lpwstr>http://data.europa.eu/eli/reg/2025/1276/oj</vt:lpwstr>
      </vt:variant>
      <vt:variant>
        <vt:lpwstr/>
      </vt:variant>
      <vt:variant>
        <vt:i4>1900601</vt:i4>
      </vt:variant>
      <vt:variant>
        <vt:i4>102</vt:i4>
      </vt:variant>
      <vt:variant>
        <vt:i4>0</vt:i4>
      </vt:variant>
      <vt:variant>
        <vt:i4>5</vt:i4>
      </vt:variant>
      <vt:variant>
        <vt:lpwstr>http://data.europa.eu/eli/reg_impl/2025/1485/oj</vt:lpwstr>
      </vt:variant>
      <vt:variant>
        <vt:lpwstr/>
      </vt:variant>
      <vt:variant>
        <vt:i4>1900596</vt:i4>
      </vt:variant>
      <vt:variant>
        <vt:i4>99</vt:i4>
      </vt:variant>
      <vt:variant>
        <vt:i4>0</vt:i4>
      </vt:variant>
      <vt:variant>
        <vt:i4>5</vt:i4>
      </vt:variant>
      <vt:variant>
        <vt:lpwstr>http://data.europa.eu/eli/reg_impl/2025/2061/oj</vt:lpwstr>
      </vt:variant>
      <vt:variant>
        <vt:lpwstr/>
      </vt:variant>
      <vt:variant>
        <vt:i4>1572917</vt:i4>
      </vt:variant>
      <vt:variant>
        <vt:i4>96</vt:i4>
      </vt:variant>
      <vt:variant>
        <vt:i4>0</vt:i4>
      </vt:variant>
      <vt:variant>
        <vt:i4>5</vt:i4>
      </vt:variant>
      <vt:variant>
        <vt:lpwstr>http://data.europa.eu/eli/reg_impl/2025/1145/oj</vt:lpwstr>
      </vt:variant>
      <vt:variant>
        <vt:lpwstr/>
      </vt:variant>
      <vt:variant>
        <vt:i4>1703986</vt:i4>
      </vt:variant>
      <vt:variant>
        <vt:i4>93</vt:i4>
      </vt:variant>
      <vt:variant>
        <vt:i4>0</vt:i4>
      </vt:variant>
      <vt:variant>
        <vt:i4>5</vt:i4>
      </vt:variant>
      <vt:variant>
        <vt:lpwstr>http://data.europa.eu/eli/reg_impl/2025/1137/oj</vt:lpwstr>
      </vt:variant>
      <vt:variant>
        <vt:lpwstr/>
      </vt:variant>
      <vt:variant>
        <vt:i4>131189</vt:i4>
      </vt:variant>
      <vt:variant>
        <vt:i4>90</vt:i4>
      </vt:variant>
      <vt:variant>
        <vt:i4>0</vt:i4>
      </vt:variant>
      <vt:variant>
        <vt:i4>5</vt:i4>
      </vt:variant>
      <vt:variant>
        <vt:lpwstr>http://data.europa.eu/eli/reg_impl/2025/441/oj</vt:lpwstr>
      </vt:variant>
      <vt:variant>
        <vt:lpwstr/>
      </vt:variant>
      <vt:variant>
        <vt:i4>5177432</vt:i4>
      </vt:variant>
      <vt:variant>
        <vt:i4>87</vt:i4>
      </vt:variant>
      <vt:variant>
        <vt:i4>0</vt:i4>
      </vt:variant>
      <vt:variant>
        <vt:i4>5</vt:i4>
      </vt:variant>
      <vt:variant>
        <vt:lpwstr>https://op.europa.eu/webpub/com/general-report-2025/en/chapter5.html</vt:lpwstr>
      </vt:variant>
      <vt:variant>
        <vt:lpwstr>subchapter5-2</vt:lpwstr>
      </vt:variant>
      <vt:variant>
        <vt:i4>7602298</vt:i4>
      </vt:variant>
      <vt:variant>
        <vt:i4>84</vt:i4>
      </vt:variant>
      <vt:variant>
        <vt:i4>0</vt:i4>
      </vt:variant>
      <vt:variant>
        <vt:i4>5</vt:i4>
      </vt:variant>
      <vt:variant>
        <vt:lpwstr>https://ec.europa.eu/commission/presscorner/detail/en/speech_25_2462</vt:lpwstr>
      </vt:variant>
      <vt:variant>
        <vt:lpwstr/>
      </vt:variant>
      <vt:variant>
        <vt:i4>3473453</vt:i4>
      </vt:variant>
      <vt:variant>
        <vt:i4>81</vt:i4>
      </vt:variant>
      <vt:variant>
        <vt:i4>0</vt:i4>
      </vt:variant>
      <vt:variant>
        <vt:i4>5</vt:i4>
      </vt:variant>
      <vt:variant>
        <vt:lpwstr>https://pact-for-skills.ec.europa.eu/document/download/84378a3e-3380-488f-b35a-9bd97a024ab1_en?filename=Annual%20Report%202025_FINAL.pdf</vt:lpwstr>
      </vt:variant>
      <vt:variant>
        <vt:lpwstr/>
      </vt:variant>
      <vt:variant>
        <vt:i4>589841</vt:i4>
      </vt:variant>
      <vt:variant>
        <vt:i4>78</vt:i4>
      </vt:variant>
      <vt:variant>
        <vt:i4>0</vt:i4>
      </vt:variant>
      <vt:variant>
        <vt:i4>5</vt:i4>
      </vt:variant>
      <vt:variant>
        <vt:lpwstr>https://eur-lex.europa.eu/legal-content/EN/TXT/?uri=celex:52025DC0090</vt:lpwstr>
      </vt:variant>
      <vt:variant>
        <vt:lpwstr/>
      </vt:variant>
      <vt:variant>
        <vt:i4>655409</vt:i4>
      </vt:variant>
      <vt:variant>
        <vt:i4>75</vt:i4>
      </vt:variant>
      <vt:variant>
        <vt:i4>0</vt:i4>
      </vt:variant>
      <vt:variant>
        <vt:i4>5</vt:i4>
      </vt:variant>
      <vt:variant>
        <vt:lpwstr>https://cinea.ec.europa.eu/cef-energy-instrumental-funding-achieve-baltic-synchronisation-continental-european-network_en</vt:lpwstr>
      </vt:variant>
      <vt:variant>
        <vt:lpwstr/>
      </vt:variant>
      <vt:variant>
        <vt:i4>458769</vt:i4>
      </vt:variant>
      <vt:variant>
        <vt:i4>72</vt:i4>
      </vt:variant>
      <vt:variant>
        <vt:i4>0</vt:i4>
      </vt:variant>
      <vt:variant>
        <vt:i4>5</vt:i4>
      </vt:variant>
      <vt:variant>
        <vt:lpwstr>https://eur-lex.europa.eu/legal-content/EN/TXT/?uri=CELEX:52025DC0079</vt:lpwstr>
      </vt:variant>
      <vt:variant>
        <vt:lpwstr/>
      </vt:variant>
      <vt:variant>
        <vt:i4>7602298</vt:i4>
      </vt:variant>
      <vt:variant>
        <vt:i4>69</vt:i4>
      </vt:variant>
      <vt:variant>
        <vt:i4>0</vt:i4>
      </vt:variant>
      <vt:variant>
        <vt:i4>5</vt:i4>
      </vt:variant>
      <vt:variant>
        <vt:lpwstr>https://ec.europa.eu/commission/presscorner/detail/en/speech_25_2462</vt:lpwstr>
      </vt:variant>
      <vt:variant>
        <vt:lpwstr/>
      </vt:variant>
      <vt:variant>
        <vt:i4>4587542</vt:i4>
      </vt:variant>
      <vt:variant>
        <vt:i4>66</vt:i4>
      </vt:variant>
      <vt:variant>
        <vt:i4>0</vt:i4>
      </vt:variant>
      <vt:variant>
        <vt:i4>5</vt:i4>
      </vt:variant>
      <vt:variant>
        <vt:lpwstr>https://home-affairs.ec.europa.eu/document/download/cc4034e6-bc2a-4d71-9238-9f61d465c91b_en?filename=Projects%20funded%20under%20ISF_booklet.pdf</vt:lpwstr>
      </vt:variant>
      <vt:variant>
        <vt:lpwstr/>
      </vt:variant>
      <vt:variant>
        <vt:i4>6881306</vt:i4>
      </vt:variant>
      <vt:variant>
        <vt:i4>63</vt:i4>
      </vt:variant>
      <vt:variant>
        <vt:i4>0</vt:i4>
      </vt:variant>
      <vt:variant>
        <vt:i4>5</vt:i4>
      </vt:variant>
      <vt:variant>
        <vt:lpwstr>https://commission.europa.eu/strategy-and-policy/state-union/state-union-2025_en</vt:lpwstr>
      </vt:variant>
      <vt:variant>
        <vt:lpwstr/>
      </vt:variant>
      <vt:variant>
        <vt:i4>6946921</vt:i4>
      </vt:variant>
      <vt:variant>
        <vt:i4>60</vt:i4>
      </vt:variant>
      <vt:variant>
        <vt:i4>0</vt:i4>
      </vt:variant>
      <vt:variant>
        <vt:i4>5</vt:i4>
      </vt:variant>
      <vt:variant>
        <vt:lpwstr>http://data.europa.eu/eli/reg/2025/2653/oj</vt:lpwstr>
      </vt:variant>
      <vt:variant>
        <vt:lpwstr/>
      </vt:variant>
      <vt:variant>
        <vt:i4>7143521</vt:i4>
      </vt:variant>
      <vt:variant>
        <vt:i4>57</vt:i4>
      </vt:variant>
      <vt:variant>
        <vt:i4>0</vt:i4>
      </vt:variant>
      <vt:variant>
        <vt:i4>5</vt:i4>
      </vt:variant>
      <vt:variant>
        <vt:lpwstr>http://data.europa.eu/eli/reg/2025/1914/oj</vt:lpwstr>
      </vt:variant>
      <vt:variant>
        <vt:lpwstr/>
      </vt:variant>
      <vt:variant>
        <vt:i4>3866685</vt:i4>
      </vt:variant>
      <vt:variant>
        <vt:i4>54</vt:i4>
      </vt:variant>
      <vt:variant>
        <vt:i4>0</vt:i4>
      </vt:variant>
      <vt:variant>
        <vt:i4>5</vt:i4>
      </vt:variant>
      <vt:variant>
        <vt:lpwstr>https://ec.europa.eu/assets/cinea/project_fiches/cef/cef_transport/24-EU-TG-MILES General.pdf</vt:lpwstr>
      </vt:variant>
      <vt:variant>
        <vt:lpwstr/>
      </vt:variant>
      <vt:variant>
        <vt:i4>65544</vt:i4>
      </vt:variant>
      <vt:variant>
        <vt:i4>51</vt:i4>
      </vt:variant>
      <vt:variant>
        <vt:i4>0</vt:i4>
      </vt:variant>
      <vt:variant>
        <vt:i4>5</vt:i4>
      </vt:variant>
      <vt:variant>
        <vt:lpwstr>https://ec.europa.eu/assets/cinea/project_fiches/cef/cef_transport/23-EU-TC-RBGP Part IX C.pdf</vt:lpwstr>
      </vt:variant>
      <vt:variant>
        <vt:lpwstr/>
      </vt:variant>
      <vt:variant>
        <vt:i4>917591</vt:i4>
      </vt:variant>
      <vt:variant>
        <vt:i4>48</vt:i4>
      </vt:variant>
      <vt:variant>
        <vt:i4>0</vt:i4>
      </vt:variant>
      <vt:variant>
        <vt:i4>5</vt:i4>
      </vt:variant>
      <vt:variant>
        <vt:lpwstr>https://kohesio.ec.europa.eu/en/projects/Q7423897</vt:lpwstr>
      </vt:variant>
      <vt:variant>
        <vt:lpwstr/>
      </vt:variant>
      <vt:variant>
        <vt:i4>852060</vt:i4>
      </vt:variant>
      <vt:variant>
        <vt:i4>45</vt:i4>
      </vt:variant>
      <vt:variant>
        <vt:i4>0</vt:i4>
      </vt:variant>
      <vt:variant>
        <vt:i4>5</vt:i4>
      </vt:variant>
      <vt:variant>
        <vt:lpwstr>https://kohesio.ec.europa.eu/en/projects/Q7421383</vt:lpwstr>
      </vt:variant>
      <vt:variant>
        <vt:lpwstr/>
      </vt:variant>
      <vt:variant>
        <vt:i4>2818138</vt:i4>
      </vt:variant>
      <vt:variant>
        <vt:i4>42</vt:i4>
      </vt:variant>
      <vt:variant>
        <vt:i4>0</vt:i4>
      </vt:variant>
      <vt:variant>
        <vt:i4>5</vt:i4>
      </vt:variant>
      <vt:variant>
        <vt:lpwstr>https://investeu.europa.eu/investeu-operations/investeu-operations-list/cristal-fibre-rollout_en</vt:lpwstr>
      </vt:variant>
      <vt:variant>
        <vt:lpwstr/>
      </vt:variant>
      <vt:variant>
        <vt:i4>5898280</vt:i4>
      </vt:variant>
      <vt:variant>
        <vt:i4>39</vt:i4>
      </vt:variant>
      <vt:variant>
        <vt:i4>0</vt:i4>
      </vt:variant>
      <vt:variant>
        <vt:i4>5</vt:i4>
      </vt:variant>
      <vt:variant>
        <vt:lpwstr>https://investeu.europa.eu/investeu-operations/investeu-operations-list/marguerite-iii-cdpe_en</vt:lpwstr>
      </vt:variant>
      <vt:variant>
        <vt:lpwstr/>
      </vt:variant>
      <vt:variant>
        <vt:i4>5832744</vt:i4>
      </vt:variant>
      <vt:variant>
        <vt:i4>36</vt:i4>
      </vt:variant>
      <vt:variant>
        <vt:i4>0</vt:i4>
      </vt:variant>
      <vt:variant>
        <vt:i4>5</vt:i4>
      </vt:variant>
      <vt:variant>
        <vt:lpwstr>https://investeu.europa.eu/investeu-operations/investeu-operations-list/sg-pan-eu-wind-package_en</vt:lpwstr>
      </vt:variant>
      <vt:variant>
        <vt:lpwstr/>
      </vt:variant>
      <vt:variant>
        <vt:i4>7929981</vt:i4>
      </vt:variant>
      <vt:variant>
        <vt:i4>33</vt:i4>
      </vt:variant>
      <vt:variant>
        <vt:i4>0</vt:i4>
      </vt:variant>
      <vt:variant>
        <vt:i4>5</vt:i4>
      </vt:variant>
      <vt:variant>
        <vt:lpwstr>https://ec.europa.eu/assets/cinea/project_fiches/innovation_fund/101191050.pdf</vt:lpwstr>
      </vt:variant>
      <vt:variant>
        <vt:lpwstr/>
      </vt:variant>
      <vt:variant>
        <vt:i4>7733363</vt:i4>
      </vt:variant>
      <vt:variant>
        <vt:i4>30</vt:i4>
      </vt:variant>
      <vt:variant>
        <vt:i4>0</vt:i4>
      </vt:variant>
      <vt:variant>
        <vt:i4>5</vt:i4>
      </vt:variant>
      <vt:variant>
        <vt:lpwstr>https://ec.europa.eu/assets/cinea/project_fiches/innovation_fund/101241587.pdf</vt:lpwstr>
      </vt:variant>
      <vt:variant>
        <vt:lpwstr/>
      </vt:variant>
      <vt:variant>
        <vt:i4>8323193</vt:i4>
      </vt:variant>
      <vt:variant>
        <vt:i4>27</vt:i4>
      </vt:variant>
      <vt:variant>
        <vt:i4>0</vt:i4>
      </vt:variant>
      <vt:variant>
        <vt:i4>5</vt:i4>
      </vt:variant>
      <vt:variant>
        <vt:lpwstr>https://ec.europa.eu/assets/cinea/project_fiches/innovation_fund/101250933.pdf</vt:lpwstr>
      </vt:variant>
      <vt:variant>
        <vt:lpwstr/>
      </vt:variant>
      <vt:variant>
        <vt:i4>7602303</vt:i4>
      </vt:variant>
      <vt:variant>
        <vt:i4>24</vt:i4>
      </vt:variant>
      <vt:variant>
        <vt:i4>0</vt:i4>
      </vt:variant>
      <vt:variant>
        <vt:i4>5</vt:i4>
      </vt:variant>
      <vt:variant>
        <vt:lpwstr>https://ec.europa.eu/assets/cinea/project_fiches/innovation_fund/101250958.pdf</vt:lpwstr>
      </vt:variant>
      <vt:variant>
        <vt:lpwstr/>
      </vt:variant>
      <vt:variant>
        <vt:i4>4915312</vt:i4>
      </vt:variant>
      <vt:variant>
        <vt:i4>21</vt:i4>
      </vt:variant>
      <vt:variant>
        <vt:i4>0</vt:i4>
      </vt:variant>
      <vt:variant>
        <vt:i4>5</vt:i4>
      </vt:variant>
      <vt:variant>
        <vt:lpwstr>https://research-and-innovation.ec.europa.eu/funding/funding-opportunities/funding-programmes-and-open-calls/horizon-europe/horizon-europe-work-programmes_en</vt:lpwstr>
      </vt:variant>
      <vt:variant>
        <vt:lpwstr/>
      </vt:variant>
      <vt:variant>
        <vt:i4>7798869</vt:i4>
      </vt:variant>
      <vt:variant>
        <vt:i4>18</vt:i4>
      </vt:variant>
      <vt:variant>
        <vt:i4>0</vt:i4>
      </vt:variant>
      <vt:variant>
        <vt:i4>5</vt:i4>
      </vt:variant>
      <vt:variant>
        <vt:lpwstr>https://eic.ec.europa.eu/impact/eic-data-hub_en</vt:lpwstr>
      </vt:variant>
      <vt:variant>
        <vt:lpwstr/>
      </vt:variant>
      <vt:variant>
        <vt:i4>7274601</vt:i4>
      </vt:variant>
      <vt:variant>
        <vt:i4>15</vt:i4>
      </vt:variant>
      <vt:variant>
        <vt:i4>0</vt:i4>
      </vt:variant>
      <vt:variant>
        <vt:i4>5</vt:i4>
      </vt:variant>
      <vt:variant>
        <vt:lpwstr>http://data.europa.eu/eli/reg/2025/2005/oj</vt:lpwstr>
      </vt:variant>
      <vt:variant>
        <vt:lpwstr/>
      </vt:variant>
      <vt:variant>
        <vt:i4>4194384</vt:i4>
      </vt:variant>
      <vt:variant>
        <vt:i4>12</vt:i4>
      </vt:variant>
      <vt:variant>
        <vt:i4>0</vt:i4>
      </vt:variant>
      <vt:variant>
        <vt:i4>5</vt:i4>
      </vt:variant>
      <vt:variant>
        <vt:lpwstr>https://ec.europa.eu/info/funding-tenders/opportunities/docs/2021-2027/horizon/wp-call/2026-2027/wp-14-horizontal-activities_horizon-2026-2027_en.pdf</vt:lpwstr>
      </vt:variant>
      <vt:variant>
        <vt:lpwstr/>
      </vt:variant>
      <vt:variant>
        <vt:i4>7471227</vt:i4>
      </vt:variant>
      <vt:variant>
        <vt:i4>9</vt:i4>
      </vt:variant>
      <vt:variant>
        <vt:i4>0</vt:i4>
      </vt:variant>
      <vt:variant>
        <vt:i4>5</vt:i4>
      </vt:variant>
      <vt:variant>
        <vt:lpwstr>https://ec.europa.eu/commission/presscorner/detail/en/speech_25_2272</vt:lpwstr>
      </vt:variant>
      <vt:variant>
        <vt:lpwstr/>
      </vt:variant>
      <vt:variant>
        <vt:i4>2031654</vt:i4>
      </vt:variant>
      <vt:variant>
        <vt:i4>6</vt:i4>
      </vt:variant>
      <vt:variant>
        <vt:i4>0</vt:i4>
      </vt:variant>
      <vt:variant>
        <vt:i4>5</vt:i4>
      </vt:variant>
      <vt:variant>
        <vt:lpwstr>http://data.europa.eu/eli/dec_impl/2024/1447/oj</vt:lpwstr>
      </vt:variant>
      <vt:variant>
        <vt:lpwstr/>
      </vt:variant>
      <vt:variant>
        <vt:i4>2686994</vt:i4>
      </vt:variant>
      <vt:variant>
        <vt:i4>3</vt:i4>
      </vt:variant>
      <vt:variant>
        <vt:i4>0</vt:i4>
      </vt:variant>
      <vt:variant>
        <vt:i4>5</vt:i4>
      </vt:variant>
      <vt:variant>
        <vt:lpwstr>https://enlargement.ec.europa.eu/enhancing-accession-process-credible-eu-perspective-western-balkans_en</vt:lpwstr>
      </vt:variant>
      <vt:variant>
        <vt:lpwstr/>
      </vt:variant>
      <vt:variant>
        <vt:i4>1703948</vt:i4>
      </vt:variant>
      <vt:variant>
        <vt:i4>0</vt:i4>
      </vt:variant>
      <vt:variant>
        <vt:i4>0</vt:i4>
      </vt:variant>
      <vt:variant>
        <vt:i4>5</vt:i4>
      </vt:variant>
      <vt:variant>
        <vt:lpwstr>https://eur-lex.europa.eu/legal-content/EN/TXT/?uri=CELEX%3A52025PC0545&amp;qid=1753797488776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VANGOMPEL Sien (SG)</cp:lastModifiedBy>
  <cp:revision>9</cp:revision>
  <cp:lastPrinted>2026-04-07T03:08:00Z</cp:lastPrinted>
  <dcterms:created xsi:type="dcterms:W3CDTF">2026-06-14T12:32:00Z</dcterms:created>
  <dcterms:modified xsi:type="dcterms:W3CDTF">2026-06-15T14:26:00Z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2026-03-16T08:38:32Z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4aa6e406-c53e-40d3-be85-aad45b1c6d4f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0</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CP-039</vt:lpwstr>
  </property>
  <property fmtid="{D5CDD505-2E9C-101B-9397-08002B2CF9AE}" pid="18" name="Last edited using">
    <vt:lpwstr>LW 9.2, Build 20250828</vt:lpwstr>
  </property>
  <property fmtid="{D5CDD505-2E9C-101B-9397-08002B2CF9AE}" pid="19" name="Created using">
    <vt:lpwstr>LW 9.2, Build 20250828</vt:lpwstr>
  </property>
  <property fmtid="{D5CDD505-2E9C-101B-9397-08002B2CF9AE}" pid="20" name="ContentTypeId">
    <vt:lpwstr>0x0101002A9ECA2606335F4BA5305B32386134E00063A1563B14B2C349B8DD161C5ADC9DBB</vt:lpwstr>
  </property>
  <property fmtid="{D5CDD505-2E9C-101B-9397-08002B2CF9AE}" pid="21" name="DocStatus">
    <vt:lpwstr>Green</vt:lpwstr>
  </property>
</Properties>
</file>