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footer16.xml" ContentType="application/vnd.openxmlformats-officedocument.wordprocessingml.footer+xml"/>
  <Override PartName="/word/footer17.xml" ContentType="application/vnd.openxmlformats-officedocument.wordprocessingml.footer+xml"/>
  <Override PartName="/word/header18.xml" ContentType="application/vnd.openxmlformats-officedocument.wordprocessingml.header+xml"/>
  <Override PartName="/word/footer18.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footer19.xml" ContentType="application/vnd.openxmlformats-officedocument.wordprocessingml.footer+xml"/>
  <Override PartName="/word/footer20.xml" ContentType="application/vnd.openxmlformats-officedocument.wordprocessingml.footer+xml"/>
  <Override PartName="/word/header21.xml" ContentType="application/vnd.openxmlformats-officedocument.wordprocessingml.header+xml"/>
  <Override PartName="/word/footer21.xml" ContentType="application/vnd.openxmlformats-officedocument.wordprocessingml.footer+xml"/>
  <Override PartName="/word/header22.xml" ContentType="application/vnd.openxmlformats-officedocument.wordprocessingml.header+xml"/>
  <Override PartName="/word/header23.xml" ContentType="application/vnd.openxmlformats-officedocument.wordprocessingml.header+xml"/>
  <Override PartName="/word/footer22.xml" ContentType="application/vnd.openxmlformats-officedocument.wordprocessingml.footer+xml"/>
  <Override PartName="/word/footer23.xml" ContentType="application/vnd.openxmlformats-officedocument.wordprocessingml.footer+xml"/>
  <Override PartName="/word/header24.xml" ContentType="application/vnd.openxmlformats-officedocument.wordprocessingml.header+xml"/>
  <Override PartName="/word/footer24.xml" ContentType="application/vnd.openxmlformats-officedocument.wordprocessingml.footer+xml"/>
  <Override PartName="/word/header25.xml" ContentType="application/vnd.openxmlformats-officedocument.wordprocessingml.header+xml"/>
  <Override PartName="/word/header26.xml" ContentType="application/vnd.openxmlformats-officedocument.wordprocessingml.header+xml"/>
  <Override PartName="/word/footer25.xml" ContentType="application/vnd.openxmlformats-officedocument.wordprocessingml.footer+xml"/>
  <Override PartName="/word/footer26.xml" ContentType="application/vnd.openxmlformats-officedocument.wordprocessingml.footer+xml"/>
  <Override PartName="/word/header27.xml" ContentType="application/vnd.openxmlformats-officedocument.wordprocessingml.header+xml"/>
  <Override PartName="/word/footer27.xml" ContentType="application/vnd.openxmlformats-officedocument.wordprocessingml.footer+xml"/>
  <Override PartName="/word/header28.xml" ContentType="application/vnd.openxmlformats-officedocument.wordprocessingml.header+xml"/>
  <Override PartName="/word/header29.xml" ContentType="application/vnd.openxmlformats-officedocument.wordprocessingml.header+xml"/>
  <Override PartName="/word/footer28.xml" ContentType="application/vnd.openxmlformats-officedocument.wordprocessingml.footer+xml"/>
  <Override PartName="/word/footer29.xml" ContentType="application/vnd.openxmlformats-officedocument.wordprocessingml.footer+xml"/>
  <Override PartName="/word/header30.xml" ContentType="application/vnd.openxmlformats-officedocument.wordprocessingml.header+xml"/>
  <Override PartName="/word/footer3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96C028" w14:textId="2F23B41F" w:rsidR="00DA5A1D" w:rsidRDefault="00F21062" w:rsidP="00F21062">
      <w:pPr>
        <w:pStyle w:val="Pagedecouverture"/>
        <w:rPr>
          <w:noProof/>
        </w:rPr>
      </w:pPr>
      <w:bookmarkStart w:id="0" w:name="LW_BM_COVERPAGE"/>
      <w:r>
        <w:rPr>
          <w:noProof/>
        </w:rPr>
        <w:pict w14:anchorId="3CAB4B3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3" type="#_x0000_t75" alt="919B780F-5648-4014-9443-16CADC6DC7F2" style="width:455pt;height:359.5pt">
            <v:imagedata r:id="rId14" o:title=""/>
          </v:shape>
        </w:pict>
      </w:r>
    </w:p>
    <w:bookmarkEnd w:id="0"/>
    <w:p w14:paraId="0D4E8F1F" w14:textId="77777777" w:rsidR="00DA5A1D" w:rsidRDefault="00DA5A1D" w:rsidP="00DA5A1D">
      <w:pPr>
        <w:rPr>
          <w:noProof/>
        </w:rPr>
        <w:sectPr w:rsidR="00DA5A1D" w:rsidSect="00F21062">
          <w:headerReference w:type="even" r:id="rId15"/>
          <w:headerReference w:type="default" r:id="rId16"/>
          <w:footerReference w:type="even" r:id="rId17"/>
          <w:footerReference w:type="default" r:id="rId18"/>
          <w:headerReference w:type="first" r:id="rId19"/>
          <w:footerReference w:type="first" r:id="rId20"/>
          <w:endnotePr>
            <w:pos w:val="sectEnd"/>
            <w:numFmt w:val="lowerLetter"/>
          </w:endnotePr>
          <w:pgSz w:w="11907" w:h="16839" w:code="9"/>
          <w:pgMar w:top="1134" w:right="1417" w:bottom="1134" w:left="1417" w:header="709" w:footer="709" w:gutter="0"/>
          <w:pgNumType w:start="0"/>
          <w:cols w:space="720"/>
          <w:docGrid w:linePitch="326"/>
        </w:sectPr>
      </w:pPr>
    </w:p>
    <w:p w14:paraId="2DEE61D2" w14:textId="77777777" w:rsidR="001301C1" w:rsidRPr="00EC0CD9" w:rsidRDefault="001301C1" w:rsidP="001301C1">
      <w:pPr>
        <w:pStyle w:val="H1-AboutEU"/>
      </w:pPr>
      <w:bookmarkStart w:id="1" w:name="_Toc166086033"/>
      <w:bookmarkStart w:id="2" w:name="_Toc169163034"/>
      <w:bookmarkStart w:id="3" w:name="_Toc168585651"/>
      <w:bookmarkStart w:id="4" w:name="_Toc196895476"/>
      <w:bookmarkStart w:id="5" w:name="_Toc200995466"/>
      <w:bookmarkStart w:id="6" w:name="_Toc200995499"/>
      <w:bookmarkStart w:id="7" w:name="_Toc224568102"/>
      <w:bookmarkStart w:id="8" w:name="_Toc224821490"/>
      <w:bookmarkStart w:id="9" w:name="_Toc228885235"/>
      <w:bookmarkStart w:id="10" w:name="_Toc231285165"/>
      <w:bookmarkStart w:id="11" w:name="_Toc231927926"/>
      <w:bookmarkStart w:id="12" w:name="_Toc231479582"/>
      <w:r w:rsidRPr="00281568">
        <w:lastRenderedPageBreak/>
        <w:t>Contents</w:t>
      </w:r>
      <w:bookmarkEnd w:id="1"/>
      <w:bookmarkEnd w:id="2"/>
      <w:bookmarkEnd w:id="3"/>
      <w:bookmarkEnd w:id="4"/>
      <w:bookmarkEnd w:id="5"/>
      <w:bookmarkEnd w:id="6"/>
      <w:bookmarkEnd w:id="7"/>
      <w:bookmarkEnd w:id="8"/>
      <w:bookmarkEnd w:id="9"/>
      <w:bookmarkEnd w:id="10"/>
      <w:bookmarkEnd w:id="11"/>
      <w:bookmarkEnd w:id="12"/>
    </w:p>
    <w:p w14:paraId="6927F426" w14:textId="70C53033" w:rsidR="00665AD9" w:rsidRDefault="001301C1">
      <w:pPr>
        <w:pStyle w:val="TOC1"/>
        <w:rPr>
          <w:rFonts w:asciiTheme="minorHAnsi" w:eastAsiaTheme="minorEastAsia" w:hAnsiTheme="minorHAnsi"/>
          <w:b w:val="0"/>
          <w:caps w:val="0"/>
          <w:noProof/>
          <w:kern w:val="2"/>
          <w:sz w:val="24"/>
          <w:szCs w:val="24"/>
          <w:lang w:val="fr-FR" w:eastAsia="fr-FR"/>
          <w14:ligatures w14:val="standardContextual"/>
        </w:rPr>
      </w:pPr>
      <w:r w:rsidRPr="006D3C55">
        <w:rPr>
          <w:color w:val="2B579A"/>
          <w:shd w:val="clear" w:color="auto" w:fill="E6E6E6"/>
        </w:rPr>
        <w:fldChar w:fldCharType="begin"/>
      </w:r>
      <w:r w:rsidRPr="006D3C55">
        <w:instrText xml:space="preserve"> TOC \o "1-2" \h \z \u </w:instrText>
      </w:r>
      <w:r w:rsidRPr="006D3C55">
        <w:rPr>
          <w:color w:val="2B579A"/>
          <w:shd w:val="clear" w:color="auto" w:fill="E6E6E6"/>
        </w:rPr>
        <w:fldChar w:fldCharType="separate"/>
      </w:r>
      <w:hyperlink w:anchor="_Toc231927927" w:history="1">
        <w:r w:rsidR="00665AD9" w:rsidRPr="00543C2C">
          <w:rPr>
            <w:rStyle w:val="Hyperlink"/>
            <w:noProof/>
          </w:rPr>
          <w:t>Annex</w:t>
        </w:r>
        <w:r w:rsidR="00665AD9" w:rsidRPr="00543C2C">
          <w:rPr>
            <w:rStyle w:val="Hyperlink"/>
            <w:rFonts w:ascii="Calibri" w:hAnsi="Calibri"/>
            <w:noProof/>
          </w:rPr>
          <w:t> </w:t>
        </w:r>
        <w:r w:rsidR="00665AD9" w:rsidRPr="00543C2C">
          <w:rPr>
            <w:rStyle w:val="Hyperlink"/>
            <w:noProof/>
          </w:rPr>
          <w:t>2</w:t>
        </w:r>
        <w:r w:rsidR="00665AD9" w:rsidRPr="00543C2C">
          <w:rPr>
            <w:rStyle w:val="Hyperlink"/>
            <w:rFonts w:ascii="Calibri" w:hAnsi="Calibri"/>
            <w:noProof/>
          </w:rPr>
          <w:t> </w:t>
        </w:r>
        <w:r w:rsidR="00665AD9" w:rsidRPr="00543C2C">
          <w:rPr>
            <w:rStyle w:val="Hyperlink"/>
            <w:noProof/>
          </w:rPr>
          <w:t>– Internal control and financial management</w:t>
        </w:r>
        <w:r w:rsidR="00665AD9">
          <w:rPr>
            <w:noProof/>
            <w:webHidden/>
          </w:rPr>
          <w:tab/>
        </w:r>
        <w:r w:rsidR="00665AD9">
          <w:rPr>
            <w:noProof/>
            <w:webHidden/>
          </w:rPr>
          <w:fldChar w:fldCharType="begin"/>
        </w:r>
        <w:r w:rsidR="00665AD9">
          <w:rPr>
            <w:noProof/>
            <w:webHidden/>
          </w:rPr>
          <w:instrText xml:space="preserve"> PAGEREF _Toc231927927 \h </w:instrText>
        </w:r>
        <w:r w:rsidR="00665AD9">
          <w:rPr>
            <w:noProof/>
            <w:webHidden/>
          </w:rPr>
        </w:r>
        <w:r w:rsidR="00665AD9">
          <w:rPr>
            <w:noProof/>
            <w:webHidden/>
          </w:rPr>
          <w:fldChar w:fldCharType="separate"/>
        </w:r>
        <w:r w:rsidR="0099180B">
          <w:rPr>
            <w:noProof/>
            <w:webHidden/>
          </w:rPr>
          <w:t>5</w:t>
        </w:r>
        <w:r w:rsidR="00665AD9">
          <w:rPr>
            <w:noProof/>
            <w:webHidden/>
          </w:rPr>
          <w:fldChar w:fldCharType="end"/>
        </w:r>
      </w:hyperlink>
    </w:p>
    <w:p w14:paraId="3CCE497F" w14:textId="56211512" w:rsidR="00665AD9" w:rsidRDefault="00665AD9">
      <w:pPr>
        <w:pStyle w:val="TOC2"/>
        <w:tabs>
          <w:tab w:val="left" w:pos="714"/>
        </w:tabs>
        <w:rPr>
          <w:rFonts w:asciiTheme="minorHAnsi" w:eastAsiaTheme="minorEastAsia" w:hAnsiTheme="minorHAnsi"/>
          <w:noProof/>
          <w:kern w:val="2"/>
          <w:sz w:val="24"/>
          <w:szCs w:val="24"/>
          <w:lang w:val="fr-FR" w:eastAsia="fr-FR"/>
          <w14:ligatures w14:val="standardContextual"/>
        </w:rPr>
      </w:pPr>
      <w:hyperlink w:anchor="_Toc231927928" w:history="1">
        <w:r w:rsidRPr="00543C2C">
          <w:rPr>
            <w:rStyle w:val="Hyperlink"/>
            <w:noProof/>
          </w:rPr>
          <w:t>1</w:t>
        </w:r>
        <w:r>
          <w:rPr>
            <w:rFonts w:asciiTheme="minorHAnsi" w:eastAsiaTheme="minorEastAsia" w:hAnsiTheme="minorHAnsi"/>
            <w:noProof/>
            <w:kern w:val="2"/>
            <w:sz w:val="24"/>
            <w:szCs w:val="24"/>
            <w:lang w:val="fr-FR" w:eastAsia="fr-FR"/>
            <w14:ligatures w14:val="standardContextual"/>
          </w:rPr>
          <w:tab/>
        </w:r>
        <w:r w:rsidRPr="00543C2C">
          <w:rPr>
            <w:rStyle w:val="Hyperlink"/>
            <w:noProof/>
          </w:rPr>
          <w:t>Strong tools to manage the EU budget in a complex environment</w:t>
        </w:r>
        <w:r>
          <w:rPr>
            <w:noProof/>
            <w:webHidden/>
          </w:rPr>
          <w:tab/>
        </w:r>
        <w:r>
          <w:rPr>
            <w:noProof/>
            <w:webHidden/>
          </w:rPr>
          <w:fldChar w:fldCharType="begin"/>
        </w:r>
        <w:r>
          <w:rPr>
            <w:noProof/>
            <w:webHidden/>
          </w:rPr>
          <w:instrText xml:space="preserve"> PAGEREF _Toc231927928 \h </w:instrText>
        </w:r>
        <w:r>
          <w:rPr>
            <w:noProof/>
            <w:webHidden/>
          </w:rPr>
        </w:r>
        <w:r>
          <w:rPr>
            <w:noProof/>
            <w:webHidden/>
          </w:rPr>
          <w:fldChar w:fldCharType="separate"/>
        </w:r>
        <w:r w:rsidR="0099180B">
          <w:rPr>
            <w:noProof/>
            <w:webHidden/>
          </w:rPr>
          <w:t>7</w:t>
        </w:r>
        <w:r>
          <w:rPr>
            <w:noProof/>
            <w:webHidden/>
          </w:rPr>
          <w:fldChar w:fldCharType="end"/>
        </w:r>
      </w:hyperlink>
    </w:p>
    <w:p w14:paraId="50E651FF" w14:textId="51EAFACA" w:rsidR="00665AD9" w:rsidRDefault="00665AD9">
      <w:pPr>
        <w:pStyle w:val="TOC2"/>
        <w:tabs>
          <w:tab w:val="left" w:pos="799"/>
        </w:tabs>
        <w:rPr>
          <w:rFonts w:asciiTheme="minorHAnsi" w:eastAsiaTheme="minorEastAsia" w:hAnsiTheme="minorHAnsi"/>
          <w:noProof/>
          <w:kern w:val="2"/>
          <w:sz w:val="24"/>
          <w:szCs w:val="24"/>
          <w:lang w:val="fr-FR" w:eastAsia="fr-FR"/>
          <w14:ligatures w14:val="standardContextual"/>
        </w:rPr>
      </w:pPr>
      <w:hyperlink w:anchor="_Toc231927929" w:history="1">
        <w:r w:rsidRPr="00543C2C">
          <w:rPr>
            <w:rStyle w:val="Hyperlink"/>
            <w:noProof/>
          </w:rPr>
          <w:t>2.</w:t>
        </w:r>
        <w:r>
          <w:rPr>
            <w:rFonts w:asciiTheme="minorHAnsi" w:eastAsiaTheme="minorEastAsia" w:hAnsiTheme="minorHAnsi"/>
            <w:noProof/>
            <w:kern w:val="2"/>
            <w:sz w:val="24"/>
            <w:szCs w:val="24"/>
            <w:lang w:val="fr-FR" w:eastAsia="fr-FR"/>
            <w14:ligatures w14:val="standardContextual"/>
          </w:rPr>
          <w:tab/>
        </w:r>
        <w:r w:rsidRPr="00543C2C">
          <w:rPr>
            <w:rStyle w:val="Hyperlink"/>
            <w:noProof/>
          </w:rPr>
          <w:t>Cost-effective controls protecting the  EU budget</w:t>
        </w:r>
        <w:r>
          <w:rPr>
            <w:noProof/>
            <w:webHidden/>
          </w:rPr>
          <w:tab/>
        </w:r>
        <w:r>
          <w:rPr>
            <w:noProof/>
            <w:webHidden/>
          </w:rPr>
          <w:fldChar w:fldCharType="begin"/>
        </w:r>
        <w:r>
          <w:rPr>
            <w:noProof/>
            <w:webHidden/>
          </w:rPr>
          <w:instrText xml:space="preserve"> PAGEREF _Toc231927929 \h </w:instrText>
        </w:r>
        <w:r>
          <w:rPr>
            <w:noProof/>
            <w:webHidden/>
          </w:rPr>
        </w:r>
        <w:r>
          <w:rPr>
            <w:noProof/>
            <w:webHidden/>
          </w:rPr>
          <w:fldChar w:fldCharType="separate"/>
        </w:r>
        <w:r w:rsidR="0099180B">
          <w:rPr>
            <w:noProof/>
            <w:webHidden/>
          </w:rPr>
          <w:t>21</w:t>
        </w:r>
        <w:r>
          <w:rPr>
            <w:noProof/>
            <w:webHidden/>
          </w:rPr>
          <w:fldChar w:fldCharType="end"/>
        </w:r>
      </w:hyperlink>
    </w:p>
    <w:p w14:paraId="2EE47AB4" w14:textId="7584BE98" w:rsidR="00665AD9" w:rsidRDefault="00665AD9">
      <w:pPr>
        <w:pStyle w:val="TOC2"/>
        <w:tabs>
          <w:tab w:val="left" w:pos="799"/>
        </w:tabs>
        <w:rPr>
          <w:rFonts w:asciiTheme="minorHAnsi" w:eastAsiaTheme="minorEastAsia" w:hAnsiTheme="minorHAnsi"/>
          <w:noProof/>
          <w:kern w:val="2"/>
          <w:sz w:val="24"/>
          <w:szCs w:val="24"/>
          <w:lang w:val="fr-FR" w:eastAsia="fr-FR"/>
          <w14:ligatures w14:val="standardContextual"/>
        </w:rPr>
      </w:pPr>
      <w:hyperlink w:anchor="_Toc231927930" w:history="1">
        <w:r w:rsidRPr="00543C2C">
          <w:rPr>
            <w:rStyle w:val="Hyperlink"/>
            <w:noProof/>
          </w:rPr>
          <w:t>3.</w:t>
        </w:r>
        <w:r>
          <w:rPr>
            <w:rFonts w:asciiTheme="minorHAnsi" w:eastAsiaTheme="minorEastAsia" w:hAnsiTheme="minorHAnsi"/>
            <w:noProof/>
            <w:kern w:val="2"/>
            <w:sz w:val="24"/>
            <w:szCs w:val="24"/>
            <w:lang w:val="fr-FR" w:eastAsia="fr-FR"/>
            <w14:ligatures w14:val="standardContextual"/>
          </w:rPr>
          <w:tab/>
        </w:r>
        <w:r w:rsidRPr="00543C2C">
          <w:rPr>
            <w:rStyle w:val="Hyperlink"/>
            <w:noProof/>
          </w:rPr>
          <w:t>Management assurance</w:t>
        </w:r>
        <w:r>
          <w:rPr>
            <w:noProof/>
            <w:webHidden/>
          </w:rPr>
          <w:tab/>
        </w:r>
        <w:r>
          <w:rPr>
            <w:noProof/>
            <w:webHidden/>
          </w:rPr>
          <w:fldChar w:fldCharType="begin"/>
        </w:r>
        <w:r>
          <w:rPr>
            <w:noProof/>
            <w:webHidden/>
          </w:rPr>
          <w:instrText xml:space="preserve"> PAGEREF _Toc231927930 \h </w:instrText>
        </w:r>
        <w:r>
          <w:rPr>
            <w:noProof/>
            <w:webHidden/>
          </w:rPr>
        </w:r>
        <w:r>
          <w:rPr>
            <w:noProof/>
            <w:webHidden/>
          </w:rPr>
          <w:fldChar w:fldCharType="separate"/>
        </w:r>
        <w:r w:rsidR="0099180B">
          <w:rPr>
            <w:noProof/>
            <w:webHidden/>
          </w:rPr>
          <w:t>53</w:t>
        </w:r>
        <w:r>
          <w:rPr>
            <w:noProof/>
            <w:webHidden/>
          </w:rPr>
          <w:fldChar w:fldCharType="end"/>
        </w:r>
      </w:hyperlink>
    </w:p>
    <w:p w14:paraId="0E4427C8" w14:textId="325992F3" w:rsidR="00665AD9" w:rsidRDefault="00665AD9">
      <w:pPr>
        <w:pStyle w:val="TOC2"/>
        <w:tabs>
          <w:tab w:val="left" w:pos="799"/>
        </w:tabs>
        <w:rPr>
          <w:rFonts w:asciiTheme="minorHAnsi" w:eastAsiaTheme="minorEastAsia" w:hAnsiTheme="minorHAnsi"/>
          <w:noProof/>
          <w:kern w:val="2"/>
          <w:sz w:val="24"/>
          <w:szCs w:val="24"/>
          <w:lang w:val="fr-FR" w:eastAsia="fr-FR"/>
          <w14:ligatures w14:val="standardContextual"/>
        </w:rPr>
      </w:pPr>
      <w:hyperlink w:anchor="_Toc231927931" w:history="1">
        <w:r w:rsidRPr="00543C2C">
          <w:rPr>
            <w:rStyle w:val="Hyperlink"/>
            <w:noProof/>
          </w:rPr>
          <w:t>4.</w:t>
        </w:r>
        <w:r>
          <w:rPr>
            <w:rFonts w:asciiTheme="minorHAnsi" w:eastAsiaTheme="minorEastAsia" w:hAnsiTheme="minorHAnsi"/>
            <w:noProof/>
            <w:kern w:val="2"/>
            <w:sz w:val="24"/>
            <w:szCs w:val="24"/>
            <w:lang w:val="fr-FR" w:eastAsia="fr-FR"/>
            <w14:ligatures w14:val="standardContextual"/>
          </w:rPr>
          <w:tab/>
        </w:r>
        <w:r w:rsidRPr="00543C2C">
          <w:rPr>
            <w:rStyle w:val="Hyperlink"/>
            <w:noProof/>
          </w:rPr>
          <w:t>Outlook for 2026 and beyond</w:t>
        </w:r>
        <w:r>
          <w:rPr>
            <w:noProof/>
            <w:webHidden/>
          </w:rPr>
          <w:tab/>
        </w:r>
        <w:r>
          <w:rPr>
            <w:noProof/>
            <w:webHidden/>
          </w:rPr>
          <w:fldChar w:fldCharType="begin"/>
        </w:r>
        <w:r>
          <w:rPr>
            <w:noProof/>
            <w:webHidden/>
          </w:rPr>
          <w:instrText xml:space="preserve"> PAGEREF _Toc231927931 \h </w:instrText>
        </w:r>
        <w:r>
          <w:rPr>
            <w:noProof/>
            <w:webHidden/>
          </w:rPr>
        </w:r>
        <w:r>
          <w:rPr>
            <w:noProof/>
            <w:webHidden/>
          </w:rPr>
          <w:fldChar w:fldCharType="separate"/>
        </w:r>
        <w:r w:rsidR="0099180B">
          <w:rPr>
            <w:noProof/>
            <w:webHidden/>
          </w:rPr>
          <w:t>59</w:t>
        </w:r>
        <w:r>
          <w:rPr>
            <w:noProof/>
            <w:webHidden/>
          </w:rPr>
          <w:fldChar w:fldCharType="end"/>
        </w:r>
      </w:hyperlink>
    </w:p>
    <w:p w14:paraId="67B6D5B5" w14:textId="50DFBA4C" w:rsidR="00665AD9" w:rsidRDefault="00665AD9">
      <w:pPr>
        <w:pStyle w:val="TOC1"/>
        <w:rPr>
          <w:rFonts w:asciiTheme="minorHAnsi" w:eastAsiaTheme="minorEastAsia" w:hAnsiTheme="minorHAnsi"/>
          <w:b w:val="0"/>
          <w:caps w:val="0"/>
          <w:noProof/>
          <w:kern w:val="2"/>
          <w:sz w:val="24"/>
          <w:szCs w:val="24"/>
          <w:lang w:val="fr-FR" w:eastAsia="fr-FR"/>
          <w14:ligatures w14:val="standardContextual"/>
        </w:rPr>
      </w:pPr>
      <w:hyperlink w:anchor="_Toc231927932" w:history="1">
        <w:r w:rsidRPr="00543C2C">
          <w:rPr>
            <w:rStyle w:val="Hyperlink"/>
            <w:noProof/>
          </w:rPr>
          <w:t>Annex</w:t>
        </w:r>
        <w:r w:rsidRPr="00543C2C">
          <w:rPr>
            <w:rStyle w:val="Hyperlink"/>
            <w:rFonts w:ascii="Calibri" w:hAnsi="Calibri"/>
            <w:noProof/>
          </w:rPr>
          <w:t> </w:t>
        </w:r>
        <w:r w:rsidRPr="00543C2C">
          <w:rPr>
            <w:rStyle w:val="Hyperlink"/>
            <w:noProof/>
          </w:rPr>
          <w:t>3</w:t>
        </w:r>
        <w:r w:rsidRPr="00543C2C">
          <w:rPr>
            <w:rStyle w:val="Hyperlink"/>
            <w:rFonts w:ascii="Calibri" w:hAnsi="Calibri"/>
            <w:noProof/>
          </w:rPr>
          <w:t> </w:t>
        </w:r>
        <w:r w:rsidRPr="00543C2C">
          <w:rPr>
            <w:rStyle w:val="Hyperlink"/>
            <w:noProof/>
          </w:rPr>
          <w:t>– The Recovery and Resilience Facility under NextGenerationEU</w:t>
        </w:r>
        <w:r>
          <w:rPr>
            <w:noProof/>
            <w:webHidden/>
          </w:rPr>
          <w:tab/>
        </w:r>
        <w:r>
          <w:rPr>
            <w:noProof/>
            <w:webHidden/>
          </w:rPr>
          <w:fldChar w:fldCharType="begin"/>
        </w:r>
        <w:r>
          <w:rPr>
            <w:noProof/>
            <w:webHidden/>
          </w:rPr>
          <w:instrText xml:space="preserve"> PAGEREF _Toc231927932 \h </w:instrText>
        </w:r>
        <w:r>
          <w:rPr>
            <w:noProof/>
            <w:webHidden/>
          </w:rPr>
        </w:r>
        <w:r>
          <w:rPr>
            <w:noProof/>
            <w:webHidden/>
          </w:rPr>
          <w:fldChar w:fldCharType="separate"/>
        </w:r>
        <w:r w:rsidR="0099180B">
          <w:rPr>
            <w:noProof/>
            <w:webHidden/>
          </w:rPr>
          <w:t>61</w:t>
        </w:r>
        <w:r>
          <w:rPr>
            <w:noProof/>
            <w:webHidden/>
          </w:rPr>
          <w:fldChar w:fldCharType="end"/>
        </w:r>
      </w:hyperlink>
    </w:p>
    <w:p w14:paraId="6C31677A" w14:textId="5FF7DCDD" w:rsidR="00665AD9" w:rsidRDefault="00665AD9">
      <w:pPr>
        <w:pStyle w:val="TOC2"/>
        <w:tabs>
          <w:tab w:val="left" w:pos="799"/>
        </w:tabs>
        <w:rPr>
          <w:rFonts w:asciiTheme="minorHAnsi" w:eastAsiaTheme="minorEastAsia" w:hAnsiTheme="minorHAnsi"/>
          <w:noProof/>
          <w:kern w:val="2"/>
          <w:sz w:val="24"/>
          <w:szCs w:val="24"/>
          <w:lang w:val="fr-FR" w:eastAsia="fr-FR"/>
          <w14:ligatures w14:val="standardContextual"/>
        </w:rPr>
      </w:pPr>
      <w:hyperlink w:anchor="_Toc231927933" w:history="1">
        <w:r w:rsidRPr="00543C2C">
          <w:rPr>
            <w:rStyle w:val="Hyperlink"/>
            <w:noProof/>
          </w:rPr>
          <w:t>1.</w:t>
        </w:r>
        <w:r>
          <w:rPr>
            <w:rFonts w:asciiTheme="minorHAnsi" w:eastAsiaTheme="minorEastAsia" w:hAnsiTheme="minorHAnsi"/>
            <w:noProof/>
            <w:kern w:val="2"/>
            <w:sz w:val="24"/>
            <w:szCs w:val="24"/>
            <w:lang w:val="fr-FR" w:eastAsia="fr-FR"/>
            <w14:ligatures w14:val="standardContextual"/>
          </w:rPr>
          <w:tab/>
        </w:r>
        <w:r w:rsidRPr="00543C2C">
          <w:rPr>
            <w:rStyle w:val="Hyperlink"/>
            <w:noProof/>
          </w:rPr>
          <w:t>The Recovery and Resilience Facility–  an innovative and successful crisis response tool</w:t>
        </w:r>
        <w:r>
          <w:rPr>
            <w:noProof/>
            <w:webHidden/>
          </w:rPr>
          <w:tab/>
        </w:r>
        <w:r>
          <w:rPr>
            <w:noProof/>
            <w:webHidden/>
          </w:rPr>
          <w:fldChar w:fldCharType="begin"/>
        </w:r>
        <w:r>
          <w:rPr>
            <w:noProof/>
            <w:webHidden/>
          </w:rPr>
          <w:instrText xml:space="preserve"> PAGEREF _Toc231927933 \h </w:instrText>
        </w:r>
        <w:r>
          <w:rPr>
            <w:noProof/>
            <w:webHidden/>
          </w:rPr>
        </w:r>
        <w:r>
          <w:rPr>
            <w:noProof/>
            <w:webHidden/>
          </w:rPr>
          <w:fldChar w:fldCharType="separate"/>
        </w:r>
        <w:r w:rsidR="0099180B">
          <w:rPr>
            <w:noProof/>
            <w:webHidden/>
          </w:rPr>
          <w:t>63</w:t>
        </w:r>
        <w:r>
          <w:rPr>
            <w:noProof/>
            <w:webHidden/>
          </w:rPr>
          <w:fldChar w:fldCharType="end"/>
        </w:r>
      </w:hyperlink>
    </w:p>
    <w:p w14:paraId="3E5BB4A6" w14:textId="276F03C0" w:rsidR="00665AD9" w:rsidRDefault="00665AD9">
      <w:pPr>
        <w:pStyle w:val="TOC2"/>
        <w:tabs>
          <w:tab w:val="left" w:pos="799"/>
        </w:tabs>
        <w:rPr>
          <w:rFonts w:asciiTheme="minorHAnsi" w:eastAsiaTheme="minorEastAsia" w:hAnsiTheme="minorHAnsi"/>
          <w:noProof/>
          <w:kern w:val="2"/>
          <w:sz w:val="24"/>
          <w:szCs w:val="24"/>
          <w:lang w:val="fr-FR" w:eastAsia="fr-FR"/>
          <w14:ligatures w14:val="standardContextual"/>
        </w:rPr>
      </w:pPr>
      <w:hyperlink w:anchor="_Toc231927934" w:history="1">
        <w:r w:rsidRPr="00543C2C">
          <w:rPr>
            <w:rStyle w:val="Hyperlink"/>
            <w:noProof/>
          </w:rPr>
          <w:t>2.</w:t>
        </w:r>
        <w:r>
          <w:rPr>
            <w:rFonts w:asciiTheme="minorHAnsi" w:eastAsiaTheme="minorEastAsia" w:hAnsiTheme="minorHAnsi"/>
            <w:noProof/>
            <w:kern w:val="2"/>
            <w:sz w:val="24"/>
            <w:szCs w:val="24"/>
            <w:lang w:val="fr-FR" w:eastAsia="fr-FR"/>
            <w14:ligatures w14:val="standardContextual"/>
          </w:rPr>
          <w:tab/>
        </w:r>
        <w:r w:rsidRPr="00543C2C">
          <w:rPr>
            <w:rStyle w:val="Hyperlink"/>
            <w:noProof/>
          </w:rPr>
          <w:t xml:space="preserve">Control results confirm the satisfactory fulfilment of all milestones and targets for payments </w:t>
        </w:r>
        <w:r w:rsidR="00E34AF3">
          <w:rPr>
            <w:rStyle w:val="Hyperlink"/>
            <w:noProof/>
          </w:rPr>
          <w:br/>
        </w:r>
        <w:r w:rsidRPr="00543C2C">
          <w:rPr>
            <w:rStyle w:val="Hyperlink"/>
            <w:noProof/>
          </w:rPr>
          <w:t>made in 2025</w:t>
        </w:r>
        <w:r>
          <w:rPr>
            <w:noProof/>
            <w:webHidden/>
          </w:rPr>
          <w:tab/>
        </w:r>
        <w:r>
          <w:rPr>
            <w:noProof/>
            <w:webHidden/>
          </w:rPr>
          <w:fldChar w:fldCharType="begin"/>
        </w:r>
        <w:r>
          <w:rPr>
            <w:noProof/>
            <w:webHidden/>
          </w:rPr>
          <w:instrText xml:space="preserve"> PAGEREF _Toc231927934 \h </w:instrText>
        </w:r>
        <w:r>
          <w:rPr>
            <w:noProof/>
            <w:webHidden/>
          </w:rPr>
        </w:r>
        <w:r>
          <w:rPr>
            <w:noProof/>
            <w:webHidden/>
          </w:rPr>
          <w:fldChar w:fldCharType="separate"/>
        </w:r>
        <w:r w:rsidR="0099180B">
          <w:rPr>
            <w:noProof/>
            <w:webHidden/>
          </w:rPr>
          <w:t>68</w:t>
        </w:r>
        <w:r>
          <w:rPr>
            <w:noProof/>
            <w:webHidden/>
          </w:rPr>
          <w:fldChar w:fldCharType="end"/>
        </w:r>
      </w:hyperlink>
    </w:p>
    <w:p w14:paraId="491A783D" w14:textId="5F2E0B8F" w:rsidR="00B728F3" w:rsidRPr="006D3C55" w:rsidRDefault="001301C1" w:rsidP="00CC0324">
      <w:pPr>
        <w:rPr>
          <w:highlight w:val="lightGray"/>
          <w:shd w:val="clear" w:color="auto" w:fill="E6E6E6"/>
        </w:rPr>
      </w:pPr>
      <w:r w:rsidRPr="006D3C55">
        <w:rPr>
          <w:shd w:val="clear" w:color="auto" w:fill="E6E6E6"/>
        </w:rPr>
        <w:fldChar w:fldCharType="end"/>
      </w:r>
      <w:r w:rsidR="00B728F3" w:rsidRPr="006D3C55">
        <w:rPr>
          <w:highlight w:val="lightGray"/>
          <w:shd w:val="clear" w:color="auto" w:fill="E6E6E6"/>
        </w:rPr>
        <w:br w:type="page"/>
      </w:r>
    </w:p>
    <w:p w14:paraId="2D077C38" w14:textId="77777777" w:rsidR="001301C1" w:rsidRPr="006D3C55" w:rsidRDefault="001301C1" w:rsidP="001301C1">
      <w:pPr>
        <w:rPr>
          <w:highlight w:val="lightGray"/>
        </w:rPr>
      </w:pPr>
    </w:p>
    <w:p w14:paraId="5ECFA606" w14:textId="77777777" w:rsidR="001301C1" w:rsidRPr="006D3C55" w:rsidRDefault="001301C1" w:rsidP="001301C1">
      <w:pPr>
        <w:rPr>
          <w:highlight w:val="lightGray"/>
        </w:rPr>
        <w:sectPr w:rsidR="001301C1" w:rsidRPr="006D3C55" w:rsidSect="00DE62EF">
          <w:headerReference w:type="even" r:id="rId21"/>
          <w:headerReference w:type="default" r:id="rId22"/>
          <w:footerReference w:type="even" r:id="rId23"/>
          <w:footerReference w:type="default" r:id="rId24"/>
          <w:headerReference w:type="first" r:id="rId25"/>
          <w:footerReference w:type="first" r:id="rId26"/>
          <w:endnotePr>
            <w:pos w:val="sectEnd"/>
            <w:numFmt w:val="lowerLetter"/>
          </w:endnotePr>
          <w:pgSz w:w="11907" w:h="16839" w:code="9"/>
          <w:pgMar w:top="1418" w:right="1418" w:bottom="1418" w:left="1418" w:header="680" w:footer="567" w:gutter="0"/>
          <w:pgNumType w:start="3"/>
          <w:cols w:space="720"/>
          <w:docGrid w:linePitch="272"/>
        </w:sectPr>
      </w:pPr>
      <w:bookmarkStart w:id="13" w:name="_Toc130388582"/>
    </w:p>
    <w:p w14:paraId="5F212BFD" w14:textId="77777777" w:rsidR="001301C1" w:rsidRPr="006D3C55" w:rsidRDefault="001301C1" w:rsidP="001301C1">
      <w:pPr>
        <w:pStyle w:val="Heading1Sectionheadinginframe3Lines"/>
        <w:framePr w:wrap="around"/>
        <w:rPr>
          <w:rFonts w:ascii="EC Square Sans Pro" w:hAnsi="EC Square Sans Pro"/>
        </w:rPr>
      </w:pPr>
      <w:bookmarkStart w:id="14" w:name="_Toc168585656"/>
      <w:bookmarkStart w:id="15" w:name="_Toc196895482"/>
      <w:bookmarkStart w:id="16" w:name="_Toc231927927"/>
      <w:bookmarkStart w:id="17" w:name="_Toc231479583"/>
      <w:r w:rsidRPr="006D3C55">
        <w:rPr>
          <w:rFonts w:ascii="EC Square Sans Pro" w:hAnsi="EC Square Sans Pro"/>
        </w:rPr>
        <w:lastRenderedPageBreak/>
        <w:t>Annex</w:t>
      </w:r>
      <w:r w:rsidRPr="006D3C55">
        <w:rPr>
          <w:rFonts w:ascii="Calibri" w:hAnsi="Calibri"/>
        </w:rPr>
        <w:t> </w:t>
      </w:r>
      <w:r w:rsidRPr="006D3C55">
        <w:rPr>
          <w:rFonts w:ascii="EC Square Sans Pro" w:hAnsi="EC Square Sans Pro"/>
        </w:rPr>
        <w:t>2</w:t>
      </w:r>
      <w:r w:rsidRPr="006D3C55">
        <w:rPr>
          <w:rFonts w:ascii="Calibri" w:hAnsi="Calibri"/>
        </w:rPr>
        <w:t> </w:t>
      </w:r>
      <w:r w:rsidRPr="006D3C55">
        <w:rPr>
          <w:rFonts w:ascii="EC Square Sans Pro" w:hAnsi="EC Square Sans Pro"/>
        </w:rPr>
        <w:t>– Internal control and financial management</w:t>
      </w:r>
      <w:bookmarkEnd w:id="14"/>
      <w:bookmarkEnd w:id="15"/>
      <w:bookmarkEnd w:id="16"/>
      <w:bookmarkEnd w:id="17"/>
    </w:p>
    <w:p w14:paraId="16A173C3" w14:textId="77777777" w:rsidR="001301C1" w:rsidRPr="006D3C55" w:rsidRDefault="001301C1" w:rsidP="001301C1">
      <w:pPr>
        <w:rPr>
          <w:highlight w:val="lightGray"/>
        </w:rPr>
      </w:pPr>
    </w:p>
    <w:p w14:paraId="4AE2B411" w14:textId="77777777" w:rsidR="001301C1" w:rsidRPr="006D3C55" w:rsidRDefault="001301C1" w:rsidP="001301C1">
      <w:pPr>
        <w:rPr>
          <w:highlight w:val="lightGray"/>
        </w:rPr>
        <w:sectPr w:rsidR="001301C1" w:rsidRPr="006D3C55" w:rsidSect="001301C1">
          <w:headerReference w:type="even" r:id="rId27"/>
          <w:headerReference w:type="default" r:id="rId28"/>
          <w:footerReference w:type="even" r:id="rId29"/>
          <w:footerReference w:type="default" r:id="rId30"/>
          <w:headerReference w:type="first" r:id="rId31"/>
          <w:footerReference w:type="first" r:id="rId32"/>
          <w:endnotePr>
            <w:pos w:val="sectEnd"/>
            <w:numFmt w:val="lowerLetter"/>
          </w:endnotePr>
          <w:type w:val="oddPage"/>
          <w:pgSz w:w="11907" w:h="16839" w:code="9"/>
          <w:pgMar w:top="1418" w:right="1418" w:bottom="1418" w:left="1418" w:header="680" w:footer="567" w:gutter="0"/>
          <w:cols w:space="720"/>
          <w:docGrid w:linePitch="272"/>
        </w:sectPr>
      </w:pPr>
    </w:p>
    <w:p w14:paraId="7622BACD" w14:textId="77777777" w:rsidR="001301C1" w:rsidRPr="006D3C55" w:rsidRDefault="001301C1" w:rsidP="001301C1">
      <w:pPr>
        <w:rPr>
          <w:highlight w:val="lightGray"/>
        </w:rPr>
      </w:pPr>
    </w:p>
    <w:p w14:paraId="2D654761" w14:textId="77777777" w:rsidR="001301C1" w:rsidRPr="006D3C55" w:rsidRDefault="001301C1" w:rsidP="001301C1">
      <w:pPr>
        <w:rPr>
          <w:highlight w:val="lightGray"/>
        </w:rPr>
        <w:sectPr w:rsidR="001301C1" w:rsidRPr="006D3C55" w:rsidSect="001301C1">
          <w:headerReference w:type="even" r:id="rId33"/>
          <w:headerReference w:type="default" r:id="rId34"/>
          <w:footerReference w:type="even" r:id="rId35"/>
          <w:footerReference w:type="default" r:id="rId36"/>
          <w:headerReference w:type="first" r:id="rId37"/>
          <w:footerReference w:type="first" r:id="rId38"/>
          <w:endnotePr>
            <w:pos w:val="sectEnd"/>
            <w:numFmt w:val="lowerLetter"/>
          </w:endnotePr>
          <w:pgSz w:w="11907" w:h="16839" w:code="9"/>
          <w:pgMar w:top="1418" w:right="1418" w:bottom="1418" w:left="1418" w:header="680" w:footer="567" w:gutter="0"/>
          <w:cols w:space="720"/>
          <w:docGrid w:linePitch="272"/>
        </w:sectPr>
      </w:pPr>
    </w:p>
    <w:p w14:paraId="21702649" w14:textId="77777777" w:rsidR="001301C1" w:rsidRPr="006D3C55" w:rsidRDefault="001301C1" w:rsidP="00A40BFB">
      <w:pPr>
        <w:pStyle w:val="HNum-fromh2Heading2-1"/>
        <w:numPr>
          <w:ilvl w:val="0"/>
          <w:numId w:val="31"/>
        </w:numPr>
        <w:ind w:left="907" w:hanging="907"/>
        <w:rPr>
          <w:noProof w:val="0"/>
        </w:rPr>
      </w:pPr>
      <w:bookmarkStart w:id="18" w:name="_Toc135637237"/>
      <w:bookmarkStart w:id="19" w:name="_Toc130830205"/>
      <w:bookmarkStart w:id="20" w:name="_Toc130830320"/>
      <w:bookmarkStart w:id="21" w:name="_Toc130830393"/>
      <w:bookmarkStart w:id="22" w:name="_Toc130830453"/>
      <w:bookmarkStart w:id="23" w:name="_Toc130830756"/>
      <w:bookmarkStart w:id="24" w:name="_Toc130830945"/>
      <w:bookmarkStart w:id="25" w:name="_Toc168585657"/>
      <w:bookmarkStart w:id="26" w:name="_Toc196895483"/>
      <w:bookmarkStart w:id="27" w:name="_Toc231927928"/>
      <w:bookmarkStart w:id="28" w:name="_Toc231479584"/>
      <w:r w:rsidRPr="006D3C55">
        <w:rPr>
          <w:noProof w:val="0"/>
        </w:rPr>
        <w:t>Strong tools to manage the EU budget in a complex environment</w:t>
      </w:r>
      <w:bookmarkEnd w:id="18"/>
      <w:bookmarkEnd w:id="19"/>
      <w:bookmarkEnd w:id="20"/>
      <w:bookmarkEnd w:id="21"/>
      <w:bookmarkEnd w:id="22"/>
      <w:bookmarkEnd w:id="23"/>
      <w:bookmarkEnd w:id="24"/>
      <w:bookmarkEnd w:id="25"/>
      <w:bookmarkEnd w:id="26"/>
      <w:bookmarkEnd w:id="27"/>
      <w:bookmarkEnd w:id="28"/>
    </w:p>
    <w:p w14:paraId="66799463" w14:textId="06349AD8" w:rsidR="001301C1" w:rsidRPr="006D3C55" w:rsidRDefault="001301C1" w:rsidP="006D5CEC">
      <w:r w:rsidRPr="006D3C55">
        <w:t>The European Commission must fulfil its crucial role in shaping and implementing the European Union’s policies while making the best possible use of taxpayers’ money. It is therefore essential to ensure that EU spending is effective, efficient and economical, while also complying with the applicable rules. The Commission strives to achieve the highest standards of financial management while striking the right balance between a low level of error, prompt payments and reasonable control costs.</w:t>
      </w:r>
    </w:p>
    <w:p w14:paraId="613E79F2" w14:textId="77777777" w:rsidR="001301C1" w:rsidRPr="006D3C55" w:rsidRDefault="001301C1" w:rsidP="00267FD0">
      <w:pPr>
        <w:pStyle w:val="HNum-fromh2Heading3-11"/>
      </w:pPr>
      <w:r w:rsidRPr="006D3C55">
        <w:t>The EU budget: a wide variety of areas, recipients and spending in a complex environment</w:t>
      </w:r>
    </w:p>
    <w:p w14:paraId="34D92CE7" w14:textId="4965A57D" w:rsidR="001301C1" w:rsidRPr="006D3C55" w:rsidRDefault="001301C1" w:rsidP="006D5CEC">
      <w:r w:rsidRPr="006D3C55">
        <w:t xml:space="preserve">In </w:t>
      </w:r>
      <w:r w:rsidR="008976B4" w:rsidRPr="006D3C55">
        <w:t>2025</w:t>
      </w:r>
      <w:r w:rsidR="009B2A5D" w:rsidRPr="006D3C55">
        <w:t>,</w:t>
      </w:r>
      <w:r w:rsidR="008976B4" w:rsidRPr="006D3C55">
        <w:t xml:space="preserve"> </w:t>
      </w:r>
      <w:r w:rsidRPr="006D3C55">
        <w:t xml:space="preserve">the expenditure managed by the Commission amounted </w:t>
      </w:r>
      <w:r w:rsidRPr="00E12F6A">
        <w:t>to EUR</w:t>
      </w:r>
      <w:r w:rsidRPr="00E12F6A">
        <w:rPr>
          <w:rFonts w:ascii="Calibri" w:hAnsi="Calibri" w:cs="Calibri"/>
        </w:rPr>
        <w:t> </w:t>
      </w:r>
      <w:r w:rsidR="00007303" w:rsidRPr="00E12F6A">
        <w:t>166.7</w:t>
      </w:r>
      <w:r w:rsidR="009A0A24" w:rsidRPr="00E12F6A">
        <w:rPr>
          <w:rFonts w:ascii="Calibri" w:hAnsi="Calibri" w:cs="Calibri"/>
        </w:rPr>
        <w:t> </w:t>
      </w:r>
      <w:r w:rsidRPr="00E12F6A">
        <w:t>billion</w:t>
      </w:r>
      <w:r w:rsidRPr="006D3C55">
        <w:t xml:space="preserve"> (see figures below)</w:t>
      </w:r>
      <w:r w:rsidRPr="006D3C55">
        <w:rPr>
          <w:rFonts w:ascii="Calibri" w:hAnsi="Calibri" w:cs="Calibri"/>
        </w:rPr>
        <w:t> </w:t>
      </w:r>
      <w:r w:rsidRPr="006D3C55">
        <w:t>(</w:t>
      </w:r>
      <w:r w:rsidRPr="00352191">
        <w:rPr>
          <w:rStyle w:val="FootnoteReference"/>
        </w:rPr>
        <w:footnoteReference w:id="1"/>
      </w:r>
      <w:r w:rsidRPr="006D3C55">
        <w:t>). This encompasses the share of the EU budget managed by the Commission, along with the European Development Fund</w:t>
      </w:r>
      <w:r w:rsidRPr="006D3C55">
        <w:rPr>
          <w:rFonts w:ascii="Calibri" w:hAnsi="Calibri" w:cs="Calibri"/>
        </w:rPr>
        <w:t> </w:t>
      </w:r>
      <w:r w:rsidRPr="006D3C55">
        <w:t>(</w:t>
      </w:r>
      <w:r w:rsidRPr="00352191">
        <w:rPr>
          <w:rStyle w:val="FootnoteReference"/>
        </w:rPr>
        <w:footnoteReference w:id="2"/>
      </w:r>
      <w:r w:rsidRPr="006D3C55">
        <w:t xml:space="preserve">) and the EU trust funds. This expenditure was made through </w:t>
      </w:r>
      <w:r w:rsidR="00EC5916" w:rsidRPr="006D3C55">
        <w:t>almost 328</w:t>
      </w:r>
      <w:r w:rsidR="00797C1A" w:rsidRPr="006D3C55">
        <w:rPr>
          <w:rFonts w:ascii="Calibri" w:hAnsi="Calibri" w:cs="Calibri"/>
        </w:rPr>
        <w:t> </w:t>
      </w:r>
      <w:r w:rsidR="00EC5916" w:rsidRPr="006D3C55">
        <w:t>000</w:t>
      </w:r>
      <w:r w:rsidR="009A0A24" w:rsidRPr="006D3C55">
        <w:rPr>
          <w:rFonts w:ascii="Calibri" w:hAnsi="Calibri" w:cs="Calibri"/>
        </w:rPr>
        <w:t> </w:t>
      </w:r>
      <w:r w:rsidRPr="006D3C55">
        <w:t xml:space="preserve">payments, ranging from a few hundred euro per beneficiary (for Erasmus+ mobility grants) to hundreds of millions of euro (for </w:t>
      </w:r>
      <w:bookmarkStart w:id="29" w:name="_Hlk197963045"/>
      <w:r w:rsidRPr="006D3C55">
        <w:t>large projects such as the ITER</w:t>
      </w:r>
      <w:r w:rsidRPr="006D3C55" w:rsidDel="006560BE">
        <w:t xml:space="preserve"> </w:t>
      </w:r>
      <w:r w:rsidRPr="006D3C55">
        <w:t xml:space="preserve">thermonuclear reactor </w:t>
      </w:r>
      <w:bookmarkEnd w:id="29"/>
      <w:r w:rsidRPr="006D3C55" w:rsidDel="006560BE">
        <w:t>or</w:t>
      </w:r>
      <w:r w:rsidRPr="006D3C55">
        <w:t xml:space="preserve"> Galileo and Copernicus, </w:t>
      </w:r>
      <w:r w:rsidRPr="006D3C55" w:rsidDel="00822CC7">
        <w:t>along with</w:t>
      </w:r>
      <w:r w:rsidRPr="006D3C55">
        <w:t xml:space="preserve"> budgetary support </w:t>
      </w:r>
      <w:bookmarkStart w:id="30" w:name="_Hlk138112365"/>
      <w:r w:rsidRPr="006D3C55">
        <w:t xml:space="preserve">for partner countries) and even billions of euro (for </w:t>
      </w:r>
      <w:r w:rsidR="00840367" w:rsidRPr="006D3C55">
        <w:t>Member States under cohesion funds, agricultural funds</w:t>
      </w:r>
      <w:r w:rsidR="00F279AA" w:rsidRPr="006D3C55">
        <w:t xml:space="preserve"> and</w:t>
      </w:r>
      <w:r w:rsidR="00840367" w:rsidRPr="006D3C55">
        <w:t xml:space="preserve"> </w:t>
      </w:r>
      <w:r w:rsidR="00B02349" w:rsidRPr="006D3C55">
        <w:t xml:space="preserve">the Recovery and Resilience Facility, </w:t>
      </w:r>
      <w:r w:rsidR="00840367" w:rsidRPr="006D3C55">
        <w:t xml:space="preserve">or for </w:t>
      </w:r>
      <w:r w:rsidRPr="006D3C55">
        <w:t>Ukraine). This shows that the recipients of EU funds are very diverse and numerous. This</w:t>
      </w:r>
      <w:r w:rsidRPr="006D3C55" w:rsidDel="00B26124">
        <w:t xml:space="preserve"> </w:t>
      </w:r>
      <w:r w:rsidRPr="006D3C55">
        <w:t xml:space="preserve">expenditure concerns both the 2014-2020 and the 2021-2027 programming periods. In </w:t>
      </w:r>
      <w:r w:rsidR="0021168C" w:rsidRPr="006D3C55">
        <w:t>2025</w:t>
      </w:r>
      <w:r w:rsidRPr="006D3C55">
        <w:t xml:space="preserve">, the </w:t>
      </w:r>
      <w:r w:rsidR="0021168C" w:rsidRPr="006D3C55">
        <w:t xml:space="preserve">amount </w:t>
      </w:r>
      <w:r w:rsidRPr="006D3C55">
        <w:t xml:space="preserve">of </w:t>
      </w:r>
      <w:r w:rsidR="00534DFC">
        <w:t xml:space="preserve">the </w:t>
      </w:r>
      <w:r w:rsidRPr="006D3C55">
        <w:t xml:space="preserve">payments </w:t>
      </w:r>
      <w:r w:rsidR="00534DFC" w:rsidRPr="006D3C55">
        <w:t>relat</w:t>
      </w:r>
      <w:r w:rsidR="00534DFC">
        <w:t>ing</w:t>
      </w:r>
      <w:r w:rsidR="00534DFC" w:rsidRPr="006D3C55">
        <w:t xml:space="preserve"> </w:t>
      </w:r>
      <w:r w:rsidRPr="006D3C55">
        <w:t xml:space="preserve">to the latter </w:t>
      </w:r>
      <w:r w:rsidR="006B6835" w:rsidRPr="006D3C55">
        <w:rPr>
          <w:rFonts w:hint="eastAsia"/>
        </w:rPr>
        <w:t xml:space="preserve">became higher than </w:t>
      </w:r>
      <w:r w:rsidR="00041B0A" w:rsidRPr="006D3C55">
        <w:rPr>
          <w:rFonts w:hint="eastAsia"/>
        </w:rPr>
        <w:t>th</w:t>
      </w:r>
      <w:r w:rsidR="00041B0A">
        <w:t>at of the payments</w:t>
      </w:r>
      <w:r w:rsidR="00041B0A" w:rsidRPr="006D3C55">
        <w:rPr>
          <w:rFonts w:hint="eastAsia"/>
        </w:rPr>
        <w:t xml:space="preserve"> </w:t>
      </w:r>
      <w:r w:rsidR="009C7732" w:rsidRPr="006D3C55">
        <w:rPr>
          <w:rFonts w:hint="eastAsia"/>
        </w:rPr>
        <w:t>relat</w:t>
      </w:r>
      <w:r w:rsidR="009C7732">
        <w:t>ing</w:t>
      </w:r>
      <w:r w:rsidR="009C7732" w:rsidRPr="006D3C55">
        <w:rPr>
          <w:rFonts w:hint="eastAsia"/>
        </w:rPr>
        <w:t xml:space="preserve"> </w:t>
      </w:r>
      <w:r w:rsidR="006B6835" w:rsidRPr="006D3C55">
        <w:rPr>
          <w:rFonts w:hint="eastAsia"/>
        </w:rPr>
        <w:t>to the former</w:t>
      </w:r>
      <w:r w:rsidRPr="006D3C55">
        <w:t>.</w:t>
      </w:r>
    </w:p>
    <w:p w14:paraId="0A9C7AA7" w14:textId="219C0970" w:rsidR="001301C1" w:rsidRPr="006D3C55" w:rsidRDefault="001301C1" w:rsidP="006D5CEC">
      <w:pPr>
        <w:pStyle w:val="TableTitle"/>
        <w:spacing w:before="240"/>
      </w:pPr>
      <w:r w:rsidRPr="006D3C55">
        <w:t>Relevant expenditure of the EU budget implemented by the Commission in 202</w:t>
      </w:r>
      <w:r w:rsidR="006A03EC" w:rsidRPr="006D3C55">
        <w:t>5</w:t>
      </w:r>
      <w:r w:rsidRPr="006D3C55">
        <w:t>, by policy area</w:t>
      </w:r>
    </w:p>
    <w:tbl>
      <w:tblPr>
        <w:tblW w:w="10206" w:type="dxa"/>
        <w:jc w:val="center"/>
        <w:tblBorders>
          <w:insideH w:val="single" w:sz="6" w:space="0" w:color="FFFFFF" w:themeColor="background1"/>
          <w:insideV w:val="single" w:sz="6" w:space="0" w:color="FFFFFF" w:themeColor="background1"/>
        </w:tblBorders>
        <w:shd w:val="clear" w:color="auto" w:fill="003399" w:themeFill="text2"/>
        <w:tblLayout w:type="fixed"/>
        <w:tblCellMar>
          <w:left w:w="85" w:type="dxa"/>
          <w:right w:w="85" w:type="dxa"/>
        </w:tblCellMar>
        <w:tblLook w:val="0600" w:firstRow="0" w:lastRow="0" w:firstColumn="0" w:lastColumn="0" w:noHBand="1" w:noVBand="1"/>
        <w:tblDescription w:val="Coloured table presenting the relevant expenditure of the EU budget implemented by the Commission in 2021, by policy area, in % and billion euros, giving examples of actions.&#10;Single market, innovation and digital, 20.4  billion euros,  representing 10%. More than 5 500 grants were signed under the Horizon Europe research programme by 31 December 2022&#10;Cohesion, resilience and values 67.5 billion euros, 40%. Example: Around 3.7 million enterprises have been supported and almost 60 million people have been covered by improved health services, social care, education skills and housings since 2014&#10;Natural resources and environment 57.7 billion euros, representing 34% of total . Example: 6.3 million beneficiaries have been supported with agricultural funds under a variety of different schemes.&#10;Migration and border management, 2.5 billion euros, 1%, Example: More than 1.9 million legal migrants benefited from integration measures at the national, local and regional level&#10;Security and defence, 0.03 billion euros, 0%, Example: The European Defense Fund awarded a total EU support of EUR 1.17 billion in 60 defence industrial cooperation projects by December 2022.&#10;Neighbourhood and the world 13.6 billion euros, 7%, Example: Assistance was provided to around 130 non-EU countries on five continents&#10;European public administration: EUR 7.7 billion (4.5%).&#10;"/>
      </w:tblPr>
      <w:tblGrid>
        <w:gridCol w:w="1590"/>
        <w:gridCol w:w="1590"/>
        <w:gridCol w:w="1590"/>
        <w:gridCol w:w="1590"/>
        <w:gridCol w:w="1590"/>
        <w:gridCol w:w="1590"/>
        <w:gridCol w:w="666"/>
      </w:tblGrid>
      <w:tr w:rsidR="001301C1" w:rsidRPr="006D3C55" w14:paraId="27B25D83" w14:textId="77777777" w:rsidTr="7C767930">
        <w:trPr>
          <w:trHeight w:val="737"/>
          <w:jc w:val="center"/>
        </w:trPr>
        <w:tc>
          <w:tcPr>
            <w:tcW w:w="1590" w:type="dxa"/>
            <w:shd w:val="clear" w:color="auto" w:fill="7030A0" w:themeFill="accent6"/>
            <w:hideMark/>
          </w:tcPr>
          <w:p w14:paraId="301A1F40" w14:textId="77777777" w:rsidR="001301C1" w:rsidRPr="006D3C55" w:rsidRDefault="001301C1">
            <w:pPr>
              <w:spacing w:before="120" w:after="120"/>
              <w:rPr>
                <w:b/>
                <w:color w:val="FFFFFF" w:themeColor="background1"/>
                <w:sz w:val="18"/>
                <w:szCs w:val="18"/>
              </w:rPr>
            </w:pPr>
            <w:r w:rsidRPr="006D3C55">
              <w:rPr>
                <w:b/>
                <w:color w:val="FFFFFF" w:themeColor="background1"/>
                <w:sz w:val="18"/>
                <w:szCs w:val="18"/>
              </w:rPr>
              <w:t>Single market, innovation and digital</w:t>
            </w:r>
          </w:p>
        </w:tc>
        <w:tc>
          <w:tcPr>
            <w:tcW w:w="1590" w:type="dxa"/>
            <w:shd w:val="clear" w:color="auto" w:fill="DE6002" w:themeFill="accent2"/>
            <w:hideMark/>
          </w:tcPr>
          <w:p w14:paraId="752DB822" w14:textId="77777777" w:rsidR="001301C1" w:rsidRPr="006D3C55" w:rsidRDefault="001301C1">
            <w:pPr>
              <w:spacing w:before="120" w:after="120"/>
              <w:rPr>
                <w:b/>
                <w:color w:val="FFFFFF" w:themeColor="background1"/>
                <w:sz w:val="18"/>
                <w:szCs w:val="18"/>
              </w:rPr>
            </w:pPr>
            <w:r w:rsidRPr="006D3C55">
              <w:rPr>
                <w:b/>
                <w:color w:val="FFFFFF" w:themeColor="background1"/>
                <w:sz w:val="18"/>
                <w:szCs w:val="18"/>
              </w:rPr>
              <w:t>Cohesion, resilience and values</w:t>
            </w:r>
          </w:p>
        </w:tc>
        <w:tc>
          <w:tcPr>
            <w:tcW w:w="1590" w:type="dxa"/>
            <w:shd w:val="clear" w:color="auto" w:fill="008139" w:themeFill="accent1"/>
            <w:hideMark/>
          </w:tcPr>
          <w:p w14:paraId="75FDE10A" w14:textId="77777777" w:rsidR="001301C1" w:rsidRPr="006D3C55" w:rsidRDefault="001301C1">
            <w:pPr>
              <w:spacing w:before="120" w:after="120"/>
              <w:rPr>
                <w:b/>
                <w:color w:val="FFFFFF" w:themeColor="background1"/>
                <w:sz w:val="18"/>
                <w:szCs w:val="18"/>
              </w:rPr>
            </w:pPr>
            <w:r w:rsidRPr="006D3C55">
              <w:rPr>
                <w:b/>
                <w:color w:val="FFFFFF" w:themeColor="background1"/>
                <w:sz w:val="18"/>
                <w:szCs w:val="18"/>
              </w:rPr>
              <w:t>Natural resources and environment</w:t>
            </w:r>
          </w:p>
        </w:tc>
        <w:tc>
          <w:tcPr>
            <w:tcW w:w="1590" w:type="dxa"/>
            <w:shd w:val="clear" w:color="auto" w:fill="DC165D" w:themeFill="accent5"/>
            <w:hideMark/>
          </w:tcPr>
          <w:p w14:paraId="27AF4408" w14:textId="77777777" w:rsidR="001301C1" w:rsidRPr="006D3C55" w:rsidRDefault="001301C1">
            <w:pPr>
              <w:spacing w:before="120" w:after="120"/>
              <w:rPr>
                <w:b/>
                <w:color w:val="FFFFFF" w:themeColor="background1"/>
                <w:sz w:val="18"/>
                <w:szCs w:val="18"/>
              </w:rPr>
            </w:pPr>
            <w:bookmarkStart w:id="31" w:name="_Hlk166665336"/>
            <w:r w:rsidRPr="006D3C55">
              <w:rPr>
                <w:b/>
                <w:color w:val="FFFFFF" w:themeColor="background1"/>
                <w:sz w:val="18"/>
                <w:szCs w:val="18"/>
              </w:rPr>
              <w:t>Migration and border management</w:t>
            </w:r>
            <w:bookmarkEnd w:id="31"/>
          </w:p>
        </w:tc>
        <w:tc>
          <w:tcPr>
            <w:tcW w:w="1590" w:type="dxa"/>
            <w:shd w:val="clear" w:color="auto" w:fill="003399" w:themeFill="text2"/>
            <w:hideMark/>
          </w:tcPr>
          <w:p w14:paraId="09D1A314" w14:textId="77777777" w:rsidR="001301C1" w:rsidRPr="006D3C55" w:rsidRDefault="001301C1">
            <w:pPr>
              <w:spacing w:before="120" w:after="120"/>
              <w:rPr>
                <w:b/>
                <w:color w:val="FFFFFF" w:themeColor="background1"/>
                <w:sz w:val="18"/>
                <w:szCs w:val="18"/>
              </w:rPr>
            </w:pPr>
            <w:r w:rsidRPr="006D3C55">
              <w:rPr>
                <w:b/>
                <w:color w:val="FFFFFF" w:themeColor="background1"/>
                <w:sz w:val="18"/>
                <w:szCs w:val="18"/>
              </w:rPr>
              <w:t>Security and defence</w:t>
            </w:r>
          </w:p>
        </w:tc>
        <w:tc>
          <w:tcPr>
            <w:tcW w:w="1590" w:type="dxa"/>
            <w:shd w:val="clear" w:color="auto" w:fill="2688FE" w:themeFill="accent3"/>
            <w:hideMark/>
          </w:tcPr>
          <w:p w14:paraId="4A69E445" w14:textId="77777777" w:rsidR="001301C1" w:rsidRPr="006D3C55" w:rsidRDefault="001301C1">
            <w:pPr>
              <w:spacing w:before="120" w:after="120"/>
              <w:rPr>
                <w:b/>
                <w:color w:val="FFFFFF" w:themeColor="background1"/>
                <w:sz w:val="18"/>
                <w:szCs w:val="18"/>
              </w:rPr>
            </w:pPr>
            <w:r w:rsidRPr="006D3C55">
              <w:rPr>
                <w:b/>
                <w:color w:val="FFFFFF" w:themeColor="background1"/>
                <w:sz w:val="18"/>
                <w:szCs w:val="18"/>
              </w:rPr>
              <w:t>Neighbourhood and the world</w:t>
            </w:r>
          </w:p>
        </w:tc>
        <w:tc>
          <w:tcPr>
            <w:tcW w:w="666" w:type="dxa"/>
            <w:vMerge w:val="restart"/>
            <w:shd w:val="clear" w:color="auto" w:fill="767676"/>
            <w:textDirection w:val="btLr"/>
            <w:vAlign w:val="center"/>
            <w:hideMark/>
          </w:tcPr>
          <w:p w14:paraId="5B671922" w14:textId="77777777" w:rsidR="001301C1" w:rsidRPr="006D3C55" w:rsidRDefault="001301C1">
            <w:pPr>
              <w:spacing w:before="0" w:after="0"/>
              <w:jc w:val="center"/>
              <w:rPr>
                <w:b/>
                <w:color w:val="FFFFFF" w:themeColor="background1"/>
              </w:rPr>
            </w:pPr>
            <w:r w:rsidRPr="006D3C55">
              <w:rPr>
                <w:b/>
                <w:color w:val="FFFFFF" w:themeColor="background1"/>
              </w:rPr>
              <w:t>European public administration</w:t>
            </w:r>
          </w:p>
          <w:p w14:paraId="1D3C270A" w14:textId="25A32DA4" w:rsidR="001301C1" w:rsidRPr="006D3C55" w:rsidRDefault="001301C1">
            <w:pPr>
              <w:spacing w:before="0" w:after="0"/>
              <w:jc w:val="center"/>
              <w:rPr>
                <w:color w:val="FFFFFF" w:themeColor="background1"/>
              </w:rPr>
            </w:pPr>
            <w:r w:rsidRPr="006D3C55">
              <w:rPr>
                <w:color w:val="FFFFFF" w:themeColor="background1"/>
              </w:rPr>
              <w:t>EUR</w:t>
            </w:r>
            <w:r w:rsidRPr="006D3C55">
              <w:rPr>
                <w:rFonts w:ascii="Calibri" w:hAnsi="Calibri" w:cs="Calibri"/>
                <w:color w:val="FFFFFF" w:themeColor="background1"/>
              </w:rPr>
              <w:t> </w:t>
            </w:r>
            <w:r w:rsidR="00BF4AAC" w:rsidRPr="006D3C55">
              <w:rPr>
                <w:color w:val="FFFFFF" w:themeColor="background1"/>
              </w:rPr>
              <w:t>8.9</w:t>
            </w:r>
            <w:r w:rsidRPr="006D3C55">
              <w:rPr>
                <w:rFonts w:ascii="Calibri" w:hAnsi="Calibri" w:cs="Calibri"/>
                <w:color w:val="FFFFFF" w:themeColor="background1"/>
              </w:rPr>
              <w:t> </w:t>
            </w:r>
            <w:r w:rsidRPr="006D3C55">
              <w:rPr>
                <w:color w:val="FFFFFF" w:themeColor="background1"/>
              </w:rPr>
              <w:t>billion (</w:t>
            </w:r>
            <w:r w:rsidR="00BF4AAC" w:rsidRPr="006D3C55">
              <w:rPr>
                <w:color w:val="FFFFFF" w:themeColor="background1"/>
              </w:rPr>
              <w:t>5.3</w:t>
            </w:r>
            <w:r w:rsidRPr="006D3C55">
              <w:rPr>
                <w:color w:val="FFFFFF" w:themeColor="background1"/>
              </w:rPr>
              <w:t>%)</w:t>
            </w:r>
          </w:p>
        </w:tc>
      </w:tr>
      <w:tr w:rsidR="001301C1" w:rsidRPr="006D3C55" w14:paraId="040D4277" w14:textId="77777777" w:rsidTr="7C767930">
        <w:trPr>
          <w:trHeight w:val="170"/>
          <w:jc w:val="center"/>
        </w:trPr>
        <w:tc>
          <w:tcPr>
            <w:tcW w:w="1590" w:type="dxa"/>
            <w:shd w:val="clear" w:color="auto" w:fill="7030A0" w:themeFill="accent6"/>
            <w:hideMark/>
          </w:tcPr>
          <w:p w14:paraId="00BA2AE2" w14:textId="4A45CAE3" w:rsidR="001301C1" w:rsidRPr="006D3C55" w:rsidRDefault="001301C1">
            <w:pPr>
              <w:spacing w:before="120" w:after="120"/>
              <w:rPr>
                <w:color w:val="FFFFFF" w:themeColor="background1"/>
              </w:rPr>
            </w:pPr>
            <w:r w:rsidRPr="006D3C55">
              <w:rPr>
                <w:color w:val="FFFFFF" w:themeColor="background1"/>
              </w:rPr>
              <w:t>EUR</w:t>
            </w:r>
            <w:r w:rsidRPr="006D3C55">
              <w:rPr>
                <w:rFonts w:ascii="Calibri" w:hAnsi="Calibri" w:cs="Calibri"/>
                <w:color w:val="FFFFFF" w:themeColor="background1"/>
              </w:rPr>
              <w:t> </w:t>
            </w:r>
            <w:r w:rsidRPr="006D3C55">
              <w:rPr>
                <w:color w:val="FFFFFF" w:themeColor="background1"/>
              </w:rPr>
              <w:t>2</w:t>
            </w:r>
            <w:r w:rsidR="007E70C8" w:rsidRPr="006D3C55">
              <w:rPr>
                <w:color w:val="FFFFFF" w:themeColor="background1"/>
              </w:rPr>
              <w:t>5</w:t>
            </w:r>
            <w:r w:rsidRPr="006D3C55">
              <w:rPr>
                <w:color w:val="FFFFFF" w:themeColor="background1"/>
              </w:rPr>
              <w:t>.</w:t>
            </w:r>
            <w:r w:rsidR="007E70C8" w:rsidRPr="006D3C55">
              <w:rPr>
                <w:color w:val="FFFFFF" w:themeColor="background1"/>
              </w:rPr>
              <w:t>1</w:t>
            </w:r>
            <w:r w:rsidRPr="006D3C55">
              <w:rPr>
                <w:rFonts w:ascii="Calibri" w:hAnsi="Calibri" w:cs="Calibri"/>
                <w:color w:val="FFFFFF" w:themeColor="background1"/>
              </w:rPr>
              <w:t> </w:t>
            </w:r>
            <w:r w:rsidRPr="006D3C55">
              <w:rPr>
                <w:color w:val="FFFFFF" w:themeColor="background1"/>
              </w:rPr>
              <w:t>billion (1</w:t>
            </w:r>
            <w:r w:rsidR="007E70C8" w:rsidRPr="006D3C55">
              <w:rPr>
                <w:color w:val="FFFFFF" w:themeColor="background1"/>
              </w:rPr>
              <w:t>5</w:t>
            </w:r>
            <w:r w:rsidRPr="006D3C55">
              <w:rPr>
                <w:color w:val="FFFFFF" w:themeColor="background1"/>
              </w:rPr>
              <w:t>.</w:t>
            </w:r>
            <w:r w:rsidR="007E70C8" w:rsidRPr="006D3C55">
              <w:rPr>
                <w:color w:val="FFFFFF" w:themeColor="background1"/>
              </w:rPr>
              <w:t>0</w:t>
            </w:r>
            <w:r w:rsidRPr="006D3C55">
              <w:rPr>
                <w:color w:val="FFFFFF" w:themeColor="background1"/>
              </w:rPr>
              <w:t>%)</w:t>
            </w:r>
          </w:p>
        </w:tc>
        <w:tc>
          <w:tcPr>
            <w:tcW w:w="1590" w:type="dxa"/>
            <w:shd w:val="clear" w:color="auto" w:fill="DE6002" w:themeFill="accent2"/>
            <w:hideMark/>
          </w:tcPr>
          <w:p w14:paraId="010BCDBD" w14:textId="7C9F0667" w:rsidR="001301C1" w:rsidRPr="006D3C55" w:rsidRDefault="001301C1">
            <w:pPr>
              <w:spacing w:before="120" w:after="120"/>
              <w:rPr>
                <w:color w:val="FFFFFF" w:themeColor="background1"/>
              </w:rPr>
            </w:pPr>
            <w:r w:rsidRPr="006D3C55">
              <w:rPr>
                <w:color w:val="FFFFFF" w:themeColor="background1"/>
              </w:rPr>
              <w:t>EUR</w:t>
            </w:r>
            <w:r w:rsidRPr="006D3C55">
              <w:rPr>
                <w:rFonts w:ascii="Calibri" w:hAnsi="Calibri" w:cs="Calibri"/>
                <w:color w:val="FFFFFF" w:themeColor="background1"/>
              </w:rPr>
              <w:t> </w:t>
            </w:r>
            <w:r w:rsidR="007E70C8" w:rsidRPr="006D3C55">
              <w:rPr>
                <w:color w:val="FFFFFF" w:themeColor="background1"/>
              </w:rPr>
              <w:t>54</w:t>
            </w:r>
            <w:r w:rsidR="00BF0C3C" w:rsidRPr="006D3C55">
              <w:rPr>
                <w:color w:val="FFFFFF" w:themeColor="background1"/>
              </w:rPr>
              <w:t>.0</w:t>
            </w:r>
            <w:r w:rsidRPr="006D3C55">
              <w:rPr>
                <w:rFonts w:ascii="Calibri" w:hAnsi="Calibri" w:cs="Calibri"/>
                <w:color w:val="FFFFFF" w:themeColor="background1"/>
              </w:rPr>
              <w:t> </w:t>
            </w:r>
            <w:r w:rsidRPr="006D3C55">
              <w:rPr>
                <w:color w:val="FFFFFF" w:themeColor="background1"/>
              </w:rPr>
              <w:t>billion (3</w:t>
            </w:r>
            <w:r w:rsidR="00BF0C3C" w:rsidRPr="006D3C55">
              <w:rPr>
                <w:color w:val="FFFFFF" w:themeColor="background1"/>
              </w:rPr>
              <w:t>2.4</w:t>
            </w:r>
            <w:r w:rsidRPr="006D3C55">
              <w:rPr>
                <w:color w:val="FFFFFF" w:themeColor="background1"/>
              </w:rPr>
              <w:t>%)</w:t>
            </w:r>
          </w:p>
        </w:tc>
        <w:tc>
          <w:tcPr>
            <w:tcW w:w="1590" w:type="dxa"/>
            <w:shd w:val="clear" w:color="auto" w:fill="008139" w:themeFill="accent1"/>
            <w:hideMark/>
          </w:tcPr>
          <w:p w14:paraId="3CE07087" w14:textId="652BC64D" w:rsidR="001301C1" w:rsidRPr="006D3C55" w:rsidRDefault="001301C1">
            <w:pPr>
              <w:spacing w:before="120" w:after="120"/>
              <w:rPr>
                <w:color w:val="FFFFFF" w:themeColor="background1"/>
              </w:rPr>
            </w:pPr>
            <w:r w:rsidRPr="006D3C55">
              <w:rPr>
                <w:color w:val="FFFFFF" w:themeColor="background1"/>
              </w:rPr>
              <w:t>EUR</w:t>
            </w:r>
            <w:r w:rsidRPr="006D3C55">
              <w:rPr>
                <w:rFonts w:ascii="Calibri" w:hAnsi="Calibri" w:cs="Calibri"/>
                <w:color w:val="FFFFFF" w:themeColor="background1"/>
              </w:rPr>
              <w:t> </w:t>
            </w:r>
            <w:r w:rsidRPr="006D3C55">
              <w:rPr>
                <w:color w:val="FFFFFF" w:themeColor="background1"/>
              </w:rPr>
              <w:t>5</w:t>
            </w:r>
            <w:r w:rsidR="00BF0C3C" w:rsidRPr="006D3C55">
              <w:rPr>
                <w:color w:val="FFFFFF" w:themeColor="background1"/>
              </w:rPr>
              <w:t>8.0</w:t>
            </w:r>
            <w:r w:rsidRPr="006D3C55">
              <w:rPr>
                <w:rFonts w:ascii="Calibri" w:hAnsi="Calibri" w:cs="Calibri"/>
                <w:color w:val="FFFFFF" w:themeColor="background1"/>
              </w:rPr>
              <w:t> </w:t>
            </w:r>
            <w:r w:rsidRPr="006D3C55">
              <w:rPr>
                <w:color w:val="FFFFFF" w:themeColor="background1"/>
              </w:rPr>
              <w:t>billion (3</w:t>
            </w:r>
            <w:r w:rsidR="00BF0C3C" w:rsidRPr="006D3C55">
              <w:rPr>
                <w:color w:val="FFFFFF" w:themeColor="background1"/>
              </w:rPr>
              <w:t>4.8</w:t>
            </w:r>
            <w:r w:rsidRPr="006D3C55">
              <w:rPr>
                <w:color w:val="FFFFFF" w:themeColor="background1"/>
              </w:rPr>
              <w:t>%)</w:t>
            </w:r>
          </w:p>
        </w:tc>
        <w:tc>
          <w:tcPr>
            <w:tcW w:w="1590" w:type="dxa"/>
            <w:shd w:val="clear" w:color="auto" w:fill="DC165D" w:themeFill="accent5"/>
            <w:hideMark/>
          </w:tcPr>
          <w:p w14:paraId="0949B81C" w14:textId="11AA2C29" w:rsidR="001301C1" w:rsidRPr="006D3C55" w:rsidRDefault="001301C1">
            <w:pPr>
              <w:spacing w:before="120" w:after="120"/>
              <w:rPr>
                <w:rFonts w:cs="Calibri"/>
                <w:color w:val="FFFFFF" w:themeColor="background1"/>
              </w:rPr>
            </w:pPr>
            <w:r w:rsidRPr="006D3C55">
              <w:rPr>
                <w:color w:val="FFFFFF" w:themeColor="background1"/>
              </w:rPr>
              <w:t>EUR</w:t>
            </w:r>
            <w:r w:rsidRPr="006D3C55">
              <w:rPr>
                <w:rFonts w:ascii="Calibri" w:hAnsi="Calibri" w:cs="Calibri"/>
                <w:color w:val="FFFFFF" w:themeColor="background1"/>
              </w:rPr>
              <w:t> </w:t>
            </w:r>
            <w:r w:rsidR="00FD5DD6" w:rsidRPr="006D3C55">
              <w:rPr>
                <w:color w:val="FFFFFF" w:themeColor="background1"/>
              </w:rPr>
              <w:t>2.8</w:t>
            </w:r>
            <w:r w:rsidRPr="006D3C55">
              <w:rPr>
                <w:rFonts w:ascii="Calibri" w:hAnsi="Calibri" w:cs="Calibri"/>
                <w:color w:val="FFFFFF" w:themeColor="background1"/>
              </w:rPr>
              <w:t> </w:t>
            </w:r>
            <w:r w:rsidRPr="006D3C55">
              <w:rPr>
                <w:color w:val="FFFFFF" w:themeColor="background1"/>
              </w:rPr>
              <w:t>billion (2.</w:t>
            </w:r>
            <w:r w:rsidR="00FD5DD6" w:rsidRPr="006D3C55">
              <w:rPr>
                <w:color w:val="FFFFFF" w:themeColor="background1"/>
              </w:rPr>
              <w:t>3</w:t>
            </w:r>
            <w:r w:rsidRPr="006D3C55">
              <w:rPr>
                <w:color w:val="FFFFFF" w:themeColor="background1"/>
              </w:rPr>
              <w:t>%)</w:t>
            </w:r>
          </w:p>
        </w:tc>
        <w:tc>
          <w:tcPr>
            <w:tcW w:w="1590" w:type="dxa"/>
            <w:shd w:val="clear" w:color="auto" w:fill="003399" w:themeFill="text2"/>
            <w:hideMark/>
          </w:tcPr>
          <w:p w14:paraId="6C28B2DB" w14:textId="148EB5FE" w:rsidR="001301C1" w:rsidRPr="006D3C55" w:rsidRDefault="001301C1">
            <w:pPr>
              <w:spacing w:before="120" w:after="120"/>
              <w:rPr>
                <w:color w:val="FFFFFF" w:themeColor="background1"/>
              </w:rPr>
            </w:pPr>
            <w:r w:rsidRPr="006D3C55">
              <w:rPr>
                <w:color w:val="FFFFFF" w:themeColor="background1"/>
              </w:rPr>
              <w:t>EUR</w:t>
            </w:r>
            <w:r w:rsidRPr="006D3C55">
              <w:rPr>
                <w:rFonts w:ascii="Calibri" w:hAnsi="Calibri" w:cs="Calibri"/>
                <w:color w:val="FFFFFF" w:themeColor="background1"/>
              </w:rPr>
              <w:t> </w:t>
            </w:r>
            <w:r w:rsidRPr="006D3C55">
              <w:rPr>
                <w:color w:val="FFFFFF" w:themeColor="background1"/>
              </w:rPr>
              <w:t>0.</w:t>
            </w:r>
            <w:r w:rsidR="005F66D7" w:rsidRPr="006D3C55">
              <w:rPr>
                <w:color w:val="FFFFFF" w:themeColor="background1"/>
              </w:rPr>
              <w:t>6</w:t>
            </w:r>
            <w:r w:rsidRPr="006D3C55">
              <w:rPr>
                <w:rFonts w:ascii="Calibri" w:hAnsi="Calibri" w:cs="Calibri"/>
                <w:color w:val="FFFFFF" w:themeColor="background1"/>
              </w:rPr>
              <w:t> </w:t>
            </w:r>
            <w:r w:rsidRPr="006D3C55">
              <w:rPr>
                <w:color w:val="FFFFFF" w:themeColor="background1"/>
              </w:rPr>
              <w:t>billion (0.</w:t>
            </w:r>
            <w:r w:rsidR="00FD5DD6" w:rsidRPr="006D3C55">
              <w:rPr>
                <w:color w:val="FFFFFF" w:themeColor="background1"/>
              </w:rPr>
              <w:t>4</w:t>
            </w:r>
            <w:r w:rsidRPr="006D3C55">
              <w:rPr>
                <w:color w:val="FFFFFF" w:themeColor="background1"/>
              </w:rPr>
              <w:t>%)</w:t>
            </w:r>
          </w:p>
        </w:tc>
        <w:tc>
          <w:tcPr>
            <w:tcW w:w="1590" w:type="dxa"/>
            <w:shd w:val="clear" w:color="auto" w:fill="2688FE" w:themeFill="accent3"/>
            <w:hideMark/>
          </w:tcPr>
          <w:p w14:paraId="70626D99" w14:textId="1380E5A9" w:rsidR="001301C1" w:rsidRPr="006D3C55" w:rsidRDefault="001301C1">
            <w:pPr>
              <w:spacing w:before="120" w:after="120"/>
              <w:rPr>
                <w:color w:val="FFFFFF" w:themeColor="background1"/>
              </w:rPr>
            </w:pPr>
            <w:r w:rsidRPr="006D3C55">
              <w:rPr>
                <w:color w:val="FFFFFF" w:themeColor="background1"/>
              </w:rPr>
              <w:t>EUR</w:t>
            </w:r>
            <w:r w:rsidRPr="006D3C55">
              <w:rPr>
                <w:rFonts w:ascii="Calibri" w:hAnsi="Calibri" w:cs="Calibri"/>
                <w:color w:val="FFFFFF" w:themeColor="background1"/>
              </w:rPr>
              <w:t> </w:t>
            </w:r>
            <w:r w:rsidR="00FD5DD6" w:rsidRPr="006D3C55">
              <w:rPr>
                <w:color w:val="FFFFFF" w:themeColor="background1"/>
              </w:rPr>
              <w:t>16.4</w:t>
            </w:r>
            <w:r w:rsidRPr="006D3C55">
              <w:rPr>
                <w:rFonts w:ascii="Calibri" w:hAnsi="Calibri" w:cs="Calibri"/>
                <w:color w:val="FFFFFF" w:themeColor="background1"/>
              </w:rPr>
              <w:t> </w:t>
            </w:r>
            <w:r w:rsidRPr="006D3C55">
              <w:rPr>
                <w:color w:val="FFFFFF" w:themeColor="background1"/>
              </w:rPr>
              <w:t>billion (</w:t>
            </w:r>
            <w:r w:rsidR="002364B9" w:rsidRPr="006D3C55">
              <w:rPr>
                <w:color w:val="FFFFFF" w:themeColor="background1"/>
              </w:rPr>
              <w:t>9.8</w:t>
            </w:r>
            <w:r w:rsidRPr="006D3C55">
              <w:rPr>
                <w:color w:val="FFFFFF" w:themeColor="background1"/>
              </w:rPr>
              <w:t>%)</w:t>
            </w:r>
          </w:p>
        </w:tc>
        <w:tc>
          <w:tcPr>
            <w:tcW w:w="666" w:type="dxa"/>
            <w:vMerge/>
            <w:vAlign w:val="center"/>
            <w:hideMark/>
          </w:tcPr>
          <w:p w14:paraId="0B13721C" w14:textId="77777777" w:rsidR="001301C1" w:rsidRPr="006D3C55" w:rsidRDefault="001301C1">
            <w:pPr>
              <w:jc w:val="center"/>
              <w:rPr>
                <w:color w:val="FFFFFF" w:themeColor="background1"/>
                <w:highlight w:val="lightGray"/>
              </w:rPr>
            </w:pPr>
          </w:p>
        </w:tc>
      </w:tr>
      <w:tr w:rsidR="001301C1" w:rsidRPr="006D3C55" w14:paraId="43C23FAF" w14:textId="77777777" w:rsidTr="7C767930">
        <w:trPr>
          <w:trHeight w:val="170"/>
          <w:jc w:val="center"/>
        </w:trPr>
        <w:tc>
          <w:tcPr>
            <w:tcW w:w="1590" w:type="dxa"/>
            <w:shd w:val="clear" w:color="auto" w:fill="7030A0" w:themeFill="accent6"/>
            <w:vAlign w:val="center"/>
            <w:hideMark/>
          </w:tcPr>
          <w:p w14:paraId="0BBB7BBE" w14:textId="77777777" w:rsidR="001301C1" w:rsidRPr="006D3C55" w:rsidRDefault="001301C1">
            <w:pPr>
              <w:spacing w:before="80" w:after="80"/>
              <w:jc w:val="center"/>
              <w:rPr>
                <w:color w:val="FFFFFF" w:themeColor="background1"/>
              </w:rPr>
            </w:pPr>
            <w:r w:rsidRPr="006D3C55">
              <w:rPr>
                <w:noProof/>
                <w:color w:val="FFFFFF" w:themeColor="background1"/>
              </w:rPr>
              <w:drawing>
                <wp:inline distT="0" distB="0" distL="0" distR="0" wp14:anchorId="10701BCB" wp14:editId="37E6E7EE">
                  <wp:extent cx="243861" cy="249958"/>
                  <wp:effectExtent l="0" t="0" r="3810" b="0"/>
                  <wp:docPr id="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a:extLst>
                              <a:ext uri="{C183D7F6-B498-43B3-948B-1728B52AA6E4}">
                                <adec:decorative xmlns:adec="http://schemas.microsoft.com/office/drawing/2017/decorative" val="1"/>
                              </a:ext>
                            </a:extLst>
                          </pic:cNvPr>
                          <pic:cNvPicPr>
                            <a:picLocks noChangeAspect="1"/>
                          </pic:cNvPicPr>
                        </pic:nvPicPr>
                        <pic:blipFill>
                          <a:blip r:embed="rId39">
                            <a:extLst>
                              <a:ext uri="{28A0092B-C50C-407E-A947-70E740481C1C}">
                                <a14:useLocalDpi xmlns:a14="http://schemas.microsoft.com/office/drawing/2010/main" val="0"/>
                              </a:ext>
                            </a:extLst>
                          </a:blip>
                          <a:stretch>
                            <a:fillRect/>
                          </a:stretch>
                        </pic:blipFill>
                        <pic:spPr>
                          <a:xfrm>
                            <a:off x="0" y="0"/>
                            <a:ext cx="243861" cy="249958"/>
                          </a:xfrm>
                          <a:prstGeom prst="rect">
                            <a:avLst/>
                          </a:prstGeom>
                        </pic:spPr>
                      </pic:pic>
                    </a:graphicData>
                  </a:graphic>
                </wp:inline>
              </w:drawing>
            </w:r>
            <w:r w:rsidRPr="006D3C55">
              <w:rPr>
                <w:noProof/>
                <w:color w:val="FFFFFF" w:themeColor="background1"/>
              </w:rPr>
              <w:drawing>
                <wp:inline distT="0" distB="0" distL="0" distR="0" wp14:anchorId="305C5D3E" wp14:editId="6271EDCF">
                  <wp:extent cx="201600" cy="252000"/>
                  <wp:effectExtent l="0" t="0" r="8255" b="0"/>
                  <wp:docPr id="7" name="Picture 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 name="Picture 115">
                            <a:extLst>
                              <a:ext uri="{C183D7F6-B498-43B3-948B-1728B52AA6E4}">
                                <adec:decorative xmlns:adec="http://schemas.microsoft.com/office/drawing/2017/decorative" val="1"/>
                              </a:ext>
                            </a:extLst>
                          </pic:cNvPr>
                          <pic:cNvPicPr>
                            <a:picLocks noChangeAspect="1"/>
                          </pic:cNvPicPr>
                        </pic:nvPicPr>
                        <pic:blipFill>
                          <a:blip r:embed="rId40">
                            <a:extLst>
                              <a:ext uri="{28A0092B-C50C-407E-A947-70E740481C1C}">
                                <a14:useLocalDpi xmlns:a14="http://schemas.microsoft.com/office/drawing/2010/main" val="0"/>
                              </a:ext>
                            </a:extLst>
                          </a:blip>
                          <a:stretch>
                            <a:fillRect/>
                          </a:stretch>
                        </pic:blipFill>
                        <pic:spPr>
                          <a:xfrm>
                            <a:off x="0" y="0"/>
                            <a:ext cx="201600" cy="252000"/>
                          </a:xfrm>
                          <a:prstGeom prst="rect">
                            <a:avLst/>
                          </a:prstGeom>
                        </pic:spPr>
                      </pic:pic>
                    </a:graphicData>
                  </a:graphic>
                </wp:inline>
              </w:drawing>
            </w:r>
          </w:p>
        </w:tc>
        <w:tc>
          <w:tcPr>
            <w:tcW w:w="1590" w:type="dxa"/>
            <w:shd w:val="clear" w:color="auto" w:fill="DE6002" w:themeFill="accent2"/>
            <w:vAlign w:val="center"/>
            <w:hideMark/>
          </w:tcPr>
          <w:p w14:paraId="3286D774" w14:textId="77777777" w:rsidR="001301C1" w:rsidRPr="006D3C55" w:rsidRDefault="001301C1">
            <w:pPr>
              <w:spacing w:before="80" w:after="80"/>
              <w:jc w:val="center"/>
              <w:rPr>
                <w:color w:val="FFFFFF" w:themeColor="background1"/>
              </w:rPr>
            </w:pPr>
            <w:r w:rsidRPr="006D3C55">
              <w:rPr>
                <w:noProof/>
                <w:color w:val="FFFFFF" w:themeColor="background1"/>
              </w:rPr>
              <w:drawing>
                <wp:inline distT="0" distB="0" distL="0" distR="0" wp14:anchorId="47BD19AE" wp14:editId="3C8F0F3D">
                  <wp:extent cx="221360" cy="216000"/>
                  <wp:effectExtent l="0" t="0" r="7620" b="0"/>
                  <wp:docPr id="8" name="Picture 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 name="Picture 117">
                            <a:extLst>
                              <a:ext uri="{C183D7F6-B498-43B3-948B-1728B52AA6E4}">
                                <adec:decorative xmlns:adec="http://schemas.microsoft.com/office/drawing/2017/decorative" val="1"/>
                              </a:ext>
                            </a:extLst>
                          </pic:cNvPr>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221360" cy="216000"/>
                          </a:xfrm>
                          <a:prstGeom prst="rect">
                            <a:avLst/>
                          </a:prstGeom>
                          <a:noFill/>
                        </pic:spPr>
                      </pic:pic>
                    </a:graphicData>
                  </a:graphic>
                </wp:inline>
              </w:drawing>
            </w:r>
            <w:r w:rsidRPr="006D3C55">
              <w:rPr>
                <w:color w:val="FFFFFF" w:themeColor="background1"/>
              </w:rPr>
              <w:t xml:space="preserve"> </w:t>
            </w:r>
            <w:r w:rsidRPr="006D3C55">
              <w:rPr>
                <w:noProof/>
                <w:color w:val="FFFFFF" w:themeColor="background1"/>
              </w:rPr>
              <w:drawing>
                <wp:inline distT="0" distB="0" distL="0" distR="0" wp14:anchorId="574867A2" wp14:editId="0FBC8ED7">
                  <wp:extent cx="165789" cy="180000"/>
                  <wp:effectExtent l="0" t="0" r="5715" b="0"/>
                  <wp:docPr id="9" name="Picture 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 name="Picture 119">
                            <a:extLst>
                              <a:ext uri="{C183D7F6-B498-43B3-948B-1728B52AA6E4}">
                                <adec:decorative xmlns:adec="http://schemas.microsoft.com/office/drawing/2017/decorative" val="1"/>
                              </a:ext>
                            </a:extLst>
                          </pic:cNvPr>
                          <pic:cNvPicPr>
                            <a:picLocks noChangeAspect="1"/>
                          </pic:cNvPicPr>
                        </pic:nvPicPr>
                        <pic:blipFill>
                          <a:blip r:embed="rId42">
                            <a:extLst>
                              <a:ext uri="{28A0092B-C50C-407E-A947-70E740481C1C}">
                                <a14:useLocalDpi xmlns:a14="http://schemas.microsoft.com/office/drawing/2010/main" val="0"/>
                              </a:ext>
                            </a:extLst>
                          </a:blip>
                          <a:stretch>
                            <a:fillRect/>
                          </a:stretch>
                        </pic:blipFill>
                        <pic:spPr>
                          <a:xfrm>
                            <a:off x="0" y="0"/>
                            <a:ext cx="165789" cy="180000"/>
                          </a:xfrm>
                          <a:prstGeom prst="rect">
                            <a:avLst/>
                          </a:prstGeom>
                        </pic:spPr>
                      </pic:pic>
                    </a:graphicData>
                  </a:graphic>
                </wp:inline>
              </w:drawing>
            </w:r>
          </w:p>
        </w:tc>
        <w:tc>
          <w:tcPr>
            <w:tcW w:w="1590" w:type="dxa"/>
            <w:shd w:val="clear" w:color="auto" w:fill="008139" w:themeFill="accent1"/>
            <w:vAlign w:val="center"/>
            <w:hideMark/>
          </w:tcPr>
          <w:p w14:paraId="7A045627" w14:textId="5C6B78BB" w:rsidR="001301C1" w:rsidRPr="006D3C55" w:rsidRDefault="00082688">
            <w:pPr>
              <w:spacing w:before="80" w:after="80"/>
              <w:jc w:val="center"/>
              <w:rPr>
                <w:color w:val="FFFFFF" w:themeColor="background1"/>
              </w:rPr>
            </w:pPr>
            <w:r w:rsidRPr="006D3C55">
              <w:rPr>
                <w:noProof/>
                <w:color w:val="FFFFFF" w:themeColor="background1"/>
              </w:rPr>
              <w:drawing>
                <wp:inline distT="0" distB="0" distL="0" distR="0" wp14:anchorId="22037AA0" wp14:editId="7A840AB0">
                  <wp:extent cx="182880" cy="231140"/>
                  <wp:effectExtent l="0" t="0" r="7620" b="0"/>
                  <wp:docPr id="284780675" name="Picture 28478067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8">
                            <a:extLst>
                              <a:ext uri="{C183D7F6-B498-43B3-948B-1728B52AA6E4}">
                                <adec:decorative xmlns:adec="http://schemas.microsoft.com/office/drawing/2017/decorative" val="1"/>
                              </a:ext>
                            </a:extLst>
                          </pic:cNvPr>
                          <pic:cNvPicPr>
                            <a:picLocks noChangeAspect="1"/>
                          </pic:cNvPicPr>
                        </pic:nvPicPr>
                        <pic:blipFill>
                          <a:blip r:embed="rId43">
                            <a:biLevel thresh="25000"/>
                            <a:extLst>
                              <a:ext uri="{BEBA8EAE-BF5A-486C-A8C5-ECC9F3942E4B}">
                                <a14:imgProps xmlns:a14="http://schemas.microsoft.com/office/drawing/2010/main">
                                  <a14:imgLayer r:embed="rId44">
                                    <a14:imgEffect>
                                      <a14:brightnessContrast bright="-40000" contrast="-40000"/>
                                    </a14:imgEffect>
                                  </a14:imgLayer>
                                </a14:imgProps>
                              </a:ext>
                              <a:ext uri="{28A0092B-C50C-407E-A947-70E740481C1C}">
                                <a14:useLocalDpi xmlns:a14="http://schemas.microsoft.com/office/drawing/2010/main" val="0"/>
                              </a:ext>
                            </a:extLst>
                          </a:blip>
                          <a:stretch>
                            <a:fillRect/>
                          </a:stretch>
                        </pic:blipFill>
                        <pic:spPr>
                          <a:xfrm>
                            <a:off x="0" y="0"/>
                            <a:ext cx="182880" cy="231140"/>
                          </a:xfrm>
                          <a:prstGeom prst="rect">
                            <a:avLst/>
                          </a:prstGeom>
                        </pic:spPr>
                      </pic:pic>
                    </a:graphicData>
                  </a:graphic>
                </wp:inline>
              </w:drawing>
            </w:r>
          </w:p>
        </w:tc>
        <w:tc>
          <w:tcPr>
            <w:tcW w:w="1590" w:type="dxa"/>
            <w:shd w:val="clear" w:color="auto" w:fill="DC165D" w:themeFill="accent5"/>
            <w:vAlign w:val="center"/>
            <w:hideMark/>
          </w:tcPr>
          <w:p w14:paraId="136A0E48" w14:textId="77777777" w:rsidR="001301C1" w:rsidRPr="006D3C55" w:rsidRDefault="001301C1">
            <w:pPr>
              <w:spacing w:before="80" w:after="80"/>
              <w:jc w:val="center"/>
              <w:rPr>
                <w:color w:val="FFFFFF" w:themeColor="background1"/>
              </w:rPr>
            </w:pPr>
            <w:r w:rsidRPr="006D3C55">
              <w:rPr>
                <w:noProof/>
                <w:color w:val="FFFFFF" w:themeColor="background1"/>
              </w:rPr>
              <w:drawing>
                <wp:inline distT="0" distB="0" distL="0" distR="0" wp14:anchorId="6B666692" wp14:editId="5279E6B3">
                  <wp:extent cx="250825" cy="215900"/>
                  <wp:effectExtent l="0" t="0" r="0" b="0"/>
                  <wp:docPr id="11" name="Picture 1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openxmlformats.org/drawingml/2006/picture">
                      <pic:pic xmlns:pic="http://schemas.openxmlformats.org/drawingml/2006/picture">
                        <pic:nvPicPr>
                          <pic:cNvPr id="20" name="Picture 20">
                            <a:extLst>
                              <a:ext uri="{C183D7F6-B498-43B3-948B-1728B52AA6E4}">
                                <adec:decorative xmlns:adec="http://schemas.microsoft.com/office/drawing/2017/decorative" val="1"/>
                              </a:ext>
                            </a:extLst>
                          </pic:cNvPr>
                          <pic:cNvPicPr/>
                        </pic:nvPicPr>
                        <pic:blipFill>
                          <a:blip r:embed="rId45">
                            <a:extLst>
                              <a:ext uri="{28A0092B-C50C-407E-A947-70E740481C1C}">
                                <a14:useLocalDpi xmlns:a14="http://schemas.microsoft.com/office/drawing/2010/main" val="0"/>
                              </a:ext>
                            </a:extLst>
                          </a:blip>
                          <a:stretch>
                            <a:fillRect/>
                          </a:stretch>
                        </pic:blipFill>
                        <pic:spPr>
                          <a:xfrm>
                            <a:off x="0" y="0"/>
                            <a:ext cx="250825" cy="215900"/>
                          </a:xfrm>
                          <a:prstGeom prst="rect">
                            <a:avLst/>
                          </a:prstGeom>
                        </pic:spPr>
                      </pic:pic>
                    </a:graphicData>
                  </a:graphic>
                </wp:inline>
              </w:drawing>
            </w:r>
          </w:p>
        </w:tc>
        <w:tc>
          <w:tcPr>
            <w:tcW w:w="1590" w:type="dxa"/>
            <w:shd w:val="clear" w:color="auto" w:fill="003399" w:themeFill="text2"/>
            <w:vAlign w:val="center"/>
            <w:hideMark/>
          </w:tcPr>
          <w:p w14:paraId="66B29A39" w14:textId="77777777" w:rsidR="001301C1" w:rsidRPr="006D3C55" w:rsidRDefault="001301C1">
            <w:pPr>
              <w:spacing w:before="80" w:after="80"/>
              <w:jc w:val="center"/>
              <w:rPr>
                <w:color w:val="FFFFFF" w:themeColor="background1"/>
              </w:rPr>
            </w:pPr>
            <w:r w:rsidRPr="006D3C55">
              <w:rPr>
                <w:noProof/>
                <w:color w:val="FFFFFF" w:themeColor="background1"/>
              </w:rPr>
              <w:drawing>
                <wp:inline distT="0" distB="0" distL="0" distR="0" wp14:anchorId="29943E04" wp14:editId="371BE2E4">
                  <wp:extent cx="249958" cy="262151"/>
                  <wp:effectExtent l="0" t="0" r="0" b="5080"/>
                  <wp:docPr id="26" name="Picture 2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a:extLst>
                              <a:ext uri="{C183D7F6-B498-43B3-948B-1728B52AA6E4}">
                                <adec:decorative xmlns:adec="http://schemas.microsoft.com/office/drawing/2017/decorative" val="1"/>
                              </a:ext>
                            </a:extLst>
                          </pic:cNvPr>
                          <pic:cNvPicPr>
                            <a:picLocks noChangeAspect="1"/>
                          </pic:cNvPicPr>
                        </pic:nvPicPr>
                        <pic:blipFill>
                          <a:blip r:embed="rId46">
                            <a:extLst>
                              <a:ext uri="{28A0092B-C50C-407E-A947-70E740481C1C}">
                                <a14:useLocalDpi xmlns:a14="http://schemas.microsoft.com/office/drawing/2010/main" val="0"/>
                              </a:ext>
                            </a:extLst>
                          </a:blip>
                          <a:stretch>
                            <a:fillRect/>
                          </a:stretch>
                        </pic:blipFill>
                        <pic:spPr>
                          <a:xfrm>
                            <a:off x="0" y="0"/>
                            <a:ext cx="249958" cy="262151"/>
                          </a:xfrm>
                          <a:prstGeom prst="rect">
                            <a:avLst/>
                          </a:prstGeom>
                        </pic:spPr>
                      </pic:pic>
                    </a:graphicData>
                  </a:graphic>
                </wp:inline>
              </w:drawing>
            </w:r>
          </w:p>
        </w:tc>
        <w:tc>
          <w:tcPr>
            <w:tcW w:w="1590" w:type="dxa"/>
            <w:shd w:val="clear" w:color="auto" w:fill="2688FE" w:themeFill="accent3"/>
            <w:vAlign w:val="center"/>
            <w:hideMark/>
          </w:tcPr>
          <w:p w14:paraId="6CD37424" w14:textId="3FDD5CCA" w:rsidR="001301C1" w:rsidRPr="006D3C55" w:rsidRDefault="00082688">
            <w:pPr>
              <w:spacing w:before="80" w:after="80"/>
              <w:jc w:val="center"/>
              <w:rPr>
                <w:color w:val="FFFFFF" w:themeColor="background1"/>
              </w:rPr>
            </w:pPr>
            <w:r w:rsidRPr="006D3C55">
              <w:rPr>
                <w:noProof/>
                <w:color w:val="FFFFFF" w:themeColor="background1"/>
              </w:rPr>
              <w:drawing>
                <wp:inline distT="0" distB="0" distL="0" distR="0" wp14:anchorId="2A3D951D" wp14:editId="178E4A50">
                  <wp:extent cx="353695" cy="215900"/>
                  <wp:effectExtent l="0" t="0" r="8255" b="0"/>
                  <wp:docPr id="837533277" name="Picture 83753327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openxmlformats.org/drawingml/2006/picture">
                      <pic:pic xmlns:pic="http://schemas.openxmlformats.org/drawingml/2006/picture">
                        <pic:nvPicPr>
                          <pic:cNvPr id="23" name="Picture 23">
                            <a:extLst>
                              <a:ext uri="{C183D7F6-B498-43B3-948B-1728B52AA6E4}">
                                <adec:decorative xmlns:adec="http://schemas.microsoft.com/office/drawing/2017/decorative" val="1"/>
                              </a:ext>
                            </a:extLst>
                          </pic:cNvPr>
                          <pic:cNvPicPr/>
                        </pic:nvPicPr>
                        <pic:blipFill>
                          <a:blip r:embed="rId47">
                            <a:biLevel thresh="25000"/>
                            <a:extLst>
                              <a:ext uri="{BEBA8EAE-BF5A-486C-A8C5-ECC9F3942E4B}">
                                <a14:imgProps xmlns:a14="http://schemas.microsoft.com/office/drawing/2010/main">
                                  <a14:imgLayer r:embed="rId48">
                                    <a14:imgEffect>
                                      <a14:brightnessContrast bright="-40000" contrast="-40000"/>
                                    </a14:imgEffect>
                                  </a14:imgLayer>
                                </a14:imgProps>
                              </a:ext>
                              <a:ext uri="{28A0092B-C50C-407E-A947-70E740481C1C}">
                                <a14:useLocalDpi xmlns:a14="http://schemas.microsoft.com/office/drawing/2010/main" val="0"/>
                              </a:ext>
                            </a:extLst>
                          </a:blip>
                          <a:stretch>
                            <a:fillRect/>
                          </a:stretch>
                        </pic:blipFill>
                        <pic:spPr>
                          <a:xfrm>
                            <a:off x="0" y="0"/>
                            <a:ext cx="353695" cy="215900"/>
                          </a:xfrm>
                          <a:prstGeom prst="rect">
                            <a:avLst/>
                          </a:prstGeom>
                          <a:noFill/>
                          <a:ln>
                            <a:noFill/>
                          </a:ln>
                        </pic:spPr>
                      </pic:pic>
                    </a:graphicData>
                  </a:graphic>
                </wp:inline>
              </w:drawing>
            </w:r>
          </w:p>
        </w:tc>
        <w:tc>
          <w:tcPr>
            <w:tcW w:w="666" w:type="dxa"/>
            <w:vMerge/>
            <w:vAlign w:val="center"/>
            <w:hideMark/>
          </w:tcPr>
          <w:p w14:paraId="071B7774" w14:textId="77777777" w:rsidR="001301C1" w:rsidRPr="006D3C55" w:rsidRDefault="001301C1">
            <w:pPr>
              <w:jc w:val="center"/>
              <w:rPr>
                <w:color w:val="FFFFFF" w:themeColor="background1"/>
                <w:highlight w:val="lightGray"/>
              </w:rPr>
            </w:pPr>
          </w:p>
        </w:tc>
      </w:tr>
      <w:tr w:rsidR="001301C1" w:rsidRPr="006D3C55" w14:paraId="262FE97C" w14:textId="77777777" w:rsidTr="00E13857">
        <w:trPr>
          <w:trHeight w:val="567"/>
          <w:jc w:val="center"/>
        </w:trPr>
        <w:tc>
          <w:tcPr>
            <w:tcW w:w="1590" w:type="dxa"/>
            <w:shd w:val="clear" w:color="auto" w:fill="7030A0" w:themeFill="accent6"/>
            <w:hideMark/>
          </w:tcPr>
          <w:p w14:paraId="0E11EC4D" w14:textId="1E373FAF" w:rsidR="001301C1" w:rsidRPr="006D3C55" w:rsidRDefault="001301C1">
            <w:pPr>
              <w:spacing w:before="120" w:after="120"/>
              <w:rPr>
                <w:color w:val="FFFFFF" w:themeColor="background1"/>
                <w:sz w:val="18"/>
                <w:szCs w:val="18"/>
                <w:highlight w:val="lightGray"/>
              </w:rPr>
            </w:pPr>
            <w:r w:rsidRPr="006D3C55">
              <w:rPr>
                <w:color w:val="FFFFFF" w:themeColor="background1"/>
                <w:sz w:val="18"/>
                <w:szCs w:val="18"/>
              </w:rPr>
              <w:t>More than 4</w:t>
            </w:r>
            <w:r w:rsidRPr="006D3C55">
              <w:rPr>
                <w:rFonts w:ascii="Calibri" w:hAnsi="Calibri" w:cs="Calibri"/>
                <w:color w:val="FFFFFF" w:themeColor="background1"/>
                <w:sz w:val="18"/>
                <w:szCs w:val="18"/>
              </w:rPr>
              <w:t> </w:t>
            </w:r>
            <w:r w:rsidR="002718BF" w:rsidRPr="006D3C55">
              <w:rPr>
                <w:color w:val="FFFFFF" w:themeColor="background1"/>
                <w:sz w:val="18"/>
                <w:szCs w:val="18"/>
              </w:rPr>
              <w:t xml:space="preserve">300 </w:t>
            </w:r>
            <w:r w:rsidRPr="006D3C55">
              <w:rPr>
                <w:color w:val="FFFFFF" w:themeColor="background1"/>
                <w:sz w:val="18"/>
                <w:szCs w:val="18"/>
              </w:rPr>
              <w:t>Horizon Europe grants were signed in 202</w:t>
            </w:r>
            <w:r w:rsidR="002718BF" w:rsidRPr="006D3C55">
              <w:rPr>
                <w:color w:val="FFFFFF" w:themeColor="background1"/>
                <w:sz w:val="18"/>
                <w:szCs w:val="18"/>
              </w:rPr>
              <w:t>5</w:t>
            </w:r>
            <w:r w:rsidR="004F61F4">
              <w:rPr>
                <w:color w:val="FFFFFF" w:themeColor="background1"/>
                <w:sz w:val="18"/>
                <w:szCs w:val="18"/>
              </w:rPr>
              <w:t>,</w:t>
            </w:r>
            <w:r w:rsidR="00303AED">
              <w:rPr>
                <w:color w:val="FFFFFF" w:themeColor="background1"/>
                <w:sz w:val="18"/>
                <w:szCs w:val="18"/>
              </w:rPr>
              <w:t xml:space="preserve"> 19</w:t>
            </w:r>
            <w:r w:rsidR="00F41249">
              <w:rPr>
                <w:color w:val="FFFFFF" w:themeColor="background1"/>
                <w:sz w:val="18"/>
                <w:szCs w:val="18"/>
              </w:rPr>
              <w:t xml:space="preserve"> </w:t>
            </w:r>
            <w:r w:rsidR="00303AED">
              <w:rPr>
                <w:color w:val="FFFFFF" w:themeColor="background1"/>
                <w:sz w:val="18"/>
                <w:szCs w:val="18"/>
              </w:rPr>
              <w:t xml:space="preserve">500 </w:t>
            </w:r>
            <w:r w:rsidR="00F41249">
              <w:rPr>
                <w:color w:val="FFFFFF" w:themeColor="background1"/>
                <w:sz w:val="18"/>
                <w:szCs w:val="18"/>
              </w:rPr>
              <w:t>cumulatively</w:t>
            </w:r>
            <w:r w:rsidR="00A25515" w:rsidRPr="006D3C55">
              <w:rPr>
                <w:color w:val="FFFFFF" w:themeColor="background1"/>
                <w:sz w:val="18"/>
                <w:szCs w:val="18"/>
              </w:rPr>
              <w:t xml:space="preserve"> </w:t>
            </w:r>
            <w:r w:rsidR="00AF0DE8" w:rsidRPr="00F41249">
              <w:rPr>
                <w:rFonts w:asciiTheme="minorHAnsi" w:hAnsiTheme="minorHAnsi"/>
                <w:color w:val="FFFFFF" w:themeColor="background1"/>
                <w:sz w:val="18"/>
                <w:szCs w:val="18"/>
              </w:rPr>
              <w:t xml:space="preserve">and </w:t>
            </w:r>
            <w:r w:rsidR="00FD5AA3" w:rsidRPr="00F41249">
              <w:rPr>
                <w:rFonts w:asciiTheme="minorHAnsi" w:hAnsiTheme="minorHAnsi"/>
                <w:color w:val="FFFFFF" w:themeColor="background1"/>
                <w:sz w:val="18"/>
                <w:szCs w:val="18"/>
              </w:rPr>
              <w:t>almost EUR</w:t>
            </w:r>
            <w:r w:rsidR="00FD5AA3">
              <w:rPr>
                <w:rFonts w:ascii="Calibri" w:hAnsi="Calibri" w:cs="Calibri"/>
                <w:color w:val="FFFFFF" w:themeColor="background1"/>
                <w:sz w:val="18"/>
                <w:szCs w:val="18"/>
              </w:rPr>
              <w:t> </w:t>
            </w:r>
            <w:r w:rsidR="00FD5AA3" w:rsidRPr="00F41249">
              <w:rPr>
                <w:rFonts w:asciiTheme="minorHAnsi" w:hAnsiTheme="minorHAnsi" w:cs="Calibri"/>
                <w:color w:val="FFFFFF" w:themeColor="background1"/>
                <w:sz w:val="18"/>
                <w:szCs w:val="18"/>
              </w:rPr>
              <w:t>53</w:t>
            </w:r>
            <w:r w:rsidR="00FD5AA3">
              <w:rPr>
                <w:rFonts w:ascii="Calibri" w:hAnsi="Calibri" w:cs="Calibri"/>
                <w:color w:val="FFFFFF" w:themeColor="background1"/>
                <w:sz w:val="18"/>
                <w:szCs w:val="18"/>
              </w:rPr>
              <w:t> </w:t>
            </w:r>
            <w:r w:rsidR="00FD5AA3" w:rsidRPr="00F41249">
              <w:rPr>
                <w:rFonts w:asciiTheme="minorHAnsi" w:hAnsiTheme="minorHAnsi" w:cs="Calibri"/>
                <w:color w:val="FFFFFF" w:themeColor="background1"/>
                <w:sz w:val="18"/>
                <w:szCs w:val="18"/>
              </w:rPr>
              <w:t>billio</w:t>
            </w:r>
            <w:r w:rsidR="00581813" w:rsidRPr="00F41249">
              <w:rPr>
                <w:rFonts w:asciiTheme="minorHAnsi" w:hAnsiTheme="minorHAnsi" w:cs="Calibri"/>
                <w:color w:val="FFFFFF" w:themeColor="background1"/>
                <w:sz w:val="18"/>
                <w:szCs w:val="18"/>
              </w:rPr>
              <w:t>n</w:t>
            </w:r>
            <w:r w:rsidR="005E14B3" w:rsidRPr="00F41249">
              <w:rPr>
                <w:rFonts w:asciiTheme="minorHAnsi" w:hAnsiTheme="minorHAnsi" w:cs="Calibri"/>
                <w:color w:val="FFFFFF" w:themeColor="background1"/>
                <w:sz w:val="18"/>
                <w:szCs w:val="18"/>
              </w:rPr>
              <w:t xml:space="preserve"> of E</w:t>
            </w:r>
            <w:r w:rsidR="00AF0DE8" w:rsidRPr="00F41249">
              <w:rPr>
                <w:rFonts w:asciiTheme="minorHAnsi" w:hAnsiTheme="minorHAnsi" w:cs="Calibri"/>
                <w:color w:val="FFFFFF" w:themeColor="background1"/>
                <w:sz w:val="18"/>
                <w:szCs w:val="18"/>
              </w:rPr>
              <w:t>U</w:t>
            </w:r>
            <w:r w:rsidR="005E14B3" w:rsidRPr="00F41249">
              <w:rPr>
                <w:rFonts w:asciiTheme="minorHAnsi" w:hAnsiTheme="minorHAnsi" w:cs="Calibri"/>
                <w:color w:val="FFFFFF" w:themeColor="background1"/>
                <w:sz w:val="18"/>
                <w:szCs w:val="18"/>
              </w:rPr>
              <w:t xml:space="preserve"> contribution</w:t>
            </w:r>
            <w:r w:rsidR="00AC6DAB">
              <w:rPr>
                <w:rFonts w:asciiTheme="minorHAnsi" w:hAnsiTheme="minorHAnsi" w:cs="Calibri"/>
                <w:color w:val="FFFFFF" w:themeColor="background1"/>
                <w:sz w:val="18"/>
                <w:szCs w:val="18"/>
              </w:rPr>
              <w:t xml:space="preserve"> since 2021</w:t>
            </w:r>
            <w:r w:rsidRPr="00F41249">
              <w:rPr>
                <w:rFonts w:asciiTheme="minorHAnsi" w:hAnsiTheme="minorHAnsi"/>
                <w:color w:val="FFFFFF" w:themeColor="background1"/>
                <w:sz w:val="18"/>
                <w:szCs w:val="18"/>
              </w:rPr>
              <w:t>.</w:t>
            </w:r>
          </w:p>
        </w:tc>
        <w:tc>
          <w:tcPr>
            <w:tcW w:w="1590" w:type="dxa"/>
            <w:shd w:val="clear" w:color="auto" w:fill="DE6002" w:themeFill="accent2"/>
            <w:hideMark/>
          </w:tcPr>
          <w:p w14:paraId="60A303A3" w14:textId="74B891FE" w:rsidR="001301C1" w:rsidRPr="006D3C55" w:rsidRDefault="001301C1">
            <w:pPr>
              <w:spacing w:before="120" w:after="120"/>
              <w:rPr>
                <w:color w:val="FFFFFF" w:themeColor="background1"/>
                <w:sz w:val="18"/>
                <w:szCs w:val="18"/>
              </w:rPr>
            </w:pPr>
            <w:r w:rsidRPr="006D3C55">
              <w:rPr>
                <w:color w:val="FFFFFF" w:themeColor="background1"/>
                <w:sz w:val="18"/>
                <w:szCs w:val="18"/>
              </w:rPr>
              <w:t xml:space="preserve">Around </w:t>
            </w:r>
            <w:r w:rsidR="00D60E79" w:rsidRPr="006D3C55">
              <w:rPr>
                <w:color w:val="FFFFFF" w:themeColor="background1"/>
                <w:sz w:val="18"/>
                <w:szCs w:val="18"/>
              </w:rPr>
              <w:t>5</w:t>
            </w:r>
            <w:r w:rsidRPr="006D3C55">
              <w:rPr>
                <w:rFonts w:ascii="Calibri" w:hAnsi="Calibri" w:cs="Calibri"/>
                <w:color w:val="FFFFFF" w:themeColor="background1"/>
                <w:sz w:val="18"/>
                <w:szCs w:val="18"/>
              </w:rPr>
              <w:t> </w:t>
            </w:r>
            <w:r w:rsidRPr="006D3C55">
              <w:rPr>
                <w:color w:val="FFFFFF" w:themeColor="background1"/>
                <w:sz w:val="18"/>
                <w:szCs w:val="18"/>
              </w:rPr>
              <w:t xml:space="preserve">million enterprises have been supported and almost </w:t>
            </w:r>
            <w:r w:rsidR="00D60E79" w:rsidRPr="006D3C55">
              <w:rPr>
                <w:color w:val="FFFFFF" w:themeColor="background1"/>
                <w:sz w:val="18"/>
                <w:szCs w:val="18"/>
              </w:rPr>
              <w:t>145</w:t>
            </w:r>
            <w:r w:rsidR="00D60E79" w:rsidRPr="006D3C55">
              <w:rPr>
                <w:rFonts w:ascii="Calibri" w:hAnsi="Calibri" w:cs="Calibri"/>
                <w:color w:val="FFFFFF" w:themeColor="background1"/>
                <w:sz w:val="18"/>
                <w:szCs w:val="18"/>
              </w:rPr>
              <w:t> </w:t>
            </w:r>
            <w:r w:rsidRPr="006D3C55">
              <w:rPr>
                <w:color w:val="FFFFFF" w:themeColor="background1"/>
                <w:sz w:val="18"/>
                <w:szCs w:val="18"/>
              </w:rPr>
              <w:t>million people have been covered by improved health services since 2014.</w:t>
            </w:r>
          </w:p>
        </w:tc>
        <w:tc>
          <w:tcPr>
            <w:tcW w:w="1590" w:type="dxa"/>
            <w:shd w:val="clear" w:color="auto" w:fill="008139" w:themeFill="accent1"/>
            <w:hideMark/>
          </w:tcPr>
          <w:p w14:paraId="68CF70DC" w14:textId="59A75BC3" w:rsidR="001301C1" w:rsidRPr="006D3C55" w:rsidRDefault="001301C1">
            <w:pPr>
              <w:spacing w:before="120" w:after="120"/>
              <w:rPr>
                <w:color w:val="FFFFFF" w:themeColor="background1"/>
                <w:sz w:val="18"/>
                <w:szCs w:val="18"/>
                <w:highlight w:val="lightGray"/>
              </w:rPr>
            </w:pPr>
            <w:r w:rsidRPr="006D3C55">
              <w:rPr>
                <w:color w:val="FFFFFF" w:themeColor="background1"/>
                <w:sz w:val="18"/>
                <w:szCs w:val="18"/>
              </w:rPr>
              <w:t>Some 5.</w:t>
            </w:r>
            <w:r w:rsidR="00691CCE" w:rsidRPr="006D3C55">
              <w:rPr>
                <w:color w:val="FFFFFF" w:themeColor="background1"/>
                <w:sz w:val="18"/>
                <w:szCs w:val="18"/>
              </w:rPr>
              <w:t>6</w:t>
            </w:r>
            <w:r w:rsidRPr="006D3C55">
              <w:rPr>
                <w:rFonts w:ascii="Calibri" w:hAnsi="Calibri" w:cs="Calibri"/>
                <w:color w:val="FFFFFF" w:themeColor="background1"/>
                <w:sz w:val="18"/>
                <w:szCs w:val="18"/>
              </w:rPr>
              <w:t> </w:t>
            </w:r>
            <w:r w:rsidRPr="006D3C55">
              <w:rPr>
                <w:color w:val="FFFFFF" w:themeColor="background1"/>
                <w:sz w:val="18"/>
                <w:szCs w:val="18"/>
              </w:rPr>
              <w:t xml:space="preserve">million beneficiaries were supported by agricultural funds under a variety of different </w:t>
            </w:r>
            <w:r w:rsidR="001C7CAB" w:rsidRPr="006D3C55">
              <w:rPr>
                <w:color w:val="FFFFFF" w:themeColor="background1"/>
                <w:sz w:val="18"/>
                <w:szCs w:val="18"/>
              </w:rPr>
              <w:t xml:space="preserve">interventions and </w:t>
            </w:r>
            <w:r w:rsidRPr="006D3C55">
              <w:rPr>
                <w:color w:val="FFFFFF" w:themeColor="background1"/>
                <w:sz w:val="18"/>
                <w:szCs w:val="18"/>
              </w:rPr>
              <w:t>schemes in 202</w:t>
            </w:r>
            <w:r w:rsidR="001C7CAB" w:rsidRPr="006D3C55">
              <w:rPr>
                <w:color w:val="FFFFFF" w:themeColor="background1"/>
                <w:sz w:val="18"/>
                <w:szCs w:val="18"/>
              </w:rPr>
              <w:t>5</w:t>
            </w:r>
            <w:r w:rsidRPr="004C2177">
              <w:rPr>
                <w:color w:val="FFFFFF" w:themeColor="background1"/>
                <w:sz w:val="18"/>
                <w:szCs w:val="18"/>
              </w:rPr>
              <w:t>.</w:t>
            </w:r>
          </w:p>
        </w:tc>
        <w:tc>
          <w:tcPr>
            <w:tcW w:w="1590" w:type="dxa"/>
            <w:shd w:val="clear" w:color="auto" w:fill="DC165D" w:themeFill="accent5"/>
          </w:tcPr>
          <w:p w14:paraId="7929904B" w14:textId="60623F77" w:rsidR="001301C1" w:rsidRPr="006D3C55" w:rsidRDefault="00E13857">
            <w:pPr>
              <w:spacing w:before="120" w:after="120"/>
              <w:rPr>
                <w:color w:val="FFFFFF" w:themeColor="background1"/>
                <w:sz w:val="18"/>
                <w:szCs w:val="18"/>
              </w:rPr>
            </w:pPr>
            <w:r w:rsidRPr="00E13857">
              <w:rPr>
                <w:color w:val="FFFFFF" w:themeColor="background1"/>
                <w:sz w:val="18"/>
                <w:szCs w:val="18"/>
              </w:rPr>
              <w:t>Member States received an additional allocation of EUR</w:t>
            </w:r>
            <w:r>
              <w:rPr>
                <w:rFonts w:ascii="Calibri" w:hAnsi="Calibri" w:cs="Calibri"/>
                <w:color w:val="FFFFFF" w:themeColor="background1"/>
                <w:sz w:val="18"/>
                <w:szCs w:val="18"/>
              </w:rPr>
              <w:t> </w:t>
            </w:r>
            <w:r w:rsidRPr="00E13857">
              <w:rPr>
                <w:color w:val="FFFFFF" w:themeColor="background1"/>
                <w:sz w:val="18"/>
                <w:szCs w:val="18"/>
              </w:rPr>
              <w:t>169.9</w:t>
            </w:r>
            <w:r>
              <w:rPr>
                <w:rFonts w:ascii="Calibri" w:hAnsi="Calibri" w:cs="Calibri"/>
                <w:color w:val="FFFFFF" w:themeColor="background1"/>
                <w:sz w:val="18"/>
                <w:szCs w:val="18"/>
              </w:rPr>
              <w:t> </w:t>
            </w:r>
            <w:r w:rsidRPr="00E13857">
              <w:rPr>
                <w:color w:val="FFFFFF" w:themeColor="background1"/>
                <w:sz w:val="18"/>
                <w:szCs w:val="18"/>
              </w:rPr>
              <w:t>million for the purchase of equipment to be used for border surveillance</w:t>
            </w:r>
            <w:r>
              <w:rPr>
                <w:color w:val="FFFFFF" w:themeColor="background1"/>
                <w:sz w:val="18"/>
                <w:szCs w:val="18"/>
              </w:rPr>
              <w:t>.</w:t>
            </w:r>
          </w:p>
        </w:tc>
        <w:tc>
          <w:tcPr>
            <w:tcW w:w="1590" w:type="dxa"/>
            <w:shd w:val="clear" w:color="auto" w:fill="003399" w:themeFill="text2"/>
            <w:hideMark/>
          </w:tcPr>
          <w:p w14:paraId="4A918E6C" w14:textId="1A745BBA" w:rsidR="001301C1" w:rsidRPr="006D3C55" w:rsidRDefault="00796715">
            <w:pPr>
              <w:spacing w:before="120" w:after="120"/>
              <w:rPr>
                <w:color w:val="FFFFFF" w:themeColor="background1"/>
                <w:sz w:val="18"/>
                <w:szCs w:val="18"/>
                <w:highlight w:val="lightGray"/>
              </w:rPr>
            </w:pPr>
            <w:r>
              <w:rPr>
                <w:color w:val="FFFFFF" w:themeColor="background1"/>
                <w:sz w:val="18"/>
                <w:szCs w:val="18"/>
              </w:rPr>
              <w:t xml:space="preserve">Since </w:t>
            </w:r>
            <w:r w:rsidR="005E207B">
              <w:rPr>
                <w:color w:val="FFFFFF" w:themeColor="background1"/>
                <w:sz w:val="18"/>
                <w:szCs w:val="18"/>
              </w:rPr>
              <w:t>2021</w:t>
            </w:r>
            <w:r w:rsidR="00882D25">
              <w:rPr>
                <w:color w:val="FFFFFF" w:themeColor="background1"/>
                <w:sz w:val="18"/>
                <w:szCs w:val="18"/>
              </w:rPr>
              <w:t>,</w:t>
            </w:r>
            <w:r w:rsidR="005E207B">
              <w:rPr>
                <w:color w:val="FFFFFF" w:themeColor="background1"/>
                <w:sz w:val="18"/>
                <w:szCs w:val="18"/>
              </w:rPr>
              <w:t xml:space="preserve"> </w:t>
            </w:r>
            <w:r>
              <w:rPr>
                <w:color w:val="FFFFFF" w:themeColor="background1"/>
                <w:sz w:val="18"/>
                <w:szCs w:val="18"/>
              </w:rPr>
              <w:t>the E</w:t>
            </w:r>
            <w:r w:rsidR="00463667">
              <w:rPr>
                <w:color w:val="FFFFFF" w:themeColor="background1"/>
                <w:sz w:val="18"/>
                <w:szCs w:val="18"/>
              </w:rPr>
              <w:t xml:space="preserve">uropean Defence Fund </w:t>
            </w:r>
            <w:r w:rsidR="00F30FCB">
              <w:rPr>
                <w:color w:val="FFFFFF" w:themeColor="background1"/>
                <w:sz w:val="18"/>
                <w:szCs w:val="18"/>
              </w:rPr>
              <w:t xml:space="preserve">has </w:t>
            </w:r>
            <w:r w:rsidR="00463667">
              <w:rPr>
                <w:color w:val="FFFFFF" w:themeColor="background1"/>
                <w:sz w:val="18"/>
                <w:szCs w:val="18"/>
              </w:rPr>
              <w:t>s</w:t>
            </w:r>
            <w:r w:rsidR="00BF51BC" w:rsidRPr="006D3C55">
              <w:rPr>
                <w:color w:val="FFFFFF" w:themeColor="background1"/>
                <w:sz w:val="18"/>
                <w:szCs w:val="18"/>
              </w:rPr>
              <w:t>upport</w:t>
            </w:r>
            <w:r w:rsidR="00463667">
              <w:rPr>
                <w:color w:val="FFFFFF" w:themeColor="background1"/>
                <w:sz w:val="18"/>
                <w:szCs w:val="18"/>
              </w:rPr>
              <w:t>ed</w:t>
            </w:r>
            <w:r w:rsidR="000F7DE1" w:rsidRPr="006D3C55" w:rsidDel="00463667">
              <w:rPr>
                <w:color w:val="FFFFFF" w:themeColor="background1"/>
                <w:sz w:val="18"/>
                <w:szCs w:val="18"/>
              </w:rPr>
              <w:t xml:space="preserve"> </w:t>
            </w:r>
            <w:r w:rsidR="00BF51BC" w:rsidRPr="006D3C55">
              <w:rPr>
                <w:color w:val="FFFFFF" w:themeColor="background1"/>
                <w:sz w:val="18"/>
                <w:szCs w:val="18"/>
              </w:rPr>
              <w:t xml:space="preserve">225 collaborative projects </w:t>
            </w:r>
            <w:r w:rsidR="00856302">
              <w:rPr>
                <w:color w:val="FFFFFF" w:themeColor="background1"/>
                <w:sz w:val="18"/>
                <w:szCs w:val="18"/>
              </w:rPr>
              <w:t>focusing</w:t>
            </w:r>
            <w:r w:rsidR="00657563">
              <w:rPr>
                <w:color w:val="FFFFFF" w:themeColor="background1"/>
                <w:sz w:val="18"/>
                <w:szCs w:val="18"/>
              </w:rPr>
              <w:t xml:space="preserve"> </w:t>
            </w:r>
            <w:r w:rsidR="000F7DE1" w:rsidRPr="006D3C55">
              <w:rPr>
                <w:color w:val="FFFFFF" w:themeColor="background1"/>
                <w:sz w:val="18"/>
                <w:szCs w:val="18"/>
              </w:rPr>
              <w:t xml:space="preserve">on </w:t>
            </w:r>
            <w:r w:rsidR="00C331DA" w:rsidRPr="006D3C55">
              <w:rPr>
                <w:color w:val="FFFFFF" w:themeColor="background1"/>
                <w:sz w:val="18"/>
                <w:szCs w:val="18"/>
              </w:rPr>
              <w:t>research and development in defence</w:t>
            </w:r>
            <w:r w:rsidR="001301C1" w:rsidRPr="006D3C55">
              <w:rPr>
                <w:color w:val="FFFFFF" w:themeColor="background1"/>
                <w:sz w:val="18"/>
                <w:szCs w:val="18"/>
              </w:rPr>
              <w:t>.</w:t>
            </w:r>
          </w:p>
        </w:tc>
        <w:tc>
          <w:tcPr>
            <w:tcW w:w="1590" w:type="dxa"/>
            <w:shd w:val="clear" w:color="auto" w:fill="2688FE" w:themeFill="accent3"/>
            <w:hideMark/>
          </w:tcPr>
          <w:p w14:paraId="4D11A4C4" w14:textId="76842C7E" w:rsidR="001301C1" w:rsidRPr="006D3C55" w:rsidRDefault="00062FFC">
            <w:pPr>
              <w:spacing w:before="120" w:after="120"/>
              <w:rPr>
                <w:color w:val="FFFFFF" w:themeColor="background1"/>
                <w:sz w:val="18"/>
                <w:szCs w:val="18"/>
              </w:rPr>
            </w:pPr>
            <w:r>
              <w:rPr>
                <w:color w:val="FFFFFF" w:themeColor="background1"/>
                <w:sz w:val="18"/>
                <w:szCs w:val="18"/>
              </w:rPr>
              <w:t>S</w:t>
            </w:r>
            <w:r w:rsidR="007F03BB" w:rsidRPr="007F03BB">
              <w:rPr>
                <w:color w:val="FFFFFF" w:themeColor="background1"/>
                <w:sz w:val="18"/>
                <w:szCs w:val="18"/>
              </w:rPr>
              <w:t xml:space="preserve">ustainable development, stability, and partnerships </w:t>
            </w:r>
            <w:r w:rsidR="00124195">
              <w:rPr>
                <w:color w:val="FFFFFF" w:themeColor="background1"/>
                <w:sz w:val="18"/>
                <w:szCs w:val="18"/>
              </w:rPr>
              <w:t xml:space="preserve">were supported </w:t>
            </w:r>
            <w:r w:rsidR="007F03BB" w:rsidRPr="007F03BB">
              <w:rPr>
                <w:color w:val="FFFFFF" w:themeColor="background1"/>
                <w:sz w:val="18"/>
                <w:szCs w:val="18"/>
              </w:rPr>
              <w:t xml:space="preserve">across </w:t>
            </w:r>
            <w:r w:rsidR="08840775" w:rsidRPr="006D3C55">
              <w:rPr>
                <w:color w:val="FFFFFF" w:themeColor="background1"/>
                <w:sz w:val="18"/>
                <w:szCs w:val="18"/>
              </w:rPr>
              <w:t xml:space="preserve">around </w:t>
            </w:r>
            <w:r w:rsidR="001301C1" w:rsidRPr="006D3C55">
              <w:rPr>
                <w:color w:val="FFFFFF" w:themeColor="background1"/>
                <w:sz w:val="18"/>
                <w:szCs w:val="18"/>
              </w:rPr>
              <w:t xml:space="preserve">130 non-EU countries </w:t>
            </w:r>
            <w:r w:rsidR="006C6A5A" w:rsidRPr="006D3C55">
              <w:rPr>
                <w:color w:val="FFFFFF" w:themeColor="background1"/>
                <w:sz w:val="18"/>
                <w:szCs w:val="18"/>
              </w:rPr>
              <w:t xml:space="preserve">throughout </w:t>
            </w:r>
            <w:r w:rsidR="001301C1" w:rsidRPr="006D3C55">
              <w:rPr>
                <w:color w:val="FFFFFF" w:themeColor="background1"/>
                <w:sz w:val="18"/>
                <w:szCs w:val="18"/>
              </w:rPr>
              <w:t>the world.</w:t>
            </w:r>
          </w:p>
        </w:tc>
        <w:tc>
          <w:tcPr>
            <w:tcW w:w="666" w:type="dxa"/>
            <w:vMerge/>
            <w:vAlign w:val="center"/>
            <w:hideMark/>
          </w:tcPr>
          <w:p w14:paraId="38EAE3BF" w14:textId="77777777" w:rsidR="001301C1" w:rsidRPr="006D3C55" w:rsidRDefault="001301C1">
            <w:pPr>
              <w:jc w:val="center"/>
              <w:rPr>
                <w:color w:val="FFFFFF" w:themeColor="background1"/>
                <w:highlight w:val="lightGray"/>
              </w:rPr>
            </w:pPr>
          </w:p>
        </w:tc>
      </w:tr>
    </w:tbl>
    <w:p w14:paraId="171CFE62" w14:textId="2F2C168A" w:rsidR="001301C1" w:rsidRPr="006D3C55" w:rsidRDefault="001301C1" w:rsidP="001301C1">
      <w:pPr>
        <w:pStyle w:val="ImageSource"/>
      </w:pPr>
      <w:r w:rsidRPr="00EC0CD9">
        <w:rPr>
          <w:rStyle w:val="Italic"/>
        </w:rPr>
        <w:t>Source:</w:t>
      </w:r>
      <w:r w:rsidRPr="006D3C55">
        <w:t xml:space="preserve"> European Commission annual activity </w:t>
      </w:r>
      <w:bookmarkEnd w:id="30"/>
      <w:r w:rsidRPr="006D3C55">
        <w:t>reports</w:t>
      </w:r>
      <w:r w:rsidR="006917A0" w:rsidRPr="006D3C55">
        <w:t xml:space="preserve"> for 2025</w:t>
      </w:r>
      <w:r w:rsidRPr="006D3C55">
        <w:t>.</w:t>
      </w:r>
    </w:p>
    <w:p w14:paraId="4E57C241" w14:textId="3FD5888D" w:rsidR="001301C1" w:rsidRPr="006D3C55" w:rsidRDefault="001301C1" w:rsidP="001301C1">
      <w:r w:rsidRPr="006D3C55">
        <w:t xml:space="preserve">Under the EU budget, </w:t>
      </w:r>
      <w:r w:rsidR="00A81373" w:rsidRPr="006D3C55">
        <w:rPr>
          <w:rFonts w:hint="eastAsia"/>
        </w:rPr>
        <w:t>expenditure for which the management is shared between the Commission and</w:t>
      </w:r>
      <w:r w:rsidRPr="006D3C55">
        <w:t xml:space="preserve"> Member States</w:t>
      </w:r>
      <w:r w:rsidR="007A0189" w:rsidRPr="006D3C55">
        <w:rPr>
          <w:rFonts w:ascii="Calibri" w:hAnsi="Calibri" w:cs="Calibri"/>
        </w:rPr>
        <w:t> </w:t>
      </w:r>
      <w:r w:rsidR="00C32C89" w:rsidRPr="006D3C55">
        <w:rPr>
          <w:rFonts w:hint="eastAsia"/>
        </w:rPr>
        <w:t>(</w:t>
      </w:r>
      <w:r w:rsidR="00C32C89" w:rsidRPr="00352191">
        <w:rPr>
          <w:rStyle w:val="FootnoteReference"/>
          <w:rFonts w:hint="eastAsia"/>
        </w:rPr>
        <w:footnoteReference w:id="3"/>
      </w:r>
      <w:r w:rsidR="00C32C89" w:rsidRPr="006D3C55">
        <w:rPr>
          <w:rFonts w:hint="eastAsia"/>
        </w:rPr>
        <w:t>)</w:t>
      </w:r>
      <w:r w:rsidRPr="006D3C55">
        <w:t xml:space="preserve"> (especially expenditure on cohesion policy and agriculture) represents the biggest share of the total expenditure. The rest of the budget was implemented either directly by the Commission or indirectly through entrusted entities such as international organisations, the European Investment Bank and national promotional banks. The table</w:t>
      </w:r>
      <w:r w:rsidRPr="006D3C55" w:rsidDel="006B3F27">
        <w:t xml:space="preserve"> </w:t>
      </w:r>
      <w:r w:rsidRPr="006D3C55">
        <w:t>that follows describes the three management modes.</w:t>
      </w:r>
    </w:p>
    <w:p w14:paraId="17C40A7D" w14:textId="76F54991" w:rsidR="001301C1" w:rsidRPr="006D3C55" w:rsidRDefault="00D50621" w:rsidP="00640868">
      <w:pPr>
        <w:pStyle w:val="TableTitle"/>
        <w:spacing w:after="240"/>
        <w:rPr>
          <w:highlight w:val="lightGray"/>
        </w:rPr>
      </w:pPr>
      <w:r w:rsidRPr="006D3C55">
        <w:t xml:space="preserve">2025 </w:t>
      </w:r>
      <w:r w:rsidR="001301C1" w:rsidRPr="006D3C55">
        <w:t>expen</w:t>
      </w:r>
      <w:r w:rsidR="00287824" w:rsidRPr="006D3C55">
        <w:t>diture</w:t>
      </w:r>
      <w:r w:rsidR="001301C1" w:rsidRPr="006D3C55">
        <w:t xml:space="preserve"> </w:t>
      </w:r>
      <w:r w:rsidRPr="006D3C55">
        <w:t>from the EU budget</w:t>
      </w:r>
      <w:r w:rsidR="005B537D" w:rsidRPr="005B537D">
        <w:t xml:space="preserve"> </w:t>
      </w:r>
      <w:r w:rsidR="005B537D" w:rsidRPr="006D3C55">
        <w:t>by management mode</w:t>
      </w:r>
    </w:p>
    <w:tbl>
      <w:tblPr>
        <w:tblStyle w:val="PlainTable2"/>
        <w:tblW w:w="5118" w:type="pct"/>
        <w:tblBorders>
          <w:top w:val="none" w:sz="0" w:space="0" w:color="auto"/>
          <w:bottom w:val="none" w:sz="0" w:space="0" w:color="auto"/>
          <w:insideH w:val="single" w:sz="4" w:space="0" w:color="FFFFFF" w:themeColor="background1"/>
          <w:insideV w:val="single" w:sz="4" w:space="0" w:color="FFFFFF" w:themeColor="background1"/>
        </w:tblBorders>
        <w:tblCellMar>
          <w:top w:w="28" w:type="dxa"/>
          <w:left w:w="57" w:type="dxa"/>
          <w:bottom w:w="28" w:type="dxa"/>
          <w:right w:w="57" w:type="dxa"/>
        </w:tblCellMar>
        <w:tblLook w:val="04A0" w:firstRow="1" w:lastRow="0" w:firstColumn="1" w:lastColumn="0" w:noHBand="0" w:noVBand="1"/>
      </w:tblPr>
      <w:tblGrid>
        <w:gridCol w:w="2116"/>
        <w:gridCol w:w="3530"/>
        <w:gridCol w:w="3515"/>
        <w:gridCol w:w="123"/>
      </w:tblGrid>
      <w:tr w:rsidR="001301C1" w:rsidRPr="006D3C55" w14:paraId="5E65DEF7" w14:textId="77777777" w:rsidTr="005309DF">
        <w:trPr>
          <w:cnfStyle w:val="100000000000" w:firstRow="1" w:lastRow="0" w:firstColumn="0" w:lastColumn="0" w:oddVBand="0" w:evenVBand="0" w:oddHBand="0" w:evenHBand="0" w:firstRowFirstColumn="0" w:firstRowLastColumn="0" w:lastRowFirstColumn="0" w:lastRowLastColumn="0"/>
          <w:trHeight w:val="545"/>
        </w:trPr>
        <w:tc>
          <w:tcPr>
            <w:cnfStyle w:val="001000000000" w:firstRow="0" w:lastRow="0" w:firstColumn="1" w:lastColumn="0" w:oddVBand="0" w:evenVBand="0" w:oddHBand="0" w:evenHBand="0" w:firstRowFirstColumn="0" w:firstRowLastColumn="0" w:lastRowFirstColumn="0" w:lastRowLastColumn="0"/>
            <w:tcW w:w="1140" w:type="pct"/>
            <w:tcBorders>
              <w:top w:val="nil"/>
              <w:bottom w:val="nil"/>
            </w:tcBorders>
            <w:vAlign w:val="bottom"/>
          </w:tcPr>
          <w:p w14:paraId="56D30CD7" w14:textId="12E8C79B" w:rsidR="001301C1" w:rsidRPr="006D3C55" w:rsidRDefault="001301C1">
            <w:pPr>
              <w:spacing w:before="0" w:after="120"/>
              <w:jc w:val="center"/>
              <w:rPr>
                <w:color w:val="000000" w:themeColor="text1"/>
              </w:rPr>
            </w:pPr>
          </w:p>
        </w:tc>
        <w:tc>
          <w:tcPr>
            <w:tcW w:w="1901" w:type="pct"/>
            <w:tcBorders>
              <w:top w:val="nil"/>
              <w:bottom w:val="nil"/>
            </w:tcBorders>
            <w:vAlign w:val="center"/>
          </w:tcPr>
          <w:p w14:paraId="79A06D1E" w14:textId="371B5C84" w:rsidR="001301C1" w:rsidRPr="006D3C55" w:rsidRDefault="001301C1">
            <w:pPr>
              <w:spacing w:before="0" w:after="120"/>
              <w:jc w:val="center"/>
              <w:cnfStyle w:val="100000000000" w:firstRow="1" w:lastRow="0" w:firstColumn="0" w:lastColumn="0" w:oddVBand="0" w:evenVBand="0" w:oddHBand="0" w:evenHBand="0" w:firstRowFirstColumn="0" w:firstRowLastColumn="0" w:lastRowFirstColumn="0" w:lastRowLastColumn="0"/>
              <w:rPr>
                <w:color w:val="000000" w:themeColor="text1"/>
              </w:rPr>
            </w:pPr>
            <w:r w:rsidRPr="006D3C55">
              <w:rPr>
                <w:color w:val="000000" w:themeColor="text1"/>
              </w:rPr>
              <w:t xml:space="preserve">Examples </w:t>
            </w:r>
            <w:r w:rsidR="00DF5887" w:rsidRPr="006D3C55">
              <w:rPr>
                <w:color w:val="000000" w:themeColor="text1"/>
              </w:rPr>
              <w:br/>
            </w:r>
            <w:r w:rsidRPr="006D3C55">
              <w:rPr>
                <w:color w:val="000000" w:themeColor="text1"/>
              </w:rPr>
              <w:t>of programmes/spending</w:t>
            </w:r>
          </w:p>
        </w:tc>
        <w:tc>
          <w:tcPr>
            <w:tcW w:w="1893" w:type="pct"/>
            <w:tcBorders>
              <w:top w:val="nil"/>
              <w:bottom w:val="nil"/>
            </w:tcBorders>
            <w:vAlign w:val="center"/>
          </w:tcPr>
          <w:p w14:paraId="1A871003" w14:textId="368867EC" w:rsidR="001301C1" w:rsidRPr="006D3C55" w:rsidRDefault="001301C1">
            <w:pPr>
              <w:spacing w:before="0" w:after="120"/>
              <w:jc w:val="center"/>
              <w:cnfStyle w:val="100000000000" w:firstRow="1" w:lastRow="0" w:firstColumn="0" w:lastColumn="0" w:oddVBand="0" w:evenVBand="0" w:oddHBand="0" w:evenHBand="0" w:firstRowFirstColumn="0" w:firstRowLastColumn="0" w:lastRowFirstColumn="0" w:lastRowLastColumn="0"/>
              <w:rPr>
                <w:color w:val="000000" w:themeColor="text1"/>
                <w:spacing w:val="-4"/>
              </w:rPr>
            </w:pPr>
            <w:r w:rsidRPr="006D3C55">
              <w:rPr>
                <w:color w:val="000000" w:themeColor="text1"/>
                <w:spacing w:val="-4"/>
              </w:rPr>
              <w:t xml:space="preserve">Other actors involved, in </w:t>
            </w:r>
            <w:r w:rsidR="00DF5887" w:rsidRPr="006D3C55">
              <w:rPr>
                <w:color w:val="000000" w:themeColor="text1"/>
                <w:spacing w:val="-4"/>
              </w:rPr>
              <w:br/>
            </w:r>
            <w:r w:rsidRPr="006D3C55">
              <w:rPr>
                <w:color w:val="000000" w:themeColor="text1"/>
                <w:spacing w:val="-4"/>
              </w:rPr>
              <w:t>cooperation with the Commission</w:t>
            </w:r>
          </w:p>
        </w:tc>
        <w:tc>
          <w:tcPr>
            <w:tcW w:w="66" w:type="pct"/>
            <w:tcBorders>
              <w:top w:val="nil"/>
              <w:bottom w:val="nil"/>
            </w:tcBorders>
            <w:vAlign w:val="bottom"/>
          </w:tcPr>
          <w:p w14:paraId="4A7DFD29" w14:textId="4A55CF6C" w:rsidR="001301C1" w:rsidRPr="006D3C55" w:rsidRDefault="001301C1">
            <w:pPr>
              <w:spacing w:before="0" w:after="120"/>
              <w:jc w:val="center"/>
              <w:cnfStyle w:val="100000000000" w:firstRow="1" w:lastRow="0" w:firstColumn="0" w:lastColumn="0" w:oddVBand="0" w:evenVBand="0" w:oddHBand="0" w:evenHBand="0" w:firstRowFirstColumn="0" w:firstRowLastColumn="0" w:lastRowFirstColumn="0" w:lastRowLastColumn="0"/>
              <w:rPr>
                <w:color w:val="000000" w:themeColor="text1"/>
                <w:highlight w:val="lightGray"/>
              </w:rPr>
            </w:pPr>
          </w:p>
        </w:tc>
      </w:tr>
      <w:tr w:rsidR="001301C1" w:rsidRPr="006D3C55" w14:paraId="3EECFA00" w14:textId="77777777" w:rsidTr="005309DF">
        <w:trPr>
          <w:cnfStyle w:val="000000100000" w:firstRow="0" w:lastRow="0" w:firstColumn="0" w:lastColumn="0" w:oddVBand="0" w:evenVBand="0" w:oddHBand="1" w:evenHBand="0" w:firstRowFirstColumn="0" w:firstRowLastColumn="0" w:lastRowFirstColumn="0" w:lastRowLastColumn="0"/>
          <w:trHeight w:val="759"/>
        </w:trPr>
        <w:tc>
          <w:tcPr>
            <w:cnfStyle w:val="001000000000" w:firstRow="0" w:lastRow="0" w:firstColumn="1" w:lastColumn="0" w:oddVBand="0" w:evenVBand="0" w:oddHBand="0" w:evenHBand="0" w:firstRowFirstColumn="0" w:firstRowLastColumn="0" w:lastRowFirstColumn="0" w:lastRowLastColumn="0"/>
            <w:tcW w:w="1140" w:type="pct"/>
            <w:vMerge w:val="restart"/>
            <w:tcBorders>
              <w:top w:val="nil"/>
            </w:tcBorders>
          </w:tcPr>
          <w:p w14:paraId="0527981B" w14:textId="05916C2A" w:rsidR="001301C1" w:rsidRPr="006D3C55" w:rsidRDefault="001579CF">
            <w:pPr>
              <w:spacing w:before="0"/>
              <w:jc w:val="center"/>
              <w:rPr>
                <w:highlight w:val="lightGray"/>
              </w:rPr>
            </w:pPr>
            <w:r w:rsidRPr="001579CF">
              <w:rPr>
                <w:noProof/>
                <w:highlight w:val="lightGray"/>
              </w:rPr>
              <w:drawing>
                <wp:inline distT="0" distB="0" distL="0" distR="0" wp14:anchorId="556DAAF5" wp14:editId="0DFF29B5">
                  <wp:extent cx="1220724" cy="5640251"/>
                  <wp:effectExtent l="0" t="0" r="0" b="0"/>
                  <wp:docPr id="5" name="Picture 4" descr="&#10;Table showing 2025 expenses by management mode in percentage. Direct management (meaning the funds are implemented by the Commission) 2025  represent 35% of all expenditure. Indirect management (meaning  the funds are implemented in cooperation with entrusted entities) represents 10% of the expenses and Shared management (meaning the funds are implemented in cooperation with member states and regional entities) represent 55%. &#10;The table presents  presents some examples of programmes and spending per management mode as well as examples of other actors involved in cooperation with the commission.">
                    <a:extLst xmlns:a="http://schemas.openxmlformats.org/drawingml/2006/main">
                      <a:ext uri="{FF2B5EF4-FFF2-40B4-BE49-F238E27FC236}">
                        <a16:creationId xmlns:a16="http://schemas.microsoft.com/office/drawing/2014/main" id="{2906137B-1441-28D1-F221-651CF61693C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descr="&#10;Table showing 2025 expenses by management mode in percentage. Direct management (meaning the funds are implemented by the Commission) 2025  represent 35% of all expenditure. Indirect management (meaning  the funds are implemented in cooperation with entrusted entities) represents 10% of the expenses and Shared management (meaning the funds are implemented in cooperation with member states and regional entities) represent 55%. &#10;The table presents  presents some examples of programmes and spending per management mode as well as examples of other actors involved in cooperation with the commission.">
                            <a:extLst>
                              <a:ext uri="{FF2B5EF4-FFF2-40B4-BE49-F238E27FC236}">
                                <a16:creationId xmlns:a16="http://schemas.microsoft.com/office/drawing/2014/main" id="{2906137B-1441-28D1-F221-651CF61693C2}"/>
                              </a:ext>
                            </a:extLst>
                          </pic:cNvPr>
                          <pic:cNvPicPr>
                            <a:picLocks noChangeAspect="1"/>
                          </pic:cNvPicPr>
                        </pic:nvPicPr>
                        <pic:blipFill>
                          <a:blip r:embed="rId49"/>
                          <a:stretch>
                            <a:fillRect/>
                          </a:stretch>
                        </pic:blipFill>
                        <pic:spPr>
                          <a:xfrm>
                            <a:off x="0" y="0"/>
                            <a:ext cx="1220724" cy="5640251"/>
                          </a:xfrm>
                          <a:prstGeom prst="rect">
                            <a:avLst/>
                          </a:prstGeom>
                        </pic:spPr>
                      </pic:pic>
                    </a:graphicData>
                  </a:graphic>
                </wp:inline>
              </w:drawing>
            </w:r>
          </w:p>
        </w:tc>
        <w:tc>
          <w:tcPr>
            <w:tcW w:w="3794" w:type="pct"/>
            <w:gridSpan w:val="2"/>
            <w:tcBorders>
              <w:top w:val="nil"/>
              <w:bottom w:val="single" w:sz="4" w:space="0" w:color="FFFFFF" w:themeColor="background1"/>
            </w:tcBorders>
            <w:shd w:val="clear" w:color="auto" w:fill="D3E7FE" w:themeFill="accent3" w:themeFillTint="33"/>
            <w:vAlign w:val="center"/>
          </w:tcPr>
          <w:p w14:paraId="5B02E646" w14:textId="77777777" w:rsidR="001301C1" w:rsidRPr="006D3C55" w:rsidRDefault="001301C1">
            <w:pPr>
              <w:spacing w:before="0" w:after="120"/>
              <w:jc w:val="center"/>
              <w:cnfStyle w:val="000000100000" w:firstRow="0" w:lastRow="0" w:firstColumn="0" w:lastColumn="0" w:oddVBand="0" w:evenVBand="0" w:oddHBand="1" w:evenHBand="0" w:firstRowFirstColumn="0" w:firstRowLastColumn="0" w:lastRowFirstColumn="0" w:lastRowLastColumn="0"/>
              <w:rPr>
                <w:b/>
                <w:color w:val="2688FE" w:themeColor="accent3"/>
              </w:rPr>
            </w:pPr>
            <w:r w:rsidRPr="006D3C55">
              <w:rPr>
                <w:b/>
                <w:color w:val="2688FE" w:themeColor="accent3"/>
              </w:rPr>
              <w:t>Direct management</w:t>
            </w:r>
          </w:p>
          <w:p w14:paraId="1948FA8D" w14:textId="77777777" w:rsidR="001301C1" w:rsidRPr="006D3C55" w:rsidRDefault="001301C1">
            <w:pPr>
              <w:spacing w:before="0"/>
              <w:jc w:val="center"/>
              <w:cnfStyle w:val="000000100000" w:firstRow="0" w:lastRow="0" w:firstColumn="0" w:lastColumn="0" w:oddVBand="0" w:evenVBand="0" w:oddHBand="1" w:evenHBand="0" w:firstRowFirstColumn="0" w:firstRowLastColumn="0" w:lastRowFirstColumn="0" w:lastRowLastColumn="0"/>
              <w:rPr>
                <w:b/>
                <w:color w:val="A64701" w:themeColor="accent2" w:themeShade="BF"/>
              </w:rPr>
            </w:pPr>
            <w:r w:rsidRPr="006D3C55">
              <w:t>Funds are implemented by the Commission.</w:t>
            </w:r>
          </w:p>
        </w:tc>
        <w:tc>
          <w:tcPr>
            <w:tcW w:w="66" w:type="pct"/>
            <w:vMerge w:val="restart"/>
            <w:tcBorders>
              <w:top w:val="nil"/>
            </w:tcBorders>
          </w:tcPr>
          <w:p w14:paraId="1FC0B503" w14:textId="081FD605" w:rsidR="001301C1" w:rsidRPr="006D3C55" w:rsidRDefault="001301C1">
            <w:pPr>
              <w:spacing w:before="0"/>
              <w:jc w:val="center"/>
              <w:cnfStyle w:val="000000100000" w:firstRow="0" w:lastRow="0" w:firstColumn="0" w:lastColumn="0" w:oddVBand="0" w:evenVBand="0" w:oddHBand="1" w:evenHBand="0" w:firstRowFirstColumn="0" w:firstRowLastColumn="0" w:lastRowFirstColumn="0" w:lastRowLastColumn="0"/>
              <w:rPr>
                <w:highlight w:val="lightGray"/>
              </w:rPr>
            </w:pPr>
          </w:p>
        </w:tc>
      </w:tr>
      <w:tr w:rsidR="001301C1" w:rsidRPr="006D3C55" w14:paraId="608F1D4D" w14:textId="77777777" w:rsidTr="005309DF">
        <w:trPr>
          <w:trHeight w:val="2230"/>
        </w:trPr>
        <w:tc>
          <w:tcPr>
            <w:cnfStyle w:val="001000000000" w:firstRow="0" w:lastRow="0" w:firstColumn="1" w:lastColumn="0" w:oddVBand="0" w:evenVBand="0" w:oddHBand="0" w:evenHBand="0" w:firstRowFirstColumn="0" w:firstRowLastColumn="0" w:lastRowFirstColumn="0" w:lastRowLastColumn="0"/>
            <w:tcW w:w="1140" w:type="pct"/>
            <w:vMerge/>
          </w:tcPr>
          <w:p w14:paraId="243F9789" w14:textId="77777777" w:rsidR="001301C1" w:rsidRPr="006D3C55" w:rsidRDefault="001301C1">
            <w:pPr>
              <w:spacing w:before="0"/>
              <w:rPr>
                <w:highlight w:val="lightGray"/>
              </w:rPr>
            </w:pPr>
          </w:p>
        </w:tc>
        <w:tc>
          <w:tcPr>
            <w:tcW w:w="1901" w:type="pct"/>
            <w:tcBorders>
              <w:top w:val="single" w:sz="4" w:space="0" w:color="FFFFFF" w:themeColor="background1"/>
              <w:bottom w:val="single" w:sz="4" w:space="0" w:color="FFFFFF" w:themeColor="background1"/>
            </w:tcBorders>
            <w:shd w:val="clear" w:color="auto" w:fill="D3E7FE" w:themeFill="accent3" w:themeFillTint="33"/>
          </w:tcPr>
          <w:p w14:paraId="36A52BD3" w14:textId="77777777" w:rsidR="001301C1" w:rsidRPr="006D3C55" w:rsidRDefault="001301C1">
            <w:pPr>
              <w:spacing w:before="60"/>
              <w:cnfStyle w:val="000000000000" w:firstRow="0" w:lastRow="0" w:firstColumn="0" w:lastColumn="0" w:oddVBand="0" w:evenVBand="0" w:oddHBand="0" w:evenHBand="0" w:firstRowFirstColumn="0" w:firstRowLastColumn="0" w:lastRowFirstColumn="0" w:lastRowLastColumn="0"/>
              <w:rPr>
                <w:color w:val="000000" w:themeColor="text1"/>
              </w:rPr>
            </w:pPr>
            <w:r w:rsidRPr="006D3C55">
              <w:rPr>
                <w:color w:val="000000" w:themeColor="text1"/>
              </w:rPr>
              <w:t>Horizon programmes; Connecting Europe Facility; administrative expenditure.</w:t>
            </w:r>
          </w:p>
        </w:tc>
        <w:tc>
          <w:tcPr>
            <w:tcW w:w="1893" w:type="pct"/>
            <w:tcBorders>
              <w:top w:val="single" w:sz="4" w:space="0" w:color="FFFFFF" w:themeColor="background1"/>
              <w:bottom w:val="single" w:sz="4" w:space="0" w:color="FFFFFF" w:themeColor="background1"/>
            </w:tcBorders>
            <w:shd w:val="clear" w:color="auto" w:fill="D3E7FE" w:themeFill="accent3" w:themeFillTint="33"/>
          </w:tcPr>
          <w:p w14:paraId="798F1B4F" w14:textId="77777777" w:rsidR="001301C1" w:rsidRPr="006D3C55" w:rsidRDefault="001301C1">
            <w:pPr>
              <w:spacing w:before="60"/>
              <w:cnfStyle w:val="000000000000" w:firstRow="0" w:lastRow="0" w:firstColumn="0" w:lastColumn="0" w:oddVBand="0" w:evenVBand="0" w:oddHBand="0" w:evenHBand="0" w:firstRowFirstColumn="0" w:firstRowLastColumn="0" w:lastRowFirstColumn="0" w:lastRowLastColumn="0"/>
              <w:rPr>
                <w:color w:val="000000" w:themeColor="text1"/>
              </w:rPr>
            </w:pPr>
            <w:r w:rsidRPr="006D3C55">
              <w:rPr>
                <w:color w:val="000000" w:themeColor="text1"/>
              </w:rPr>
              <w:t>n/a (funding goes directly to the beneficiaries).</w:t>
            </w:r>
          </w:p>
        </w:tc>
        <w:tc>
          <w:tcPr>
            <w:tcW w:w="66" w:type="pct"/>
            <w:vMerge/>
          </w:tcPr>
          <w:p w14:paraId="0217A7DB" w14:textId="77777777" w:rsidR="001301C1" w:rsidRPr="006D3C55" w:rsidRDefault="001301C1">
            <w:pPr>
              <w:spacing w:before="0"/>
              <w:cnfStyle w:val="000000000000" w:firstRow="0" w:lastRow="0" w:firstColumn="0" w:lastColumn="0" w:oddVBand="0" w:evenVBand="0" w:oddHBand="0" w:evenHBand="0" w:firstRowFirstColumn="0" w:firstRowLastColumn="0" w:lastRowFirstColumn="0" w:lastRowLastColumn="0"/>
              <w:rPr>
                <w:highlight w:val="lightGray"/>
              </w:rPr>
            </w:pPr>
          </w:p>
        </w:tc>
      </w:tr>
      <w:tr w:rsidR="001301C1" w:rsidRPr="006D3C55" w14:paraId="7583B4C1" w14:textId="77777777" w:rsidTr="005309DF">
        <w:trPr>
          <w:cnfStyle w:val="000000100000" w:firstRow="0" w:lastRow="0" w:firstColumn="0" w:lastColumn="0" w:oddVBand="0" w:evenVBand="0" w:oddHBand="1" w:evenHBand="0" w:firstRowFirstColumn="0" w:firstRowLastColumn="0" w:lastRowFirstColumn="0" w:lastRowLastColumn="0"/>
          <w:trHeight w:val="145"/>
        </w:trPr>
        <w:tc>
          <w:tcPr>
            <w:cnfStyle w:val="001000000000" w:firstRow="0" w:lastRow="0" w:firstColumn="1" w:lastColumn="0" w:oddVBand="0" w:evenVBand="0" w:oddHBand="0" w:evenHBand="0" w:firstRowFirstColumn="0" w:firstRowLastColumn="0" w:lastRowFirstColumn="0" w:lastRowLastColumn="0"/>
            <w:tcW w:w="1140" w:type="pct"/>
            <w:vMerge/>
          </w:tcPr>
          <w:p w14:paraId="6D63FB46" w14:textId="77777777" w:rsidR="001301C1" w:rsidRPr="006D3C55" w:rsidRDefault="001301C1">
            <w:pPr>
              <w:spacing w:before="0"/>
              <w:rPr>
                <w:highlight w:val="lightGray"/>
              </w:rPr>
            </w:pPr>
          </w:p>
        </w:tc>
        <w:tc>
          <w:tcPr>
            <w:tcW w:w="3794" w:type="pct"/>
            <w:gridSpan w:val="2"/>
            <w:tcBorders>
              <w:top w:val="single" w:sz="4" w:space="0" w:color="FFFFFF" w:themeColor="background1"/>
              <w:bottom w:val="single" w:sz="4" w:space="0" w:color="FFFFFF" w:themeColor="background1"/>
            </w:tcBorders>
            <w:shd w:val="clear" w:color="auto" w:fill="FEDEC6" w:themeFill="accent2" w:themeFillTint="33"/>
          </w:tcPr>
          <w:p w14:paraId="2FAB9747" w14:textId="77777777" w:rsidR="001301C1" w:rsidRPr="006D3C55" w:rsidRDefault="001301C1">
            <w:pPr>
              <w:spacing w:before="0" w:after="120"/>
              <w:jc w:val="center"/>
              <w:cnfStyle w:val="000000100000" w:firstRow="0" w:lastRow="0" w:firstColumn="0" w:lastColumn="0" w:oddVBand="0" w:evenVBand="0" w:oddHBand="1" w:evenHBand="0" w:firstRowFirstColumn="0" w:firstRowLastColumn="0" w:lastRowFirstColumn="0" w:lastRowLastColumn="0"/>
              <w:rPr>
                <w:b/>
                <w:color w:val="DC3903"/>
              </w:rPr>
            </w:pPr>
            <w:r w:rsidRPr="006D3C55">
              <w:rPr>
                <w:b/>
                <w:color w:val="DC3903"/>
              </w:rPr>
              <w:t>Indirect management</w:t>
            </w:r>
          </w:p>
          <w:p w14:paraId="64D75987" w14:textId="77777777" w:rsidR="001301C1" w:rsidRPr="006D3C55" w:rsidRDefault="001301C1">
            <w:pPr>
              <w:spacing w:before="0"/>
              <w:jc w:val="center"/>
              <w:cnfStyle w:val="000000100000" w:firstRow="0" w:lastRow="0" w:firstColumn="0" w:lastColumn="0" w:oddVBand="0" w:evenVBand="0" w:oddHBand="1" w:evenHBand="0" w:firstRowFirstColumn="0" w:firstRowLastColumn="0" w:lastRowFirstColumn="0" w:lastRowLastColumn="0"/>
            </w:pPr>
            <w:r w:rsidRPr="006D3C55">
              <w:t>Funds are implemented in cooperation with entrusted entities.</w:t>
            </w:r>
          </w:p>
        </w:tc>
        <w:tc>
          <w:tcPr>
            <w:tcW w:w="66" w:type="pct"/>
            <w:vMerge/>
          </w:tcPr>
          <w:p w14:paraId="34928EF9" w14:textId="77777777" w:rsidR="001301C1" w:rsidRPr="006D3C55" w:rsidRDefault="001301C1">
            <w:pPr>
              <w:spacing w:before="0"/>
              <w:cnfStyle w:val="000000100000" w:firstRow="0" w:lastRow="0" w:firstColumn="0" w:lastColumn="0" w:oddVBand="0" w:evenVBand="0" w:oddHBand="1" w:evenHBand="0" w:firstRowFirstColumn="0" w:firstRowLastColumn="0" w:lastRowFirstColumn="0" w:lastRowLastColumn="0"/>
              <w:rPr>
                <w:highlight w:val="lightGray"/>
              </w:rPr>
            </w:pPr>
          </w:p>
        </w:tc>
      </w:tr>
      <w:tr w:rsidR="001301C1" w:rsidRPr="006D3C55" w14:paraId="5BB64B83" w14:textId="77777777" w:rsidTr="005309DF">
        <w:trPr>
          <w:trHeight w:val="145"/>
        </w:trPr>
        <w:tc>
          <w:tcPr>
            <w:cnfStyle w:val="001000000000" w:firstRow="0" w:lastRow="0" w:firstColumn="1" w:lastColumn="0" w:oddVBand="0" w:evenVBand="0" w:oddHBand="0" w:evenHBand="0" w:firstRowFirstColumn="0" w:firstRowLastColumn="0" w:lastRowFirstColumn="0" w:lastRowLastColumn="0"/>
            <w:tcW w:w="1140" w:type="pct"/>
            <w:vMerge/>
          </w:tcPr>
          <w:p w14:paraId="58BA4932" w14:textId="77777777" w:rsidR="001301C1" w:rsidRPr="006D3C55" w:rsidRDefault="001301C1">
            <w:pPr>
              <w:spacing w:before="0"/>
              <w:rPr>
                <w:highlight w:val="lightGray"/>
              </w:rPr>
            </w:pPr>
          </w:p>
        </w:tc>
        <w:tc>
          <w:tcPr>
            <w:tcW w:w="1901" w:type="pct"/>
            <w:tcBorders>
              <w:top w:val="single" w:sz="4" w:space="0" w:color="FFFFFF" w:themeColor="background1"/>
              <w:bottom w:val="single" w:sz="4" w:space="0" w:color="FFFFFF" w:themeColor="background1"/>
            </w:tcBorders>
            <w:shd w:val="clear" w:color="auto" w:fill="FEDEC6" w:themeFill="accent2" w:themeFillTint="33"/>
          </w:tcPr>
          <w:p w14:paraId="7D96F161" w14:textId="61884F38" w:rsidR="001301C1" w:rsidRPr="006D3C55" w:rsidRDefault="001301C1">
            <w:pPr>
              <w:spacing w:before="60"/>
              <w:cnfStyle w:val="000000000000" w:firstRow="0" w:lastRow="0" w:firstColumn="0" w:lastColumn="0" w:oddVBand="0" w:evenVBand="0" w:oddHBand="0" w:evenHBand="0" w:firstRowFirstColumn="0" w:firstRowLastColumn="0" w:lastRowFirstColumn="0" w:lastRowLastColumn="0"/>
            </w:pPr>
            <w:r w:rsidRPr="006D3C55">
              <w:t>Erasmus+; part of development and humanitarian aid; pre-accession assistance; external action</w:t>
            </w:r>
            <w:r w:rsidR="009C0EED" w:rsidRPr="006D3C55">
              <w:t>.</w:t>
            </w:r>
          </w:p>
        </w:tc>
        <w:tc>
          <w:tcPr>
            <w:tcW w:w="1893" w:type="pct"/>
            <w:tcBorders>
              <w:top w:val="single" w:sz="4" w:space="0" w:color="FFFFFF" w:themeColor="background1"/>
              <w:bottom w:val="single" w:sz="4" w:space="0" w:color="FFFFFF" w:themeColor="background1"/>
            </w:tcBorders>
            <w:shd w:val="clear" w:color="auto" w:fill="FEDEC6" w:themeFill="accent2" w:themeFillTint="33"/>
          </w:tcPr>
          <w:p w14:paraId="22B71DDC" w14:textId="3FE2B05F" w:rsidR="001301C1" w:rsidRPr="006D3C55" w:rsidRDefault="001301C1">
            <w:pPr>
              <w:spacing w:before="60"/>
              <w:cnfStyle w:val="000000000000" w:firstRow="0" w:lastRow="0" w:firstColumn="0" w:lastColumn="0" w:oddVBand="0" w:evenVBand="0" w:oddHBand="0" w:evenHBand="0" w:firstRowFirstColumn="0" w:firstRowLastColumn="0" w:lastRowFirstColumn="0" w:lastRowLastColumn="0"/>
            </w:pPr>
            <w:r w:rsidRPr="006D3C55">
              <w:t>Agencies</w:t>
            </w:r>
            <w:r w:rsidR="00B2493E" w:rsidRPr="006D3C55">
              <w:t>;</w:t>
            </w:r>
            <w:r w:rsidRPr="006D3C55">
              <w:t xml:space="preserve"> joint undertakings</w:t>
            </w:r>
            <w:r w:rsidR="00B2493E" w:rsidRPr="006D3C55">
              <w:t>;</w:t>
            </w:r>
            <w:r w:rsidRPr="006D3C55">
              <w:t xml:space="preserve"> United Nations</w:t>
            </w:r>
            <w:r w:rsidR="00B2493E" w:rsidRPr="006D3C55">
              <w:t>;</w:t>
            </w:r>
            <w:r w:rsidRPr="006D3C55">
              <w:t xml:space="preserve"> World Bank</w:t>
            </w:r>
            <w:r w:rsidR="00B2493E" w:rsidRPr="006D3C55">
              <w:t>;</w:t>
            </w:r>
            <w:r w:rsidRPr="006D3C55">
              <w:t xml:space="preserve"> European Investment Bank</w:t>
            </w:r>
            <w:r w:rsidR="00B2493E" w:rsidRPr="006D3C55">
              <w:t>;</w:t>
            </w:r>
            <w:r w:rsidRPr="006D3C55">
              <w:t xml:space="preserve"> European Bank for Reconstruction and Development</w:t>
            </w:r>
            <w:r w:rsidR="00B2493E" w:rsidRPr="006D3C55">
              <w:t>;</w:t>
            </w:r>
            <w:r w:rsidRPr="006D3C55">
              <w:t xml:space="preserve"> non-EU countries</w:t>
            </w:r>
            <w:r w:rsidR="00B2493E" w:rsidRPr="006D3C55">
              <w:t>;</w:t>
            </w:r>
            <w:r w:rsidRPr="006D3C55">
              <w:t xml:space="preserve"> etc.</w:t>
            </w:r>
          </w:p>
        </w:tc>
        <w:tc>
          <w:tcPr>
            <w:tcW w:w="66" w:type="pct"/>
            <w:vMerge/>
          </w:tcPr>
          <w:p w14:paraId="66015211" w14:textId="77777777" w:rsidR="001301C1" w:rsidRPr="006D3C55" w:rsidRDefault="001301C1">
            <w:pPr>
              <w:spacing w:before="0"/>
              <w:cnfStyle w:val="000000000000" w:firstRow="0" w:lastRow="0" w:firstColumn="0" w:lastColumn="0" w:oddVBand="0" w:evenVBand="0" w:oddHBand="0" w:evenHBand="0" w:firstRowFirstColumn="0" w:firstRowLastColumn="0" w:lastRowFirstColumn="0" w:lastRowLastColumn="0"/>
              <w:rPr>
                <w:highlight w:val="lightGray"/>
              </w:rPr>
            </w:pPr>
          </w:p>
        </w:tc>
      </w:tr>
      <w:tr w:rsidR="001301C1" w:rsidRPr="006D3C55" w14:paraId="019B4387" w14:textId="77777777" w:rsidTr="005309DF">
        <w:trPr>
          <w:cnfStyle w:val="000000100000" w:firstRow="0" w:lastRow="0" w:firstColumn="0" w:lastColumn="0" w:oddVBand="0" w:evenVBand="0" w:oddHBand="1" w:evenHBand="0" w:firstRowFirstColumn="0" w:firstRowLastColumn="0" w:lastRowFirstColumn="0" w:lastRowLastColumn="0"/>
          <w:trHeight w:val="145"/>
        </w:trPr>
        <w:tc>
          <w:tcPr>
            <w:cnfStyle w:val="001000000000" w:firstRow="0" w:lastRow="0" w:firstColumn="1" w:lastColumn="0" w:oddVBand="0" w:evenVBand="0" w:oddHBand="0" w:evenHBand="0" w:firstRowFirstColumn="0" w:firstRowLastColumn="0" w:lastRowFirstColumn="0" w:lastRowLastColumn="0"/>
            <w:tcW w:w="1140" w:type="pct"/>
            <w:vMerge/>
          </w:tcPr>
          <w:p w14:paraId="7B7BCBA9" w14:textId="77777777" w:rsidR="001301C1" w:rsidRPr="006D3C55" w:rsidRDefault="001301C1">
            <w:pPr>
              <w:spacing w:before="0"/>
              <w:rPr>
                <w:highlight w:val="lightGray"/>
              </w:rPr>
            </w:pPr>
          </w:p>
        </w:tc>
        <w:tc>
          <w:tcPr>
            <w:tcW w:w="3794" w:type="pct"/>
            <w:gridSpan w:val="2"/>
            <w:tcBorders>
              <w:top w:val="single" w:sz="4" w:space="0" w:color="FFFFFF" w:themeColor="background1"/>
              <w:bottom w:val="single" w:sz="4" w:space="0" w:color="FFFFFF" w:themeColor="background1"/>
            </w:tcBorders>
            <w:shd w:val="clear" w:color="auto" w:fill="E1EBFF"/>
          </w:tcPr>
          <w:p w14:paraId="574101E3" w14:textId="77777777" w:rsidR="001301C1" w:rsidRPr="006D3C55" w:rsidRDefault="001301C1">
            <w:pPr>
              <w:spacing w:before="0" w:after="120"/>
              <w:jc w:val="center"/>
              <w:cnfStyle w:val="000000100000" w:firstRow="0" w:lastRow="0" w:firstColumn="0" w:lastColumn="0" w:oddVBand="0" w:evenVBand="0" w:oddHBand="1" w:evenHBand="0" w:firstRowFirstColumn="0" w:firstRowLastColumn="0" w:lastRowFirstColumn="0" w:lastRowLastColumn="0"/>
              <w:rPr>
                <w:b/>
                <w:color w:val="003399" w:themeColor="text2"/>
              </w:rPr>
            </w:pPr>
            <w:r w:rsidRPr="006D3C55">
              <w:rPr>
                <w:b/>
                <w:color w:val="003399" w:themeColor="text2"/>
              </w:rPr>
              <w:t>Shared management</w:t>
            </w:r>
          </w:p>
          <w:p w14:paraId="73F24617" w14:textId="7694FD48" w:rsidR="001301C1" w:rsidRPr="006D3C55" w:rsidRDefault="001301C1">
            <w:pPr>
              <w:spacing w:before="0" w:after="60"/>
              <w:jc w:val="center"/>
              <w:cnfStyle w:val="000000100000" w:firstRow="0" w:lastRow="0" w:firstColumn="0" w:lastColumn="0" w:oddVBand="0" w:evenVBand="0" w:oddHBand="1" w:evenHBand="0" w:firstRowFirstColumn="0" w:firstRowLastColumn="0" w:lastRowFirstColumn="0" w:lastRowLastColumn="0"/>
            </w:pPr>
            <w:r w:rsidRPr="006D3C55">
              <w:t>Funds are implemented in cooperation with Member States</w:t>
            </w:r>
            <w:r w:rsidR="00790ECB" w:rsidRPr="006D3C55">
              <w:t>’</w:t>
            </w:r>
            <w:r w:rsidRPr="006D3C55">
              <w:t xml:space="preserve"> national and/or regional authorities, which have the first level of responsibility for budget implementation.</w:t>
            </w:r>
          </w:p>
        </w:tc>
        <w:tc>
          <w:tcPr>
            <w:tcW w:w="66" w:type="pct"/>
            <w:vMerge/>
          </w:tcPr>
          <w:p w14:paraId="3077DE63" w14:textId="77777777" w:rsidR="001301C1" w:rsidRPr="006D3C55" w:rsidRDefault="001301C1">
            <w:pPr>
              <w:spacing w:before="0"/>
              <w:cnfStyle w:val="000000100000" w:firstRow="0" w:lastRow="0" w:firstColumn="0" w:lastColumn="0" w:oddVBand="0" w:evenVBand="0" w:oddHBand="1" w:evenHBand="0" w:firstRowFirstColumn="0" w:firstRowLastColumn="0" w:lastRowFirstColumn="0" w:lastRowLastColumn="0"/>
              <w:rPr>
                <w:highlight w:val="lightGray"/>
              </w:rPr>
            </w:pPr>
          </w:p>
        </w:tc>
      </w:tr>
      <w:tr w:rsidR="001301C1" w:rsidRPr="006D3C55" w14:paraId="73CF30D0" w14:textId="77777777" w:rsidTr="005309DF">
        <w:trPr>
          <w:trHeight w:val="1763"/>
        </w:trPr>
        <w:tc>
          <w:tcPr>
            <w:cnfStyle w:val="001000000000" w:firstRow="0" w:lastRow="0" w:firstColumn="1" w:lastColumn="0" w:oddVBand="0" w:evenVBand="0" w:oddHBand="0" w:evenHBand="0" w:firstRowFirstColumn="0" w:firstRowLastColumn="0" w:lastRowFirstColumn="0" w:lastRowLastColumn="0"/>
            <w:tcW w:w="1140" w:type="pct"/>
            <w:vMerge/>
          </w:tcPr>
          <w:p w14:paraId="3C7A3110" w14:textId="77777777" w:rsidR="001301C1" w:rsidRPr="006D3C55" w:rsidRDefault="001301C1">
            <w:pPr>
              <w:spacing w:before="0"/>
              <w:rPr>
                <w:highlight w:val="lightGray"/>
              </w:rPr>
            </w:pPr>
          </w:p>
        </w:tc>
        <w:tc>
          <w:tcPr>
            <w:tcW w:w="1901" w:type="pct"/>
            <w:tcBorders>
              <w:top w:val="single" w:sz="4" w:space="0" w:color="FFFFFF" w:themeColor="background1"/>
              <w:bottom w:val="nil"/>
              <w:right w:val="single" w:sz="4" w:space="0" w:color="FFFFFF" w:themeColor="background1"/>
            </w:tcBorders>
            <w:shd w:val="clear" w:color="auto" w:fill="E1EBFF"/>
          </w:tcPr>
          <w:p w14:paraId="36B9144C" w14:textId="5C018BEF" w:rsidR="001301C1" w:rsidRPr="006D3C55" w:rsidRDefault="001301C1">
            <w:pPr>
              <w:spacing w:before="60"/>
              <w:cnfStyle w:val="000000000000" w:firstRow="0" w:lastRow="0" w:firstColumn="0" w:lastColumn="0" w:oddVBand="0" w:evenVBand="0" w:oddHBand="0" w:evenHBand="0" w:firstRowFirstColumn="0" w:firstRowLastColumn="0" w:lastRowFirstColumn="0" w:lastRowLastColumn="0"/>
            </w:pPr>
            <w:r w:rsidRPr="006D3C55">
              <w:t xml:space="preserve">Agricultural funds; </w:t>
            </w:r>
            <w:r w:rsidR="00036B7A">
              <w:t>European</w:t>
            </w:r>
            <w:r w:rsidR="009113CE">
              <w:t xml:space="preserve"> </w:t>
            </w:r>
            <w:r w:rsidRPr="006D3C55">
              <w:t>Maritime</w:t>
            </w:r>
            <w:r w:rsidR="009113CE">
              <w:t xml:space="preserve">, </w:t>
            </w:r>
            <w:r w:rsidRPr="006D3C55">
              <w:t xml:space="preserve">Fisheries </w:t>
            </w:r>
            <w:r w:rsidR="002046C9">
              <w:t xml:space="preserve">and Aquaculture </w:t>
            </w:r>
            <w:r w:rsidRPr="006D3C55">
              <w:t xml:space="preserve">Fund; European Regional Development Fund; Cohesion Fund; European Social Fund and youth employment initiative; migration, border management and </w:t>
            </w:r>
            <w:r w:rsidR="009C76E4">
              <w:t xml:space="preserve">internal </w:t>
            </w:r>
            <w:r w:rsidRPr="006D3C55">
              <w:t>security funds.</w:t>
            </w:r>
          </w:p>
        </w:tc>
        <w:tc>
          <w:tcPr>
            <w:tcW w:w="1893" w:type="pct"/>
            <w:tcBorders>
              <w:top w:val="single" w:sz="4" w:space="0" w:color="FFFFFF" w:themeColor="background1"/>
              <w:left w:val="single" w:sz="4" w:space="0" w:color="FFFFFF" w:themeColor="background1"/>
              <w:bottom w:val="nil"/>
            </w:tcBorders>
            <w:shd w:val="clear" w:color="auto" w:fill="E1EBFF"/>
          </w:tcPr>
          <w:p w14:paraId="754C729C" w14:textId="64D18C8C" w:rsidR="001301C1" w:rsidRPr="006D3C55" w:rsidRDefault="001301C1">
            <w:pPr>
              <w:spacing w:before="60"/>
              <w:cnfStyle w:val="000000000000" w:firstRow="0" w:lastRow="0" w:firstColumn="0" w:lastColumn="0" w:oddVBand="0" w:evenVBand="0" w:oddHBand="0" w:evenHBand="0" w:firstRowFirstColumn="0" w:firstRowLastColumn="0" w:lastRowFirstColumn="0" w:lastRowLastColumn="0"/>
            </w:pPr>
            <w:r w:rsidRPr="006D3C55">
              <w:t xml:space="preserve">Paying agencies for the common agricultural policy: 72; </w:t>
            </w:r>
            <w:r w:rsidR="00527D43">
              <w:t xml:space="preserve">Managing authorities for the </w:t>
            </w:r>
            <w:r w:rsidRPr="006D3C55">
              <w:t xml:space="preserve">operational programmes for cohesion policy funds: </w:t>
            </w:r>
            <w:r w:rsidR="004E7961" w:rsidRPr="006D3C55">
              <w:t>441</w:t>
            </w:r>
            <w:r w:rsidRPr="006D3C55">
              <w:t>, in all Member States for the 2014-2020 programming period (</w:t>
            </w:r>
            <w:r w:rsidRPr="00D93CB0">
              <w:t>380</w:t>
            </w:r>
            <w:r w:rsidRPr="006D3C55">
              <w:t xml:space="preserve"> for 2021-2027)</w:t>
            </w:r>
            <w:r w:rsidR="00255397">
              <w:t xml:space="preserve"> </w:t>
            </w:r>
            <w:r w:rsidR="00255397" w:rsidRPr="00255397">
              <w:t>Managing authorities for programmes for the E</w:t>
            </w:r>
            <w:r w:rsidR="00763194">
              <w:t xml:space="preserve">uropean </w:t>
            </w:r>
            <w:r w:rsidR="00255397" w:rsidRPr="00255397">
              <w:t>M</w:t>
            </w:r>
            <w:r w:rsidR="00763194">
              <w:t>aritime</w:t>
            </w:r>
            <w:r w:rsidR="00C03383">
              <w:t xml:space="preserve">, Fisheries and </w:t>
            </w:r>
            <w:r w:rsidR="00255397" w:rsidRPr="00255397">
              <w:t>A</w:t>
            </w:r>
            <w:r w:rsidR="00C03383">
              <w:t xml:space="preserve">quaculture </w:t>
            </w:r>
            <w:r w:rsidR="00255397" w:rsidRPr="00255397">
              <w:t>F</w:t>
            </w:r>
            <w:r w:rsidR="00C03383">
              <w:t>und</w:t>
            </w:r>
            <w:r w:rsidR="00255397" w:rsidRPr="00255397">
              <w:t xml:space="preserve"> </w:t>
            </w:r>
            <w:r w:rsidR="00294D2A">
              <w:t xml:space="preserve">(26) </w:t>
            </w:r>
            <w:r w:rsidR="00255397" w:rsidRPr="00255397">
              <w:t xml:space="preserve">and the three Home Affairs </w:t>
            </w:r>
            <w:r w:rsidR="00255397">
              <w:t>F</w:t>
            </w:r>
            <w:r w:rsidR="00255397" w:rsidRPr="00255397">
              <w:t>un</w:t>
            </w:r>
            <w:r w:rsidR="00255397">
              <w:t>d</w:t>
            </w:r>
            <w:r w:rsidR="00255397" w:rsidRPr="00255397">
              <w:t>s</w:t>
            </w:r>
            <w:r w:rsidR="001D5B80">
              <w:t xml:space="preserve"> </w:t>
            </w:r>
            <w:r w:rsidR="001D5B80" w:rsidRPr="00E95E14">
              <w:t>(</w:t>
            </w:r>
            <w:r w:rsidR="00E95E14" w:rsidRPr="00E95E14">
              <w:t>39</w:t>
            </w:r>
            <w:r w:rsidR="001D5B80" w:rsidRPr="00E95E14">
              <w:t>)</w:t>
            </w:r>
            <w:r w:rsidRPr="00255397">
              <w:t>.</w:t>
            </w:r>
          </w:p>
        </w:tc>
        <w:tc>
          <w:tcPr>
            <w:tcW w:w="66" w:type="pct"/>
            <w:vMerge/>
          </w:tcPr>
          <w:p w14:paraId="10D5C40F" w14:textId="77777777" w:rsidR="001301C1" w:rsidRPr="006D3C55" w:rsidRDefault="001301C1">
            <w:pPr>
              <w:spacing w:before="0"/>
              <w:cnfStyle w:val="000000000000" w:firstRow="0" w:lastRow="0" w:firstColumn="0" w:lastColumn="0" w:oddVBand="0" w:evenVBand="0" w:oddHBand="0" w:evenHBand="0" w:firstRowFirstColumn="0" w:firstRowLastColumn="0" w:lastRowFirstColumn="0" w:lastRowLastColumn="0"/>
              <w:rPr>
                <w:highlight w:val="lightGray"/>
              </w:rPr>
            </w:pPr>
          </w:p>
        </w:tc>
      </w:tr>
    </w:tbl>
    <w:p w14:paraId="6E9092B2" w14:textId="604540C1" w:rsidR="001301C1" w:rsidRPr="006D3C55" w:rsidRDefault="001301C1" w:rsidP="001301C1">
      <w:pPr>
        <w:pStyle w:val="TableSource"/>
      </w:pPr>
      <w:r w:rsidRPr="00735BA7">
        <w:rPr>
          <w:rStyle w:val="Italic"/>
        </w:rPr>
        <w:t>Source</w:t>
      </w:r>
      <w:r w:rsidRPr="006D3C55">
        <w:t>: European Commission draft annual accounts 202</w:t>
      </w:r>
      <w:r w:rsidR="00A050E7" w:rsidRPr="006D3C55">
        <w:t>5</w:t>
      </w:r>
      <w:r w:rsidR="0021389E" w:rsidRPr="006D3C55">
        <w:t xml:space="preserve"> </w:t>
      </w:r>
      <w:r w:rsidRPr="006D3C55">
        <w:t>– Statement of financial performance.</w:t>
      </w:r>
    </w:p>
    <w:p w14:paraId="123795CB" w14:textId="797A4C5B" w:rsidR="00EC3631" w:rsidRDefault="00EC3631">
      <w:pPr>
        <w:suppressAutoHyphens w:val="0"/>
      </w:pPr>
      <w:r>
        <w:br w:type="page"/>
      </w:r>
    </w:p>
    <w:p w14:paraId="6DF34379" w14:textId="5D61F5B7" w:rsidR="00FA558A" w:rsidRPr="006D3C55" w:rsidRDefault="009A33FF" w:rsidP="006D5CEC">
      <w:r w:rsidRPr="006D3C55">
        <w:rPr>
          <w:rFonts w:hint="eastAsia"/>
        </w:rPr>
        <w:t xml:space="preserve">In addition, the Commission spent </w:t>
      </w:r>
      <w:r w:rsidR="004401CB" w:rsidRPr="006D3C55">
        <w:t xml:space="preserve">almost </w:t>
      </w:r>
      <w:r w:rsidRPr="006D3C55">
        <w:rPr>
          <w:rFonts w:hint="eastAsia"/>
        </w:rPr>
        <w:t>EUR</w:t>
      </w:r>
      <w:r w:rsidR="004401CB" w:rsidRPr="006D3C55" w:rsidDel="00477A03">
        <w:rPr>
          <w:rFonts w:ascii="Calibri" w:hAnsi="Calibri" w:cs="Calibri"/>
        </w:rPr>
        <w:t> </w:t>
      </w:r>
      <w:r w:rsidR="00477A03" w:rsidRPr="006D3C55">
        <w:t>11</w:t>
      </w:r>
      <w:r w:rsidR="00477A03">
        <w:t>5.9</w:t>
      </w:r>
      <w:r w:rsidR="00477A03" w:rsidRPr="006D3C55">
        <w:rPr>
          <w:rFonts w:ascii="Calibri" w:hAnsi="Calibri" w:cs="Calibri"/>
        </w:rPr>
        <w:t> </w:t>
      </w:r>
      <w:r w:rsidRPr="006D3C55">
        <w:rPr>
          <w:rFonts w:hint="eastAsia"/>
        </w:rPr>
        <w:t>billion using the amounts borrowed on capital markets.</w:t>
      </w:r>
      <w:r w:rsidRPr="006D3C55">
        <w:t xml:space="preserve"> T</w:t>
      </w:r>
      <w:r w:rsidRPr="006D3C55">
        <w:rPr>
          <w:rFonts w:hint="eastAsia"/>
        </w:rPr>
        <w:t xml:space="preserve">hese funds </w:t>
      </w:r>
      <w:r w:rsidRPr="006D3C55">
        <w:t>are all implemented directly by the Commission.</w:t>
      </w:r>
      <w:r w:rsidRPr="006D3C55">
        <w:rPr>
          <w:rFonts w:hint="eastAsia"/>
        </w:rPr>
        <w:t xml:space="preserve"> </w:t>
      </w:r>
      <w:r w:rsidRPr="006D3C55">
        <w:t>In 2025, the majority of these funds was</w:t>
      </w:r>
      <w:r w:rsidRPr="006D3C55">
        <w:rPr>
          <w:rFonts w:hint="eastAsia"/>
        </w:rPr>
        <w:t xml:space="preserve"> used for the Recovery and </w:t>
      </w:r>
      <w:r w:rsidRPr="006D5CEC">
        <w:t>Resilience Facility</w:t>
      </w:r>
      <w:r w:rsidR="00FA558A" w:rsidRPr="006D5CEC">
        <w:t xml:space="preserve">, </w:t>
      </w:r>
      <w:r w:rsidR="006B5AFC" w:rsidRPr="006D5CEC">
        <w:t xml:space="preserve">for </w:t>
      </w:r>
      <w:r w:rsidR="00FA558A" w:rsidRPr="006D5CEC">
        <w:t>both loans</w:t>
      </w:r>
      <w:r w:rsidR="008714FA" w:rsidRPr="006D5CEC">
        <w:t xml:space="preserve"> (EUR</w:t>
      </w:r>
      <w:r w:rsidR="008714FA" w:rsidRPr="006D3C55">
        <w:rPr>
          <w:rFonts w:ascii="Calibri" w:hAnsi="Calibri" w:cs="Calibri"/>
        </w:rPr>
        <w:t> </w:t>
      </w:r>
      <w:r w:rsidR="008714FA" w:rsidRPr="006D5CEC">
        <w:t>47.2</w:t>
      </w:r>
      <w:r w:rsidR="008714FA" w:rsidRPr="006D3C55">
        <w:rPr>
          <w:rFonts w:ascii="Calibri" w:hAnsi="Calibri" w:cs="Calibri"/>
        </w:rPr>
        <w:t> </w:t>
      </w:r>
      <w:r w:rsidR="008714FA" w:rsidRPr="006D5CEC">
        <w:t>billion)</w:t>
      </w:r>
      <w:r w:rsidR="00FA558A" w:rsidRPr="006D5CEC">
        <w:t xml:space="preserve"> and </w:t>
      </w:r>
      <w:r w:rsidR="00D2170A">
        <w:t>non-repayable support</w:t>
      </w:r>
      <w:r w:rsidR="00D2170A" w:rsidRPr="006D5CEC">
        <w:t xml:space="preserve"> </w:t>
      </w:r>
      <w:r w:rsidR="00D73CBB" w:rsidRPr="005C2435">
        <w:t>(EUR</w:t>
      </w:r>
      <w:r w:rsidR="00D73CBB" w:rsidRPr="005C2435">
        <w:rPr>
          <w:rFonts w:ascii="Calibri" w:hAnsi="Calibri" w:cs="Calibri"/>
        </w:rPr>
        <w:t> </w:t>
      </w:r>
      <w:r w:rsidR="0037193E" w:rsidRPr="005C2435">
        <w:t>33.2</w:t>
      </w:r>
      <w:r w:rsidR="00D73CBB" w:rsidRPr="005C2435">
        <w:rPr>
          <w:rFonts w:ascii="Calibri" w:hAnsi="Calibri" w:cs="Calibri"/>
        </w:rPr>
        <w:t> </w:t>
      </w:r>
      <w:r w:rsidR="00D73CBB" w:rsidRPr="005C2435">
        <w:t>billion)</w:t>
      </w:r>
      <w:r w:rsidR="002B37D4" w:rsidRPr="005C2435">
        <w:t>.</w:t>
      </w:r>
      <w:r w:rsidR="002B37D4">
        <w:t xml:space="preserve"> The remaining amounts were used for macro-financial assistance (MFA</w:t>
      </w:r>
      <w:r w:rsidR="00D73CBB" w:rsidRPr="006D5CEC">
        <w:t>)</w:t>
      </w:r>
      <w:r w:rsidR="00FA558A" w:rsidRPr="006D5CEC">
        <w:t xml:space="preserve"> loans to Ukraine </w:t>
      </w:r>
      <w:r w:rsidR="008714FA" w:rsidRPr="006D5CEC">
        <w:t>(EUR</w:t>
      </w:r>
      <w:r w:rsidR="008714FA" w:rsidRPr="006D3C55">
        <w:rPr>
          <w:rFonts w:ascii="Calibri" w:hAnsi="Calibri" w:cs="Calibri"/>
        </w:rPr>
        <w:t> </w:t>
      </w:r>
      <w:r w:rsidR="00715BF5" w:rsidRPr="006D5CEC">
        <w:t>1</w:t>
      </w:r>
      <w:r w:rsidR="004C7F63" w:rsidRPr="006D5CEC">
        <w:t>8.1</w:t>
      </w:r>
      <w:r w:rsidR="00715BF5" w:rsidRPr="006D3C55">
        <w:rPr>
          <w:rFonts w:ascii="Calibri" w:hAnsi="Calibri" w:cs="Calibri"/>
        </w:rPr>
        <w:t> </w:t>
      </w:r>
      <w:r w:rsidR="00715BF5" w:rsidRPr="006D5CEC">
        <w:t>billion</w:t>
      </w:r>
      <w:r w:rsidR="00D73CBB" w:rsidRPr="006D5CEC">
        <w:t>)</w:t>
      </w:r>
      <w:r w:rsidR="00D561D5" w:rsidRPr="006D5CEC">
        <w:t xml:space="preserve"> and</w:t>
      </w:r>
      <w:r w:rsidR="00715BF5" w:rsidRPr="006D5CEC">
        <w:t xml:space="preserve"> </w:t>
      </w:r>
      <w:r w:rsidR="00FA558A" w:rsidRPr="006D5CEC">
        <w:t xml:space="preserve">Jordan </w:t>
      </w:r>
      <w:r w:rsidR="004C7F63" w:rsidRPr="006D5CEC">
        <w:t>(EUR</w:t>
      </w:r>
      <w:r w:rsidR="004C7F63" w:rsidRPr="006D3C55">
        <w:rPr>
          <w:rFonts w:ascii="Calibri" w:hAnsi="Calibri" w:cs="Calibri"/>
        </w:rPr>
        <w:t> </w:t>
      </w:r>
      <w:r w:rsidR="004C7F63" w:rsidRPr="006D5CEC">
        <w:t>250</w:t>
      </w:r>
      <w:r w:rsidR="004C7F63" w:rsidRPr="006D3C55">
        <w:rPr>
          <w:rFonts w:ascii="Calibri" w:hAnsi="Calibri" w:cs="Calibri"/>
        </w:rPr>
        <w:t> </w:t>
      </w:r>
      <w:r w:rsidR="004C7F63" w:rsidRPr="006D5CEC">
        <w:t>million)</w:t>
      </w:r>
      <w:r w:rsidR="002B37D4">
        <w:t>,</w:t>
      </w:r>
      <w:r w:rsidR="004C7F63" w:rsidRPr="006D5CEC">
        <w:t xml:space="preserve"> </w:t>
      </w:r>
      <w:r w:rsidR="00FA558A" w:rsidRPr="006D5CEC">
        <w:t xml:space="preserve">loans under the Reform and Growth Facilities for the Western Balkans </w:t>
      </w:r>
      <w:r w:rsidR="00727930" w:rsidRPr="006D5CEC">
        <w:t>(EUR</w:t>
      </w:r>
      <w:r w:rsidR="00727930" w:rsidRPr="006D3C55">
        <w:rPr>
          <w:rFonts w:ascii="Calibri" w:hAnsi="Calibri" w:cs="Calibri"/>
        </w:rPr>
        <w:t> </w:t>
      </w:r>
      <w:r w:rsidR="00727930" w:rsidRPr="006D5CEC">
        <w:t xml:space="preserve">184.4 </w:t>
      </w:r>
      <w:r w:rsidR="002F616D" w:rsidRPr="006D5CEC">
        <w:t>million</w:t>
      </w:r>
      <w:r w:rsidR="00727930" w:rsidRPr="006D5CEC">
        <w:t>)</w:t>
      </w:r>
      <w:r w:rsidR="002B37D4">
        <w:t>,</w:t>
      </w:r>
      <w:r w:rsidR="002F616D" w:rsidRPr="006D5CEC">
        <w:t xml:space="preserve"> </w:t>
      </w:r>
      <w:r w:rsidR="002B37D4">
        <w:t>the Republic of</w:t>
      </w:r>
      <w:r w:rsidR="002F616D" w:rsidRPr="006D5CEC">
        <w:t xml:space="preserve"> </w:t>
      </w:r>
      <w:r w:rsidR="00FA558A" w:rsidRPr="006D5CEC">
        <w:t xml:space="preserve">Moldova </w:t>
      </w:r>
      <w:r w:rsidR="002F616D" w:rsidRPr="006D5CEC">
        <w:t>(EUR</w:t>
      </w:r>
      <w:r w:rsidR="002F616D" w:rsidRPr="006D3C55">
        <w:rPr>
          <w:rFonts w:ascii="Calibri" w:hAnsi="Calibri" w:cs="Calibri"/>
        </w:rPr>
        <w:t> </w:t>
      </w:r>
      <w:r w:rsidR="002F616D" w:rsidRPr="006D5CEC">
        <w:t>288.9</w:t>
      </w:r>
      <w:r w:rsidR="002F616D" w:rsidRPr="006D3C55">
        <w:rPr>
          <w:rFonts w:ascii="Calibri" w:hAnsi="Calibri" w:cs="Calibri"/>
        </w:rPr>
        <w:t> </w:t>
      </w:r>
      <w:r w:rsidR="002F616D" w:rsidRPr="006D5CEC">
        <w:t>million)</w:t>
      </w:r>
      <w:r w:rsidR="006B5AFC" w:rsidRPr="006D5CEC">
        <w:t>;</w:t>
      </w:r>
      <w:r w:rsidR="002D5448" w:rsidRPr="006D5CEC">
        <w:t xml:space="preserve"> </w:t>
      </w:r>
      <w:r w:rsidR="00FA558A" w:rsidRPr="006D5CEC">
        <w:t>and the Ukraine Facility</w:t>
      </w:r>
      <w:r w:rsidR="000F6F99" w:rsidRPr="006D5CEC">
        <w:t xml:space="preserve"> (EUR</w:t>
      </w:r>
      <w:r w:rsidR="000F6F99" w:rsidRPr="006D3C55">
        <w:rPr>
          <w:rFonts w:ascii="Calibri" w:hAnsi="Calibri" w:cs="Calibri"/>
        </w:rPr>
        <w:t> </w:t>
      </w:r>
      <w:r w:rsidR="000F6F99" w:rsidRPr="006D5CEC">
        <w:t>10</w:t>
      </w:r>
      <w:r w:rsidR="00CD678D" w:rsidRPr="006D5CEC">
        <w:t>.1</w:t>
      </w:r>
      <w:r w:rsidR="000F6F99" w:rsidRPr="006D3C55">
        <w:rPr>
          <w:rFonts w:ascii="Calibri" w:hAnsi="Calibri" w:cs="Calibri"/>
        </w:rPr>
        <w:t> </w:t>
      </w:r>
      <w:r w:rsidR="000F6F99" w:rsidRPr="006D5CEC">
        <w:t>billion</w:t>
      </w:r>
      <w:r w:rsidR="002D5448" w:rsidRPr="006D5CEC">
        <w:t>)</w:t>
      </w:r>
      <w:r w:rsidR="00F048CF" w:rsidRPr="006D5CEC">
        <w:t>.</w:t>
      </w:r>
      <w:r w:rsidR="00914829">
        <w:t xml:space="preserve"> In addition, </w:t>
      </w:r>
      <w:r w:rsidR="007B75B5">
        <w:t>EUR</w:t>
      </w:r>
      <w:r w:rsidR="007B75B5">
        <w:rPr>
          <w:rFonts w:ascii="Calibri" w:hAnsi="Calibri" w:cs="Calibri"/>
        </w:rPr>
        <w:t> </w:t>
      </w:r>
      <w:r w:rsidR="007B75B5">
        <w:t>6.6</w:t>
      </w:r>
      <w:r w:rsidR="007B75B5">
        <w:rPr>
          <w:rFonts w:ascii="Calibri" w:hAnsi="Calibri" w:cs="Calibri"/>
        </w:rPr>
        <w:t> </w:t>
      </w:r>
      <w:r w:rsidR="007B75B5">
        <w:t>billion</w:t>
      </w:r>
      <w:r w:rsidR="003C495E">
        <w:t xml:space="preserve"> were used </w:t>
      </w:r>
      <w:r w:rsidR="005C6570">
        <w:t xml:space="preserve">for </w:t>
      </w:r>
      <w:r w:rsidR="00153814">
        <w:t>non-repay</w:t>
      </w:r>
      <w:r w:rsidR="00E3588E">
        <w:t>a</w:t>
      </w:r>
      <w:r w:rsidR="00153814">
        <w:t xml:space="preserve">ble support </w:t>
      </w:r>
      <w:r w:rsidR="00481673">
        <w:t xml:space="preserve">under </w:t>
      </w:r>
      <w:r w:rsidR="00481673" w:rsidRPr="003C495E">
        <w:t>NextGenerationEU</w:t>
      </w:r>
      <w:r w:rsidR="00481673">
        <w:t xml:space="preserve"> </w:t>
      </w:r>
      <w:r w:rsidR="00153814">
        <w:t>other than</w:t>
      </w:r>
      <w:r w:rsidR="00153814" w:rsidRPr="003C495E">
        <w:t xml:space="preserve"> </w:t>
      </w:r>
      <w:r w:rsidR="009C1E5E">
        <w:t xml:space="preserve">the </w:t>
      </w:r>
      <w:r w:rsidR="003C495E" w:rsidRPr="003C495E">
        <w:t>Recovery and Resilience Facility</w:t>
      </w:r>
      <w:r w:rsidR="005C6570">
        <w:t>.</w:t>
      </w:r>
    </w:p>
    <w:p w14:paraId="3B127105" w14:textId="350E293C" w:rsidR="00735BA7" w:rsidRPr="006D3C55" w:rsidRDefault="00735BA7" w:rsidP="00735BA7">
      <w:pPr>
        <w:pStyle w:val="TableTitle"/>
        <w:rPr>
          <w:highlight w:val="lightGray"/>
        </w:rPr>
      </w:pPr>
      <w:r>
        <w:t xml:space="preserve">Use of the amounts borrowed in </w:t>
      </w:r>
      <w:r w:rsidRPr="006D3C55">
        <w:t xml:space="preserve">2025 </w:t>
      </w:r>
      <w:r>
        <w:t>on capital markets</w:t>
      </w:r>
    </w:p>
    <w:p w14:paraId="2A4CB426" w14:textId="039D648F" w:rsidR="00B94302" w:rsidRPr="00BD5B3F" w:rsidRDefault="00F0433E" w:rsidP="006D5CEC">
      <w:pPr>
        <w:pStyle w:val="ImagePlaceholder"/>
      </w:pPr>
      <w:r w:rsidRPr="00F0433E">
        <w:t xml:space="preserve"> </w:t>
      </w:r>
      <w:r w:rsidR="00DD397D" w:rsidRPr="00DD397D">
        <w:drawing>
          <wp:inline distT="0" distB="0" distL="0" distR="0" wp14:anchorId="767256EB" wp14:editId="1E07D60C">
            <wp:extent cx="5759450" cy="3653790"/>
            <wp:effectExtent l="0" t="0" r="0" b="3810"/>
            <wp:docPr id="25" name="Picture 24" descr="This table represents the use of the amounts borrowed in 2025 on capital markets in percentage. Recovery and Resilience Facility loans (NextGenerationEU) represents 41%; Exceptional Revenue Acceleration, MFA loan represents 15%; Ukraine Facility (loans) represents 9%; Other represent 0.62%; NextGenerationEU non-repayable support (other than Recovery and Resilience Facility) represents 6% and finally Recovery and Resilience Facility non-repayable support (NextGenerationEU) represents 29%.">
              <a:extLst xmlns:a="http://schemas.openxmlformats.org/drawingml/2006/main">
                <a:ext uri="{FF2B5EF4-FFF2-40B4-BE49-F238E27FC236}">
                  <a16:creationId xmlns:a16="http://schemas.microsoft.com/office/drawing/2014/main" id="{7F4D97C5-B463-141B-4212-CAD3298218D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4" descr="This table represents the use of the amounts borrowed in 2025 on capital markets in percentage. Recovery and Resilience Facility loans (NextGenerationEU) represents 41%; Exceptional Revenue Acceleration, MFA loan represents 15%; Ukraine Facility (loans) represents 9%; Other represent 0.62%; NextGenerationEU non-repayable support (other than Recovery and Resilience Facility) represents 6% and finally Recovery and Resilience Facility non-repayable support (NextGenerationEU) represents 29%.">
                      <a:extLst>
                        <a:ext uri="{FF2B5EF4-FFF2-40B4-BE49-F238E27FC236}">
                          <a16:creationId xmlns:a16="http://schemas.microsoft.com/office/drawing/2014/main" id="{7F4D97C5-B463-141B-4212-CAD3298218DA}"/>
                        </a:ext>
                      </a:extLst>
                    </pic:cNvPr>
                    <pic:cNvPicPr>
                      <a:picLocks noChangeAspect="1"/>
                    </pic:cNvPicPr>
                  </pic:nvPicPr>
                  <pic:blipFill>
                    <a:blip r:embed="rId50"/>
                    <a:srcRect l="5139" t="2111" r="10138" b="7483"/>
                    <a:stretch>
                      <a:fillRect/>
                    </a:stretch>
                  </pic:blipFill>
                  <pic:spPr>
                    <a:xfrm>
                      <a:off x="0" y="0"/>
                      <a:ext cx="5759450" cy="3653790"/>
                    </a:xfrm>
                    <a:prstGeom prst="rect">
                      <a:avLst/>
                    </a:prstGeom>
                  </pic:spPr>
                </pic:pic>
              </a:graphicData>
            </a:graphic>
          </wp:inline>
        </w:drawing>
      </w:r>
    </w:p>
    <w:p w14:paraId="700E2BC6" w14:textId="145B5024" w:rsidR="007700FA" w:rsidRPr="006D5CEC" w:rsidRDefault="009E4760" w:rsidP="00AD4275">
      <w:pPr>
        <w:pStyle w:val="TableSource"/>
        <w:ind w:left="284" w:hanging="284"/>
      </w:pPr>
      <w:r w:rsidRPr="006D5CEC">
        <w:t>(</w:t>
      </w:r>
      <w:r w:rsidR="00C0798A" w:rsidRPr="006D5CEC">
        <w:t>*</w:t>
      </w:r>
      <w:r w:rsidRPr="006D5CEC">
        <w:t>)</w:t>
      </w:r>
      <w:r w:rsidRPr="006D5CEC">
        <w:tab/>
      </w:r>
      <w:r w:rsidR="00C0798A" w:rsidRPr="006D5CEC">
        <w:t>Reform and Growth Facility for the Western Balkans</w:t>
      </w:r>
      <w:r w:rsidR="00866946" w:rsidRPr="006D5CEC">
        <w:t xml:space="preserve">, Reform and Growth Facility for </w:t>
      </w:r>
      <w:r w:rsidR="00C0798A" w:rsidRPr="006D5CEC">
        <w:t>Moldova</w:t>
      </w:r>
      <w:r w:rsidR="00866946" w:rsidRPr="006D5CEC">
        <w:t xml:space="preserve"> and </w:t>
      </w:r>
      <w:r w:rsidR="00C0798A" w:rsidRPr="006D5CEC">
        <w:t>Macro Fina</w:t>
      </w:r>
      <w:r w:rsidR="00866946" w:rsidRPr="006D5CEC">
        <w:t>n</w:t>
      </w:r>
      <w:r w:rsidR="00C0798A" w:rsidRPr="006D5CEC">
        <w:t xml:space="preserve">cial Assistance </w:t>
      </w:r>
      <w:r w:rsidR="007C0075">
        <w:br/>
      </w:r>
      <w:r w:rsidR="00C0798A" w:rsidRPr="006D5CEC">
        <w:t>to Jordan</w:t>
      </w:r>
      <w:r w:rsidR="003652CF" w:rsidRPr="006D5CEC">
        <w:t>.</w:t>
      </w:r>
    </w:p>
    <w:p w14:paraId="31A65D73" w14:textId="5AE9BE80" w:rsidR="00B94302" w:rsidRPr="006D3C55" w:rsidRDefault="00B94302" w:rsidP="00B94302">
      <w:pPr>
        <w:pStyle w:val="TableSource"/>
      </w:pPr>
      <w:r w:rsidRPr="00426C5F">
        <w:rPr>
          <w:rStyle w:val="Italic"/>
        </w:rPr>
        <w:t>Source</w:t>
      </w:r>
      <w:r w:rsidRPr="006D3C55">
        <w:t>: European Commission draft annual accounts 2025 – Statement of financial performance.</w:t>
      </w:r>
    </w:p>
    <w:p w14:paraId="3B58AFAD" w14:textId="565BC48A" w:rsidR="001301C1" w:rsidRPr="006D5CEC" w:rsidRDefault="001301C1" w:rsidP="001301C1">
      <w:r w:rsidRPr="006D5CEC">
        <w:br w:type="page"/>
      </w:r>
    </w:p>
    <w:p w14:paraId="545840CF" w14:textId="3A05FA07" w:rsidR="001301C1" w:rsidRPr="006D3C55" w:rsidRDefault="001301C1" w:rsidP="006D5CEC">
      <w:pPr>
        <w:pStyle w:val="HNum-fromh2Heading3-11"/>
      </w:pPr>
      <w:bookmarkStart w:id="32" w:name="_Hlk133687777"/>
      <w:r w:rsidRPr="006D3C55">
        <w:t>A robust governance system underpinning the College’s responsibility</w:t>
      </w:r>
    </w:p>
    <w:bookmarkEnd w:id="32"/>
    <w:p w14:paraId="58BB318B" w14:textId="77777777" w:rsidR="001301C1" w:rsidRPr="006D3C55" w:rsidRDefault="001301C1" w:rsidP="001301C1">
      <w:r w:rsidRPr="006D3C55">
        <w:t>As the authorising officer of the Commission, the College of Commissioners is politically responsible for the management of the EU budget and thus accountable for the work of the Commission’s departments. The EU budget’s governance is built on a clear division of responsibilities between the political and management levels; an independent internal audit supported by the Audit Progress Committee, which includes external experts; an independent accountant; a strong commitment to performance management and compliance with the legal framework; transparency and high ethical standards; and transparent reporting.</w:t>
      </w:r>
    </w:p>
    <w:p w14:paraId="2068945D" w14:textId="3C9A14EC" w:rsidR="001301C1" w:rsidRPr="006D3C55" w:rsidRDefault="001301C1" w:rsidP="001301C1">
      <w:r w:rsidRPr="006D3C55">
        <w:t>The Commission’s governance system and chain of accountability are tailored to its unique model of decentralised decision-making in budget implementation.</w:t>
      </w:r>
      <w:r w:rsidRPr="006D3C55" w:rsidDel="00432C29">
        <w:t xml:space="preserve"> </w:t>
      </w:r>
      <w:r w:rsidRPr="006D3C55">
        <w:t xml:space="preserve">The College of Commissioners delegates the day-to-day operational management to </w:t>
      </w:r>
      <w:r w:rsidR="006A5460" w:rsidRPr="006D3C55">
        <w:t xml:space="preserve">52 </w:t>
      </w:r>
      <w:r w:rsidRPr="006D3C55">
        <w:t>authorising officers by delegation</w:t>
      </w:r>
      <w:r w:rsidRPr="006D3C55">
        <w:rPr>
          <w:rFonts w:ascii="Calibri" w:hAnsi="Calibri" w:cs="Calibri"/>
        </w:rPr>
        <w:t> </w:t>
      </w:r>
      <w:r w:rsidRPr="006D3C55">
        <w:t>(</w:t>
      </w:r>
      <w:r w:rsidRPr="00352191">
        <w:rPr>
          <w:rStyle w:val="FootnoteReference"/>
        </w:rPr>
        <w:footnoteReference w:id="4"/>
      </w:r>
      <w:r w:rsidRPr="006D3C55">
        <w:t>)</w:t>
      </w:r>
      <w:r w:rsidR="001D4924" w:rsidRPr="006D3C55">
        <w:t>,</w:t>
      </w:r>
      <w:r w:rsidRPr="006D3C55">
        <w:t xml:space="preserve"> who manage and steer their departments to deliver on the objectives in their strategic </w:t>
      </w:r>
      <w:r w:rsidR="00CC1940" w:rsidRPr="006D3C55">
        <w:t>outlooks</w:t>
      </w:r>
      <w:r w:rsidRPr="006D3C55">
        <w:t>, taking into account available resources. Each authorising officer by delegation is accountable for the share of the EU budget implemented in their department.</w:t>
      </w:r>
    </w:p>
    <w:p w14:paraId="671078B8" w14:textId="316CED49" w:rsidR="001301C1" w:rsidRPr="006D3C55" w:rsidRDefault="001301C1" w:rsidP="001301C1">
      <w:r w:rsidRPr="006D3C55">
        <w:t>In their annual activity reports, the authorising officers by delegation report in a transparent way on the performance and results achieved, on the functioning of their internal control systems and on the financial management of their share of the EU budget</w:t>
      </w:r>
      <w:r w:rsidRPr="006D3C55">
        <w:rPr>
          <w:rFonts w:ascii="Calibri" w:hAnsi="Calibri" w:cs="Calibri"/>
        </w:rPr>
        <w:t> </w:t>
      </w:r>
      <w:r w:rsidRPr="006D3C55">
        <w:t xml:space="preserve">– taking account of the assurance provided by Member States under shared management and the implementing partners </w:t>
      </w:r>
      <w:r w:rsidR="0082113E" w:rsidRPr="006D3C55">
        <w:t xml:space="preserve">under </w:t>
      </w:r>
      <w:r w:rsidRPr="006D3C55">
        <w:t>indirect management. Each annual activity report contains a declaration of assurance. It may be qualified with a reservation if an authorising officer by delegation identifies weaknesses with a significant impact.</w:t>
      </w:r>
    </w:p>
    <w:p w14:paraId="7DF408E0" w14:textId="77777777" w:rsidR="001301C1" w:rsidRPr="006D3C55" w:rsidRDefault="001301C1" w:rsidP="001301C1">
      <w:r w:rsidRPr="006D3C55">
        <w:t>The annual management and performance report synthesises the annual results for the EU budget at the Commission level, on the basis of the assurance and reservations contained in all the annual activity reports. This report is part of the Commission’s integrated financial and accountability reporting package, which is adopted by the College of Commissioners</w:t>
      </w:r>
      <w:r w:rsidRPr="006D3C55">
        <w:rPr>
          <w:rFonts w:ascii="Calibri" w:hAnsi="Calibri" w:cs="Calibri"/>
        </w:rPr>
        <w:t> </w:t>
      </w:r>
      <w:r w:rsidRPr="006D3C55">
        <w:t>(</w:t>
      </w:r>
      <w:r w:rsidRPr="00352191">
        <w:rPr>
          <w:rStyle w:val="FootnoteReference"/>
        </w:rPr>
        <w:footnoteReference w:id="5"/>
      </w:r>
      <w:r w:rsidRPr="006D3C55">
        <w:t>).</w:t>
      </w:r>
    </w:p>
    <w:p w14:paraId="16057802" w14:textId="77777777" w:rsidR="001301C1" w:rsidRPr="006D3C55" w:rsidRDefault="001301C1" w:rsidP="001301C1">
      <w:r w:rsidRPr="006D3C55">
        <w:t>The ensuing annual budgetary discharge procedure allows the European Parliament and the Council of the European Union</w:t>
      </w:r>
      <w:r w:rsidRPr="006D3C55" w:rsidDel="00153C04">
        <w:t xml:space="preserve"> </w:t>
      </w:r>
      <w:r w:rsidRPr="006D3C55">
        <w:t>to hold the Commission politically responsible for the implementation of the EU budget. The Parliament’s decision takes into consideration the Commission’s integrated financial and accountability reporting; the annual and special reports of the Court of Auditors, along with the latter’s statement of assurance on the reliability of the accounts and the legality and regularity of underlying transactions; the hearings of Commissioners and Directors-General; and a recommendation from the Council.</w:t>
      </w:r>
    </w:p>
    <w:p w14:paraId="6AD9974D" w14:textId="3E001310" w:rsidR="007036F0" w:rsidRPr="006D5CEC" w:rsidRDefault="001301C1" w:rsidP="007036F0">
      <w:pPr>
        <w:rPr>
          <w:highlight w:val="lightGray"/>
        </w:rPr>
      </w:pPr>
      <w:r w:rsidRPr="006D3C55">
        <w:t>These robust governance arrangements help the College of Commissioners to deliver on the Commission’s objectives, to use resources efficiently and effectively and to ensure that the EU budget is implemented in accordance with the principles of sound financial management. An overview is presented in the chart below.</w:t>
      </w:r>
    </w:p>
    <w:p w14:paraId="74B44FFD" w14:textId="339F474E" w:rsidR="00C50788" w:rsidRDefault="007036F0" w:rsidP="001301C1">
      <w:pPr>
        <w:ind w:left="737"/>
        <w:jc w:val="center"/>
        <w:rPr>
          <w:highlight w:val="lightGray"/>
          <w:lang w:eastAsia="zh-CN"/>
        </w:rPr>
      </w:pPr>
      <w:r w:rsidRPr="006D3C55">
        <w:rPr>
          <w:highlight w:val="lightGray"/>
          <w:lang w:eastAsia="zh-CN"/>
        </w:rPr>
        <w:t xml:space="preserve"> </w:t>
      </w:r>
    </w:p>
    <w:p w14:paraId="478A7B2A" w14:textId="56616B51" w:rsidR="001301C1" w:rsidRPr="006D3C55" w:rsidRDefault="00C50788" w:rsidP="001301C1">
      <w:pPr>
        <w:ind w:left="737"/>
        <w:jc w:val="center"/>
        <w:rPr>
          <w:highlight w:val="lightGray"/>
          <w:lang w:eastAsia="zh-CN"/>
        </w:rPr>
      </w:pPr>
      <w:r w:rsidRPr="00C50788">
        <w:rPr>
          <w:noProof/>
          <w:highlight w:val="lightGray"/>
          <w:lang w:eastAsia="zh-CN"/>
        </w:rPr>
        <w:drawing>
          <wp:inline distT="0" distB="0" distL="0" distR="0" wp14:anchorId="725ED60B" wp14:editId="3A7C97D8">
            <wp:extent cx="8961008" cy="4915217"/>
            <wp:effectExtent l="3493" t="0" r="0" b="0"/>
            <wp:docPr id="192" name="Picture 191" descr="Visual representing the commission’s assurance building and accountability for the EU budget and showing the clear roles and responsibilities at different levels: Management and internal control entities, Internal audit, Accountant and External audit. It is presented in a timeline from year n until year n+2.">
              <a:extLst xmlns:a="http://schemas.openxmlformats.org/drawingml/2006/main">
                <a:ext uri="{FF2B5EF4-FFF2-40B4-BE49-F238E27FC236}">
                  <a16:creationId xmlns:a16="http://schemas.microsoft.com/office/drawing/2014/main" id="{0C84A201-AE21-9580-0240-0C913480BFB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 name="Picture 191" descr="Visual representing the commission’s assurance building and accountability for the EU budget and showing the clear roles and responsibilities at different levels: Management and internal control entities, Internal audit, Accountant and External audit. It is presented in a timeline from year n until year n+2.">
                      <a:extLst>
                        <a:ext uri="{FF2B5EF4-FFF2-40B4-BE49-F238E27FC236}">
                          <a16:creationId xmlns:a16="http://schemas.microsoft.com/office/drawing/2014/main" id="{0C84A201-AE21-9580-0240-0C913480BFBC}"/>
                        </a:ext>
                      </a:extLst>
                    </pic:cNvPr>
                    <pic:cNvPicPr>
                      <a:picLocks noChangeAspect="1"/>
                    </pic:cNvPicPr>
                  </pic:nvPicPr>
                  <pic:blipFill>
                    <a:blip r:embed="rId51"/>
                    <a:stretch>
                      <a:fillRect/>
                    </a:stretch>
                  </pic:blipFill>
                  <pic:spPr>
                    <a:xfrm rot="16200000">
                      <a:off x="0" y="0"/>
                      <a:ext cx="8961008" cy="4915217"/>
                    </a:xfrm>
                    <a:prstGeom prst="rect">
                      <a:avLst/>
                    </a:prstGeom>
                  </pic:spPr>
                </pic:pic>
              </a:graphicData>
            </a:graphic>
          </wp:inline>
        </w:drawing>
      </w:r>
      <w:r w:rsidR="001301C1" w:rsidRPr="006D3C55">
        <w:rPr>
          <w:noProof/>
          <w:color w:val="008139" w:themeColor="accent1"/>
          <w:highlight w:val="lightGray"/>
        </w:rPr>
        <mc:AlternateContent>
          <mc:Choice Requires="wps">
            <w:drawing>
              <wp:anchor distT="0" distB="0" distL="114300" distR="114300" simplePos="0" relativeHeight="251658240" behindDoc="0" locked="0" layoutInCell="1" allowOverlap="1" wp14:anchorId="7AF3070E" wp14:editId="0CCB2216">
                <wp:simplePos x="0" y="0"/>
                <wp:positionH relativeFrom="page">
                  <wp:posOffset>-1915160</wp:posOffset>
                </wp:positionH>
                <wp:positionV relativeFrom="page">
                  <wp:posOffset>6076950</wp:posOffset>
                </wp:positionV>
                <wp:extent cx="6631200" cy="590400"/>
                <wp:effectExtent l="0" t="0" r="0" b="0"/>
                <wp:wrapNone/>
                <wp:docPr id="29" name="Text Box 29"/>
                <wp:cNvGraphicFramePr/>
                <a:graphic xmlns:a="http://schemas.openxmlformats.org/drawingml/2006/main">
                  <a:graphicData uri="http://schemas.microsoft.com/office/word/2010/wordprocessingShape">
                    <wps:wsp>
                      <wps:cNvSpPr txBox="1"/>
                      <wps:spPr>
                        <a:xfrm rot="16200000">
                          <a:off x="0" y="0"/>
                          <a:ext cx="6631200" cy="590400"/>
                        </a:xfrm>
                        <a:prstGeom prst="rect">
                          <a:avLst/>
                        </a:prstGeom>
                        <a:noFill/>
                        <a:ln w="6350">
                          <a:noFill/>
                        </a:ln>
                      </wps:spPr>
                      <wps:txbx>
                        <w:txbxContent>
                          <w:p w14:paraId="3828DCB4" w14:textId="4D48CCBE" w:rsidR="001301C1" w:rsidRPr="006D3C55" w:rsidRDefault="0018748E" w:rsidP="001301C1">
                            <w:pPr>
                              <w:pStyle w:val="ImageTitle"/>
                              <w:spacing w:before="240"/>
                            </w:pPr>
                            <w:r w:rsidRPr="006D3C55">
                              <w:t xml:space="preserve">The </w:t>
                            </w:r>
                            <w:r w:rsidR="001301C1" w:rsidRPr="006D3C55">
                              <w:t>Commission’s assurance-building and accountability for the EU budget: clear roles and responsibilities</w:t>
                            </w:r>
                          </w:p>
                          <w:p w14:paraId="12A7B3D8" w14:textId="77777777" w:rsidR="001301C1" w:rsidRPr="006D3C55" w:rsidRDefault="001301C1" w:rsidP="001301C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AF3070E" id="_x0000_t202" coordsize="21600,21600" o:spt="202" path="m,l,21600r21600,l21600,xe">
                <v:stroke joinstyle="miter"/>
                <v:path gradientshapeok="t" o:connecttype="rect"/>
              </v:shapetype>
              <v:shape id="Text Box 29" o:spid="_x0000_s1026" type="#_x0000_t202" style="position:absolute;left:0;text-align:left;margin-left:-150.8pt;margin-top:478.5pt;width:522.15pt;height:46.5pt;rotation:-90;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" filled="f" stroked="f" strokeweight=".5pt">
                <v:textbox>
                  <w:txbxContent>
                    <w:p w14:paraId="3828DCB4" w14:textId="4D48CCBE" w:rsidR="001301C1" w:rsidRPr="006D3C55" w:rsidRDefault="0018748E" w:rsidP="001301C1">
                      <w:pPr>
                        <w:pStyle w:val="ImageTitle"/>
                        <w:spacing w:before="240"/>
                      </w:pPr>
                      <w:r w:rsidRPr="006D3C55">
                        <w:t xml:space="preserve">The </w:t>
                      </w:r>
                      <w:r w:rsidR="001301C1" w:rsidRPr="006D3C55">
                        <w:t>Commission’s assurance-building and accountability for the EU budget: clear roles and responsibilities</w:t>
                      </w:r>
                    </w:p>
                    <w:p w14:paraId="12A7B3D8" w14:textId="77777777" w:rsidR="001301C1" w:rsidRPr="006D3C55" w:rsidRDefault="001301C1" w:rsidP="001301C1"/>
                  </w:txbxContent>
                </v:textbox>
                <w10:wrap anchorx="page" anchory="page"/>
              </v:shape>
            </w:pict>
          </mc:Fallback>
        </mc:AlternateContent>
      </w:r>
    </w:p>
    <w:p w14:paraId="26A3D1ED" w14:textId="3247BBD4" w:rsidR="001301C1" w:rsidRPr="006D3C55" w:rsidRDefault="001301C1" w:rsidP="006D5CEC">
      <w:pPr>
        <w:pStyle w:val="HNum-fromh2Heading3-11"/>
      </w:pPr>
      <w:bookmarkStart w:id="33" w:name="_Hlk134005227"/>
      <w:r w:rsidRPr="006D3C55">
        <w:t xml:space="preserve">A </w:t>
      </w:r>
      <w:r w:rsidR="00892128" w:rsidRPr="006D3C55">
        <w:t>mature</w:t>
      </w:r>
      <w:r w:rsidRPr="006D3C55">
        <w:t xml:space="preserve"> internal control framework contributing </w:t>
      </w:r>
      <w:r w:rsidR="0080071F">
        <w:br/>
      </w:r>
      <w:r w:rsidRPr="006D3C55">
        <w:t>to the achievement of the Commission’s objectives in an evolving environment</w:t>
      </w:r>
    </w:p>
    <w:bookmarkEnd w:id="33"/>
    <w:p w14:paraId="75B93880" w14:textId="76F40DA3" w:rsidR="001301C1" w:rsidRPr="006D3C55" w:rsidRDefault="001301C1" w:rsidP="006D5CEC">
      <w:pPr>
        <w:pStyle w:val="HNum-fromh2Heading4-111"/>
      </w:pPr>
      <w:r w:rsidRPr="006D3C55">
        <w:t xml:space="preserve">A mature internal control framework </w:t>
      </w:r>
      <w:r w:rsidR="00CD545E" w:rsidRPr="006D3C55">
        <w:t>continu</w:t>
      </w:r>
      <w:r w:rsidR="00CD545E">
        <w:t>al</w:t>
      </w:r>
      <w:r w:rsidR="00CD545E" w:rsidRPr="006D3C55">
        <w:t xml:space="preserve">ly </w:t>
      </w:r>
      <w:r w:rsidRPr="006D3C55">
        <w:t>ad</w:t>
      </w:r>
      <w:r w:rsidR="008B68E6" w:rsidRPr="006D3C55">
        <w:t>justed</w:t>
      </w:r>
      <w:r w:rsidRPr="006D3C55">
        <w:t xml:space="preserve"> to </w:t>
      </w:r>
      <w:r w:rsidR="00892128" w:rsidRPr="006D3C55">
        <w:t>address minor weaknesses</w:t>
      </w:r>
    </w:p>
    <w:p w14:paraId="5DB98AAC" w14:textId="74691FF1" w:rsidR="001301C1" w:rsidRPr="006D3C55" w:rsidRDefault="001301C1" w:rsidP="001301C1">
      <w:r w:rsidRPr="006D3C55">
        <w:rPr>
          <w:rStyle w:val="Bold"/>
        </w:rPr>
        <w:t>The Commission relies on a strong corporate internal control framework based on the highest international standards</w:t>
      </w:r>
      <w:r w:rsidRPr="006D5CEC">
        <w:t>.</w:t>
      </w:r>
      <w:r w:rsidRPr="006D3C55">
        <w:t xml:space="preserve"> It also employs a robust risk management policy to identify, assess and manage risks at every level of the organisation, in order to provide assurance about the achievement of its objectives. In </w:t>
      </w:r>
      <w:r w:rsidR="00324F7E" w:rsidRPr="006D3C55">
        <w:t>2025</w:t>
      </w:r>
      <w:r w:rsidRPr="006D3C55">
        <w:t>, the Commission continued to ensure that the amounts allocated from the EU budget were invested for their intended purpose in strict compliance with the financial rules, in order to minimise, detect and prevent errors, avoid double funding, prevent fraud, enhance transparency and pave the way to the discharge.</w:t>
      </w:r>
    </w:p>
    <w:p w14:paraId="3209D236" w14:textId="3038F419" w:rsidR="001301C1" w:rsidRPr="006D3C55" w:rsidRDefault="001301C1" w:rsidP="001301C1">
      <w:r w:rsidRPr="006D3C55">
        <w:rPr>
          <w:rStyle w:val="Bold"/>
        </w:rPr>
        <w:t xml:space="preserve">Overall, in </w:t>
      </w:r>
      <w:r w:rsidR="00324F7E" w:rsidRPr="006D3C55">
        <w:rPr>
          <w:rStyle w:val="Bold"/>
        </w:rPr>
        <w:t>2025</w:t>
      </w:r>
      <w:r w:rsidRPr="006D3C55">
        <w:rPr>
          <w:rStyle w:val="Bold"/>
        </w:rPr>
        <w:t>, the Commission departments concluded that the internal control principles underlying their internal control systems were present and working as intended</w:t>
      </w:r>
      <w:r w:rsidR="00733CB6" w:rsidRPr="006D3C55">
        <w:rPr>
          <w:rStyle w:val="Bold"/>
        </w:rPr>
        <w:t>,</w:t>
      </w:r>
      <w:r w:rsidRPr="006D3C55">
        <w:rPr>
          <w:rStyle w:val="Bold"/>
          <w:bCs/>
        </w:rPr>
        <w:t xml:space="preserve"> </w:t>
      </w:r>
      <w:r w:rsidRPr="006D3C55">
        <w:rPr>
          <w:rStyle w:val="Bold"/>
        </w:rPr>
        <w:t>and stable over the years</w:t>
      </w:r>
      <w:r w:rsidRPr="006D3C55">
        <w:rPr>
          <w:rStyle w:val="Bold"/>
          <w:bCs/>
        </w:rPr>
        <w:t xml:space="preserve"> (see graph below)</w:t>
      </w:r>
      <w:r w:rsidR="00733CB6" w:rsidRPr="006D3C55">
        <w:rPr>
          <w:rStyle w:val="Bold"/>
          <w:bCs/>
        </w:rPr>
        <w:t>,</w:t>
      </w:r>
      <w:r w:rsidRPr="006D3C55">
        <w:rPr>
          <w:rStyle w:val="Bold"/>
          <w:bCs/>
        </w:rPr>
        <w:t xml:space="preserve"> even if minor improvements are needed in some areas</w:t>
      </w:r>
      <w:r w:rsidRPr="006D3C55">
        <w:rPr>
          <w:rStyle w:val="Bold"/>
        </w:rPr>
        <w:t>.</w:t>
      </w:r>
      <w:r w:rsidRPr="006D3C55">
        <w:t xml:space="preserve"> This overall assessment</w:t>
      </w:r>
      <w:r w:rsidRPr="006D3C55" w:rsidDel="004D3723">
        <w:t xml:space="preserve"> </w:t>
      </w:r>
      <w:r w:rsidRPr="006D3C55">
        <w:t xml:space="preserve">confirmed that the Commission departments </w:t>
      </w:r>
      <w:r w:rsidR="00315A9E" w:rsidRPr="006D3C55">
        <w:t xml:space="preserve">had </w:t>
      </w:r>
      <w:r w:rsidRPr="006D3C55">
        <w:t xml:space="preserve">continued their efforts to address the deficiencies in their internal control systems identified in </w:t>
      </w:r>
      <w:r w:rsidR="00311382" w:rsidRPr="006D3C55">
        <w:t>2024</w:t>
      </w:r>
      <w:r w:rsidRPr="006D3C55">
        <w:t>. Progress</w:t>
      </w:r>
      <w:r w:rsidRPr="006D3C55" w:rsidDel="006075E2">
        <w:t xml:space="preserve"> </w:t>
      </w:r>
      <w:r w:rsidRPr="006D3C55">
        <w:t xml:space="preserve">made in </w:t>
      </w:r>
      <w:r w:rsidR="00CA1BFC" w:rsidRPr="006D3C55">
        <w:t xml:space="preserve">2025 </w:t>
      </w:r>
      <w:r w:rsidRPr="006D3C55">
        <w:t xml:space="preserve">resulted </w:t>
      </w:r>
      <w:r w:rsidRPr="006D3C55" w:rsidDel="00F61D9F">
        <w:t>from</w:t>
      </w:r>
      <w:r w:rsidRPr="006D3C55">
        <w:t>, among other things,</w:t>
      </w:r>
      <w:r w:rsidRPr="006D3C55" w:rsidDel="00F61D9F">
        <w:t xml:space="preserve"> </w:t>
      </w:r>
      <w:r w:rsidR="005E4032" w:rsidRPr="006D3C55">
        <w:t xml:space="preserve">the </w:t>
      </w:r>
      <w:r w:rsidRPr="006D3C55">
        <w:t xml:space="preserve">improvement of local strategies in various areas (e.g. human resources, anti-fraud), </w:t>
      </w:r>
      <w:r w:rsidR="004429E3" w:rsidRPr="006D3C55">
        <w:t>increased</w:t>
      </w:r>
      <w:r w:rsidRPr="006D3C55">
        <w:t xml:space="preserve"> participation in learning activities, </w:t>
      </w:r>
      <w:r w:rsidR="005E4032" w:rsidRPr="006D3C55">
        <w:t xml:space="preserve">the </w:t>
      </w:r>
      <w:r w:rsidRPr="00B223C6">
        <w:t>adoption of business continuity plan</w:t>
      </w:r>
      <w:r w:rsidR="00B223C6" w:rsidRPr="00B223C6">
        <w:t>s</w:t>
      </w:r>
      <w:r w:rsidRPr="00B223C6">
        <w:t xml:space="preserve"> and relocation plan</w:t>
      </w:r>
      <w:r w:rsidR="00B223C6" w:rsidRPr="00B223C6">
        <w:t>s</w:t>
      </w:r>
      <w:r w:rsidRPr="006D3C55">
        <w:t xml:space="preserve">, and </w:t>
      </w:r>
      <w:r w:rsidR="005E4032" w:rsidRPr="006D3C55">
        <w:t xml:space="preserve">the </w:t>
      </w:r>
      <w:r w:rsidRPr="006D3C55">
        <w:t>improvement of the quality of information provided on local intranets.</w:t>
      </w:r>
    </w:p>
    <w:p w14:paraId="7928A61C" w14:textId="36C93B99" w:rsidR="00475DD4" w:rsidRPr="006D3C55" w:rsidRDefault="00475DD4" w:rsidP="00475DD4">
      <w:pPr>
        <w:pStyle w:val="ImageTitle"/>
      </w:pPr>
      <w:r w:rsidRPr="006D3C55">
        <w:t>Assessment of the functioning of the components and internal control principles</w:t>
      </w:r>
      <w:r w:rsidRPr="006D3C55">
        <w:rPr>
          <w:rFonts w:ascii="Calibri" w:hAnsi="Calibri" w:cs="Calibri"/>
        </w:rPr>
        <w:t> </w:t>
      </w:r>
      <w:r w:rsidRPr="006D3C55">
        <w:t>(*)</w:t>
      </w:r>
    </w:p>
    <w:p w14:paraId="27798852" w14:textId="07FE25FA" w:rsidR="00475DD4" w:rsidRPr="006D5CEC" w:rsidRDefault="004F4F64" w:rsidP="006D5CEC">
      <w:pPr>
        <w:pStyle w:val="ImagePlaceholder"/>
      </w:pPr>
      <w:r w:rsidRPr="004F4F64">
        <w:drawing>
          <wp:inline distT="0" distB="0" distL="0" distR="0" wp14:anchorId="3C03ACFB" wp14:editId="180E6DD3">
            <wp:extent cx="5759450" cy="3585845"/>
            <wp:effectExtent l="0" t="0" r="0" b="0"/>
            <wp:docPr id="1132305515" name="Picture 4" descr="Bar chart showing the assessment of the functioning of the components and internal control principles  for the years 2023, 2024 and 2025. &#10;The number of components and internal control principles that were effective and functioning as intended as increased from 15 in 2023, to 18 in 2024 and 27 in 2025.&#10;The number of components and internal control principles that were effective and functioning, but some improvements were needed was 35 in 2023 and decreased to 32 in 2024 and 25 in 2025.&#10;The number of components and internal control principles that were partially effective was 1 in 2023, 1 in 2024 and 0 in 2025. &#10;There were no components and internal control principles considered as not effective for the period between 2023 and 2025. ">
              <a:extLst xmlns:a="http://schemas.openxmlformats.org/drawingml/2006/main">
                <a:ext uri="{FF2B5EF4-FFF2-40B4-BE49-F238E27FC236}">
                  <a16:creationId xmlns:a16="http://schemas.microsoft.com/office/drawing/2014/main" id="{64B14B73-7E57-A3A5-5A3D-40832261866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2305515" name="Picture 4" descr="Bar chart showing the assessment of the functioning of the components and internal control principles  for the years 2023, 2024 and 2025. &#10;The number of components and internal control principles that were effective and functioning as intended as increased from 15 in 2023, to 18 in 2024 and 27 in 2025.&#10;The number of components and internal control principles that were effective and functioning, but some improvements were needed was 35 in 2023 and decreased to 32 in 2024 and 25 in 2025.&#10;The number of components and internal control principles that were partially effective was 1 in 2023, 1 in 2024 and 0 in 2025. &#10;There were no components and internal control principles considered as not effective for the period between 2023 and 2025. ">
                      <a:extLst>
                        <a:ext uri="{FF2B5EF4-FFF2-40B4-BE49-F238E27FC236}">
                          <a16:creationId xmlns:a16="http://schemas.microsoft.com/office/drawing/2014/main" id="{64B14B73-7E57-A3A5-5A3D-408322618666}"/>
                        </a:ext>
                      </a:extLst>
                    </pic:cNvPr>
                    <pic:cNvPicPr>
                      <a:picLocks noChangeAspect="1"/>
                    </pic:cNvPicPr>
                  </pic:nvPicPr>
                  <pic:blipFill>
                    <a:blip r:embed="rId52"/>
                    <a:srcRect l="4656" t="5548" r="5608" b="7040"/>
                    <a:stretch>
                      <a:fillRect/>
                    </a:stretch>
                  </pic:blipFill>
                  <pic:spPr>
                    <a:xfrm>
                      <a:off x="0" y="0"/>
                      <a:ext cx="5759450" cy="3585845"/>
                    </a:xfrm>
                    <a:prstGeom prst="rect">
                      <a:avLst/>
                    </a:prstGeom>
                  </pic:spPr>
                </pic:pic>
              </a:graphicData>
            </a:graphic>
          </wp:inline>
        </w:drawing>
      </w:r>
    </w:p>
    <w:p w14:paraId="7C6F66E9" w14:textId="6D42BF8F" w:rsidR="00475DD4" w:rsidRPr="006D3C55" w:rsidRDefault="00475DD4" w:rsidP="00AD4275">
      <w:pPr>
        <w:pStyle w:val="ImageNotes"/>
        <w:ind w:left="284" w:hanging="284"/>
      </w:pPr>
      <w:r w:rsidRPr="006D3C55">
        <w:t>(*)</w:t>
      </w:r>
      <w:r w:rsidR="003F37F4" w:rsidRPr="00426C5F">
        <w:tab/>
      </w:r>
      <w:r w:rsidRPr="006D3C55">
        <w:t>The number of Commission departments reporting that internal control components and principles were upheld and functioned properly in 2023, 2024 and 2025.</w:t>
      </w:r>
    </w:p>
    <w:p w14:paraId="58CBF087" w14:textId="77777777" w:rsidR="00475DD4" w:rsidRPr="006D3C55" w:rsidRDefault="00475DD4" w:rsidP="00475DD4">
      <w:pPr>
        <w:pStyle w:val="ImageSource"/>
      </w:pPr>
      <w:r w:rsidRPr="00426C5F">
        <w:rPr>
          <w:rStyle w:val="Italic"/>
        </w:rPr>
        <w:t>Source:</w:t>
      </w:r>
      <w:r w:rsidRPr="006D3C55">
        <w:t xml:space="preserve"> European Commission annual activity reports.</w:t>
      </w:r>
    </w:p>
    <w:p w14:paraId="3DD22068" w14:textId="0764DCEA" w:rsidR="001301C1" w:rsidRPr="006D3C55" w:rsidRDefault="00840367" w:rsidP="006D5CEC">
      <w:r w:rsidRPr="006D3C55">
        <w:rPr>
          <w:rStyle w:val="Bold"/>
        </w:rPr>
        <w:t>Commission departments, with the support of the Central Financial Service, continued to enhance, update and fine-tune their internal control systems where necessary.</w:t>
      </w:r>
      <w:r w:rsidRPr="006D5CEC">
        <w:rPr>
          <w:rStyle w:val="Bold"/>
        </w:rPr>
        <w:t xml:space="preserve"> </w:t>
      </w:r>
      <w:r w:rsidR="001301C1" w:rsidRPr="006D5CEC">
        <w:t>For some internal control principles, improvements are still needed, corresponding mostly to minor deficiencies</w:t>
      </w:r>
      <w:r w:rsidR="001301C1" w:rsidRPr="00AD4275">
        <w:rPr>
          <w:bCs/>
        </w:rPr>
        <w:t>.</w:t>
      </w:r>
      <w:r w:rsidR="001301C1" w:rsidRPr="006D3C55">
        <w:t xml:space="preserve"> Similarly to previous years, </w:t>
      </w:r>
      <w:r w:rsidR="00A47031" w:rsidRPr="006D3C55">
        <w:t>partial effectivenes</w:t>
      </w:r>
      <w:r w:rsidRPr="006D3C55">
        <w:t>s</w:t>
      </w:r>
      <w:r w:rsidR="00A47031" w:rsidRPr="006D3C55">
        <w:t xml:space="preserve"> is</w:t>
      </w:r>
      <w:r w:rsidR="00B608C7" w:rsidRPr="006D3C55">
        <w:t xml:space="preserve"> often</w:t>
      </w:r>
      <w:r w:rsidR="00A47031" w:rsidRPr="006D3C55">
        <w:t xml:space="preserve"> related to external factors. This assessment is inherent to the </w:t>
      </w:r>
      <w:r w:rsidR="00564B30" w:rsidRPr="006D3C55">
        <w:t>u</w:t>
      </w:r>
      <w:r w:rsidR="00A47031" w:rsidRPr="006D3C55">
        <w:t xml:space="preserve">nstable political situation in certain non-EU countries and regions where operations are taking place. This heightened volatility prevents the full implementation of standard monitoring, evaluation and control activities without discontinuing </w:t>
      </w:r>
      <w:r w:rsidR="00564B30" w:rsidRPr="006D3C55">
        <w:t xml:space="preserve">the </w:t>
      </w:r>
      <w:r w:rsidR="00A47031" w:rsidRPr="006D3C55">
        <w:t>urgent and essential delivery of financial assistance. Most of the time, partial effectiveness was detected by audits (internal or external) and led</w:t>
      </w:r>
      <w:r w:rsidR="001301C1" w:rsidRPr="006D3C55">
        <w:t xml:space="preserve"> to audit recommendations for which action plans have been developed and implementation has already started</w:t>
      </w:r>
      <w:r w:rsidR="00A47031" w:rsidRPr="006D3C55">
        <w:t xml:space="preserve"> but is not yet completed</w:t>
      </w:r>
      <w:r w:rsidR="001301C1" w:rsidRPr="006D3C55">
        <w:t xml:space="preserve">. The departments concerned </w:t>
      </w:r>
      <w:r w:rsidR="00F3539D" w:rsidRPr="006D3C55">
        <w:t>and</w:t>
      </w:r>
      <w:r w:rsidR="001301C1" w:rsidRPr="006D3C55">
        <w:t xml:space="preserve"> the areas for improvement vary from one year to another. This is why variations over the years</w:t>
      </w:r>
      <w:r w:rsidR="00B608C7" w:rsidRPr="006D3C55">
        <w:t xml:space="preserve"> at </w:t>
      </w:r>
      <w:r w:rsidR="00C57FBD" w:rsidRPr="006D3C55">
        <w:t xml:space="preserve">the </w:t>
      </w:r>
      <w:r w:rsidR="00B608C7" w:rsidRPr="006D3C55">
        <w:t>Commission level</w:t>
      </w:r>
      <w:r w:rsidR="001301C1" w:rsidRPr="006D3C55">
        <w:t xml:space="preserve"> remain ma</w:t>
      </w:r>
      <w:r w:rsidR="002A33B4">
        <w:t>r</w:t>
      </w:r>
      <w:r w:rsidR="001301C1" w:rsidRPr="006D3C55">
        <w:t xml:space="preserve">ginal. An overview </w:t>
      </w:r>
      <w:r w:rsidR="00C57FBD" w:rsidRPr="006D3C55">
        <w:t xml:space="preserve">can </w:t>
      </w:r>
      <w:r w:rsidR="00A7477F" w:rsidRPr="006D3C55">
        <w:t xml:space="preserve">be found in the assurance </w:t>
      </w:r>
      <w:r w:rsidR="001301C1" w:rsidRPr="006D3C55">
        <w:t xml:space="preserve">provided by the Internal Audit Service </w:t>
      </w:r>
      <w:r w:rsidR="00A7477F" w:rsidRPr="006D3C55">
        <w:t xml:space="preserve">in </w:t>
      </w:r>
      <w:r w:rsidR="00FB6D73">
        <w:t>Volume</w:t>
      </w:r>
      <w:r w:rsidR="00FB6D73">
        <w:rPr>
          <w:rFonts w:ascii="Calibri" w:hAnsi="Calibri" w:cs="Calibri"/>
        </w:rPr>
        <w:t> </w:t>
      </w:r>
      <w:r w:rsidR="00FB6D73">
        <w:t xml:space="preserve">III, </w:t>
      </w:r>
      <w:r w:rsidR="00C57FBD" w:rsidRPr="006D3C55">
        <w:t>A</w:t>
      </w:r>
      <w:r w:rsidR="001301C1" w:rsidRPr="006D3C55">
        <w:t>nnex</w:t>
      </w:r>
      <w:r w:rsidR="00C57FBD" w:rsidRPr="006D3C55">
        <w:rPr>
          <w:rFonts w:ascii="Calibri" w:hAnsi="Calibri" w:cs="Calibri"/>
        </w:rPr>
        <w:t> </w:t>
      </w:r>
      <w:r w:rsidR="001301C1" w:rsidRPr="006D3C55">
        <w:t>6.</w:t>
      </w:r>
    </w:p>
    <w:p w14:paraId="419C7CFE" w14:textId="1CABFD5D" w:rsidR="00892128" w:rsidRPr="006D3C55" w:rsidRDefault="00892128" w:rsidP="006D5CEC">
      <w:pPr>
        <w:pStyle w:val="HNum-fromh2Heading4-111"/>
      </w:pPr>
      <w:r w:rsidRPr="006D3C55">
        <w:t xml:space="preserve">Progress in </w:t>
      </w:r>
      <w:r w:rsidR="00C57FBD" w:rsidRPr="006D3C55">
        <w:t xml:space="preserve">the </w:t>
      </w:r>
      <w:r w:rsidRPr="006D3C55">
        <w:t>Commission’s digital transformation</w:t>
      </w:r>
    </w:p>
    <w:p w14:paraId="6D04C26A" w14:textId="1129BCA5" w:rsidR="00B42BBD" w:rsidRPr="006D3C55" w:rsidRDefault="00B42BBD" w:rsidP="00B42BBD">
      <w:r w:rsidRPr="006D3C55">
        <w:t xml:space="preserve">Against a backdrop of unprecedented challenges, the Commission’s digital transformation is moving forward by continuing </w:t>
      </w:r>
      <w:r w:rsidR="00401E55" w:rsidRPr="006D3C55">
        <w:t xml:space="preserve">to </w:t>
      </w:r>
      <w:r w:rsidRPr="006D3C55">
        <w:t>develop more efficient corporate information technology tools to increase the efficiency of its business processes and offering increasing data management and reporting capabilities.</w:t>
      </w:r>
    </w:p>
    <w:p w14:paraId="6AA35CDC" w14:textId="2A74EA9B" w:rsidR="00B42BBD" w:rsidRPr="006D3C55" w:rsidRDefault="00DB39AD" w:rsidP="00B42BBD">
      <w:r w:rsidRPr="006D3C55">
        <w:t>In 2025</w:t>
      </w:r>
      <w:r w:rsidRPr="006D3C55">
        <w:rPr>
          <w:rFonts w:cs="Calibri"/>
        </w:rPr>
        <w:t>,</w:t>
      </w:r>
      <w:r w:rsidRPr="006D3C55" w:rsidDel="00560D6B">
        <w:t xml:space="preserve"> </w:t>
      </w:r>
      <w:r w:rsidRPr="006D3C55">
        <w:t>in line with the EU’s digital strategy, the Commission continued to implement and deploy its new corporate financial platform, SUMMA. This was a</w:t>
      </w:r>
      <w:r w:rsidR="00B42BBD" w:rsidRPr="006D3C55">
        <w:t>n important milestone in the business-driven digital transformation of the Commission</w:t>
      </w:r>
      <w:r w:rsidR="009E1268">
        <w:t>. It</w:t>
      </w:r>
      <w:r w:rsidR="0043155F" w:rsidRPr="006D3C55">
        <w:t xml:space="preserve"> was </w:t>
      </w:r>
      <w:r w:rsidR="00892128" w:rsidRPr="006D3C55">
        <w:t>a change and an update of an unprecedented order of magnitude</w:t>
      </w:r>
      <w:r w:rsidR="00B42BBD" w:rsidRPr="006D3C55">
        <w:t xml:space="preserve"> (see box below).</w:t>
      </w:r>
    </w:p>
    <w:p w14:paraId="182E439C" w14:textId="57EFA003" w:rsidR="00B42BBD" w:rsidRPr="006D3C55" w:rsidRDefault="00B42BBD" w:rsidP="00B42BBD">
      <w:pPr>
        <w:pStyle w:val="amprboxheading"/>
      </w:pPr>
      <w:r w:rsidRPr="006D3C55" w:rsidDel="0069532C">
        <w:t>SUMMA</w:t>
      </w:r>
      <w:r w:rsidRPr="006D3C55">
        <w:rPr>
          <w:rFonts w:ascii="Calibri" w:hAnsi="Calibri" w:cs="Calibri"/>
        </w:rPr>
        <w:t> </w:t>
      </w:r>
      <w:r w:rsidRPr="006D3C55">
        <w:t xml:space="preserve">– the Commission’s new corporate financial </w:t>
      </w:r>
      <w:r w:rsidR="0011026D" w:rsidRPr="006D3C55">
        <w:t>platform</w:t>
      </w:r>
    </w:p>
    <w:p w14:paraId="41A38A11" w14:textId="4790DC36" w:rsidR="00EB3FBE" w:rsidRPr="006D3C55" w:rsidRDefault="00B42BBD" w:rsidP="00B42BBD">
      <w:pPr>
        <w:pStyle w:val="amprboxtext"/>
      </w:pPr>
      <w:r w:rsidRPr="006D3C55">
        <w:t>The</w:t>
      </w:r>
      <w:r w:rsidRPr="006D3C55" w:rsidDel="00424799">
        <w:t xml:space="preserve"> </w:t>
      </w:r>
      <w:r w:rsidRPr="006D3C55">
        <w:t>platform went live in the Commission departments and executive agencies in January 2025, fully replacing the former central accounting, budgetary and treasury system</w:t>
      </w:r>
      <w:r w:rsidR="00900580" w:rsidRPr="006D3C55">
        <w:t>.</w:t>
      </w:r>
      <w:r w:rsidR="00624040" w:rsidRPr="006D3C55">
        <w:t xml:space="preserve"> </w:t>
      </w:r>
      <w:r w:rsidR="003B6F1F" w:rsidRPr="006D3C55">
        <w:t xml:space="preserve">In </w:t>
      </w:r>
      <w:r w:rsidR="00624040" w:rsidRPr="006D3C55">
        <w:t xml:space="preserve">January 2026, </w:t>
      </w:r>
      <w:r w:rsidR="00EB3FBE" w:rsidRPr="006D3C55">
        <w:t>the</w:t>
      </w:r>
      <w:r w:rsidR="00624040" w:rsidRPr="006D3C55">
        <w:t xml:space="preserve"> European External Action Service</w:t>
      </w:r>
      <w:r w:rsidRPr="006D3C55">
        <w:t xml:space="preserve"> and </w:t>
      </w:r>
      <w:r w:rsidR="00624040" w:rsidRPr="006D3C55">
        <w:t xml:space="preserve">22 decentralised </w:t>
      </w:r>
      <w:r w:rsidR="009159F7" w:rsidRPr="006D3C55">
        <w:t xml:space="preserve">EU </w:t>
      </w:r>
      <w:r w:rsidR="00624040" w:rsidRPr="006D3C55">
        <w:t>agencies also started to use SUMMA.</w:t>
      </w:r>
      <w:r w:rsidR="00462903" w:rsidRPr="006D3C55">
        <w:t xml:space="preserve"> By 2027</w:t>
      </w:r>
      <w:r w:rsidR="002B1CE6" w:rsidRPr="006D3C55">
        <w:t>,</w:t>
      </w:r>
      <w:r w:rsidRPr="006D3C55" w:rsidDel="00462903">
        <w:t xml:space="preserve"> </w:t>
      </w:r>
      <w:r w:rsidR="00462903" w:rsidRPr="006D3C55">
        <w:t xml:space="preserve">SUMMA </w:t>
      </w:r>
      <w:r w:rsidRPr="006D3C55">
        <w:t xml:space="preserve">will be further deployed to </w:t>
      </w:r>
      <w:r w:rsidR="002B1CE6" w:rsidRPr="006D3C55">
        <w:t xml:space="preserve">each of </w:t>
      </w:r>
      <w:r w:rsidRPr="006D3C55">
        <w:t xml:space="preserve">the </w:t>
      </w:r>
      <w:r w:rsidR="00F037B7" w:rsidRPr="006D3C55">
        <w:t xml:space="preserve">27 </w:t>
      </w:r>
      <w:r w:rsidRPr="006D3C55">
        <w:t xml:space="preserve">entities </w:t>
      </w:r>
      <w:r w:rsidR="00F037B7" w:rsidRPr="006D3C55">
        <w:t xml:space="preserve">still </w:t>
      </w:r>
      <w:r w:rsidRPr="006D3C55">
        <w:t xml:space="preserve">using </w:t>
      </w:r>
      <w:r w:rsidR="00F037B7" w:rsidRPr="006D3C55">
        <w:t>the previous financial system</w:t>
      </w:r>
      <w:r w:rsidR="002B1CE6" w:rsidRPr="006D3C55">
        <w:t>, and</w:t>
      </w:r>
      <w:r w:rsidR="009D4994" w:rsidRPr="006D3C55">
        <w:t xml:space="preserve"> to the Joint Sickness Insurance Scheme and </w:t>
      </w:r>
      <w:r w:rsidR="002B1CE6" w:rsidRPr="006D3C55">
        <w:t xml:space="preserve">the </w:t>
      </w:r>
      <w:r w:rsidR="009D4994" w:rsidRPr="006D3C55">
        <w:t>European Development Fund.</w:t>
      </w:r>
    </w:p>
    <w:p w14:paraId="59DEEB03" w14:textId="67BACEC9" w:rsidR="007E3B03" w:rsidRPr="006D3C55" w:rsidRDefault="00B42BBD" w:rsidP="00FE4E94">
      <w:pPr>
        <w:pStyle w:val="amprboxtext"/>
      </w:pPr>
      <w:r w:rsidRPr="006D3C55">
        <w:t>SUMMA is a modern financial system</w:t>
      </w:r>
      <w:r w:rsidR="007940BE" w:rsidRPr="006D3C55">
        <w:t xml:space="preserve"> that is</w:t>
      </w:r>
      <w:r w:rsidRPr="006D3C55">
        <w:t xml:space="preserve"> designed in close cooperation with the business owners, based on the best industry standards and fully integrated into the Commission’s corporate information technology landscape.</w:t>
      </w:r>
      <w:r w:rsidR="00B53A30" w:rsidRPr="006D3C55">
        <w:t xml:space="preserve"> </w:t>
      </w:r>
      <w:r w:rsidR="00611233" w:rsidRPr="006D3C55">
        <w:t xml:space="preserve">Its </w:t>
      </w:r>
      <w:r w:rsidR="007E3B03" w:rsidRPr="006D3C55">
        <w:t>integration with the main corporate and local systems increased the overall level of automation of the Commission’s operations.</w:t>
      </w:r>
    </w:p>
    <w:p w14:paraId="01F9B07E" w14:textId="3417DBE3" w:rsidR="00FE4E94" w:rsidRPr="006D3C55" w:rsidRDefault="00FE4E94" w:rsidP="00FE4E94">
      <w:pPr>
        <w:pStyle w:val="amprboxtext"/>
      </w:pPr>
      <w:r w:rsidRPr="006D3C55">
        <w:t>SUMMA is an important source for the central data and reporting hub, which designs and delivers modern reporting solutions</w:t>
      </w:r>
      <w:r w:rsidR="00611233" w:rsidRPr="006D3C55">
        <w:t>,</w:t>
      </w:r>
      <w:r w:rsidRPr="006D3C55">
        <w:t xml:space="preserve"> from interactive dashboards to corporate reports, for a wide range of stakeholders: </w:t>
      </w:r>
      <w:r w:rsidR="00A030D7" w:rsidRPr="006D3C55">
        <w:t xml:space="preserve">the </w:t>
      </w:r>
      <w:r w:rsidRPr="006D3C55">
        <w:t xml:space="preserve">Commission, </w:t>
      </w:r>
      <w:r w:rsidR="00A030D7" w:rsidRPr="006D3C55">
        <w:t xml:space="preserve">the </w:t>
      </w:r>
      <w:r w:rsidRPr="006D3C55">
        <w:t xml:space="preserve">executive agencies and other bodies, institutions and decentralised agencies. The reporting hub makes the financial data clear, reliable and easy to use. The data and reporting hub also provides planning and forecasting solutions, allowing the EU entities to </w:t>
      </w:r>
      <w:r w:rsidR="00930FCC" w:rsidRPr="006D3C55">
        <w:t xml:space="preserve">better </w:t>
      </w:r>
      <w:r w:rsidRPr="006D3C55">
        <w:t>program</w:t>
      </w:r>
      <w:r w:rsidR="00CE7E53" w:rsidRPr="006D3C55">
        <w:t>me</w:t>
      </w:r>
      <w:r w:rsidRPr="006D3C55">
        <w:t xml:space="preserve"> their expenditure.</w:t>
      </w:r>
    </w:p>
    <w:p w14:paraId="72AD4573" w14:textId="125B7579" w:rsidR="00B42BBD" w:rsidRPr="006D3C55" w:rsidRDefault="00FE4E94" w:rsidP="00B42BBD">
      <w:pPr>
        <w:pStyle w:val="amprboxtext"/>
      </w:pPr>
      <w:r w:rsidRPr="006D3C55">
        <w:t>The SUMMA program has a strong governance framework and uses a thorough quality assurance system, based on regular tests on SUMMA processes and integrations.</w:t>
      </w:r>
    </w:p>
    <w:p w14:paraId="22388AA3" w14:textId="59B66CE9" w:rsidR="00930FCC" w:rsidRPr="006D3C55" w:rsidRDefault="00930FCC" w:rsidP="00B42BBD">
      <w:pPr>
        <w:pStyle w:val="amprboxtext"/>
      </w:pPr>
      <w:r w:rsidRPr="006D3C55">
        <w:t>Overall, SUMMA offers a significant increase in business efficiency, along with flexibility through integrated real-time analytics and decreased costs relating to ownership and future maintenance.</w:t>
      </w:r>
    </w:p>
    <w:p w14:paraId="238DFA46" w14:textId="4E826424" w:rsidR="00AB68AA" w:rsidRPr="006D3C55" w:rsidRDefault="001301C1" w:rsidP="006D5CEC">
      <w:pPr>
        <w:pStyle w:val="HNum-fromh2Heading4-111"/>
      </w:pPr>
      <w:bookmarkStart w:id="34" w:name="_Hlk227840001"/>
      <w:r w:rsidRPr="006D3C55">
        <w:t>An enhanced framework for the risk management of financial operations</w:t>
      </w:r>
    </w:p>
    <w:bookmarkEnd w:id="34"/>
    <w:p w14:paraId="52ED4BA9" w14:textId="68F8CDE9" w:rsidR="004D3751" w:rsidRPr="006D3C55" w:rsidRDefault="001301C1" w:rsidP="001301C1">
      <w:r w:rsidRPr="006D5CEC">
        <w:rPr>
          <w:rStyle w:val="Bold"/>
        </w:rPr>
        <w:t>S</w:t>
      </w:r>
      <w:r w:rsidRPr="006D3C55">
        <w:rPr>
          <w:rStyle w:val="Bold"/>
        </w:rPr>
        <w:t>ince the NextGenerationEU borrowing programme was launched at the end of 2021, the EU’s financial operations have expanded significantly in volume and in scope</w:t>
      </w:r>
      <w:r w:rsidR="0054745C" w:rsidRPr="006D5CEC">
        <w:rPr>
          <w:rStyle w:val="Bold"/>
        </w:rPr>
        <w:t xml:space="preserve"> to address emerging challenges</w:t>
      </w:r>
      <w:r w:rsidRPr="006D5CEC">
        <w:rPr>
          <w:rStyle w:val="Bold"/>
        </w:rPr>
        <w:t>.</w:t>
      </w:r>
      <w:r w:rsidRPr="006D3C55">
        <w:t xml:space="preserve"> Budgetary guarantees and loans to achieve the </w:t>
      </w:r>
      <w:r w:rsidR="005723BA" w:rsidRPr="006D3C55">
        <w:t xml:space="preserve">EU’s </w:t>
      </w:r>
      <w:r w:rsidRPr="006D3C55">
        <w:t xml:space="preserve">policy objectives, funded through the issuance of debt securities, have been used on a large scale to tackle emerging challenges and successive crises. </w:t>
      </w:r>
      <w:r w:rsidR="004D3751" w:rsidRPr="006D3C55">
        <w:t>The Commission completed its funding programme for 2025, raising a total of EUR</w:t>
      </w:r>
      <w:r w:rsidR="004D3751" w:rsidRPr="006D3C55">
        <w:rPr>
          <w:rFonts w:ascii="Calibri" w:hAnsi="Calibri" w:cs="Calibri"/>
        </w:rPr>
        <w:t> </w:t>
      </w:r>
      <w:r w:rsidR="0073465C" w:rsidRPr="006D3C55">
        <w:t>155</w:t>
      </w:r>
      <w:r w:rsidR="004D3751" w:rsidRPr="006D3C55">
        <w:rPr>
          <w:rFonts w:ascii="Calibri" w:hAnsi="Calibri" w:cs="Calibri"/>
        </w:rPr>
        <w:t> </w:t>
      </w:r>
      <w:r w:rsidR="004D3751" w:rsidRPr="006D3C55">
        <w:t>billion over the course of the year. The 2025 issuance brought the total outstanding amount of EU bonds to EUR</w:t>
      </w:r>
      <w:r w:rsidR="004D3751" w:rsidRPr="006D3C55">
        <w:rPr>
          <w:rFonts w:ascii="Calibri" w:hAnsi="Calibri" w:cs="Calibri"/>
        </w:rPr>
        <w:t> </w:t>
      </w:r>
      <w:r w:rsidR="00ED385A" w:rsidRPr="006D3C55">
        <w:t>560</w:t>
      </w:r>
      <w:r w:rsidR="004D3751" w:rsidRPr="006D3C55">
        <w:rPr>
          <w:rFonts w:ascii="Calibri" w:hAnsi="Calibri" w:cs="Calibri"/>
        </w:rPr>
        <w:t> </w:t>
      </w:r>
      <w:r w:rsidR="004D3751" w:rsidRPr="006D3C55">
        <w:t>billion by year end, with EUR</w:t>
      </w:r>
      <w:r w:rsidR="004D3751" w:rsidRPr="006D3C55">
        <w:rPr>
          <w:rFonts w:ascii="Calibri" w:hAnsi="Calibri" w:cs="Calibri"/>
        </w:rPr>
        <w:t> </w:t>
      </w:r>
      <w:r w:rsidR="00ED385A" w:rsidRPr="006D3C55">
        <w:t>78.5</w:t>
      </w:r>
      <w:r w:rsidR="004D3751" w:rsidRPr="006D3C55">
        <w:rPr>
          <w:rFonts w:ascii="Calibri" w:hAnsi="Calibri" w:cs="Calibri"/>
        </w:rPr>
        <w:t> </w:t>
      </w:r>
      <w:r w:rsidR="004D3751" w:rsidRPr="006D3C55">
        <w:t>billion issued in the form of NextGenerationEU green bonds.</w:t>
      </w:r>
    </w:p>
    <w:p w14:paraId="44E74229" w14:textId="2F622E55" w:rsidR="001301C1" w:rsidRPr="006D3C55" w:rsidRDefault="001301C1" w:rsidP="001301C1">
      <w:r w:rsidRPr="006D5CEC">
        <w:rPr>
          <w:rStyle w:val="Bold"/>
        </w:rPr>
        <w:t>In this context, the Commission has appointed a Chief Risk Officer to devise</w:t>
      </w:r>
      <w:r w:rsidR="006A346D" w:rsidRPr="006D5CEC">
        <w:rPr>
          <w:rStyle w:val="Bold"/>
        </w:rPr>
        <w:t>, develop</w:t>
      </w:r>
      <w:r w:rsidRPr="006D5CEC">
        <w:rPr>
          <w:rStyle w:val="Bold"/>
        </w:rPr>
        <w:t xml:space="preserve"> and implement an appropriate risk management and compliance framework to protect the </w:t>
      </w:r>
      <w:r w:rsidR="00A00652" w:rsidRPr="006D5CEC">
        <w:rPr>
          <w:rStyle w:val="Bold"/>
        </w:rPr>
        <w:t xml:space="preserve">EU’s </w:t>
      </w:r>
      <w:r w:rsidRPr="006D5CEC">
        <w:rPr>
          <w:rStyle w:val="Bold"/>
        </w:rPr>
        <w:t xml:space="preserve">financial interests </w:t>
      </w:r>
      <w:r w:rsidRPr="006D3C55">
        <w:t>and to ensure that the various risks stemming from the borrowing operations are adequately identified, managed and mitigated</w:t>
      </w:r>
      <w:r w:rsidR="00656D80" w:rsidRPr="006D3C55">
        <w:t xml:space="preserve"> </w:t>
      </w:r>
      <w:r w:rsidR="00656D80" w:rsidRPr="006D3C55">
        <w:rPr>
          <w:bCs/>
        </w:rPr>
        <w:t>in a timely manner</w:t>
      </w:r>
      <w:r w:rsidRPr="006D3C55">
        <w:t xml:space="preserve">. This framework has been continually enhanced by putting in place processes, control points and risk oversight across all the core borrowing and lending activities, including funding planning, </w:t>
      </w:r>
      <w:r w:rsidR="00936881" w:rsidRPr="006D3C55">
        <w:t xml:space="preserve">the </w:t>
      </w:r>
      <w:r w:rsidRPr="006D3C55">
        <w:t>execution of borrowing transactions, liquidity management, cost calculation and allocation.</w:t>
      </w:r>
    </w:p>
    <w:p w14:paraId="76E1EEC4" w14:textId="151FBA07" w:rsidR="001301C1" w:rsidRPr="006D3C55" w:rsidRDefault="001301C1" w:rsidP="001301C1">
      <w:r w:rsidRPr="006D3C55">
        <w:rPr>
          <w:rStyle w:val="Bold"/>
        </w:rPr>
        <w:t xml:space="preserve">Taking into account the increased complexities and scale of all </w:t>
      </w:r>
      <w:r w:rsidR="007825DD" w:rsidRPr="006D3C55">
        <w:rPr>
          <w:rStyle w:val="Bold"/>
        </w:rPr>
        <w:t xml:space="preserve">EU </w:t>
      </w:r>
      <w:r w:rsidRPr="006D3C55">
        <w:rPr>
          <w:rStyle w:val="Bold"/>
        </w:rPr>
        <w:t>financial operations, the Commission needed to evolve quickly towards a more comprehensive and sophisticated risk management framework, aligned with best practices</w:t>
      </w:r>
      <w:r w:rsidR="001A4CC9" w:rsidRPr="006D3C55">
        <w:rPr>
          <w:rStyle w:val="Bold"/>
        </w:rPr>
        <w:t xml:space="preserve"> in the industry</w:t>
      </w:r>
      <w:r w:rsidRPr="006D5CEC">
        <w:rPr>
          <w:rStyle w:val="Bold"/>
        </w:rPr>
        <w:t>.</w:t>
      </w:r>
      <w:r w:rsidRPr="006D3C55">
        <w:t xml:space="preserve"> This was achieved at the beginning of 2025 by extending the Chief Risk Officer’s role beyond the EU’s borrowing and related lending and debt management operations to asset management operations, budgetary guarantees and financial assistance </w:t>
      </w:r>
      <w:r w:rsidR="00D36A0C">
        <w:t>for</w:t>
      </w:r>
      <w:r w:rsidR="00D36A0C" w:rsidRPr="006D3C55">
        <w:t xml:space="preserve"> </w:t>
      </w:r>
      <w:r w:rsidRPr="006D3C55">
        <w:t>non-EU countries</w:t>
      </w:r>
      <w:r w:rsidRPr="006D3C55">
        <w:rPr>
          <w:rFonts w:ascii="Calibri" w:hAnsi="Calibri" w:cs="Calibri"/>
        </w:rPr>
        <w:t> </w:t>
      </w:r>
      <w:r w:rsidRPr="006D3C55">
        <w:t>(</w:t>
      </w:r>
      <w:r w:rsidRPr="00352191">
        <w:rPr>
          <w:rStyle w:val="FootnoteReference"/>
        </w:rPr>
        <w:footnoteReference w:id="6"/>
      </w:r>
      <w:r w:rsidRPr="006D3C55">
        <w:t>). In line with best practices, the Commission has implemented the ‘three lines of defence’ risk management model:</w:t>
      </w:r>
    </w:p>
    <w:p w14:paraId="5491C72B" w14:textId="741D45AB" w:rsidR="001301C1" w:rsidRPr="006D3C55" w:rsidRDefault="001301C1" w:rsidP="00990950">
      <w:pPr>
        <w:pStyle w:val="ListBulletorangeLevel1"/>
      </w:pPr>
      <w:r w:rsidRPr="006D3C55">
        <w:t xml:space="preserve">the first line of defence is composed of the directorates-general responsible for the </w:t>
      </w:r>
      <w:r w:rsidR="0064134D" w:rsidRPr="006D3C55">
        <w:t xml:space="preserve">EU’s </w:t>
      </w:r>
      <w:r w:rsidRPr="006D3C55">
        <w:t xml:space="preserve">financial operations in </w:t>
      </w:r>
      <w:r w:rsidR="009F5669">
        <w:t xml:space="preserve">accordance </w:t>
      </w:r>
      <w:r w:rsidRPr="006D3C55">
        <w:t>with the Financial Regulation, which should implement sound financial risk management processes</w:t>
      </w:r>
      <w:r w:rsidR="00BF770B" w:rsidRPr="006D3C55">
        <w:t>,</w:t>
      </w:r>
      <w:r w:rsidRPr="006D3C55">
        <w:t xml:space="preserve"> ensure compliance with the risk management framework</w:t>
      </w:r>
      <w:r w:rsidR="00BC5D57" w:rsidRPr="006D3C55">
        <w:t xml:space="preserve"> </w:t>
      </w:r>
      <w:r w:rsidR="00BC5D57" w:rsidRPr="006D3C55">
        <w:rPr>
          <w:bCs/>
        </w:rPr>
        <w:t>and report any deviations</w:t>
      </w:r>
      <w:r w:rsidRPr="006D3C55">
        <w:t>;</w:t>
      </w:r>
    </w:p>
    <w:p w14:paraId="7792A119" w14:textId="60CC3EA0" w:rsidR="001301C1" w:rsidRDefault="001301C1" w:rsidP="00990950">
      <w:pPr>
        <w:pStyle w:val="ListBulletorangeLevel1"/>
      </w:pPr>
      <w:r w:rsidRPr="006D3C55">
        <w:t>the Chief Risk Officer acts as the second line of defence at the corporate level</w:t>
      </w:r>
      <w:r w:rsidR="00123C42">
        <w:t>,</w:t>
      </w:r>
      <w:r w:rsidRPr="006D3C55">
        <w:t xml:space="preserve"> and is responsible for establishing a common financial risk management framework for all of the </w:t>
      </w:r>
      <w:r w:rsidR="00B066E0" w:rsidRPr="006D3C55">
        <w:t xml:space="preserve">EU’s </w:t>
      </w:r>
      <w:r w:rsidRPr="006D3C55">
        <w:t xml:space="preserve">financial operations and </w:t>
      </w:r>
      <w:r w:rsidR="00BB6F49" w:rsidRPr="006D3C55">
        <w:t xml:space="preserve">for </w:t>
      </w:r>
      <w:r w:rsidRPr="006D3C55">
        <w:t>independent risk assessment and reporting;</w:t>
      </w:r>
    </w:p>
    <w:p w14:paraId="4F3B2C2D" w14:textId="24CD7FAA" w:rsidR="001301C1" w:rsidRPr="006D3C55" w:rsidRDefault="001301C1" w:rsidP="00990950">
      <w:pPr>
        <w:pStyle w:val="ListBulletorangeLevel1"/>
      </w:pPr>
      <w:r w:rsidRPr="006D3C55">
        <w:t xml:space="preserve">the third line of defence is the Internal Audit Service, which exercises its role in </w:t>
      </w:r>
      <w:r w:rsidR="00ED2AFA">
        <w:t xml:space="preserve">accordance </w:t>
      </w:r>
      <w:r w:rsidRPr="006D3C55">
        <w:t>with Article</w:t>
      </w:r>
      <w:r w:rsidRPr="006D3C55">
        <w:rPr>
          <w:rFonts w:ascii="Calibri" w:hAnsi="Calibri" w:cs="Calibri"/>
        </w:rPr>
        <w:t> </w:t>
      </w:r>
      <w:r w:rsidRPr="006D3C55">
        <w:t>118 of the Financial Regulation.</w:t>
      </w:r>
    </w:p>
    <w:p w14:paraId="6846B306" w14:textId="77777777" w:rsidR="00A10A08" w:rsidRDefault="001301C1" w:rsidP="00811E28">
      <w:r w:rsidRPr="006D3C55">
        <w:t>The Commission is now developing the framework governing financial risk management and compliance for the various categories of the EU’s financial operations.</w:t>
      </w:r>
      <w:r w:rsidR="00BC5D57" w:rsidRPr="006D3C55">
        <w:t xml:space="preserve"> </w:t>
      </w:r>
      <w:r w:rsidR="00BC5D57" w:rsidRPr="006D3C55">
        <w:rPr>
          <w:bCs/>
        </w:rPr>
        <w:t xml:space="preserve">This framework will ensure consistent and harmonised risk approaches across Commission services. </w:t>
      </w:r>
      <w:r w:rsidR="00BC5D57" w:rsidRPr="006D3C55">
        <w:t>The policies will ensure alignment with international standards by adopting best practices for risk measurement and monitoring.</w:t>
      </w:r>
    </w:p>
    <w:p w14:paraId="26E15E2A" w14:textId="77777777" w:rsidR="00A10A08" w:rsidRDefault="001301C1" w:rsidP="00811E28">
      <w:r w:rsidRPr="006D3C55">
        <w:t>The Commission is now developing the framework governing financial risk management and compliance for the various categories of the EU’s financial operations.</w:t>
      </w:r>
      <w:r w:rsidR="00BC5D57" w:rsidRPr="006D3C55">
        <w:t xml:space="preserve"> </w:t>
      </w:r>
      <w:r w:rsidR="00BC5D57" w:rsidRPr="006D3C55">
        <w:rPr>
          <w:bCs/>
        </w:rPr>
        <w:t xml:space="preserve">This framework will ensure consistent and harmonised risk approaches across Commission services. </w:t>
      </w:r>
      <w:r w:rsidR="00BC5D57" w:rsidRPr="006D3C55">
        <w:t>The policies will ensure alignment with international standards by adopting best practices for risk measurement and monitoring.</w:t>
      </w:r>
    </w:p>
    <w:p w14:paraId="112CD8B3" w14:textId="7EF06B06" w:rsidR="001301C1" w:rsidRPr="00A10A08" w:rsidRDefault="001301C1" w:rsidP="00811E28">
      <w:pPr>
        <w:rPr>
          <w:rFonts w:eastAsia="Times New Roman"/>
        </w:rPr>
      </w:pPr>
      <w:r w:rsidRPr="00A10A08">
        <w:br w:type="page"/>
      </w:r>
    </w:p>
    <w:p w14:paraId="0082156F" w14:textId="04316F08" w:rsidR="001301C1" w:rsidRPr="006D3C55" w:rsidRDefault="001301C1" w:rsidP="006D5CEC">
      <w:pPr>
        <w:pStyle w:val="HNum-fromh2Heading3-11"/>
      </w:pPr>
      <w:r w:rsidRPr="006D3C55">
        <w:t xml:space="preserve">Multiannual control strategies to ensure that expenditure </w:t>
      </w:r>
      <w:r w:rsidR="005309DF">
        <w:br/>
      </w:r>
      <w:r w:rsidRPr="006D3C55">
        <w:t>is legal and regular</w:t>
      </w:r>
    </w:p>
    <w:p w14:paraId="197D04F7" w14:textId="77777777" w:rsidR="001301C1" w:rsidRPr="006D3C55" w:rsidRDefault="001301C1" w:rsidP="001301C1">
      <w:r w:rsidRPr="006D3C55">
        <w:rPr>
          <w:rStyle w:val="Bold"/>
        </w:rPr>
        <w:t>Authorising officers, as managers of the EU budget, put in place multiannual control strategies to prevent, detect and correct errors.</w:t>
      </w:r>
      <w:r w:rsidRPr="006D3C55">
        <w:t xml:space="preserve"> In line with their responsibility to carry out individual payments, they need to build their assurance from the bottom up and in detail (i.e. by programme or other relevant segment of expenditure). This allows the Commission to detect weaknesses and errors in a detailed and differentiated manner for each programme or segment of expenditure; to identify the root causes of systemic errors (e.g. the complexity of rules in certain policy areas, such as research or cohesion); to take targeted and proportionate corrective measures; and to ensure that lessons learned are used to improve the management and control systems and the design of future financial programmes.</w:t>
      </w:r>
    </w:p>
    <w:p w14:paraId="0649B2B9" w14:textId="791CB530" w:rsidR="00D60898" w:rsidRPr="006D3C55" w:rsidRDefault="001301C1" w:rsidP="001301C1">
      <w:r w:rsidRPr="006D5CEC">
        <w:rPr>
          <w:rStyle w:val="Bold"/>
        </w:rPr>
        <w:t>EU spending programmes are multiannual by design, and so are the related control strategies.</w:t>
      </w:r>
      <w:r w:rsidRPr="006D3C55">
        <w:t xml:space="preserve"> This implies that the detection and correction of errors may take place continu</w:t>
      </w:r>
      <w:r w:rsidR="00554C75" w:rsidRPr="006D3C55">
        <w:t>ously</w:t>
      </w:r>
      <w:r w:rsidRPr="006D3C55">
        <w:t>, until programme closure. Moreover, the control strategies are risk differentiated (i.e. they are adjusted to the characteristics and risks associated with different management modes, actors involved, policy areas and/or funding arrangements). Control strategies usually entail preventive controls (</w:t>
      </w:r>
      <w:r w:rsidRPr="00426C5F">
        <w:rPr>
          <w:rStyle w:val="Italic"/>
        </w:rPr>
        <w:t>ex ante</w:t>
      </w:r>
      <w:r w:rsidRPr="006D3C55">
        <w:t xml:space="preserve"> controls) carried out before the Commission payment takes place and corrective controls (</w:t>
      </w:r>
      <w:r w:rsidRPr="00426C5F">
        <w:rPr>
          <w:rStyle w:val="Italic"/>
        </w:rPr>
        <w:t>ex post</w:t>
      </w:r>
      <w:r w:rsidRPr="006D3C55">
        <w:t xml:space="preserve"> controls) carried out after the payment has been made.</w:t>
      </w:r>
    </w:p>
    <w:p w14:paraId="6C342FB3" w14:textId="527EFBDB" w:rsidR="001301C1" w:rsidRPr="006D3C55" w:rsidRDefault="001301C1" w:rsidP="001301C1">
      <w:r w:rsidRPr="006D3C55">
        <w:t xml:space="preserve">The </w:t>
      </w:r>
      <w:r w:rsidR="001B2ED9" w:rsidRPr="006D3C55">
        <w:t xml:space="preserve">current </w:t>
      </w:r>
      <w:r w:rsidRPr="006D3C55">
        <w:t xml:space="preserve">approach for cost-based expenditure, and for expenditure where an error rate is determined, is presented in the visual below. The Commission’s key preventive and corrective mechanisms are detailed in </w:t>
      </w:r>
      <w:r w:rsidR="00FB6D73">
        <w:t>Volume</w:t>
      </w:r>
      <w:r w:rsidR="00FB6D73">
        <w:rPr>
          <w:rFonts w:ascii="Calibri" w:hAnsi="Calibri" w:cs="Calibri"/>
        </w:rPr>
        <w:t> </w:t>
      </w:r>
      <w:r w:rsidR="00FB6D73">
        <w:t xml:space="preserve">III, </w:t>
      </w:r>
      <w:r w:rsidRPr="006D3C55">
        <w:t>Annex</w:t>
      </w:r>
      <w:r w:rsidRPr="006D3C55">
        <w:rPr>
          <w:rFonts w:ascii="Calibri" w:hAnsi="Calibri" w:cs="Calibri"/>
        </w:rPr>
        <w:t> </w:t>
      </w:r>
      <w:r w:rsidRPr="006D3C55">
        <w:t>5.</w:t>
      </w:r>
    </w:p>
    <w:p w14:paraId="2916E5AB" w14:textId="77777777" w:rsidR="001301C1" w:rsidRPr="006D3C55" w:rsidRDefault="001301C1" w:rsidP="001301C1">
      <w:pPr>
        <w:pStyle w:val="ImageTitle"/>
      </w:pPr>
      <w:r w:rsidRPr="006D3C55">
        <w:t>The European Commission’s multiannual control cycle</w:t>
      </w:r>
    </w:p>
    <w:p w14:paraId="6E75A81C" w14:textId="78B3E3A9" w:rsidR="001301C1" w:rsidRPr="006D3C55" w:rsidRDefault="00C17C50" w:rsidP="001301C1">
      <w:pPr>
        <w:pStyle w:val="ImagePlaceholder"/>
        <w:rPr>
          <w:noProof w:val="0"/>
          <w:highlight w:val="lightGray"/>
        </w:rPr>
      </w:pPr>
      <w:r w:rsidRPr="00C17C50">
        <w:rPr>
          <w:highlight w:val="lightGray"/>
        </w:rPr>
        <w:drawing>
          <wp:inline distT="0" distB="0" distL="0" distR="0" wp14:anchorId="2831B7B7" wp14:editId="152850C5">
            <wp:extent cx="5759450" cy="2797175"/>
            <wp:effectExtent l="0" t="0" r="0" b="3175"/>
            <wp:docPr id="1192791528" name="Picture 13" descr="Visual representing the European Commission’s multiannual control cycle. A timeline  indicating the different management modes indicates that on the prevention side there are the ex-ante controls, the ex-ante adjustments and the payments. On the detection and correction side there are the ex-post controls, the recoveries and corrections and the end of the programme life cycle. ">
              <a:extLst xmlns:a="http://schemas.openxmlformats.org/drawingml/2006/main">
                <a:ext uri="{FF2B5EF4-FFF2-40B4-BE49-F238E27FC236}">
                  <a16:creationId xmlns:a16="http://schemas.microsoft.com/office/drawing/2014/main" id="{73AE4719-7595-8675-325E-14D33EAFE83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2791528" name="Picture 13" descr="Visual representing the European Commission’s multiannual control cycle. A timeline  indicating the different management modes indicates that on the prevention side there are the ex-ante controls, the ex-ante adjustments and the payments. On the detection and correction side there are the ex-post controls, the recoveries and corrections and the end of the programme life cycle. ">
                      <a:extLst>
                        <a:ext uri="{FF2B5EF4-FFF2-40B4-BE49-F238E27FC236}">
                          <a16:creationId xmlns:a16="http://schemas.microsoft.com/office/drawing/2014/main" id="{73AE4719-7595-8675-325E-14D33EAFE832}"/>
                        </a:ext>
                      </a:extLst>
                    </pic:cNvPr>
                    <pic:cNvPicPr>
                      <a:picLocks noChangeAspect="1"/>
                    </pic:cNvPicPr>
                  </pic:nvPicPr>
                  <pic:blipFill>
                    <a:blip r:embed="rId53"/>
                    <a:srcRect l="3278" t="2302" r="3833" b="7415"/>
                    <a:stretch>
                      <a:fillRect/>
                    </a:stretch>
                  </pic:blipFill>
                  <pic:spPr>
                    <a:xfrm>
                      <a:off x="0" y="0"/>
                      <a:ext cx="5759450" cy="2797175"/>
                    </a:xfrm>
                    <a:prstGeom prst="rect">
                      <a:avLst/>
                    </a:prstGeom>
                  </pic:spPr>
                </pic:pic>
              </a:graphicData>
            </a:graphic>
          </wp:inline>
        </w:drawing>
      </w:r>
    </w:p>
    <w:p w14:paraId="32BF35F4" w14:textId="77777777" w:rsidR="001301C1" w:rsidRPr="006D3C55" w:rsidRDefault="001301C1" w:rsidP="001301C1">
      <w:pPr>
        <w:pStyle w:val="ImageSource"/>
      </w:pPr>
      <w:r w:rsidRPr="00426C5F">
        <w:rPr>
          <w:rStyle w:val="Italic"/>
        </w:rPr>
        <w:t>Source:</w:t>
      </w:r>
      <w:r w:rsidRPr="006D3C55">
        <w:t xml:space="preserve"> European Commission.</w:t>
      </w:r>
    </w:p>
    <w:p w14:paraId="6C85AE2D" w14:textId="77777777" w:rsidR="001301C1" w:rsidRPr="006D5CEC" w:rsidRDefault="001301C1" w:rsidP="00DB46FF">
      <w:pPr>
        <w:keepNext/>
        <w:rPr>
          <w:rStyle w:val="Bold"/>
          <w:sz w:val="16"/>
        </w:rPr>
      </w:pPr>
      <w:r w:rsidRPr="006D3C55">
        <w:rPr>
          <w:rStyle w:val="Bold"/>
        </w:rPr>
        <w:t>For cost-based</w:t>
      </w:r>
      <w:r w:rsidRPr="006D5CEC">
        <w:rPr>
          <w:rStyle w:val="Bold"/>
        </w:rPr>
        <w:t xml:space="preserve"> </w:t>
      </w:r>
      <w:r w:rsidRPr="006D3C55">
        <w:rPr>
          <w:rStyle w:val="Bold"/>
        </w:rPr>
        <w:t xml:space="preserve">instruments, risk at payment and risk at closure are determined at different points in time, </w:t>
      </w:r>
      <w:r w:rsidRPr="006D3C55">
        <w:rPr>
          <w:rStyle w:val="Bold"/>
          <w:bCs/>
        </w:rPr>
        <w:t>as explained in the visual below</w:t>
      </w:r>
      <w:r w:rsidRPr="006D3C55">
        <w:rPr>
          <w:rStyle w:val="Bold"/>
        </w:rPr>
        <w:t>.</w:t>
      </w:r>
    </w:p>
    <w:p w14:paraId="5F77DAB3" w14:textId="77777777" w:rsidR="001301C1" w:rsidRPr="006D3C55" w:rsidRDefault="001301C1" w:rsidP="001301C1">
      <w:pPr>
        <w:pStyle w:val="ImageTitle"/>
        <w:rPr>
          <w:rFonts w:eastAsiaTheme="majorEastAsia"/>
        </w:rPr>
      </w:pPr>
      <w:r w:rsidRPr="006D3C55">
        <w:t>Risk at payment and risk at closure</w:t>
      </w:r>
    </w:p>
    <w:p w14:paraId="140DE3AA" w14:textId="565EF176" w:rsidR="001301C1" w:rsidRPr="006D3C55" w:rsidRDefault="00C17C50" w:rsidP="00FA4E50">
      <w:pPr>
        <w:pStyle w:val="ImagePlaceholder"/>
        <w:rPr>
          <w:noProof w:val="0"/>
        </w:rPr>
      </w:pPr>
      <w:r w:rsidRPr="00C17C50">
        <w:drawing>
          <wp:inline distT="0" distB="0" distL="0" distR="0" wp14:anchorId="13622BAA" wp14:editId="0F87DB91">
            <wp:extent cx="5810039" cy="1781175"/>
            <wp:effectExtent l="0" t="0" r="635" b="0"/>
            <wp:docPr id="68" name="Picture 67" descr="The visual shows schematically the risk at payment and a risk at closure concepts. It shows that the risk at payments minus the estimated future corrections equals to the risk at closure. The risk at payment has also appears as the closest to the court of auditors estimated level of error and submitted to ex-post controls. After recoveries and corrections and the end of the programme life cycle we get to the risk at closure.">
              <a:extLst xmlns:a="http://schemas.openxmlformats.org/drawingml/2006/main">
                <a:ext uri="{FF2B5EF4-FFF2-40B4-BE49-F238E27FC236}">
                  <a16:creationId xmlns:a16="http://schemas.microsoft.com/office/drawing/2014/main" id="{C8DCE227-345D-43DE-3530-9A33685C1EA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Picture 67" descr="The visual shows schematically the risk at payment and a risk at closure concepts. It shows that the risk at payments minus the estimated future corrections equals to the risk at closure. The risk at payment has also appears as the closest to the court of auditors estimated level of error and submitted to ex-post controls. After recoveries and corrections and the end of the programme life cycle we get to the risk at closure.">
                      <a:extLst>
                        <a:ext uri="{FF2B5EF4-FFF2-40B4-BE49-F238E27FC236}">
                          <a16:creationId xmlns:a16="http://schemas.microsoft.com/office/drawing/2014/main" id="{C8DCE227-345D-43DE-3530-9A33685C1EA0}"/>
                        </a:ext>
                      </a:extLst>
                    </pic:cNvPr>
                    <pic:cNvPicPr>
                      <a:picLocks noChangeAspect="1"/>
                    </pic:cNvPicPr>
                  </pic:nvPicPr>
                  <pic:blipFill>
                    <a:blip r:embed="rId54"/>
                    <a:srcRect l="4791" t="3285" r="17889" b="2548"/>
                    <a:stretch>
                      <a:fillRect/>
                    </a:stretch>
                  </pic:blipFill>
                  <pic:spPr>
                    <a:xfrm>
                      <a:off x="0" y="0"/>
                      <a:ext cx="5812247" cy="1781852"/>
                    </a:xfrm>
                    <a:prstGeom prst="rect">
                      <a:avLst/>
                    </a:prstGeom>
                  </pic:spPr>
                </pic:pic>
              </a:graphicData>
            </a:graphic>
          </wp:inline>
        </w:drawing>
      </w:r>
    </w:p>
    <w:p w14:paraId="6AB209A8" w14:textId="58660291" w:rsidR="007B5E0B" w:rsidRPr="006D3C55" w:rsidRDefault="007B5E0B" w:rsidP="00DB46FF">
      <w:pPr>
        <w:pStyle w:val="ImageSource"/>
      </w:pPr>
      <w:r w:rsidRPr="00426C5F">
        <w:rPr>
          <w:rStyle w:val="Italic"/>
        </w:rPr>
        <w:t>Source:</w:t>
      </w:r>
      <w:r w:rsidRPr="006D3C55">
        <w:t xml:space="preserve"> European Commission.</w:t>
      </w:r>
    </w:p>
    <w:p w14:paraId="73E3B40A" w14:textId="64293559" w:rsidR="001301C1" w:rsidRPr="006D3C55" w:rsidRDefault="001301C1" w:rsidP="00DB46FF">
      <w:pPr>
        <w:rPr>
          <w:rFonts w:eastAsiaTheme="majorEastAsia"/>
          <w:bCs/>
        </w:rPr>
      </w:pPr>
      <w:r w:rsidRPr="006D3C55">
        <w:rPr>
          <w:rFonts w:eastAsiaTheme="majorEastAsia"/>
          <w:bCs/>
        </w:rPr>
        <w:t xml:space="preserve">For additional information regarding the </w:t>
      </w:r>
      <w:r w:rsidR="001B2ED9" w:rsidRPr="006D3C55">
        <w:rPr>
          <w:rFonts w:eastAsiaTheme="majorEastAsia"/>
          <w:bCs/>
        </w:rPr>
        <w:t xml:space="preserve">2025 </w:t>
      </w:r>
      <w:r w:rsidRPr="006D3C55">
        <w:rPr>
          <w:rFonts w:eastAsiaTheme="majorEastAsia"/>
          <w:bCs/>
        </w:rPr>
        <w:t>risk at payment and at closure, see Section</w:t>
      </w:r>
      <w:r w:rsidRPr="006D3C55">
        <w:rPr>
          <w:rFonts w:ascii="Calibri" w:eastAsiaTheme="majorEastAsia" w:hAnsi="Calibri" w:cs="Calibri"/>
          <w:bCs/>
        </w:rPr>
        <w:t> </w:t>
      </w:r>
      <w:r w:rsidRPr="006D3C55">
        <w:rPr>
          <w:rFonts w:eastAsiaTheme="majorEastAsia"/>
          <w:bCs/>
        </w:rPr>
        <w:t xml:space="preserve">2.1 below and </w:t>
      </w:r>
      <w:r w:rsidR="00F10FF9">
        <w:t>Volume</w:t>
      </w:r>
      <w:r w:rsidR="00F10FF9">
        <w:rPr>
          <w:rFonts w:ascii="Calibri" w:hAnsi="Calibri" w:cs="Calibri"/>
        </w:rPr>
        <w:t> </w:t>
      </w:r>
      <w:r w:rsidR="00F10FF9">
        <w:t xml:space="preserve">III, </w:t>
      </w:r>
      <w:r w:rsidRPr="006D3C55">
        <w:rPr>
          <w:rFonts w:eastAsiaTheme="majorEastAsia"/>
          <w:bCs/>
        </w:rPr>
        <w:t>Annex</w:t>
      </w:r>
      <w:r w:rsidRPr="006D3C55">
        <w:rPr>
          <w:rFonts w:ascii="Calibri" w:eastAsiaTheme="majorEastAsia" w:hAnsi="Calibri" w:cs="Calibri"/>
          <w:bCs/>
        </w:rPr>
        <w:t> </w:t>
      </w:r>
      <w:r w:rsidRPr="006D3C55">
        <w:rPr>
          <w:rFonts w:eastAsiaTheme="majorEastAsia"/>
          <w:bCs/>
        </w:rPr>
        <w:t>5, Sections</w:t>
      </w:r>
      <w:r w:rsidR="009C44AF" w:rsidRPr="006D3C55">
        <w:rPr>
          <w:rFonts w:ascii="Calibri" w:hAnsi="Calibri" w:cs="Calibri"/>
        </w:rPr>
        <w:t> </w:t>
      </w:r>
      <w:r w:rsidRPr="006D3C55">
        <w:rPr>
          <w:rFonts w:eastAsiaTheme="majorEastAsia"/>
          <w:bCs/>
        </w:rPr>
        <w:t>5.1 and 5.2.</w:t>
      </w:r>
    </w:p>
    <w:p w14:paraId="017EE82F" w14:textId="0EC8D8E0" w:rsidR="001301C1" w:rsidRPr="006D3C55" w:rsidRDefault="001301C1" w:rsidP="00DB46FF">
      <w:r w:rsidRPr="006D3C55">
        <w:rPr>
          <w:rStyle w:val="Bold"/>
        </w:rPr>
        <w:t>For performance-based payments, the sequence of controls remains similar to the one described above</w:t>
      </w:r>
      <w:r w:rsidR="00961827" w:rsidRPr="006D3C55">
        <w:rPr>
          <w:rStyle w:val="Bold"/>
        </w:rPr>
        <w:t xml:space="preserve"> but there is no calculation of a risk at payment and risk at closure.</w:t>
      </w:r>
      <w:r w:rsidR="003F6FEB" w:rsidRPr="006D3C55">
        <w:rPr>
          <w:rStyle w:val="Bold"/>
        </w:rPr>
        <w:t xml:space="preserve"> </w:t>
      </w:r>
      <w:r w:rsidR="003F6FEB" w:rsidRPr="006D3C55">
        <w:rPr>
          <w:rStyle w:val="Bold"/>
          <w:b w:val="0"/>
        </w:rPr>
        <w:t xml:space="preserve">For expenditure under the new delivery model </w:t>
      </w:r>
      <w:r w:rsidR="00E46B4E" w:rsidRPr="006D3C55">
        <w:rPr>
          <w:rStyle w:val="Bold"/>
          <w:b w:val="0"/>
        </w:rPr>
        <w:t xml:space="preserve">for </w:t>
      </w:r>
      <w:r w:rsidR="003F6FEB" w:rsidRPr="006D3C55">
        <w:rPr>
          <w:rStyle w:val="Bold"/>
          <w:b w:val="0"/>
        </w:rPr>
        <w:t xml:space="preserve">the </w:t>
      </w:r>
      <w:r w:rsidR="00E46B4E" w:rsidRPr="006D3C55">
        <w:rPr>
          <w:rStyle w:val="Bold"/>
          <w:b w:val="0"/>
        </w:rPr>
        <w:t xml:space="preserve">2023-2027 </w:t>
      </w:r>
      <w:r w:rsidR="003F6FEB" w:rsidRPr="006D3C55">
        <w:rPr>
          <w:rStyle w:val="Bold"/>
          <w:b w:val="0"/>
        </w:rPr>
        <w:t>common agricultural policy</w:t>
      </w:r>
      <w:r w:rsidRPr="006D3C55">
        <w:rPr>
          <w:rStyle w:val="Bold"/>
          <w:b w:val="0"/>
        </w:rPr>
        <w:t xml:space="preserve">, </w:t>
      </w:r>
      <w:r w:rsidR="003F6FEB" w:rsidRPr="006D3C55">
        <w:rPr>
          <w:rStyle w:val="Bold"/>
          <w:b w:val="0"/>
        </w:rPr>
        <w:t>there is</w:t>
      </w:r>
      <w:r w:rsidRPr="006D3C55">
        <w:rPr>
          <w:rStyle w:val="Bold"/>
          <w:b w:val="0"/>
        </w:rPr>
        <w:t xml:space="preserve"> a focus on the functioning of the systems in place in the Member States and systems audits, both </w:t>
      </w:r>
      <w:r w:rsidRPr="006D3C55">
        <w:rPr>
          <w:rFonts w:eastAsiaTheme="majorEastAsia"/>
          <w:bCs/>
        </w:rPr>
        <w:t>from the national audit authorities</w:t>
      </w:r>
      <w:r w:rsidR="009265D3" w:rsidRPr="00EC0CD9">
        <w:rPr>
          <w:rFonts w:eastAsiaTheme="majorEastAsia" w:cs="Calibri"/>
          <w:bCs/>
        </w:rPr>
        <w:t> </w:t>
      </w:r>
      <w:r w:rsidR="009265D3" w:rsidRPr="009265D3">
        <w:rPr>
          <w:rFonts w:eastAsiaTheme="majorEastAsia"/>
          <w:bCs/>
        </w:rPr>
        <w:t>(</w:t>
      </w:r>
      <w:r w:rsidR="009265D3" w:rsidRPr="00352191">
        <w:rPr>
          <w:rStyle w:val="FootnoteReference"/>
        </w:rPr>
        <w:footnoteReference w:id="7"/>
      </w:r>
      <w:r w:rsidR="009265D3">
        <w:rPr>
          <w:rFonts w:eastAsiaTheme="majorEastAsia"/>
          <w:bCs/>
        </w:rPr>
        <w:t>)</w:t>
      </w:r>
      <w:r w:rsidR="00C502D6">
        <w:rPr>
          <w:rFonts w:eastAsiaTheme="majorEastAsia"/>
          <w:bCs/>
        </w:rPr>
        <w:t xml:space="preserve"> </w:t>
      </w:r>
      <w:r w:rsidRPr="006D3C55">
        <w:rPr>
          <w:rFonts w:eastAsiaTheme="majorEastAsia"/>
          <w:bCs/>
        </w:rPr>
        <w:t>and from the Commission</w:t>
      </w:r>
      <w:r w:rsidRPr="006D3C55">
        <w:t xml:space="preserve">. </w:t>
      </w:r>
      <w:r w:rsidR="00961827" w:rsidRPr="006D3C55">
        <w:t>For the ex</w:t>
      </w:r>
      <w:r w:rsidR="000E599F" w:rsidRPr="006D3C55">
        <w:t>p</w:t>
      </w:r>
      <w:r w:rsidR="00961827" w:rsidRPr="006D3C55">
        <w:t xml:space="preserve">enditure under the Ukraine Facility, given the early stage in the </w:t>
      </w:r>
      <w:r w:rsidR="000B49DE" w:rsidRPr="006D3C55">
        <w:t>life cycle</w:t>
      </w:r>
      <w:r w:rsidR="00961827" w:rsidRPr="006D3C55">
        <w:t xml:space="preserve"> </w:t>
      </w:r>
      <w:r w:rsidR="00D61BAF" w:rsidRPr="006D3C55">
        <w:t>of the</w:t>
      </w:r>
      <w:r w:rsidR="00961827" w:rsidRPr="006D3C55">
        <w:t xml:space="preserve"> instrument</w:t>
      </w:r>
      <w:r w:rsidR="00AB6F6D">
        <w:t xml:space="preserve"> and</w:t>
      </w:r>
      <w:r w:rsidR="00961827" w:rsidRPr="006D3C55">
        <w:t xml:space="preserve"> </w:t>
      </w:r>
      <w:r w:rsidR="000E599F" w:rsidRPr="006D3C55">
        <w:t xml:space="preserve">the progress already made in </w:t>
      </w:r>
      <w:r w:rsidR="00AB6F6D">
        <w:t>its</w:t>
      </w:r>
      <w:r w:rsidR="000E599F" w:rsidRPr="006D3C55">
        <w:t xml:space="preserve"> implementation</w:t>
      </w:r>
      <w:r w:rsidR="00AB6F6D">
        <w:t>,</w:t>
      </w:r>
      <w:r w:rsidR="00961827" w:rsidRPr="006D3C55">
        <w:t xml:space="preserve"> and taking </w:t>
      </w:r>
      <w:r w:rsidR="00D61BAF" w:rsidRPr="006D3C55">
        <w:t xml:space="preserve">into </w:t>
      </w:r>
      <w:r w:rsidR="00961827" w:rsidRPr="006D3C55">
        <w:t xml:space="preserve">account the situation on the ground, the assessment is mainly based on </w:t>
      </w:r>
      <w:r w:rsidR="00961827" w:rsidRPr="00426C5F">
        <w:rPr>
          <w:rStyle w:val="Italic"/>
        </w:rPr>
        <w:t>ex</w:t>
      </w:r>
      <w:r w:rsidR="00011DF5" w:rsidRPr="00426C5F">
        <w:rPr>
          <w:rStyle w:val="Italic"/>
        </w:rPr>
        <w:t xml:space="preserve"> </w:t>
      </w:r>
      <w:r w:rsidR="00961827" w:rsidRPr="00426C5F">
        <w:rPr>
          <w:rStyle w:val="Italic"/>
        </w:rPr>
        <w:t>ante</w:t>
      </w:r>
      <w:r w:rsidR="00961827" w:rsidRPr="006D3C55">
        <w:t xml:space="preserve"> desk reviews.</w:t>
      </w:r>
      <w:r w:rsidR="00896A56" w:rsidRPr="006D3C55">
        <w:t xml:space="preserve"> </w:t>
      </w:r>
      <w:r w:rsidR="00D76967">
        <w:t>Similar to cost-based inst</w:t>
      </w:r>
      <w:r w:rsidR="00C13A36">
        <w:t>r</w:t>
      </w:r>
      <w:r w:rsidR="00D76967">
        <w:t>uments</w:t>
      </w:r>
      <w:r w:rsidR="00896A56" w:rsidRPr="006D3C55">
        <w:t xml:space="preserve">, the controls continue to result in adjustments and corrections, be </w:t>
      </w:r>
      <w:r w:rsidR="00A82E24" w:rsidRPr="006D3C55">
        <w:t xml:space="preserve">they </w:t>
      </w:r>
      <w:r w:rsidR="00896A56" w:rsidRPr="006D3C55">
        <w:t>before the payment is made with suspensions and reductions or after the payment is made with financial corrections and recoveries.</w:t>
      </w:r>
    </w:p>
    <w:p w14:paraId="348C650B" w14:textId="6210C2B3" w:rsidR="00E53B63" w:rsidRPr="006D3C55" w:rsidRDefault="001301C1" w:rsidP="001301C1">
      <w:r w:rsidRPr="006D3C55">
        <w:rPr>
          <w:rStyle w:val="Bold"/>
        </w:rPr>
        <w:t xml:space="preserve">Regarding the other funding programmes for the 2021-2027 multiannual financial framework, </w:t>
      </w:r>
      <w:r w:rsidR="000B3B88" w:rsidRPr="006D3C55">
        <w:rPr>
          <w:rStyle w:val="Bold"/>
        </w:rPr>
        <w:t xml:space="preserve">given the acceleration </w:t>
      </w:r>
      <w:r w:rsidR="00462B92">
        <w:rPr>
          <w:rStyle w:val="Bold"/>
        </w:rPr>
        <w:t>in</w:t>
      </w:r>
      <w:r w:rsidR="000B3B88" w:rsidRPr="006D3C55">
        <w:rPr>
          <w:rStyle w:val="Bold"/>
        </w:rPr>
        <w:t xml:space="preserve"> payments in 2025, </w:t>
      </w:r>
      <w:r w:rsidRPr="006D3C55">
        <w:rPr>
          <w:rStyle w:val="Bold"/>
        </w:rPr>
        <w:t xml:space="preserve">the Commission </w:t>
      </w:r>
      <w:r w:rsidR="000B3B88" w:rsidRPr="006D3C55">
        <w:rPr>
          <w:rStyle w:val="Bold"/>
        </w:rPr>
        <w:t>is now able to implement fully its</w:t>
      </w:r>
      <w:r w:rsidRPr="006D3C55">
        <w:rPr>
          <w:rStyle w:val="Bold"/>
        </w:rPr>
        <w:t xml:space="preserve"> control strategies</w:t>
      </w:r>
      <w:r w:rsidRPr="006D5CEC">
        <w:rPr>
          <w:rStyle w:val="Bold"/>
        </w:rPr>
        <w:t>.</w:t>
      </w:r>
      <w:r w:rsidRPr="006D3C55">
        <w:t xml:space="preserve"> </w:t>
      </w:r>
      <w:r w:rsidR="000B3B88" w:rsidRPr="006D3C55">
        <w:t>More payments mean more transactions to sample for audit</w:t>
      </w:r>
      <w:r w:rsidR="00A82E24" w:rsidRPr="006D3C55">
        <w:t>ing</w:t>
      </w:r>
      <w:r w:rsidR="000B3B88" w:rsidRPr="006D3C55">
        <w:t xml:space="preserve"> and thus less </w:t>
      </w:r>
      <w:r w:rsidR="00A82E24" w:rsidRPr="006D3C55">
        <w:t xml:space="preserve">need to </w:t>
      </w:r>
      <w:r w:rsidR="000B3B88" w:rsidRPr="006D3C55">
        <w:t>resort to flat rates</w:t>
      </w:r>
      <w:r w:rsidR="00FD16C4" w:rsidRPr="006D3C55">
        <w:t>,</w:t>
      </w:r>
      <w:r w:rsidR="000B3B88" w:rsidRPr="006D3C55" w:rsidDel="00791A84">
        <w:t xml:space="preserve"> </w:t>
      </w:r>
      <w:r w:rsidR="000B3B88" w:rsidRPr="006D3C55" w:rsidDel="00223C49">
        <w:t xml:space="preserve">but </w:t>
      </w:r>
      <w:r w:rsidR="00C83A6F">
        <w:t xml:space="preserve">also </w:t>
      </w:r>
      <w:r w:rsidR="000B3B88" w:rsidRPr="006D3C55" w:rsidDel="00223C49">
        <w:t xml:space="preserve">the </w:t>
      </w:r>
      <w:r w:rsidR="000B3B88" w:rsidRPr="006D3C55">
        <w:t>possib</w:t>
      </w:r>
      <w:r w:rsidR="004A47D0" w:rsidRPr="006D3C55">
        <w:t>i</w:t>
      </w:r>
      <w:r w:rsidR="000B3B88" w:rsidRPr="006D3C55">
        <w:t>lity</w:t>
      </w:r>
      <w:r w:rsidR="000B3B88" w:rsidRPr="006D3C55" w:rsidDel="00223C49">
        <w:t xml:space="preserve"> to rely on audit results for the error rates</w:t>
      </w:r>
      <w:r w:rsidR="00FD16C4" w:rsidRPr="006D3C55">
        <w:t>,</w:t>
      </w:r>
      <w:r w:rsidR="000B3B88" w:rsidRPr="006D3C55" w:rsidDel="00223C49">
        <w:t xml:space="preserve"> which become more </w:t>
      </w:r>
      <w:r w:rsidR="000B3B88" w:rsidRPr="006D3C55">
        <w:t>accurate</w:t>
      </w:r>
      <w:r w:rsidR="004D7924" w:rsidRPr="006D3C55" w:rsidDel="00223C49">
        <w:t xml:space="preserve">, keeping a conservative </w:t>
      </w:r>
      <w:r w:rsidR="000B3B88" w:rsidRPr="006D3C55" w:rsidDel="00223C49">
        <w:t>ap</w:t>
      </w:r>
      <w:r w:rsidR="004D7924" w:rsidRPr="006D3C55" w:rsidDel="00223C49">
        <w:t>p</w:t>
      </w:r>
      <w:r w:rsidR="000B3B88" w:rsidRPr="006D3C55" w:rsidDel="00223C49">
        <w:t>roach</w:t>
      </w:r>
      <w:r w:rsidRPr="006D3C55">
        <w:t>.</w:t>
      </w:r>
    </w:p>
    <w:p w14:paraId="380A3F5E" w14:textId="77777777" w:rsidR="0080071F" w:rsidRDefault="0080071F">
      <w:pPr>
        <w:suppressAutoHyphens w:val="0"/>
      </w:pPr>
      <w:r>
        <w:br w:type="page"/>
      </w:r>
    </w:p>
    <w:p w14:paraId="574B4B6D" w14:textId="777D472A" w:rsidR="001301C1" w:rsidRPr="006D3C55" w:rsidRDefault="001301C1" w:rsidP="006D5CEC">
      <w:pPr>
        <w:pStyle w:val="HNum-fromh2Heading3-11"/>
      </w:pPr>
      <w:r w:rsidRPr="006D3C55">
        <w:t xml:space="preserve">Fight against fraud: the Commission’s anti-fraud strategy </w:t>
      </w:r>
      <w:r w:rsidR="005309DF">
        <w:br/>
      </w:r>
      <w:r w:rsidRPr="006D3C55">
        <w:t>and further proposals</w:t>
      </w:r>
    </w:p>
    <w:p w14:paraId="7E997FF7" w14:textId="6EA245AA" w:rsidR="001301C1" w:rsidRPr="006D3C55" w:rsidRDefault="001301C1" w:rsidP="006D5CEC">
      <w:pPr>
        <w:pStyle w:val="HNum-fromh2Heading4-111"/>
      </w:pPr>
      <w:bookmarkStart w:id="35" w:name="_Hlk164874580"/>
      <w:r w:rsidRPr="006D3C55">
        <w:t xml:space="preserve">Implementation of the Commission’s anti-fraud strategy </w:t>
      </w:r>
      <w:r w:rsidR="008A7EDB">
        <w:br/>
      </w:r>
      <w:r w:rsidRPr="006D3C55">
        <w:t>action plan</w:t>
      </w:r>
    </w:p>
    <w:bookmarkEnd w:id="35"/>
    <w:p w14:paraId="5C304203" w14:textId="7D510728" w:rsidR="004F6899" w:rsidRPr="006D3C55" w:rsidRDefault="001301C1" w:rsidP="001301C1">
      <w:r w:rsidRPr="006D3C55" w:rsidDel="00605C90">
        <w:rPr>
          <w:rStyle w:val="Bold"/>
        </w:rPr>
        <w:t>The</w:t>
      </w:r>
      <w:r w:rsidRPr="006D5CEC" w:rsidDel="00605C90">
        <w:rPr>
          <w:rStyle w:val="Bold"/>
        </w:rPr>
        <w:t xml:space="preserve"> </w:t>
      </w:r>
      <w:r w:rsidRPr="006D3C55" w:rsidDel="00605C90">
        <w:rPr>
          <w:rStyle w:val="Bold"/>
        </w:rPr>
        <w:t>Commission has zero tolerance for fraud</w:t>
      </w:r>
      <w:r w:rsidRPr="006D5CEC" w:rsidDel="00605C90">
        <w:rPr>
          <w:rStyle w:val="Bold"/>
        </w:rPr>
        <w:t>.</w:t>
      </w:r>
      <w:r w:rsidRPr="006D3C55">
        <w:t xml:space="preserve"> Pursuant to Article</w:t>
      </w:r>
      <w:r w:rsidRPr="006D3C55">
        <w:rPr>
          <w:rFonts w:ascii="Calibri" w:hAnsi="Calibri" w:cs="Calibri"/>
        </w:rPr>
        <w:t> </w:t>
      </w:r>
      <w:r w:rsidRPr="006D3C55">
        <w:t>325 of the Treaty on the Functioning of the European Union, the Commission and the Member States protect the EU budget from fraud and other illegal activities.</w:t>
      </w:r>
    </w:p>
    <w:p w14:paraId="64C1BD39" w14:textId="0A292723" w:rsidR="001301C1" w:rsidRPr="006D3C55" w:rsidRDefault="004F6899" w:rsidP="001301C1">
      <w:r w:rsidRPr="006D5CEC">
        <w:rPr>
          <w:rStyle w:val="Bold"/>
        </w:rPr>
        <w:t>Throughout 2025, Commission services and the European Anti-Fraud Office made progress in the implementation of the action plan accompanying t</w:t>
      </w:r>
      <w:r w:rsidR="001301C1" w:rsidRPr="006D5CEC">
        <w:rPr>
          <w:rStyle w:val="Bold"/>
        </w:rPr>
        <w:t>he Commission</w:t>
      </w:r>
      <w:r w:rsidR="00656DBA" w:rsidRPr="006D5CEC">
        <w:rPr>
          <w:rStyle w:val="Bold"/>
        </w:rPr>
        <w:t xml:space="preserve"> </w:t>
      </w:r>
      <w:r w:rsidR="001301C1" w:rsidRPr="006D5CEC">
        <w:rPr>
          <w:rStyle w:val="Bold"/>
        </w:rPr>
        <w:t>anti-fraud strategy</w:t>
      </w:r>
      <w:r w:rsidR="001301C1" w:rsidRPr="006D3C55">
        <w:rPr>
          <w:rFonts w:ascii="Calibri" w:hAnsi="Calibri" w:cs="Calibri"/>
        </w:rPr>
        <w:t> </w:t>
      </w:r>
      <w:r w:rsidR="001301C1" w:rsidRPr="006D3C55">
        <w:t>(</w:t>
      </w:r>
      <w:r w:rsidR="001301C1" w:rsidRPr="00352191">
        <w:rPr>
          <w:rStyle w:val="FootnoteReference"/>
        </w:rPr>
        <w:footnoteReference w:id="8"/>
      </w:r>
      <w:r w:rsidR="001301C1" w:rsidRPr="006D3C55">
        <w:t xml:space="preserve">) </w:t>
      </w:r>
      <w:r w:rsidR="00656DBA" w:rsidRPr="006D3C55">
        <w:t>from 2019</w:t>
      </w:r>
      <w:r w:rsidRPr="006D3C55">
        <w:t>. The strategy</w:t>
      </w:r>
      <w:r w:rsidR="00656DBA" w:rsidRPr="006D3C55">
        <w:t xml:space="preserve"> </w:t>
      </w:r>
      <w:r w:rsidR="001301C1" w:rsidRPr="006D3C55">
        <w:t xml:space="preserve">plays a significant role in preventing the possible misuse of EU money. </w:t>
      </w:r>
      <w:r w:rsidRPr="004A7310">
        <w:t>It</w:t>
      </w:r>
      <w:r w:rsidR="001301C1" w:rsidRPr="002D58F1">
        <w:t xml:space="preserve"> </w:t>
      </w:r>
      <w:r w:rsidR="001301C1" w:rsidRPr="006D3C55">
        <w:t>is accompanied by an action plan, revised in 2023</w:t>
      </w:r>
      <w:r w:rsidR="001301C1" w:rsidRPr="006D3C55">
        <w:rPr>
          <w:rFonts w:ascii="Calibri" w:hAnsi="Calibri" w:cs="Calibri"/>
        </w:rPr>
        <w:t> </w:t>
      </w:r>
      <w:r w:rsidR="001301C1" w:rsidRPr="006D3C55">
        <w:t>(</w:t>
      </w:r>
      <w:r w:rsidR="001301C1" w:rsidRPr="00352191">
        <w:rPr>
          <w:rStyle w:val="FootnoteReference"/>
        </w:rPr>
        <w:footnoteReference w:id="9"/>
      </w:r>
      <w:r w:rsidR="001301C1" w:rsidRPr="006D3C55">
        <w:t xml:space="preserve">), including 44 </w:t>
      </w:r>
      <w:r w:rsidR="004830E5">
        <w:t>measure</w:t>
      </w:r>
      <w:r w:rsidR="00656DBA" w:rsidRPr="006D3C55">
        <w:t xml:space="preserve">s </w:t>
      </w:r>
      <w:r w:rsidR="001301C1" w:rsidRPr="006D3C55">
        <w:t xml:space="preserve">under seven themes that cover the Commission’s priorities in fighting fraud. </w:t>
      </w:r>
      <w:r w:rsidR="00923B79" w:rsidRPr="006D3C55">
        <w:t xml:space="preserve">The target date for the different </w:t>
      </w:r>
      <w:r w:rsidR="004830E5">
        <w:t>measure</w:t>
      </w:r>
      <w:r w:rsidR="00923B79" w:rsidRPr="006D3C55">
        <w:t xml:space="preserve">s varies from 2023 to 2026, but for </w:t>
      </w:r>
      <w:r w:rsidR="00C82D3C">
        <w:t>the</w:t>
      </w:r>
      <w:r w:rsidR="00923B79" w:rsidRPr="006D3C55">
        <w:t xml:space="preserve"> majority the implementation is </w:t>
      </w:r>
      <w:r w:rsidR="00672E45" w:rsidRPr="00426C5F">
        <w:t>‘</w:t>
      </w:r>
      <w:r w:rsidR="00923B79" w:rsidRPr="006D3C55">
        <w:t>done</w:t>
      </w:r>
      <w:r w:rsidR="00672E45" w:rsidRPr="00426C5F">
        <w:t>’</w:t>
      </w:r>
      <w:r w:rsidR="00923B79" w:rsidRPr="006D3C55">
        <w:t xml:space="preserve">, or </w:t>
      </w:r>
      <w:r w:rsidR="00672E45" w:rsidRPr="00426C5F">
        <w:t>‘</w:t>
      </w:r>
      <w:r w:rsidR="00923B79" w:rsidRPr="006D3C55">
        <w:t>done and continuous</w:t>
      </w:r>
      <w:r w:rsidR="00672E45" w:rsidRPr="00426C5F">
        <w:t>’</w:t>
      </w:r>
      <w:r w:rsidR="00923B79" w:rsidRPr="006D3C55">
        <w:t>.</w:t>
      </w:r>
      <w:r w:rsidRPr="006D3C55">
        <w:t xml:space="preserve"> </w:t>
      </w:r>
      <w:r w:rsidR="00923B79" w:rsidRPr="006D3C55">
        <w:t>T</w:t>
      </w:r>
      <w:r w:rsidR="001301C1" w:rsidRPr="006D3C55">
        <w:t xml:space="preserve">he European Anti-Fraud Office further supported </w:t>
      </w:r>
      <w:r w:rsidR="001301C1" w:rsidRPr="004A7310">
        <w:t>Commission services</w:t>
      </w:r>
      <w:r w:rsidR="001301C1" w:rsidRPr="006D3C55">
        <w:t xml:space="preserve"> in the design of their anti-fraud strategies and </w:t>
      </w:r>
      <w:r w:rsidR="00BC17F5" w:rsidRPr="006D3C55">
        <w:t xml:space="preserve">continued sharing the latest developments </w:t>
      </w:r>
      <w:r w:rsidR="001301C1" w:rsidRPr="006D3C55">
        <w:t xml:space="preserve">on anti-fraud </w:t>
      </w:r>
      <w:r w:rsidR="00BC17F5" w:rsidRPr="006D3C55">
        <w:t xml:space="preserve">policy within </w:t>
      </w:r>
      <w:r w:rsidR="001301C1" w:rsidRPr="006D3C55">
        <w:t>the Fraud Prevention and Detection Network.</w:t>
      </w:r>
    </w:p>
    <w:p w14:paraId="7785333B" w14:textId="7B81F0D8" w:rsidR="001301C1" w:rsidRPr="006D3C55" w:rsidRDefault="00784EE8" w:rsidP="001301C1">
      <w:r w:rsidRPr="006D3C55">
        <w:t>During the year, t</w:t>
      </w:r>
      <w:r w:rsidR="001301C1" w:rsidRPr="006D3C55">
        <w:t xml:space="preserve">he </w:t>
      </w:r>
      <w:r w:rsidR="00A17BA3" w:rsidRPr="006D3C55">
        <w:t xml:space="preserve">European Anti-Fraud </w:t>
      </w:r>
      <w:r w:rsidR="001301C1" w:rsidRPr="006D3C55">
        <w:t xml:space="preserve">Office </w:t>
      </w:r>
      <w:r w:rsidR="00CD6090" w:rsidRPr="006D3C55">
        <w:t>advanced</w:t>
      </w:r>
      <w:r w:rsidR="001301C1" w:rsidRPr="006D3C55">
        <w:t xml:space="preserve"> its </w:t>
      </w:r>
      <w:r w:rsidR="001301C1" w:rsidRPr="006D3C55">
        <w:rPr>
          <w:rStyle w:val="Bold"/>
        </w:rPr>
        <w:t>strategic analytical work</w:t>
      </w:r>
      <w:r w:rsidR="001301C1" w:rsidRPr="006D3C55">
        <w:t xml:space="preserve">, </w:t>
      </w:r>
      <w:r w:rsidR="006C2E64" w:rsidRPr="006D3C55">
        <w:t>whi</w:t>
      </w:r>
      <w:r w:rsidR="001C5CCD" w:rsidRPr="006D3C55">
        <w:t>ch is used to feed into Commission departments</w:t>
      </w:r>
      <w:r w:rsidR="009C5704">
        <w:t>’</w:t>
      </w:r>
      <w:r w:rsidR="001C5CCD" w:rsidRPr="006D3C55">
        <w:t xml:space="preserve"> and Member States’ fraud risk assessments, </w:t>
      </w:r>
      <w:r w:rsidR="001301C1" w:rsidRPr="006D3C55">
        <w:t>notably through analyses of the detection and reporting of irregularities and fraud in different sectors</w:t>
      </w:r>
      <w:r w:rsidR="00CD6090" w:rsidRPr="006D3C55">
        <w:t xml:space="preserve"> </w:t>
      </w:r>
      <w:r w:rsidR="00FE5454" w:rsidRPr="006D3C55">
        <w:t>and</w:t>
      </w:r>
      <w:r w:rsidR="00CD6090" w:rsidRPr="006D3C55">
        <w:t xml:space="preserve"> of the impact </w:t>
      </w:r>
      <w:r w:rsidR="00FE5454" w:rsidRPr="006D3C55">
        <w:t xml:space="preserve">of </w:t>
      </w:r>
      <w:r w:rsidR="00CD6090" w:rsidRPr="006D3C55">
        <w:t xml:space="preserve">and vulnerability to fraud in the </w:t>
      </w:r>
      <w:r w:rsidR="00DD7963" w:rsidRPr="006D3C55">
        <w:t xml:space="preserve">various </w:t>
      </w:r>
      <w:r w:rsidR="00CD6090" w:rsidRPr="006D3C55">
        <w:t>areas of the cohesion policy</w:t>
      </w:r>
      <w:r w:rsidR="001301C1" w:rsidRPr="006D3C55">
        <w:t>.</w:t>
      </w:r>
    </w:p>
    <w:p w14:paraId="66D67E53" w14:textId="3A0DF063" w:rsidR="00A55510" w:rsidRPr="006D3C55" w:rsidRDefault="004F6899" w:rsidP="001301C1">
      <w:r w:rsidRPr="002D58F1">
        <w:rPr>
          <w:rStyle w:val="Bold"/>
        </w:rPr>
        <w:t xml:space="preserve">The European Anti-Fraud Office </w:t>
      </w:r>
      <w:r w:rsidR="00756446" w:rsidRPr="002D58F1">
        <w:rPr>
          <w:rStyle w:val="Bold"/>
        </w:rPr>
        <w:t xml:space="preserve">has </w:t>
      </w:r>
      <w:r w:rsidRPr="002D58F1">
        <w:rPr>
          <w:rStyle w:val="Bold"/>
        </w:rPr>
        <w:t xml:space="preserve">engaged with national authorities to improve </w:t>
      </w:r>
      <w:r w:rsidR="004E6A32" w:rsidRPr="002D58F1">
        <w:rPr>
          <w:rStyle w:val="Bold"/>
        </w:rPr>
        <w:t xml:space="preserve">the </w:t>
      </w:r>
      <w:r w:rsidRPr="002D58F1">
        <w:rPr>
          <w:rStyle w:val="Bold"/>
        </w:rPr>
        <w:t>reporting of irregularities and fraud</w:t>
      </w:r>
      <w:r w:rsidR="003366C2">
        <w:rPr>
          <w:rStyle w:val="Bold"/>
        </w:rPr>
        <w:t>,</w:t>
      </w:r>
      <w:r w:rsidRPr="002D58F1">
        <w:rPr>
          <w:rStyle w:val="Bold"/>
        </w:rPr>
        <w:t xml:space="preserve"> and provided strategic analysis to feed into Commission departments’ and Member States’ fraud risk assessments. </w:t>
      </w:r>
      <w:r w:rsidR="007C021C" w:rsidRPr="006D3C55">
        <w:t>T</w:t>
      </w:r>
      <w:r w:rsidR="00A55510" w:rsidRPr="006D3C55">
        <w:t xml:space="preserve">he </w:t>
      </w:r>
      <w:r w:rsidR="00323E0A" w:rsidRPr="006D3C55">
        <w:t xml:space="preserve">European Anti-Fraud </w:t>
      </w:r>
      <w:r w:rsidR="00A55510" w:rsidRPr="006D3C55">
        <w:t>Office continued engaging with Member States, both in the context of the Advisory Committee for the Coordination of Fraud Prevention and by providing on</w:t>
      </w:r>
      <w:r w:rsidR="00150E5C" w:rsidRPr="006D3C55">
        <w:t>-</w:t>
      </w:r>
      <w:r w:rsidR="00A55510" w:rsidRPr="006D3C55">
        <w:t xml:space="preserve">demand support to their anti-fraud activities, </w:t>
      </w:r>
      <w:r w:rsidR="00150E5C" w:rsidRPr="006D3C55">
        <w:t xml:space="preserve">including </w:t>
      </w:r>
      <w:r w:rsidR="00A55510" w:rsidRPr="006D3C55">
        <w:t xml:space="preserve">to candidate countries, </w:t>
      </w:r>
      <w:r w:rsidR="00D547F6">
        <w:t>such as</w:t>
      </w:r>
      <w:r w:rsidR="00A55510" w:rsidRPr="006D3C55">
        <w:t xml:space="preserve"> Ukraine.</w:t>
      </w:r>
      <w:r w:rsidRPr="006D3C55">
        <w:t xml:space="preserve"> The 2024 </w:t>
      </w:r>
      <w:r w:rsidR="007C6031" w:rsidRPr="006D3C55">
        <w:t>a</w:t>
      </w:r>
      <w:r w:rsidRPr="006D3C55">
        <w:t>nnual report on the protection of EU’s financial interests</w:t>
      </w:r>
      <w:r w:rsidRPr="004A7310">
        <w:rPr>
          <w:rFonts w:ascii="Calibri" w:hAnsi="Calibri" w:cs="Calibri"/>
        </w:rPr>
        <w:t> </w:t>
      </w:r>
      <w:r w:rsidRPr="006D3C55">
        <w:t>(</w:t>
      </w:r>
      <w:r w:rsidRPr="00352191">
        <w:rPr>
          <w:rStyle w:val="FootnoteReference"/>
        </w:rPr>
        <w:footnoteReference w:id="10"/>
      </w:r>
      <w:r w:rsidRPr="006D3C55">
        <w:t>) included an updated qualitative assessment of the national anti-fraud strategies.</w:t>
      </w:r>
    </w:p>
    <w:p w14:paraId="4C0B647B" w14:textId="7AAE2E0E" w:rsidR="001301C1" w:rsidRPr="006D3C55" w:rsidRDefault="001301C1" w:rsidP="001301C1">
      <w:r w:rsidRPr="002D58F1">
        <w:rPr>
          <w:rStyle w:val="Bold"/>
        </w:rPr>
        <w:t xml:space="preserve">As a result of its investigative work, </w:t>
      </w:r>
      <w:r w:rsidRPr="00DA3E81">
        <w:rPr>
          <w:rStyle w:val="Bold"/>
          <w:b w:val="0"/>
        </w:rPr>
        <w:t xml:space="preserve">in </w:t>
      </w:r>
      <w:r w:rsidR="005200CC" w:rsidRPr="00C15EA7">
        <w:t xml:space="preserve">2025 </w:t>
      </w:r>
      <w:r w:rsidRPr="00C15EA7">
        <w:t xml:space="preserve">the European Anti-Fraud Office recommended </w:t>
      </w:r>
      <w:r w:rsidR="00645D64" w:rsidRPr="00C15EA7">
        <w:t>EUR</w:t>
      </w:r>
      <w:r w:rsidR="00645D64" w:rsidRPr="004A7310">
        <w:rPr>
          <w:rFonts w:ascii="Calibri" w:hAnsi="Calibri" w:cs="Calibri"/>
        </w:rPr>
        <w:t> </w:t>
      </w:r>
      <w:r w:rsidR="00645D64" w:rsidRPr="00C15EA7">
        <w:t>597</w:t>
      </w:r>
      <w:r w:rsidR="00645D64" w:rsidRPr="004A7310">
        <w:rPr>
          <w:rFonts w:ascii="Calibri" w:hAnsi="Calibri" w:cs="Calibri"/>
        </w:rPr>
        <w:t> </w:t>
      </w:r>
      <w:r w:rsidR="00645D64" w:rsidRPr="00C15EA7">
        <w:t>million for</w:t>
      </w:r>
      <w:r w:rsidR="006859D0" w:rsidRPr="00C15EA7">
        <w:t xml:space="preserve"> </w:t>
      </w:r>
      <w:r w:rsidRPr="00C15EA7">
        <w:t>recovery,</w:t>
      </w:r>
      <w:r w:rsidRPr="004A7310">
        <w:t xml:space="preserve"> and </w:t>
      </w:r>
      <w:r w:rsidR="000E7E54" w:rsidRPr="006D3C55">
        <w:t xml:space="preserve">that </w:t>
      </w:r>
      <w:r w:rsidR="000E7E54" w:rsidRPr="004A7310">
        <w:t>EUR</w:t>
      </w:r>
      <w:r w:rsidR="000E7E54" w:rsidRPr="006D3C55">
        <w:rPr>
          <w:rFonts w:ascii="Calibri" w:hAnsi="Calibri" w:cs="Calibri"/>
        </w:rPr>
        <w:t> </w:t>
      </w:r>
      <w:r w:rsidR="000E7E54" w:rsidRPr="006D3C55">
        <w:t>18.1</w:t>
      </w:r>
      <w:r w:rsidR="000E7E54" w:rsidRPr="006D3C55">
        <w:rPr>
          <w:rFonts w:ascii="Calibri" w:hAnsi="Calibri" w:cs="Calibri"/>
        </w:rPr>
        <w:t> </w:t>
      </w:r>
      <w:r w:rsidR="000E7E54" w:rsidRPr="006D3C55">
        <w:t xml:space="preserve">million </w:t>
      </w:r>
      <w:r w:rsidRPr="006D3C55">
        <w:t>be prevented from being unduly spent.</w:t>
      </w:r>
      <w:r w:rsidR="006859D0" w:rsidRPr="006D3C55">
        <w:t xml:space="preserve"> The European Anti-Fraud Office reports on its </w:t>
      </w:r>
      <w:r w:rsidR="006859D0" w:rsidRPr="004A7310">
        <w:t>investigative activities</w:t>
      </w:r>
      <w:r w:rsidR="006859D0" w:rsidRPr="006D3C55">
        <w:t xml:space="preserve"> in its annual report</w:t>
      </w:r>
      <w:r w:rsidR="006859D0" w:rsidRPr="004A7310">
        <w:rPr>
          <w:rFonts w:ascii="Calibri" w:hAnsi="Calibri" w:cs="Calibri"/>
        </w:rPr>
        <w:t> </w:t>
      </w:r>
      <w:r w:rsidR="006859D0" w:rsidRPr="006D3C55">
        <w:t>(</w:t>
      </w:r>
      <w:r w:rsidR="006859D0" w:rsidRPr="00352191">
        <w:rPr>
          <w:rStyle w:val="FootnoteReference"/>
        </w:rPr>
        <w:footnoteReference w:id="11"/>
      </w:r>
      <w:r w:rsidR="006859D0" w:rsidRPr="006D3C55">
        <w:t>).</w:t>
      </w:r>
    </w:p>
    <w:p w14:paraId="79E31000" w14:textId="6574F1C0" w:rsidR="00782839" w:rsidRPr="006D3C55" w:rsidRDefault="00FA5351" w:rsidP="00AC22C3">
      <w:pPr>
        <w:pStyle w:val="Heading5"/>
      </w:pPr>
      <w:r w:rsidRPr="006D3C55">
        <w:t xml:space="preserve">Review of </w:t>
      </w:r>
      <w:r w:rsidR="00782839" w:rsidRPr="006D3C55">
        <w:t xml:space="preserve">EU </w:t>
      </w:r>
      <w:r w:rsidR="000B7C94" w:rsidRPr="006D3C55">
        <w:t>a</w:t>
      </w:r>
      <w:r w:rsidR="00782839" w:rsidRPr="006D3C55">
        <w:t>nti-</w:t>
      </w:r>
      <w:r w:rsidR="000B7C94" w:rsidRPr="006D3C55">
        <w:t>f</w:t>
      </w:r>
      <w:r w:rsidR="00782839" w:rsidRPr="006D3C55">
        <w:t xml:space="preserve">raud </w:t>
      </w:r>
      <w:r w:rsidR="000B7C94" w:rsidRPr="006D3C55">
        <w:t>a</w:t>
      </w:r>
      <w:r w:rsidR="00782839" w:rsidRPr="006D3C55">
        <w:t>rchitecture</w:t>
      </w:r>
    </w:p>
    <w:p w14:paraId="16E9BE86" w14:textId="716F767E" w:rsidR="00782839" w:rsidRPr="006D3C55" w:rsidRDefault="00FA5351" w:rsidP="00AD6F6C">
      <w:r w:rsidRPr="002D58F1">
        <w:rPr>
          <w:rStyle w:val="Bold"/>
        </w:rPr>
        <w:t>In</w:t>
      </w:r>
      <w:r w:rsidR="00782839" w:rsidRPr="002D58F1">
        <w:rPr>
          <w:rStyle w:val="Bold"/>
        </w:rPr>
        <w:t xml:space="preserve"> July 2025, the Commission launch</w:t>
      </w:r>
      <w:r w:rsidR="00410792" w:rsidRPr="002D58F1">
        <w:rPr>
          <w:rStyle w:val="Bold"/>
        </w:rPr>
        <w:t>ed</w:t>
      </w:r>
      <w:r w:rsidR="00782839" w:rsidRPr="002D58F1">
        <w:rPr>
          <w:rStyle w:val="Bold"/>
        </w:rPr>
        <w:t xml:space="preserve"> </w:t>
      </w:r>
      <w:r w:rsidR="006D1D87" w:rsidRPr="002D58F1">
        <w:rPr>
          <w:rStyle w:val="Bold"/>
        </w:rPr>
        <w:t xml:space="preserve">a </w:t>
      </w:r>
      <w:r w:rsidR="00782839" w:rsidRPr="002D58F1">
        <w:rPr>
          <w:rStyle w:val="Bold"/>
        </w:rPr>
        <w:t xml:space="preserve">review of the EU </w:t>
      </w:r>
      <w:r w:rsidR="000B7C94" w:rsidRPr="002D58F1">
        <w:rPr>
          <w:rStyle w:val="Bold"/>
        </w:rPr>
        <w:t>a</w:t>
      </w:r>
      <w:r w:rsidR="00782839" w:rsidRPr="002D58F1">
        <w:rPr>
          <w:rStyle w:val="Bold"/>
        </w:rPr>
        <w:t>nti-</w:t>
      </w:r>
      <w:r w:rsidR="000B7C94" w:rsidRPr="002D58F1">
        <w:rPr>
          <w:rStyle w:val="Bold"/>
        </w:rPr>
        <w:t>f</w:t>
      </w:r>
      <w:r w:rsidR="00782839" w:rsidRPr="002D58F1">
        <w:rPr>
          <w:rStyle w:val="Bold"/>
        </w:rPr>
        <w:t xml:space="preserve">raud </w:t>
      </w:r>
      <w:r w:rsidR="000B7C94" w:rsidRPr="002D58F1">
        <w:rPr>
          <w:rStyle w:val="Bold"/>
        </w:rPr>
        <w:t>a</w:t>
      </w:r>
      <w:r w:rsidR="00782839" w:rsidRPr="002D58F1">
        <w:rPr>
          <w:rStyle w:val="Bold"/>
        </w:rPr>
        <w:t>rchitecture</w:t>
      </w:r>
      <w:r w:rsidR="000B7C94" w:rsidRPr="00AD4275">
        <w:rPr>
          <w:rFonts w:ascii="Calibri" w:hAnsi="Calibri" w:cs="Calibri"/>
        </w:rPr>
        <w:t> </w:t>
      </w:r>
      <w:r w:rsidR="00782839" w:rsidRPr="006D3C55">
        <w:rPr>
          <w:rFonts w:cs="Calibri"/>
        </w:rPr>
        <w:t>(</w:t>
      </w:r>
      <w:r w:rsidR="00782839" w:rsidRPr="00352191">
        <w:rPr>
          <w:rStyle w:val="FootnoteReference"/>
        </w:rPr>
        <w:footnoteReference w:id="12"/>
      </w:r>
      <w:r w:rsidR="00782839" w:rsidRPr="006D3C55">
        <w:rPr>
          <w:rFonts w:cs="Calibri"/>
        </w:rPr>
        <w:t>)</w:t>
      </w:r>
      <w:r w:rsidR="00782839" w:rsidRPr="002D58F1">
        <w:t>.</w:t>
      </w:r>
      <w:r w:rsidR="00782839" w:rsidRPr="006D3C55">
        <w:t xml:space="preserve"> This </w:t>
      </w:r>
      <w:r w:rsidR="000B7C94" w:rsidRPr="006D3C55">
        <w:t>a</w:t>
      </w:r>
      <w:r w:rsidR="00782839" w:rsidRPr="006D3C55">
        <w:t>nti-</w:t>
      </w:r>
      <w:r w:rsidR="000B7C94" w:rsidRPr="006D3C55">
        <w:t>f</w:t>
      </w:r>
      <w:r w:rsidR="00782839" w:rsidRPr="006D3C55">
        <w:t xml:space="preserve">raud </w:t>
      </w:r>
      <w:r w:rsidR="000B7C94" w:rsidRPr="006D3C55">
        <w:t>r</w:t>
      </w:r>
      <w:r w:rsidR="00782839" w:rsidRPr="006D3C55">
        <w:t xml:space="preserve">eview aims </w:t>
      </w:r>
      <w:r w:rsidR="000B7C94" w:rsidRPr="006D3C55">
        <w:t xml:space="preserve">to promote </w:t>
      </w:r>
      <w:r w:rsidR="00782839" w:rsidRPr="006D3C55">
        <w:t>efficiency at every stage of the anti-fraud cycle, supporting complementarity between anti-fraud actors in the prevention, detection, investigation, correction</w:t>
      </w:r>
      <w:r w:rsidR="002B2E83" w:rsidRPr="006D3C55">
        <w:t xml:space="preserve"> and</w:t>
      </w:r>
      <w:r w:rsidR="00782839" w:rsidRPr="006D3C55">
        <w:t xml:space="preserve"> prosecution </w:t>
      </w:r>
      <w:r w:rsidR="002B2E83" w:rsidRPr="006D3C55">
        <w:t xml:space="preserve">of fraud </w:t>
      </w:r>
      <w:r w:rsidR="00782839" w:rsidRPr="006D3C55">
        <w:t xml:space="preserve">and </w:t>
      </w:r>
      <w:r w:rsidR="002B2E83" w:rsidRPr="006D3C55">
        <w:t xml:space="preserve">the </w:t>
      </w:r>
      <w:r w:rsidR="00782839" w:rsidRPr="006D3C55">
        <w:t xml:space="preserve">more efficient and effective recovery of amounts for the </w:t>
      </w:r>
      <w:r w:rsidR="00B066E0" w:rsidRPr="006D3C55">
        <w:t xml:space="preserve">EU </w:t>
      </w:r>
      <w:r w:rsidR="00782839" w:rsidRPr="006D3C55">
        <w:t xml:space="preserve">budget. The White Paper also invited stakeholders and </w:t>
      </w:r>
      <w:r w:rsidR="00657635" w:rsidRPr="006D3C55">
        <w:t>a</w:t>
      </w:r>
      <w:r w:rsidR="00782839" w:rsidRPr="006D3C55">
        <w:t>nti-</w:t>
      </w:r>
      <w:r w:rsidR="00657635" w:rsidRPr="006D3C55">
        <w:t>f</w:t>
      </w:r>
      <w:r w:rsidR="00782839" w:rsidRPr="006D3C55">
        <w:t xml:space="preserve">raud </w:t>
      </w:r>
      <w:r w:rsidR="00657635" w:rsidRPr="006D3C55">
        <w:t>a</w:t>
      </w:r>
      <w:r w:rsidR="00782839" w:rsidRPr="006D3C55">
        <w:t xml:space="preserve">rchitecture actors to contribute to the </w:t>
      </w:r>
      <w:r w:rsidR="00657635" w:rsidRPr="006D3C55">
        <w:t>review</w:t>
      </w:r>
      <w:r w:rsidR="00782839" w:rsidRPr="006D3C55">
        <w:t xml:space="preserve">. </w:t>
      </w:r>
      <w:r w:rsidR="00782839" w:rsidRPr="002D58F1">
        <w:rPr>
          <w:rStyle w:val="Bold"/>
        </w:rPr>
        <w:t>The outcome of th</w:t>
      </w:r>
      <w:r w:rsidR="00657635" w:rsidRPr="002D58F1">
        <w:rPr>
          <w:rStyle w:val="Bold"/>
        </w:rPr>
        <w:t>e</w:t>
      </w:r>
      <w:r w:rsidR="00782839" w:rsidRPr="002D58F1">
        <w:rPr>
          <w:rStyle w:val="Bold"/>
        </w:rPr>
        <w:t xml:space="preserve"> review will be presented in 2026</w:t>
      </w:r>
      <w:r w:rsidR="002837D7" w:rsidRPr="002D58F1">
        <w:rPr>
          <w:rStyle w:val="Bold"/>
        </w:rPr>
        <w:t xml:space="preserve"> and</w:t>
      </w:r>
      <w:r w:rsidR="00782839" w:rsidRPr="002D58F1">
        <w:rPr>
          <w:rStyle w:val="Bold"/>
        </w:rPr>
        <w:t xml:space="preserve"> may be accompanied by legislative proposal</w:t>
      </w:r>
      <w:r w:rsidR="001402D0" w:rsidRPr="002D58F1">
        <w:rPr>
          <w:rStyle w:val="Bold"/>
        </w:rPr>
        <w:t>s</w:t>
      </w:r>
      <w:r w:rsidR="00782839" w:rsidRPr="002D58F1">
        <w:rPr>
          <w:rStyle w:val="Bold"/>
        </w:rPr>
        <w:t>.</w:t>
      </w:r>
    </w:p>
    <w:p w14:paraId="4EE41469" w14:textId="07E153B7" w:rsidR="00CD268C" w:rsidRPr="006D3C55" w:rsidRDefault="00CD268C" w:rsidP="00AC22C3">
      <w:pPr>
        <w:pStyle w:val="Heading5"/>
      </w:pPr>
      <w:r w:rsidRPr="006D3C55">
        <w:t xml:space="preserve">Early </w:t>
      </w:r>
      <w:r w:rsidR="00155B81" w:rsidRPr="006D3C55">
        <w:t>d</w:t>
      </w:r>
      <w:r w:rsidRPr="006D3C55">
        <w:t xml:space="preserve">etection and </w:t>
      </w:r>
      <w:r w:rsidR="00155B81" w:rsidRPr="006D3C55">
        <w:t>e</w:t>
      </w:r>
      <w:r w:rsidRPr="006D3C55">
        <w:t xml:space="preserve">xclusion </w:t>
      </w:r>
      <w:r w:rsidR="00155B81" w:rsidRPr="006D3C55">
        <w:t>s</w:t>
      </w:r>
      <w:r w:rsidRPr="006D3C55">
        <w:t>ystem</w:t>
      </w:r>
    </w:p>
    <w:p w14:paraId="73B83CA3" w14:textId="1DD8095E" w:rsidR="00CD268C" w:rsidRPr="006D3C55" w:rsidRDefault="00CD268C" w:rsidP="003064FC">
      <w:r w:rsidRPr="006D3C55">
        <w:t xml:space="preserve">In 2025, building on the novelties introduced by the 2024 Financial Regulation, </w:t>
      </w:r>
      <w:r w:rsidRPr="002D58F1">
        <w:rPr>
          <w:rStyle w:val="Bold"/>
        </w:rPr>
        <w:t xml:space="preserve">the Commission intensified its efforts to promote the </w:t>
      </w:r>
      <w:r w:rsidR="00155B81" w:rsidRPr="002D58F1">
        <w:rPr>
          <w:rStyle w:val="Bold"/>
        </w:rPr>
        <w:t>e</w:t>
      </w:r>
      <w:r w:rsidRPr="002D58F1">
        <w:rPr>
          <w:rStyle w:val="Bold"/>
        </w:rPr>
        <w:t xml:space="preserve">arly </w:t>
      </w:r>
      <w:r w:rsidR="00155B81" w:rsidRPr="002D58F1">
        <w:rPr>
          <w:rStyle w:val="Bold"/>
        </w:rPr>
        <w:t>d</w:t>
      </w:r>
      <w:r w:rsidRPr="002D58F1">
        <w:rPr>
          <w:rStyle w:val="Bold"/>
        </w:rPr>
        <w:t xml:space="preserve">etection and </w:t>
      </w:r>
      <w:r w:rsidR="00155B81" w:rsidRPr="002D58F1">
        <w:rPr>
          <w:rStyle w:val="Bold"/>
        </w:rPr>
        <w:t>e</w:t>
      </w:r>
      <w:r w:rsidRPr="002D58F1">
        <w:rPr>
          <w:rStyle w:val="Bold"/>
        </w:rPr>
        <w:t xml:space="preserve">xclusion </w:t>
      </w:r>
      <w:r w:rsidR="00155B81" w:rsidRPr="002D58F1">
        <w:rPr>
          <w:rStyle w:val="Bold"/>
        </w:rPr>
        <w:t>s</w:t>
      </w:r>
      <w:r w:rsidRPr="002D58F1">
        <w:rPr>
          <w:rStyle w:val="Bold"/>
        </w:rPr>
        <w:t>ystem</w:t>
      </w:r>
      <w:r w:rsidR="006E13DC" w:rsidRPr="006D3C55">
        <w:rPr>
          <w:rFonts w:ascii="Calibri" w:hAnsi="Calibri" w:cs="Calibri"/>
        </w:rPr>
        <w:t> </w:t>
      </w:r>
      <w:r w:rsidR="002316CD" w:rsidRPr="006D3C55">
        <w:t>–</w:t>
      </w:r>
      <w:r w:rsidRPr="006D3C55">
        <w:t xml:space="preserve"> a key tool in safeguarding the EU's financial interests against fraud, corruption and other forms of misconduct, such as breaches of conflict-of-interest rules or incitement to hatred and discrimination. This included</w:t>
      </w:r>
      <w:r w:rsidRPr="006D3C55" w:rsidDel="00791584">
        <w:t xml:space="preserve"> </w:t>
      </w:r>
      <w:r w:rsidRPr="006D3C55">
        <w:t>awareness-raising activities addressed to all EU institutions</w:t>
      </w:r>
      <w:r w:rsidR="003E7642" w:rsidRPr="006D3C55">
        <w:t>, bodies, offices</w:t>
      </w:r>
      <w:r w:rsidRPr="006D3C55">
        <w:t xml:space="preserve"> and agencies. This also </w:t>
      </w:r>
      <w:r w:rsidR="00C12C43" w:rsidRPr="006D3C55">
        <w:t xml:space="preserve">led </w:t>
      </w:r>
      <w:r w:rsidRPr="006D3C55">
        <w:t xml:space="preserve">to a more harmonised application of the </w:t>
      </w:r>
      <w:r w:rsidR="00A4077B" w:rsidRPr="006D3C55">
        <w:t xml:space="preserve">early detection and exclusion system </w:t>
      </w:r>
      <w:r w:rsidRPr="006D3C55">
        <w:t xml:space="preserve">framework and scrutiny of exclusion situations across services. In addition, in 2025, the </w:t>
      </w:r>
      <w:r w:rsidR="00037703" w:rsidRPr="006D3C55">
        <w:t>r</w:t>
      </w:r>
      <w:r w:rsidRPr="006D3C55">
        <w:t xml:space="preserve">ules of </w:t>
      </w:r>
      <w:r w:rsidR="00037703" w:rsidRPr="006D3C55">
        <w:t>p</w:t>
      </w:r>
      <w:r w:rsidRPr="006D3C55">
        <w:t xml:space="preserve">rocedure of the </w:t>
      </w:r>
      <w:r w:rsidR="00114AD5" w:rsidRPr="006D3C55">
        <w:t>early detection and exclusion system p</w:t>
      </w:r>
      <w:r w:rsidRPr="006D3C55">
        <w:t>anel were revised to accelerat</w:t>
      </w:r>
      <w:r w:rsidR="00B843BE" w:rsidRPr="006D3C55">
        <w:t>e</w:t>
      </w:r>
      <w:r w:rsidRPr="006D3C55">
        <w:t xml:space="preserve"> authorising officers</w:t>
      </w:r>
      <w:r w:rsidR="00037703" w:rsidRPr="006D3C55">
        <w:t>’</w:t>
      </w:r>
      <w:r w:rsidRPr="006D3C55">
        <w:t xml:space="preserve"> decisions and </w:t>
      </w:r>
      <w:r w:rsidR="00037703" w:rsidRPr="006D3C55">
        <w:t xml:space="preserve">improve </w:t>
      </w:r>
      <w:r w:rsidRPr="006D3C55">
        <w:t>the overall efficiency of the system.</w:t>
      </w:r>
    </w:p>
    <w:p w14:paraId="6C1A9ADF" w14:textId="23319BD0" w:rsidR="001301C1" w:rsidRPr="006D3C55" w:rsidRDefault="00B64578" w:rsidP="006D5CEC">
      <w:pPr>
        <w:pStyle w:val="HNum-fromh2Heading4-111"/>
      </w:pPr>
      <w:r w:rsidRPr="006D3C55">
        <w:t xml:space="preserve">Ensuring </w:t>
      </w:r>
      <w:r w:rsidR="00074D1A" w:rsidRPr="006D3C55">
        <w:t>cybersecurity</w:t>
      </w:r>
    </w:p>
    <w:p w14:paraId="7E1E7EF3" w14:textId="4388E2CD" w:rsidR="001918F8" w:rsidRPr="006D3C55" w:rsidRDefault="001918F8" w:rsidP="001918F8">
      <w:pPr>
        <w:rPr>
          <w:rFonts w:cs="Arial"/>
        </w:rPr>
      </w:pPr>
      <w:r w:rsidRPr="006D5CEC">
        <w:rPr>
          <w:rStyle w:val="Bold"/>
        </w:rPr>
        <w:t>Security, safety, cybersecurity and business continuity are very high on the Commission’s agenda.</w:t>
      </w:r>
      <w:r w:rsidRPr="006D3C55">
        <w:rPr>
          <w:rFonts w:cs="Arial"/>
        </w:rPr>
        <w:t xml:space="preserve"> In 2024-2025, the Commission launched and r</w:t>
      </w:r>
      <w:r w:rsidR="00277649" w:rsidRPr="006D3C55">
        <w:rPr>
          <w:rFonts w:cs="Arial"/>
        </w:rPr>
        <w:t>a</w:t>
      </w:r>
      <w:r w:rsidRPr="006D3C55">
        <w:rPr>
          <w:rFonts w:cs="Arial"/>
        </w:rPr>
        <w:t xml:space="preserve">n the </w:t>
      </w:r>
      <w:r w:rsidRPr="002D58F1">
        <w:rPr>
          <w:rStyle w:val="Bold"/>
        </w:rPr>
        <w:t>‘Be prepared’ campaign</w:t>
      </w:r>
      <w:r w:rsidRPr="006D3C55">
        <w:rPr>
          <w:rFonts w:cs="Arial"/>
        </w:rPr>
        <w:t xml:space="preserve">, the internal flagship initiative to raise staff awareness of </w:t>
      </w:r>
      <w:r w:rsidR="00A668D6" w:rsidRPr="006D3C55">
        <w:rPr>
          <w:rFonts w:cs="Arial"/>
        </w:rPr>
        <w:t>these issues</w:t>
      </w:r>
      <w:r w:rsidRPr="006D3C55">
        <w:rPr>
          <w:rFonts w:cs="Arial"/>
        </w:rPr>
        <w:t xml:space="preserve">. Leveraging the </w:t>
      </w:r>
      <w:r w:rsidR="00A668D6" w:rsidRPr="006D3C55">
        <w:rPr>
          <w:rFonts w:cs="Arial"/>
        </w:rPr>
        <w:t>‘</w:t>
      </w:r>
      <w:r w:rsidRPr="006D3C55">
        <w:rPr>
          <w:rFonts w:cs="Arial"/>
        </w:rPr>
        <w:t>Be prepared</w:t>
      </w:r>
      <w:r w:rsidR="00A668D6" w:rsidRPr="006D3C55">
        <w:rPr>
          <w:rFonts w:cs="Arial"/>
        </w:rPr>
        <w:t>’</w:t>
      </w:r>
      <w:r w:rsidRPr="006D3C55">
        <w:rPr>
          <w:rFonts w:cs="Arial"/>
        </w:rPr>
        <w:t xml:space="preserve"> tips sent to all staff of the Commission, the </w:t>
      </w:r>
      <w:r w:rsidR="008D5F56" w:rsidRPr="006D3C55">
        <w:rPr>
          <w:rFonts w:cs="Arial"/>
        </w:rPr>
        <w:t>‘</w:t>
      </w:r>
      <w:r w:rsidRPr="006D3C55">
        <w:rPr>
          <w:rFonts w:cs="Arial"/>
        </w:rPr>
        <w:t>Be prepared</w:t>
      </w:r>
      <w:r w:rsidR="008D5F56" w:rsidRPr="006D3C55">
        <w:rPr>
          <w:rFonts w:cs="Arial"/>
        </w:rPr>
        <w:t>’</w:t>
      </w:r>
      <w:r w:rsidRPr="006D3C55">
        <w:rPr>
          <w:rFonts w:cs="Arial"/>
        </w:rPr>
        <w:t xml:space="preserve"> snap visuals shown on screens across Commission buildings, the </w:t>
      </w:r>
      <w:r w:rsidR="008D5F56" w:rsidRPr="006D3C55">
        <w:rPr>
          <w:rFonts w:cs="Arial"/>
        </w:rPr>
        <w:t>‘</w:t>
      </w:r>
      <w:r w:rsidRPr="006D3C55">
        <w:rPr>
          <w:rFonts w:cs="Arial"/>
        </w:rPr>
        <w:t>Be prepared</w:t>
      </w:r>
      <w:r w:rsidR="008D5F56" w:rsidRPr="006D3C55">
        <w:rPr>
          <w:rFonts w:cs="Arial"/>
        </w:rPr>
        <w:t>’</w:t>
      </w:r>
      <w:r w:rsidRPr="006D3C55">
        <w:rPr>
          <w:rFonts w:cs="Arial"/>
        </w:rPr>
        <w:t xml:space="preserve"> roadshows and the </w:t>
      </w:r>
      <w:r w:rsidR="008D5F56" w:rsidRPr="006D3C55">
        <w:rPr>
          <w:rFonts w:cs="Arial"/>
        </w:rPr>
        <w:t>‘</w:t>
      </w:r>
      <w:r w:rsidRPr="006D3C55">
        <w:rPr>
          <w:rFonts w:cs="Arial"/>
        </w:rPr>
        <w:t>Be prepared</w:t>
      </w:r>
      <w:r w:rsidR="008D5F56" w:rsidRPr="006D3C55">
        <w:rPr>
          <w:rFonts w:cs="Arial"/>
        </w:rPr>
        <w:t>’</w:t>
      </w:r>
      <w:r w:rsidRPr="006D3C55">
        <w:rPr>
          <w:rFonts w:cs="Arial"/>
        </w:rPr>
        <w:t xml:space="preserve"> dedicated initiatives, the horizontal services in charge of security, safety, cybersecurity and business continuity raise </w:t>
      </w:r>
      <w:r w:rsidR="00881E25" w:rsidRPr="006D3C55">
        <w:rPr>
          <w:rFonts w:cs="Arial"/>
        </w:rPr>
        <w:t xml:space="preserve">the </w:t>
      </w:r>
      <w:r w:rsidRPr="006D3C55">
        <w:rPr>
          <w:rFonts w:cs="Arial"/>
        </w:rPr>
        <w:t xml:space="preserve">contextual awareness of Commission staff on specific relevant matters in these four areas. Building on the successful results, the campaign has been </w:t>
      </w:r>
      <w:r w:rsidR="00881E25" w:rsidRPr="006D3C55">
        <w:rPr>
          <w:rFonts w:cs="Arial"/>
        </w:rPr>
        <w:t>extended to</w:t>
      </w:r>
      <w:r w:rsidRPr="006D3C55">
        <w:rPr>
          <w:rFonts w:cs="Arial"/>
        </w:rPr>
        <w:t xml:space="preserve"> the 2026-2027</w:t>
      </w:r>
      <w:r w:rsidR="00881E25" w:rsidRPr="006D3C55">
        <w:rPr>
          <w:rFonts w:cs="Arial"/>
        </w:rPr>
        <w:t xml:space="preserve"> period</w:t>
      </w:r>
      <w:r w:rsidRPr="006D3C55">
        <w:rPr>
          <w:rFonts w:cs="Arial"/>
        </w:rPr>
        <w:t>, further promoting active and dynamic engagement with staff.</w:t>
      </w:r>
    </w:p>
    <w:p w14:paraId="5C63F4D3" w14:textId="5B0F102A" w:rsidR="001918F8" w:rsidRPr="006D3C55" w:rsidRDefault="001918F8" w:rsidP="001918F8">
      <w:pPr>
        <w:rPr>
          <w:rFonts w:cs="Arial"/>
        </w:rPr>
      </w:pPr>
      <w:r w:rsidRPr="002D58F1">
        <w:rPr>
          <w:rStyle w:val="Bold"/>
        </w:rPr>
        <w:t xml:space="preserve">As regards </w:t>
      </w:r>
      <w:r w:rsidR="000779B6" w:rsidRPr="002D58F1">
        <w:rPr>
          <w:rStyle w:val="Bold"/>
        </w:rPr>
        <w:t>c</w:t>
      </w:r>
      <w:r w:rsidRPr="002D58F1">
        <w:rPr>
          <w:rStyle w:val="Bold"/>
        </w:rPr>
        <w:t xml:space="preserve">ybersecurity, </w:t>
      </w:r>
      <w:r w:rsidR="001F58D0" w:rsidRPr="002D58F1">
        <w:rPr>
          <w:rStyle w:val="Bold"/>
        </w:rPr>
        <w:t>attack</w:t>
      </w:r>
      <w:r w:rsidR="007928D6" w:rsidRPr="002D58F1">
        <w:rPr>
          <w:rStyle w:val="Bold"/>
        </w:rPr>
        <w:t>s</w:t>
      </w:r>
      <w:r w:rsidR="001F58D0" w:rsidRPr="002D58F1">
        <w:rPr>
          <w:rStyle w:val="Bold"/>
        </w:rPr>
        <w:t xml:space="preserve"> against the Commission have been contained </w:t>
      </w:r>
      <w:r w:rsidR="008D4848" w:rsidRPr="002D58F1">
        <w:rPr>
          <w:rStyle w:val="Bold"/>
        </w:rPr>
        <w:t xml:space="preserve">successfully </w:t>
      </w:r>
      <w:r w:rsidR="001F58D0" w:rsidRPr="002D58F1">
        <w:rPr>
          <w:rStyle w:val="Bold"/>
        </w:rPr>
        <w:t xml:space="preserve">and the impact of incidents </w:t>
      </w:r>
      <w:r w:rsidR="003F28B0" w:rsidRPr="002D58F1">
        <w:rPr>
          <w:rStyle w:val="Bold"/>
        </w:rPr>
        <w:t xml:space="preserve">has been </w:t>
      </w:r>
      <w:r w:rsidR="001F58D0" w:rsidRPr="002D58F1">
        <w:rPr>
          <w:rStyle w:val="Bold"/>
        </w:rPr>
        <w:t>limited</w:t>
      </w:r>
      <w:r w:rsidR="003F28B0" w:rsidRPr="002D58F1">
        <w:rPr>
          <w:rStyle w:val="Bold"/>
        </w:rPr>
        <w:t xml:space="preserve"> successfully</w:t>
      </w:r>
      <w:r w:rsidR="001F58D0" w:rsidRPr="002D58F1">
        <w:rPr>
          <w:rStyle w:val="Bold"/>
        </w:rPr>
        <w:t>.</w:t>
      </w:r>
      <w:r w:rsidR="001F58D0" w:rsidRPr="006D3C55">
        <w:rPr>
          <w:rFonts w:cs="Arial"/>
        </w:rPr>
        <w:t xml:space="preserve"> T</w:t>
      </w:r>
      <w:r w:rsidRPr="006D3C55">
        <w:rPr>
          <w:rFonts w:cs="Arial"/>
        </w:rPr>
        <w:t>he Commission continues to be an attractive target for cyber</w:t>
      </w:r>
      <w:r w:rsidR="00474A98" w:rsidRPr="006D3C55">
        <w:rPr>
          <w:rFonts w:cs="Arial"/>
        </w:rPr>
        <w:t>-</w:t>
      </w:r>
      <w:r w:rsidRPr="006D3C55">
        <w:rPr>
          <w:rFonts w:cs="Arial"/>
        </w:rPr>
        <w:t>threat actors in the current geopolitical context and threat landscape</w:t>
      </w:r>
      <w:r w:rsidR="00173FAF" w:rsidRPr="006D3C55">
        <w:rPr>
          <w:rFonts w:cs="Arial"/>
        </w:rPr>
        <w:t>, which is</w:t>
      </w:r>
      <w:r w:rsidRPr="006D3C55">
        <w:rPr>
          <w:rFonts w:cs="Arial"/>
        </w:rPr>
        <w:t xml:space="preserve"> characterised by the exploitation of technical and human vulnerabilities in increasingly sophisticated ways. </w:t>
      </w:r>
      <w:r w:rsidR="001F58D0" w:rsidRPr="006D3C55">
        <w:rPr>
          <w:rFonts w:cs="Arial"/>
        </w:rPr>
        <w:t>In this context,</w:t>
      </w:r>
      <w:r w:rsidRPr="006D3C55">
        <w:rPr>
          <w:rFonts w:cs="Arial"/>
        </w:rPr>
        <w:t xml:space="preserve"> the Commission continuously invests in improving its cybersecurity posture and evolving its threat intelligence, detection and response capabilities.</w:t>
      </w:r>
    </w:p>
    <w:p w14:paraId="7A72E8DE" w14:textId="045BC62F" w:rsidR="001918F8" w:rsidRPr="006D3C55" w:rsidRDefault="001918F8" w:rsidP="001918F8">
      <w:pPr>
        <w:rPr>
          <w:rFonts w:cs="Arial"/>
        </w:rPr>
      </w:pPr>
      <w:r w:rsidRPr="006D3C55">
        <w:rPr>
          <w:rFonts w:cs="Arial"/>
        </w:rPr>
        <w:t xml:space="preserve">As required by </w:t>
      </w:r>
      <w:r w:rsidR="00AC06CD" w:rsidRPr="006D3C55">
        <w:rPr>
          <w:rFonts w:cs="Arial"/>
        </w:rPr>
        <w:t xml:space="preserve">the </w:t>
      </w:r>
      <w:r w:rsidR="00B066E0" w:rsidRPr="006D3C55">
        <w:rPr>
          <w:rFonts w:cs="Arial"/>
        </w:rPr>
        <w:t>r</w:t>
      </w:r>
      <w:r w:rsidRPr="006D3C55">
        <w:rPr>
          <w:rFonts w:cs="Arial"/>
        </w:rPr>
        <w:t xml:space="preserve">egulation </w:t>
      </w:r>
      <w:r w:rsidR="00925C11" w:rsidRPr="006D3C55">
        <w:rPr>
          <w:rFonts w:cs="Arial"/>
        </w:rPr>
        <w:t xml:space="preserve">on </w:t>
      </w:r>
      <w:r w:rsidRPr="006D3C55">
        <w:rPr>
          <w:rFonts w:cs="Arial"/>
        </w:rPr>
        <w:t>cybersecurity</w:t>
      </w:r>
      <w:r w:rsidR="00172BF2" w:rsidRPr="006D3C55">
        <w:rPr>
          <w:rFonts w:cs="Arial"/>
        </w:rPr>
        <w:t xml:space="preserve"> at the institutions, bodies, offices and agencies of the </w:t>
      </w:r>
      <w:r w:rsidR="00B066E0" w:rsidRPr="006D3C55">
        <w:rPr>
          <w:rFonts w:cs="Arial"/>
        </w:rPr>
        <w:t>EU</w:t>
      </w:r>
      <w:r w:rsidR="00B066E0" w:rsidRPr="00F6116C">
        <w:rPr>
          <w:rFonts w:ascii="Calibri" w:hAnsi="Calibri" w:cs="Calibri"/>
        </w:rPr>
        <w:t> </w:t>
      </w:r>
      <w:r w:rsidR="00925C11" w:rsidRPr="006D3C55">
        <w:rPr>
          <w:rFonts w:cs="Arial"/>
        </w:rPr>
        <w:t>(</w:t>
      </w:r>
      <w:r w:rsidR="00925C11" w:rsidRPr="00352191">
        <w:rPr>
          <w:rStyle w:val="FootnoteReference"/>
        </w:rPr>
        <w:footnoteReference w:id="13"/>
      </w:r>
      <w:r w:rsidR="00925C11" w:rsidRPr="006D3C55">
        <w:rPr>
          <w:rFonts w:cs="Arial"/>
        </w:rPr>
        <w:t>),</w:t>
      </w:r>
      <w:r w:rsidRPr="006D3C55">
        <w:rPr>
          <w:rFonts w:cs="Arial"/>
        </w:rPr>
        <w:t xml:space="preserve"> the Commission established an initial cybersecurity review, </w:t>
      </w:r>
      <w:r w:rsidR="00D37DFC" w:rsidRPr="006D3C55">
        <w:rPr>
          <w:rFonts w:cs="Arial"/>
        </w:rPr>
        <w:t xml:space="preserve">ran </w:t>
      </w:r>
      <w:r w:rsidRPr="006D3C55">
        <w:rPr>
          <w:rFonts w:cs="Arial"/>
        </w:rPr>
        <w:t xml:space="preserve">the maturity assessment and reported on its cybersecurity plan, building on the internal existing cybersecurity governance, monitoring and reporting framework, and </w:t>
      </w:r>
      <w:r w:rsidR="001A3246">
        <w:rPr>
          <w:rFonts w:cs="Arial"/>
        </w:rPr>
        <w:t xml:space="preserve">the </w:t>
      </w:r>
      <w:r w:rsidRPr="006D3C55">
        <w:rPr>
          <w:rFonts w:cs="Arial"/>
        </w:rPr>
        <w:t xml:space="preserve">corporate cybersecurity strategy. The implementation of the first complete cycle of reporting required by the </w:t>
      </w:r>
      <w:r w:rsidR="007B1321" w:rsidRPr="006D3C55">
        <w:rPr>
          <w:rFonts w:cs="Arial"/>
        </w:rPr>
        <w:t>r</w:t>
      </w:r>
      <w:r w:rsidRPr="006D3C55">
        <w:rPr>
          <w:rFonts w:cs="Arial"/>
        </w:rPr>
        <w:t xml:space="preserve">egulation contributed to the establishment of a comprehensive and binding framework to ensure a high common level of cybersecurity across </w:t>
      </w:r>
      <w:r w:rsidR="00911497" w:rsidRPr="006D3C55">
        <w:rPr>
          <w:rFonts w:cs="Arial"/>
        </w:rPr>
        <w:t xml:space="preserve">the EU </w:t>
      </w:r>
      <w:r w:rsidRPr="006D3C55">
        <w:rPr>
          <w:rFonts w:cs="Arial"/>
        </w:rPr>
        <w:t>entities, including obligations on governance, risk management, incident reporting and cooperation.</w:t>
      </w:r>
    </w:p>
    <w:p w14:paraId="595B94E9" w14:textId="042D9179" w:rsidR="00326742" w:rsidRPr="006D3C55" w:rsidRDefault="001918F8" w:rsidP="00326742">
      <w:pPr>
        <w:rPr>
          <w:rFonts w:cs="Arial"/>
        </w:rPr>
      </w:pPr>
      <w:r w:rsidRPr="002D58F1">
        <w:rPr>
          <w:rStyle w:val="Bold"/>
        </w:rPr>
        <w:t>In the current geopolitical context, digital sovereignty also emerges as a critical area.</w:t>
      </w:r>
      <w:r w:rsidR="00326742" w:rsidRPr="006D3C55">
        <w:rPr>
          <w:rFonts w:cs="Arial"/>
        </w:rPr>
        <w:t xml:space="preserve"> In November 2025, the Commission’s corporate </w:t>
      </w:r>
      <w:r w:rsidR="00911497" w:rsidRPr="006D3C55">
        <w:rPr>
          <w:rFonts w:cs="Arial"/>
        </w:rPr>
        <w:t xml:space="preserve">information technology </w:t>
      </w:r>
      <w:r w:rsidR="00326742" w:rsidRPr="006D3C55">
        <w:rPr>
          <w:rFonts w:cs="Arial"/>
        </w:rPr>
        <w:t xml:space="preserve">governance body endorsed a digital sovereignty action plan, which aims to increase control over the Commission’s own digital assets. The action plan was proactively shared through the Interinstitutional Committee for Digital Transformation, to serve as a reference for other </w:t>
      </w:r>
      <w:r w:rsidR="001032CE" w:rsidRPr="006D3C55">
        <w:rPr>
          <w:rFonts w:cs="Arial"/>
        </w:rPr>
        <w:t>EU i</w:t>
      </w:r>
      <w:r w:rsidR="00326742" w:rsidRPr="006D3C55">
        <w:rPr>
          <w:rFonts w:cs="Arial"/>
        </w:rPr>
        <w:t>nstitutions that retain administrative autonomy for their own digital choices.</w:t>
      </w:r>
    </w:p>
    <w:p w14:paraId="3BBF1FFB" w14:textId="0CE15BE5" w:rsidR="001918F8" w:rsidRPr="006D3C55" w:rsidRDefault="001918F8" w:rsidP="001918F8">
      <w:pPr>
        <w:rPr>
          <w:rFonts w:cs="Arial"/>
        </w:rPr>
      </w:pPr>
      <w:r w:rsidRPr="002D58F1">
        <w:rPr>
          <w:rStyle w:val="Bold"/>
        </w:rPr>
        <w:t>The Commission is actively promoting European leadership, innovation and strategic autonomy, and has already taken steps to reduce reliance on non-EU providers for critical infrastructure,</w:t>
      </w:r>
      <w:r w:rsidRPr="006D3C55">
        <w:rPr>
          <w:rFonts w:cs="Arial"/>
        </w:rPr>
        <w:t xml:space="preserve"> </w:t>
      </w:r>
      <w:r w:rsidR="00326742" w:rsidRPr="006D3C55">
        <w:rPr>
          <w:rFonts w:cs="Arial"/>
        </w:rPr>
        <w:t xml:space="preserve">to </w:t>
      </w:r>
      <w:r w:rsidRPr="006D3C55">
        <w:rPr>
          <w:rFonts w:cs="Arial"/>
        </w:rPr>
        <w:t xml:space="preserve">increase resilience and </w:t>
      </w:r>
      <w:r w:rsidR="00326742" w:rsidRPr="006D3C55">
        <w:rPr>
          <w:rFonts w:cs="Arial"/>
        </w:rPr>
        <w:t xml:space="preserve">to </w:t>
      </w:r>
      <w:r w:rsidRPr="006D3C55">
        <w:rPr>
          <w:rFonts w:cs="Arial"/>
        </w:rPr>
        <w:t>safeguard competitiveness.</w:t>
      </w:r>
      <w:r w:rsidR="00326742" w:rsidRPr="006D3C55">
        <w:rPr>
          <w:rFonts w:cs="Arial"/>
        </w:rPr>
        <w:t xml:space="preserve"> </w:t>
      </w:r>
      <w:r w:rsidRPr="006D3C55">
        <w:rPr>
          <w:rFonts w:cs="Arial"/>
        </w:rPr>
        <w:t>In October 2025, the Commission launched a EUR</w:t>
      </w:r>
      <w:r w:rsidR="00CC5F6A" w:rsidRPr="006D3C55">
        <w:rPr>
          <w:rFonts w:ascii="Calibri" w:hAnsi="Calibri" w:cs="Calibri"/>
        </w:rPr>
        <w:t> </w:t>
      </w:r>
      <w:r w:rsidRPr="006D3C55">
        <w:rPr>
          <w:rFonts w:cs="Arial"/>
        </w:rPr>
        <w:t>180</w:t>
      </w:r>
      <w:r w:rsidR="00CC5F6A" w:rsidRPr="006D3C55">
        <w:rPr>
          <w:rFonts w:ascii="Calibri" w:hAnsi="Calibri" w:cs="Calibri"/>
        </w:rPr>
        <w:t> </w:t>
      </w:r>
      <w:r w:rsidRPr="006D3C55">
        <w:rPr>
          <w:rFonts w:cs="Arial"/>
        </w:rPr>
        <w:t xml:space="preserve">million sovereign cloud tender to be awarded under a new cloud sovereignty framework. By embedding sovereignty considerations into its </w:t>
      </w:r>
      <w:r w:rsidR="0041285C" w:rsidRPr="006D3C55">
        <w:rPr>
          <w:rFonts w:cs="Arial"/>
        </w:rPr>
        <w:t xml:space="preserve">information technology </w:t>
      </w:r>
      <w:r w:rsidRPr="006D3C55">
        <w:rPr>
          <w:rFonts w:cs="Arial"/>
        </w:rPr>
        <w:t xml:space="preserve">procurement </w:t>
      </w:r>
      <w:r w:rsidR="0041285C" w:rsidRPr="006D3C55">
        <w:rPr>
          <w:rFonts w:cs="Arial"/>
        </w:rPr>
        <w:t xml:space="preserve">procedures </w:t>
      </w:r>
      <w:r w:rsidRPr="006D3C55">
        <w:rPr>
          <w:rFonts w:cs="Arial"/>
        </w:rPr>
        <w:t xml:space="preserve">and establishing a benchmark for sovereign use of cloud services, the Commission contributes to shaping market practices that support sovereign solutions and leads by example </w:t>
      </w:r>
      <w:r w:rsidR="004C2509" w:rsidRPr="006D3C55">
        <w:rPr>
          <w:rFonts w:cs="Arial"/>
        </w:rPr>
        <w:t xml:space="preserve">with regard to </w:t>
      </w:r>
      <w:r w:rsidRPr="006D3C55">
        <w:rPr>
          <w:rFonts w:cs="Arial"/>
        </w:rPr>
        <w:t>the Member States.</w:t>
      </w:r>
    </w:p>
    <w:p w14:paraId="2D3B851E" w14:textId="1AC28A90" w:rsidR="001301C1" w:rsidRPr="006D3C55" w:rsidRDefault="009D3992" w:rsidP="006D5CEC">
      <w:pPr>
        <w:pStyle w:val="HNum-fromh2Heading3-11"/>
      </w:pPr>
      <w:r w:rsidRPr="006D3C55">
        <w:t xml:space="preserve">Other tools to ensure the protection of </w:t>
      </w:r>
      <w:r w:rsidR="004C2509" w:rsidRPr="006D3C55">
        <w:t xml:space="preserve">the </w:t>
      </w:r>
      <w:r w:rsidRPr="006D3C55">
        <w:t>EU</w:t>
      </w:r>
      <w:r w:rsidR="004C2509" w:rsidRPr="006D3C55">
        <w:t>’s</w:t>
      </w:r>
      <w:r w:rsidRPr="006D3C55">
        <w:t xml:space="preserve"> </w:t>
      </w:r>
      <w:r w:rsidR="003C30AD">
        <w:br/>
      </w:r>
      <w:r w:rsidRPr="006D3C55">
        <w:t>financial interests</w:t>
      </w:r>
    </w:p>
    <w:p w14:paraId="696D343A" w14:textId="5D1E3A14" w:rsidR="00DF0E47" w:rsidRPr="006D3C55" w:rsidRDefault="00DF0E47" w:rsidP="006D5CEC">
      <w:pPr>
        <w:pStyle w:val="HNum-fromh2Heading4-111"/>
      </w:pPr>
      <w:r w:rsidRPr="006D3C55">
        <w:t>Conditionality regime</w:t>
      </w:r>
    </w:p>
    <w:p w14:paraId="34138217" w14:textId="1418AEA9" w:rsidR="001301C1" w:rsidRPr="006D3C55" w:rsidRDefault="008A78F4" w:rsidP="00F6116C">
      <w:r w:rsidRPr="006D3C55">
        <w:rPr>
          <w:rStyle w:val="Bold"/>
        </w:rPr>
        <w:t>Since 2021, t</w:t>
      </w:r>
      <w:r w:rsidR="001301C1" w:rsidRPr="006D3C55">
        <w:rPr>
          <w:rStyle w:val="Bold"/>
        </w:rPr>
        <w:t>he regulation on a general regime of conditionality for the protection of the EU budget</w:t>
      </w:r>
      <w:r w:rsidR="001301C1" w:rsidRPr="006D3C55">
        <w:rPr>
          <w:rStyle w:val="Bold"/>
          <w:rFonts w:ascii="Calibri" w:hAnsi="Calibri" w:cs="Calibri"/>
        </w:rPr>
        <w:t> </w:t>
      </w:r>
      <w:r w:rsidR="001301C1" w:rsidRPr="006D3C55">
        <w:t>(</w:t>
      </w:r>
      <w:r w:rsidR="001301C1" w:rsidRPr="00352191">
        <w:rPr>
          <w:rStyle w:val="FootnoteReference"/>
        </w:rPr>
        <w:footnoteReference w:id="14"/>
      </w:r>
      <w:r w:rsidR="001301C1" w:rsidRPr="006D3C55">
        <w:t>)</w:t>
      </w:r>
      <w:r w:rsidR="001301C1" w:rsidRPr="006D3C55">
        <w:rPr>
          <w:rStyle w:val="Bold"/>
        </w:rPr>
        <w:t xml:space="preserve"> (Conditionality Regulation) </w:t>
      </w:r>
      <w:r w:rsidR="003A5D5E" w:rsidRPr="006D3C55">
        <w:rPr>
          <w:rStyle w:val="Bold"/>
        </w:rPr>
        <w:t xml:space="preserve">has protected </w:t>
      </w:r>
      <w:r w:rsidR="001301C1" w:rsidRPr="006D3C55">
        <w:rPr>
          <w:rStyle w:val="Bold"/>
        </w:rPr>
        <w:t>the budget from breaches of the principles of the rule of law</w:t>
      </w:r>
      <w:r w:rsidR="001301C1" w:rsidRPr="006D3C55">
        <w:t xml:space="preserve"> that affect or seriously risk affecting the financial interests of the EU in a sufficiently direct way. The Conditionality Regulation complements other procedures established by EU legislation for the protection of the EU budget. The validity of the Conditionality Regulation was fully upheld by the Court of Justice of the European Union in two judgments from 2022</w:t>
      </w:r>
      <w:r w:rsidR="001301C1" w:rsidRPr="006D3C55">
        <w:rPr>
          <w:rFonts w:ascii="Calibri" w:hAnsi="Calibri" w:cs="Calibri"/>
        </w:rPr>
        <w:t> </w:t>
      </w:r>
      <w:r w:rsidR="001301C1" w:rsidRPr="006D3C55">
        <w:t>(</w:t>
      </w:r>
      <w:r w:rsidR="001301C1" w:rsidRPr="00352191">
        <w:rPr>
          <w:rStyle w:val="FootnoteReference"/>
        </w:rPr>
        <w:footnoteReference w:id="15"/>
      </w:r>
      <w:r w:rsidR="001301C1" w:rsidRPr="006D3C55">
        <w:t>). Following those judgments, the Commission adopted its guidelines on the application of the Conditionality Regulation</w:t>
      </w:r>
      <w:r w:rsidR="001301C1" w:rsidRPr="006D3C55">
        <w:rPr>
          <w:rFonts w:ascii="Calibri" w:hAnsi="Calibri" w:cs="Calibri"/>
        </w:rPr>
        <w:t> </w:t>
      </w:r>
      <w:r w:rsidR="001301C1" w:rsidRPr="006D3C55">
        <w:t>(</w:t>
      </w:r>
      <w:r w:rsidR="001301C1" w:rsidRPr="00352191">
        <w:rPr>
          <w:rStyle w:val="FootnoteReference"/>
        </w:rPr>
        <w:footnoteReference w:id="16"/>
      </w:r>
      <w:r w:rsidR="001301C1" w:rsidRPr="006D3C55">
        <w:t>).</w:t>
      </w:r>
      <w:r w:rsidRPr="006D3C55">
        <w:t xml:space="preserve"> Since then, </w:t>
      </w:r>
      <w:r w:rsidR="00EE3491" w:rsidRPr="00F6116C">
        <w:t>t</w:t>
      </w:r>
      <w:r w:rsidR="001301C1" w:rsidRPr="00F6116C">
        <w:t>he Commission has been monitoring the situation across all Member States under the Conditionality Regulation</w:t>
      </w:r>
      <w:r w:rsidR="00734906" w:rsidRPr="00F6116C">
        <w:t xml:space="preserve"> </w:t>
      </w:r>
      <w:r w:rsidRPr="006D3C55">
        <w:rPr>
          <w:bCs/>
        </w:rPr>
        <w:t>and</w:t>
      </w:r>
      <w:r w:rsidR="001301C1" w:rsidRPr="006D3C55">
        <w:t xml:space="preserve"> will trigger the procedure under the </w:t>
      </w:r>
      <w:r w:rsidR="00DA21A0" w:rsidRPr="006D3C55">
        <w:t>r</w:t>
      </w:r>
      <w:r w:rsidR="001301C1" w:rsidRPr="006D3C55">
        <w:t>egulation if all its conditions are fulfilled.</w:t>
      </w:r>
    </w:p>
    <w:p w14:paraId="6B728525" w14:textId="344A6585" w:rsidR="001301C1" w:rsidRPr="006D3C55" w:rsidRDefault="00EE3491" w:rsidP="00F6116C">
      <w:r w:rsidRPr="006D3C55">
        <w:rPr>
          <w:rStyle w:val="Bold"/>
        </w:rPr>
        <w:t>At</w:t>
      </w:r>
      <w:r w:rsidR="001301C1" w:rsidRPr="006D3C55">
        <w:rPr>
          <w:rStyle w:val="Bold"/>
        </w:rPr>
        <w:t xml:space="preserve"> the </w:t>
      </w:r>
      <w:r w:rsidRPr="006D3C55">
        <w:rPr>
          <w:rStyle w:val="Bold"/>
        </w:rPr>
        <w:t>end</w:t>
      </w:r>
      <w:r w:rsidR="001301C1" w:rsidRPr="006D3C55">
        <w:rPr>
          <w:rStyle w:val="Bold"/>
        </w:rPr>
        <w:t xml:space="preserve"> of </w:t>
      </w:r>
      <w:r w:rsidRPr="006D3C55">
        <w:rPr>
          <w:rStyle w:val="Bold"/>
        </w:rPr>
        <w:t xml:space="preserve">2022, one procedure </w:t>
      </w:r>
      <w:r w:rsidR="00677D32" w:rsidRPr="006D3C55">
        <w:rPr>
          <w:rStyle w:val="Bold"/>
        </w:rPr>
        <w:t xml:space="preserve">was </w:t>
      </w:r>
      <w:r w:rsidRPr="006D3C55">
        <w:rPr>
          <w:rStyle w:val="Bold"/>
        </w:rPr>
        <w:t xml:space="preserve">launched, concerning </w:t>
      </w:r>
      <w:r w:rsidR="001301C1" w:rsidRPr="006D3C55">
        <w:rPr>
          <w:rStyle w:val="Bold"/>
        </w:rPr>
        <w:t>Hungary</w:t>
      </w:r>
      <w:r w:rsidR="001301C1" w:rsidRPr="006D5CEC">
        <w:rPr>
          <w:rStyle w:val="Bold"/>
        </w:rPr>
        <w:t>.</w:t>
      </w:r>
      <w:r w:rsidR="001301C1" w:rsidRPr="006D3C55">
        <w:t xml:space="preserve"> The Council decided to suspend 55% of the budgetary commitments for three programmes</w:t>
      </w:r>
      <w:r w:rsidR="001301C1" w:rsidRPr="006D3C55">
        <w:rPr>
          <w:rFonts w:ascii="Calibri" w:hAnsi="Calibri" w:cs="Calibri"/>
        </w:rPr>
        <w:t> </w:t>
      </w:r>
      <w:r w:rsidR="001301C1" w:rsidRPr="006D3C55">
        <w:t>(</w:t>
      </w:r>
      <w:r w:rsidR="001301C1" w:rsidRPr="00352191">
        <w:rPr>
          <w:rStyle w:val="FootnoteReference"/>
        </w:rPr>
        <w:footnoteReference w:id="17"/>
      </w:r>
      <w:r w:rsidR="001301C1" w:rsidRPr="006D3C55">
        <w:t>) under cohesion policy, corresponding to an amount of approximately EUR</w:t>
      </w:r>
      <w:r w:rsidR="001301C1" w:rsidRPr="006D3C55">
        <w:rPr>
          <w:rFonts w:ascii="Calibri" w:hAnsi="Calibri" w:cs="Calibri"/>
        </w:rPr>
        <w:t> </w:t>
      </w:r>
      <w:r w:rsidR="001301C1" w:rsidRPr="006D3C55">
        <w:t>6.4</w:t>
      </w:r>
      <w:r w:rsidR="001301C1" w:rsidRPr="006D3C55">
        <w:rPr>
          <w:rFonts w:ascii="Calibri" w:hAnsi="Calibri" w:cs="Calibri"/>
        </w:rPr>
        <w:t> </w:t>
      </w:r>
      <w:r w:rsidR="001301C1" w:rsidRPr="006D3C55">
        <w:t>billion for the 2021-2027 period, and prohibited the Commission from entering into new legal commitments with public</w:t>
      </w:r>
      <w:r w:rsidR="001A2C59">
        <w:t>-</w:t>
      </w:r>
      <w:r w:rsidR="001301C1" w:rsidRPr="006D3C55">
        <w:t xml:space="preserve">interest trusts or entities maintained by them (many of which are universities) under any EU programme directly or indirectly managed by the Commission. </w:t>
      </w:r>
      <w:r w:rsidR="003C30AD">
        <w:br/>
      </w:r>
      <w:r w:rsidR="001301C1" w:rsidRPr="006D3C55">
        <w:t>The prohibition regarding the second measure has been challenged before the General Court (the case is still pending).</w:t>
      </w:r>
    </w:p>
    <w:p w14:paraId="3E1C5DFE" w14:textId="17EC450C" w:rsidR="002567A5" w:rsidRPr="006D3C55" w:rsidRDefault="002567A5" w:rsidP="00F6116C">
      <w:r w:rsidRPr="006D5CEC">
        <w:rPr>
          <w:rStyle w:val="Bold"/>
        </w:rPr>
        <w:t xml:space="preserve">In 2025, </w:t>
      </w:r>
      <w:r w:rsidR="001E5201" w:rsidRPr="006D5CEC">
        <w:rPr>
          <w:rStyle w:val="Bold"/>
        </w:rPr>
        <w:t xml:space="preserve">the Commission continued to monitor the situation </w:t>
      </w:r>
      <w:r w:rsidRPr="006D5CEC">
        <w:rPr>
          <w:rStyle w:val="Bold"/>
        </w:rPr>
        <w:t>in all Member States</w:t>
      </w:r>
      <w:r w:rsidR="00EE3491" w:rsidRPr="006D5CEC">
        <w:rPr>
          <w:rStyle w:val="Bold"/>
        </w:rPr>
        <w:t xml:space="preserve"> and </w:t>
      </w:r>
      <w:r w:rsidR="001E5201" w:rsidRPr="006D5CEC">
        <w:rPr>
          <w:rStyle w:val="Bold"/>
        </w:rPr>
        <w:t xml:space="preserve">protective measures </w:t>
      </w:r>
      <w:r w:rsidR="00EE3491" w:rsidRPr="006D5CEC">
        <w:rPr>
          <w:rStyle w:val="Bold"/>
        </w:rPr>
        <w:t xml:space="preserve">remained in </w:t>
      </w:r>
      <w:r w:rsidR="001E5201" w:rsidRPr="006D5CEC">
        <w:rPr>
          <w:rStyle w:val="Bold"/>
        </w:rPr>
        <w:t>place as regards</w:t>
      </w:r>
      <w:r w:rsidR="001E5201" w:rsidRPr="006D5CEC" w:rsidDel="00BC7B19">
        <w:rPr>
          <w:rStyle w:val="Bold"/>
        </w:rPr>
        <w:t xml:space="preserve"> </w:t>
      </w:r>
      <w:r w:rsidR="001E5201" w:rsidRPr="006D5CEC">
        <w:rPr>
          <w:rStyle w:val="Bold"/>
        </w:rPr>
        <w:t>Hungary</w:t>
      </w:r>
      <w:r w:rsidR="00EE3491" w:rsidRPr="006D5CEC">
        <w:rPr>
          <w:rStyle w:val="Bold"/>
        </w:rPr>
        <w:t>.</w:t>
      </w:r>
      <w:r w:rsidR="00EE3491" w:rsidRPr="006D3C55">
        <w:t xml:space="preserve"> </w:t>
      </w:r>
      <w:r w:rsidR="009852ED" w:rsidRPr="006D3C55">
        <w:t xml:space="preserve">The Commission reassessed the situation for Hungary at the end of 2023 at its own initiative, and at the end of 2024 following </w:t>
      </w:r>
      <w:r w:rsidR="009852ED" w:rsidRPr="00F6116C">
        <w:t>a written notification from Hungary on remedial measures to address the outstanding concerns. Each time,</w:t>
      </w:r>
      <w:r w:rsidR="009852ED" w:rsidRPr="00AD4275">
        <w:rPr>
          <w:bCs/>
        </w:rPr>
        <w:t xml:space="preserve"> </w:t>
      </w:r>
      <w:r w:rsidR="009852ED" w:rsidRPr="006D3C55">
        <w:rPr>
          <w:bCs/>
        </w:rPr>
        <w:t>it</w:t>
      </w:r>
      <w:r w:rsidR="009852ED" w:rsidRPr="00AD4275">
        <w:rPr>
          <w:bCs/>
        </w:rPr>
        <w:t xml:space="preserve"> </w:t>
      </w:r>
      <w:r w:rsidR="009852ED" w:rsidRPr="006D3C55">
        <w:t xml:space="preserve">concluded that the EU budget remained at the same level of risk and </w:t>
      </w:r>
      <w:r w:rsidR="001E5201" w:rsidRPr="006D3C55">
        <w:t>did not propose any lifting or adaptation of the protective measures. In 2025, Hungary did not notify new remedial measures to address</w:t>
      </w:r>
      <w:r w:rsidR="009852ED" w:rsidRPr="006D3C55">
        <w:t xml:space="preserve"> the </w:t>
      </w:r>
      <w:r w:rsidR="001E5201" w:rsidRPr="006D3C55">
        <w:t>issues identified</w:t>
      </w:r>
      <w:r w:rsidR="009852ED" w:rsidRPr="006D3C55">
        <w:t xml:space="preserve"> by the Council. </w:t>
      </w:r>
      <w:r w:rsidR="008B0F6F" w:rsidRPr="006D3C55">
        <w:t xml:space="preserve">Further details </w:t>
      </w:r>
      <w:r w:rsidR="0095061A" w:rsidRPr="006D3C55">
        <w:t xml:space="preserve">can </w:t>
      </w:r>
      <w:r w:rsidR="008B0F6F" w:rsidRPr="006D3C55">
        <w:t>be found in the</w:t>
      </w:r>
      <w:r w:rsidR="00EE3491" w:rsidRPr="006D3C55">
        <w:t xml:space="preserve"> </w:t>
      </w:r>
      <w:r w:rsidR="00AE61C5" w:rsidRPr="006D3C55">
        <w:t>a</w:t>
      </w:r>
      <w:r w:rsidRPr="006D3C55">
        <w:t xml:space="preserve">nnual </w:t>
      </w:r>
      <w:r w:rsidR="00AE61C5" w:rsidRPr="006D3C55">
        <w:t>r</w:t>
      </w:r>
      <w:r w:rsidRPr="006D3C55">
        <w:t>ule</w:t>
      </w:r>
      <w:r w:rsidR="00AE61C5" w:rsidRPr="006D3C55">
        <w:t>-</w:t>
      </w:r>
      <w:r w:rsidRPr="006D3C55">
        <w:t>of</w:t>
      </w:r>
      <w:r w:rsidR="00AE61C5" w:rsidRPr="006D3C55">
        <w:t>-l</w:t>
      </w:r>
      <w:r w:rsidRPr="006D3C55">
        <w:t xml:space="preserve">aw </w:t>
      </w:r>
      <w:r w:rsidR="00AE61C5" w:rsidRPr="006D3C55">
        <w:t>r</w:t>
      </w:r>
      <w:r w:rsidRPr="006D3C55">
        <w:t>eport</w:t>
      </w:r>
      <w:r w:rsidR="008B0F6F" w:rsidRPr="00F6116C">
        <w:rPr>
          <w:rFonts w:ascii="Calibri" w:hAnsi="Calibri" w:cs="Calibri"/>
        </w:rPr>
        <w:t> </w:t>
      </w:r>
      <w:r w:rsidR="008B0F6F" w:rsidRPr="006D3C55">
        <w:t>(</w:t>
      </w:r>
      <w:r w:rsidR="008B0F6F" w:rsidRPr="00352191">
        <w:rPr>
          <w:rStyle w:val="FootnoteReference"/>
        </w:rPr>
        <w:footnoteReference w:id="18"/>
      </w:r>
      <w:r w:rsidR="008B0F6F" w:rsidRPr="006D3C55">
        <w:t>)</w:t>
      </w:r>
      <w:r w:rsidRPr="006D3C55">
        <w:t>.</w:t>
      </w:r>
    </w:p>
    <w:p w14:paraId="4C3B9A4D" w14:textId="0E1822B7" w:rsidR="008D1185" w:rsidRPr="006D3C55" w:rsidRDefault="00063DDA" w:rsidP="006D5CEC">
      <w:pPr>
        <w:pStyle w:val="HNum-fromh2Heading4-111"/>
      </w:pPr>
      <w:r w:rsidRPr="006D3C55">
        <w:t>Use of the single data-mining and risk-scoring tool</w:t>
      </w:r>
      <w:r w:rsidR="00A742E3">
        <w:rPr>
          <w:rFonts w:ascii="Calibri" w:hAnsi="Calibri" w:cs="Calibri"/>
        </w:rPr>
        <w:t> </w:t>
      </w:r>
      <w:r w:rsidRPr="006D3C55">
        <w:t>– Arachne</w:t>
      </w:r>
    </w:p>
    <w:p w14:paraId="1DCE7801" w14:textId="54FD30AD" w:rsidR="00627FDB" w:rsidRPr="006D3C55" w:rsidRDefault="0003379A" w:rsidP="00627FDB">
      <w:r w:rsidRPr="006D3C55">
        <w:t>T</w:t>
      </w:r>
      <w:r w:rsidR="00627FDB" w:rsidRPr="006D3C55">
        <w:t>he Financial Regulation (recast)</w:t>
      </w:r>
      <w:r w:rsidRPr="006D3C55">
        <w:t>,</w:t>
      </w:r>
      <w:r w:rsidR="00627FDB" w:rsidRPr="006D3C55">
        <w:t xml:space="preserve"> </w:t>
      </w:r>
      <w:r w:rsidRPr="006D3C55">
        <w:t>adopted</w:t>
      </w:r>
      <w:r w:rsidR="00627FDB" w:rsidRPr="006D3C55">
        <w:t xml:space="preserve"> in September 2024, requires a modernised data-mining and risk-scoring tool, to be used in all management modes. The existing data-mining and risk-scoring tool, Arachne, on which the future tool will be based, is already used by Commission services and by a number of Member States on a voluntary basis in shared management and for the Recovery and Resilience Facility. An </w:t>
      </w:r>
      <w:r w:rsidR="004F5B53">
        <w:t>e</w:t>
      </w:r>
      <w:r w:rsidR="00627FDB" w:rsidRPr="006D3C55">
        <w:t xml:space="preserve">xpert </w:t>
      </w:r>
      <w:r w:rsidR="004F5B53">
        <w:t>g</w:t>
      </w:r>
      <w:r w:rsidR="00627FDB" w:rsidRPr="006D3C55">
        <w:t xml:space="preserve">roup was established </w:t>
      </w:r>
      <w:r w:rsidR="00742C11" w:rsidRPr="006D3C55">
        <w:t xml:space="preserve">with Member States </w:t>
      </w:r>
      <w:r w:rsidR="00627FDB" w:rsidRPr="006D3C55">
        <w:t xml:space="preserve">in 2025 </w:t>
      </w:r>
      <w:r w:rsidR="00742C11" w:rsidRPr="006D3C55">
        <w:t xml:space="preserve">with a </w:t>
      </w:r>
      <w:r w:rsidR="00627FDB" w:rsidRPr="006D3C55">
        <w:t xml:space="preserve">view </w:t>
      </w:r>
      <w:r w:rsidR="00742C11" w:rsidRPr="006D3C55">
        <w:t xml:space="preserve">to </w:t>
      </w:r>
      <w:r w:rsidR="00627FDB" w:rsidRPr="006D3C55">
        <w:t>assess</w:t>
      </w:r>
      <w:r w:rsidR="004F5B53">
        <w:t>ing</w:t>
      </w:r>
      <w:r w:rsidR="00627FDB" w:rsidRPr="006D3C55">
        <w:t xml:space="preserve"> the readiness of that tool</w:t>
      </w:r>
      <w:r w:rsidR="00742C11" w:rsidRPr="006D3C55">
        <w:t>,</w:t>
      </w:r>
      <w:r w:rsidR="00627FDB" w:rsidRPr="006D3C55">
        <w:t xml:space="preserve"> for which compulsory data </w:t>
      </w:r>
      <w:r w:rsidR="00742C11" w:rsidRPr="006D3C55">
        <w:t xml:space="preserve">feeding </w:t>
      </w:r>
      <w:r w:rsidR="00627FDB" w:rsidRPr="006D3C55">
        <w:t xml:space="preserve">will be required from all Member States as from the next </w:t>
      </w:r>
      <w:r w:rsidRPr="006D3C55">
        <w:t>programming period</w:t>
      </w:r>
      <w:r w:rsidR="00627FDB" w:rsidRPr="006D3C55">
        <w:t>, starting in 2028.</w:t>
      </w:r>
      <w:r w:rsidRPr="006D3C55">
        <w:t xml:space="preserve"> Based o</w:t>
      </w:r>
      <w:r w:rsidR="00627FDB" w:rsidRPr="006D3C55">
        <w:t xml:space="preserve">n that </w:t>
      </w:r>
      <w:r w:rsidRPr="006D3C55">
        <w:t>assessment</w:t>
      </w:r>
      <w:r w:rsidR="00627FDB" w:rsidRPr="006D3C55">
        <w:t xml:space="preserve">, the possibility </w:t>
      </w:r>
      <w:r w:rsidRPr="006D3C55">
        <w:t>to make the</w:t>
      </w:r>
      <w:r w:rsidR="00627FDB" w:rsidRPr="006D3C55">
        <w:t xml:space="preserve"> use of the tool by Member States </w:t>
      </w:r>
      <w:r w:rsidRPr="006D3C55">
        <w:t xml:space="preserve">compulsory </w:t>
      </w:r>
      <w:r w:rsidR="00627FDB" w:rsidRPr="006D3C55">
        <w:t>may be discussed again by the co-legislators.</w:t>
      </w:r>
    </w:p>
    <w:p w14:paraId="5BD60454" w14:textId="5991AAD7" w:rsidR="001301C1" w:rsidRPr="00524947" w:rsidRDefault="001301C1" w:rsidP="00524947">
      <w:pPr>
        <w:pStyle w:val="HNum-fromh2Heading2-1"/>
      </w:pPr>
      <w:bookmarkStart w:id="36" w:name="_Toc168585658"/>
      <w:bookmarkStart w:id="37" w:name="_Toc196895484"/>
      <w:bookmarkStart w:id="38" w:name="_Toc231927929"/>
      <w:bookmarkStart w:id="39" w:name="_Toc231479585"/>
      <w:r w:rsidRPr="00524947">
        <w:t xml:space="preserve">Cost-effective controls protecting the </w:t>
      </w:r>
      <w:r w:rsidR="008A7EDB">
        <w:rPr>
          <w:noProof w:val="0"/>
        </w:rPr>
        <w:br/>
      </w:r>
      <w:r w:rsidRPr="00524947">
        <w:t>EU budget</w:t>
      </w:r>
      <w:bookmarkEnd w:id="36"/>
      <w:bookmarkEnd w:id="37"/>
      <w:bookmarkEnd w:id="38"/>
      <w:bookmarkEnd w:id="39"/>
    </w:p>
    <w:p w14:paraId="3C70F776" w14:textId="383BF9AB" w:rsidR="001301C1" w:rsidRPr="006D3C55" w:rsidRDefault="00BA2BD4" w:rsidP="001301C1">
      <w:pPr>
        <w:spacing w:after="0"/>
      </w:pPr>
      <w:r w:rsidRPr="006D3C55">
        <w:t>In line wit</w:t>
      </w:r>
      <w:r w:rsidR="00AD66DB" w:rsidRPr="006D3C55">
        <w:t>h</w:t>
      </w:r>
      <w:r w:rsidRPr="006D3C55">
        <w:t xml:space="preserve"> </w:t>
      </w:r>
      <w:r w:rsidR="00AD66DB" w:rsidRPr="006D3C55">
        <w:t>Article</w:t>
      </w:r>
      <w:r w:rsidR="00412CB4" w:rsidRPr="006D3C55">
        <w:rPr>
          <w:rFonts w:ascii="Calibri" w:hAnsi="Calibri" w:cs="Calibri"/>
        </w:rPr>
        <w:t> </w:t>
      </w:r>
      <w:r w:rsidR="00AD66DB" w:rsidRPr="006D3C55">
        <w:t>33 of the Financial Regulation</w:t>
      </w:r>
      <w:r w:rsidR="0036650C">
        <w:t>,</w:t>
      </w:r>
      <w:r w:rsidRPr="006D3C55">
        <w:t xml:space="preserve"> </w:t>
      </w:r>
      <w:r w:rsidR="00AD66DB" w:rsidRPr="006D3C55">
        <w:t>t</w:t>
      </w:r>
      <w:r w:rsidR="001301C1" w:rsidRPr="006D3C55">
        <w:t>o ensure that controls remain cost-effective, the Commission aim</w:t>
      </w:r>
      <w:r w:rsidR="001301C1" w:rsidRPr="006D3C55" w:rsidDel="00844E54">
        <w:t>s</w:t>
      </w:r>
      <w:r w:rsidR="001301C1" w:rsidRPr="006D3C55">
        <w:t xml:space="preserve"> </w:t>
      </w:r>
      <w:r w:rsidR="001301C1" w:rsidRPr="006D3C55" w:rsidDel="00844E54">
        <w:t>to strike</w:t>
      </w:r>
      <w:r w:rsidR="001301C1" w:rsidRPr="006D3C55">
        <w:t xml:space="preserve"> the right balance between the following.</w:t>
      </w:r>
    </w:p>
    <w:p w14:paraId="54D247C0" w14:textId="77777777" w:rsidR="001301C1" w:rsidRPr="006D3C55" w:rsidRDefault="001301C1" w:rsidP="001301C1">
      <w:pPr>
        <w:spacing w:before="0" w:after="0"/>
        <w:sectPr w:rsidR="001301C1" w:rsidRPr="006D3C55" w:rsidSect="001301C1">
          <w:headerReference w:type="even" r:id="rId55"/>
          <w:headerReference w:type="default" r:id="rId56"/>
          <w:footerReference w:type="even" r:id="rId57"/>
          <w:footerReference w:type="default" r:id="rId58"/>
          <w:headerReference w:type="first" r:id="rId59"/>
          <w:footerReference w:type="first" r:id="rId60"/>
          <w:pgSz w:w="11906" w:h="16838" w:code="9"/>
          <w:pgMar w:top="1418" w:right="1418" w:bottom="1418" w:left="1418" w:header="680" w:footer="567" w:gutter="0"/>
          <w:cols w:space="708"/>
          <w:docGrid w:linePitch="360"/>
        </w:sectPr>
      </w:pPr>
    </w:p>
    <w:p w14:paraId="22178172" w14:textId="4C92558D" w:rsidR="001301C1" w:rsidRPr="006D3C55" w:rsidRDefault="00096B72" w:rsidP="001301C1">
      <w:pPr>
        <w:spacing w:after="0"/>
      </w:pPr>
      <w:r w:rsidRPr="00096B72">
        <w:rPr>
          <w:noProof/>
        </w:rPr>
        <w:drawing>
          <wp:inline distT="0" distB="0" distL="0" distR="0" wp14:anchorId="24E8D758" wp14:editId="109A5D63">
            <wp:extent cx="2340610" cy="2340610"/>
            <wp:effectExtent l="0" t="0" r="2540" b="2540"/>
            <wp:docPr id="1749647516" name="Picture 4" descr="Illustration representing the commission’s cost-effectiveness of controls, illustrating the balance between effectiveness, efficiency and economy.">
              <a:extLst xmlns:a="http://schemas.openxmlformats.org/drawingml/2006/main">
                <a:ext uri="{FF2B5EF4-FFF2-40B4-BE49-F238E27FC236}">
                  <a16:creationId xmlns:a16="http://schemas.microsoft.com/office/drawing/2014/main" id="{89D0DE94-57BD-63BC-2585-C31CCBDFEB0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9647516" name="Picture 4" descr="Illustration representing the commission’s cost-effectiveness of controls, illustrating the balance between effectiveness, efficiency and economy.">
                      <a:extLst>
                        <a:ext uri="{FF2B5EF4-FFF2-40B4-BE49-F238E27FC236}">
                          <a16:creationId xmlns:a16="http://schemas.microsoft.com/office/drawing/2014/main" id="{89D0DE94-57BD-63BC-2585-C31CCBDFEB04}"/>
                        </a:ext>
                      </a:extLst>
                    </pic:cNvPr>
                    <pic:cNvPicPr>
                      <a:picLocks noChangeAspect="1"/>
                    </pic:cNvPicPr>
                  </pic:nvPicPr>
                  <pic:blipFill>
                    <a:blip r:embed="rId61"/>
                    <a:stretch>
                      <a:fillRect/>
                    </a:stretch>
                  </pic:blipFill>
                  <pic:spPr>
                    <a:xfrm>
                      <a:off x="0" y="0"/>
                      <a:ext cx="2340610" cy="2340610"/>
                    </a:xfrm>
                    <a:prstGeom prst="rect">
                      <a:avLst/>
                    </a:prstGeom>
                  </pic:spPr>
                </pic:pic>
              </a:graphicData>
            </a:graphic>
          </wp:inline>
        </w:drawing>
      </w:r>
    </w:p>
    <w:p w14:paraId="7ACDAD14" w14:textId="77777777" w:rsidR="001301C1" w:rsidRPr="006D3C55" w:rsidRDefault="001301C1" w:rsidP="00B0425E">
      <w:pPr>
        <w:pStyle w:val="ListBulletorangeLevel1"/>
        <w:spacing w:before="600"/>
        <w:ind w:hanging="255"/>
      </w:pPr>
      <w:r w:rsidRPr="006D3C55">
        <w:br w:type="column"/>
      </w:r>
      <w:r w:rsidRPr="006D3C55">
        <w:rPr>
          <w:rStyle w:val="Bold"/>
          <w:rFonts w:eastAsia="SimSun"/>
        </w:rPr>
        <w:t>Effectiveness.</w:t>
      </w:r>
      <w:r w:rsidRPr="006D3C55">
        <w:t xml:space="preserve"> The level of error found, based on the controls carried out, which allows the expenditure to be grouped into different risk categories.</w:t>
      </w:r>
    </w:p>
    <w:p w14:paraId="3F75E116" w14:textId="77777777" w:rsidR="001301C1" w:rsidRPr="006D3C55" w:rsidRDefault="001301C1" w:rsidP="00B0425E">
      <w:pPr>
        <w:pStyle w:val="ListBulletorangeLevel1"/>
        <w:spacing w:before="240"/>
        <w:ind w:hanging="255"/>
      </w:pPr>
      <w:r w:rsidRPr="006D3C55">
        <w:rPr>
          <w:rStyle w:val="Bold"/>
          <w:rFonts w:eastAsia="SimSun"/>
        </w:rPr>
        <w:t>Efficiency.</w:t>
      </w:r>
      <w:r w:rsidRPr="006D3C55">
        <w:t xml:space="preserve"> The average time taken to make a payment. Beyond this, the Commission is also constantly looking for and developing new ways to increase efficiency, notably by creating synergies wherever possible.</w:t>
      </w:r>
    </w:p>
    <w:p w14:paraId="2848D68B" w14:textId="77777777" w:rsidR="001301C1" w:rsidRPr="006D3C55" w:rsidRDefault="001301C1" w:rsidP="00B0425E">
      <w:pPr>
        <w:pStyle w:val="ListBulletorangeLevel1"/>
        <w:spacing w:before="240"/>
        <w:ind w:hanging="255"/>
      </w:pPr>
      <w:r w:rsidRPr="006D3C55">
        <w:rPr>
          <w:rStyle w:val="Bold"/>
          <w:rFonts w:eastAsia="SimSun"/>
        </w:rPr>
        <w:t>Economy.</w:t>
      </w:r>
      <w:r w:rsidRPr="006D3C55">
        <w:t xml:space="preserve"> The proportionality between the costs of controls and the funds managed.</w:t>
      </w:r>
    </w:p>
    <w:p w14:paraId="0D5B6C43" w14:textId="77777777" w:rsidR="001301C1" w:rsidRPr="006D3C55" w:rsidRDefault="001301C1" w:rsidP="001301C1">
      <w:pPr>
        <w:sectPr w:rsidR="001301C1" w:rsidRPr="006D3C55" w:rsidSect="001301C1">
          <w:headerReference w:type="even" r:id="rId62"/>
          <w:headerReference w:type="default" r:id="rId63"/>
          <w:footerReference w:type="even" r:id="rId64"/>
          <w:footerReference w:type="default" r:id="rId65"/>
          <w:headerReference w:type="first" r:id="rId66"/>
          <w:footerReference w:type="first" r:id="rId67"/>
          <w:type w:val="continuous"/>
          <w:pgSz w:w="11906" w:h="16838" w:code="9"/>
          <w:pgMar w:top="1418" w:right="1418" w:bottom="1418" w:left="1418" w:header="680" w:footer="567" w:gutter="0"/>
          <w:cols w:num="2" w:space="0" w:equalWidth="0">
            <w:col w:w="3686" w:space="0"/>
            <w:col w:w="5384"/>
          </w:cols>
          <w:docGrid w:linePitch="360"/>
        </w:sectPr>
      </w:pPr>
    </w:p>
    <w:p w14:paraId="0755110C" w14:textId="6612AA67" w:rsidR="001301C1" w:rsidRPr="006D3C55" w:rsidRDefault="001301C1" w:rsidP="001301C1">
      <w:r w:rsidRPr="006D3C55">
        <w:t xml:space="preserve">Cost-effectiveness is obtained through differentiation of the controls: riskier areas trigger a higher level of scrutiny and/or frequency </w:t>
      </w:r>
      <w:r w:rsidR="00215646" w:rsidRPr="006D3C55">
        <w:t>and intensity</w:t>
      </w:r>
      <w:r w:rsidRPr="006D3C55">
        <w:t xml:space="preserve"> of controls, whereas low-risk areas should </w:t>
      </w:r>
      <w:r w:rsidR="00215646" w:rsidRPr="006D3C55">
        <w:t>result in</w:t>
      </w:r>
      <w:r w:rsidRPr="006D3C55">
        <w:t xml:space="preserve"> less</w:t>
      </w:r>
      <w:r w:rsidR="00593F29" w:rsidRPr="006D3C55">
        <w:t>-</w:t>
      </w:r>
      <w:r w:rsidRPr="006D3C55">
        <w:t>intensive, less</w:t>
      </w:r>
      <w:r w:rsidR="00593F29" w:rsidRPr="006D3C55">
        <w:t>-</w:t>
      </w:r>
      <w:r w:rsidRPr="006D3C55">
        <w:t>costly and less</w:t>
      </w:r>
      <w:r w:rsidR="00593F29" w:rsidRPr="006D3C55">
        <w:t>-</w:t>
      </w:r>
      <w:r w:rsidRPr="006D3C55">
        <w:t>burdensome</w:t>
      </w:r>
      <w:r w:rsidR="00215646" w:rsidRPr="006D3C55">
        <w:t xml:space="preserve"> controls</w:t>
      </w:r>
      <w:r w:rsidRPr="006D3C55">
        <w:t>. Other ways to ensure the cost-effectiveness of controls include reducing the risk of errors through simplified rules and processes, such as simplified cost options (i.e. lump sums, flat rates and unit costs), cross-reliance on existing assessments, and audits and controls performed by other entities and achieving economies of scale by pooling the control functions.</w:t>
      </w:r>
    </w:p>
    <w:p w14:paraId="36AC82E1" w14:textId="15E4A126" w:rsidR="00476A74" w:rsidRPr="006D3C55" w:rsidRDefault="00476A74" w:rsidP="003F3A73">
      <w:r w:rsidRPr="006D3C55">
        <w:t xml:space="preserve">In line with the principle of sound financial management, </w:t>
      </w:r>
      <w:r w:rsidR="00EB51E6" w:rsidRPr="006D3C55">
        <w:t xml:space="preserve">more instruments are using </w:t>
      </w:r>
      <w:r w:rsidRPr="006D3C55">
        <w:t>the progress in the achievement of objectives</w:t>
      </w:r>
      <w:r w:rsidR="00EB51E6" w:rsidRPr="006D3C55">
        <w:t>,</w:t>
      </w:r>
      <w:r w:rsidR="003F3A73" w:rsidRPr="006D3C55">
        <w:t xml:space="preserve"> </w:t>
      </w:r>
      <w:r w:rsidRPr="006D3C55">
        <w:t>monitored with performance indicators</w:t>
      </w:r>
      <w:r w:rsidR="00EB51E6" w:rsidRPr="006D3C55">
        <w:t xml:space="preserve">, as </w:t>
      </w:r>
      <w:r w:rsidR="00027171" w:rsidRPr="006D3C55">
        <w:t xml:space="preserve">a </w:t>
      </w:r>
      <w:r w:rsidR="00EB51E6" w:rsidRPr="006D3C55">
        <w:t>triggering factor for the payment of EU funds</w:t>
      </w:r>
      <w:r w:rsidR="003F3A73" w:rsidRPr="006D3C55">
        <w:t>.</w:t>
      </w:r>
      <w:r w:rsidR="007949FD" w:rsidRPr="006D3C55">
        <w:t xml:space="preserve"> This </w:t>
      </w:r>
      <w:r w:rsidR="00A34C52" w:rsidRPr="006D3C55">
        <w:t xml:space="preserve">requires </w:t>
      </w:r>
      <w:r w:rsidR="00027171" w:rsidRPr="006D3C55">
        <w:t xml:space="preserve">the </w:t>
      </w:r>
      <w:r w:rsidR="00A34C52" w:rsidRPr="006D3C55">
        <w:t xml:space="preserve">adjustment of </w:t>
      </w:r>
      <w:r w:rsidR="007949FD" w:rsidRPr="006D3C55">
        <w:t xml:space="preserve">controls </w:t>
      </w:r>
      <w:r w:rsidR="00027171" w:rsidRPr="006D3C55">
        <w:t>and</w:t>
      </w:r>
      <w:r w:rsidR="007949FD" w:rsidRPr="006D3C55">
        <w:t xml:space="preserve"> a different approach to build</w:t>
      </w:r>
      <w:r w:rsidR="00711151" w:rsidRPr="006D3C55">
        <w:t>ing</w:t>
      </w:r>
      <w:r w:rsidR="007949FD" w:rsidRPr="006D3C55">
        <w:t xml:space="preserve"> the assurance.</w:t>
      </w:r>
    </w:p>
    <w:p w14:paraId="657BB081" w14:textId="77777777" w:rsidR="001301C1" w:rsidRPr="006D3C55" w:rsidRDefault="001301C1" w:rsidP="001301C1">
      <w:pPr>
        <w:rPr>
          <w:highlight w:val="lightGray"/>
        </w:rPr>
      </w:pPr>
      <w:r w:rsidRPr="006D3C55">
        <w:rPr>
          <w:highlight w:val="lightGray"/>
        </w:rPr>
        <w:br w:type="page"/>
      </w:r>
    </w:p>
    <w:p w14:paraId="552F3913" w14:textId="69883644" w:rsidR="001301C1" w:rsidRPr="006D3C55" w:rsidRDefault="001301C1" w:rsidP="006D5CEC">
      <w:pPr>
        <w:pStyle w:val="HNum-fromh2Heading3-11"/>
      </w:pPr>
      <w:r w:rsidRPr="006D3C55">
        <w:t xml:space="preserve">The Commission’s control results confirm that the EU budget </w:t>
      </w:r>
      <w:r w:rsidR="008A7EDB">
        <w:br/>
      </w:r>
      <w:r w:rsidRPr="006D3C55">
        <w:t>is well protected</w:t>
      </w:r>
    </w:p>
    <w:p w14:paraId="0FAD838B" w14:textId="18D96852" w:rsidR="001301C1" w:rsidRPr="006D3C55" w:rsidRDefault="001301C1" w:rsidP="006D5CEC">
      <w:pPr>
        <w:pStyle w:val="HNum-fromh2Heading4-111"/>
      </w:pPr>
      <w:r w:rsidRPr="006D3C55">
        <w:t>Overall results for 202</w:t>
      </w:r>
      <w:r w:rsidR="004853CA" w:rsidRPr="006D3C55">
        <w:t>5</w:t>
      </w:r>
    </w:p>
    <w:p w14:paraId="74B7162F" w14:textId="66001B1B" w:rsidR="003556DD" w:rsidRPr="003556DD" w:rsidRDefault="003556DD" w:rsidP="00056684">
      <w:pPr>
        <w:pStyle w:val="amprboxheading"/>
      </w:pPr>
      <w:r>
        <w:t xml:space="preserve">With the increasing share of </w:t>
      </w:r>
      <w:r w:rsidRPr="006D3C55">
        <w:t>performance-based expenditure</w:t>
      </w:r>
      <w:r w:rsidR="005576DF">
        <w:rPr>
          <w:rFonts w:ascii="Calibri" w:hAnsi="Calibri" w:cs="Calibri"/>
        </w:rPr>
        <w:t> </w:t>
      </w:r>
      <w:r w:rsidR="005576DF">
        <w:t>–</w:t>
      </w:r>
      <w:r>
        <w:t xml:space="preserve"> </w:t>
      </w:r>
      <w:r w:rsidRPr="009B38C1">
        <w:t xml:space="preserve">most of the common agricultural policy expenditure </w:t>
      </w:r>
      <w:r>
        <w:t xml:space="preserve">since 2024 and </w:t>
      </w:r>
      <w:r w:rsidRPr="006D3C55">
        <w:t>the expenditure under the Ukraine, Western Balkans and Moldova facilities</w:t>
      </w:r>
      <w:r>
        <w:t xml:space="preserve"> since 2025</w:t>
      </w:r>
      <w:r w:rsidR="005576DF">
        <w:rPr>
          <w:rFonts w:ascii="Calibri" w:hAnsi="Calibri" w:cs="Calibri"/>
        </w:rPr>
        <w:t> </w:t>
      </w:r>
      <w:r w:rsidR="005576DF">
        <w:t>–</w:t>
      </w:r>
      <w:r>
        <w:t xml:space="preserve"> the Commission presents the control results at the level of </w:t>
      </w:r>
      <w:r w:rsidRPr="0018405A">
        <w:t>individual multiannual financial framework headings</w:t>
      </w:r>
      <w:r w:rsidR="00426C5F">
        <w:t xml:space="preserve">. For the entire EU budget, expenditure </w:t>
      </w:r>
      <w:r w:rsidR="008E023A">
        <w:t>is</w:t>
      </w:r>
      <w:r w:rsidR="00426C5F">
        <w:t xml:space="preserve"> presented</w:t>
      </w:r>
      <w:r w:rsidRPr="0018405A">
        <w:t xml:space="preserve"> </w:t>
      </w:r>
      <w:r w:rsidR="005576DF">
        <w:t>for each</w:t>
      </w:r>
      <w:r>
        <w:t xml:space="preserve"> categor</w:t>
      </w:r>
      <w:r w:rsidR="005321DE">
        <w:t>y</w:t>
      </w:r>
      <w:r>
        <w:t xml:space="preserve"> of risk</w:t>
      </w:r>
      <w:r w:rsidR="00426C5F">
        <w:t>: low, medium and high</w:t>
      </w:r>
      <w:r w:rsidR="00FE5D0E">
        <w:t>.</w:t>
      </w:r>
    </w:p>
    <w:p w14:paraId="77E490B3" w14:textId="6C2149BF" w:rsidR="00D41014" w:rsidRPr="006D3C55" w:rsidRDefault="001301C1" w:rsidP="00D41014">
      <w:r w:rsidRPr="006D5CEC">
        <w:rPr>
          <w:rStyle w:val="Bold"/>
        </w:rPr>
        <w:t xml:space="preserve">For cost-based </w:t>
      </w:r>
      <w:r w:rsidR="00077EDB" w:rsidRPr="006D5CEC">
        <w:rPr>
          <w:rStyle w:val="Bold"/>
        </w:rPr>
        <w:t>and compliance</w:t>
      </w:r>
      <w:r w:rsidR="0067165A" w:rsidRPr="006D5CEC">
        <w:rPr>
          <w:rStyle w:val="Bold"/>
        </w:rPr>
        <w:t>-</w:t>
      </w:r>
      <w:r w:rsidRPr="006D5CEC">
        <w:rPr>
          <w:rStyle w:val="Bold"/>
        </w:rPr>
        <w:t>based payments, the Commission considers that the budget is effectively protected when, at the latest by the closure of the programmes (i.e. when all controls, corrections and recoveries have been implemented), the risk at closure is below 2%.</w:t>
      </w:r>
      <w:r w:rsidRPr="006D3C55">
        <w:t xml:space="preserve"> This is the same materiality threshold as used by the Court of Auditors. For more details on these concepts and the methodology used to determine these estimates, along with the control results for each policy area, see </w:t>
      </w:r>
      <w:r w:rsidR="00F10FF9">
        <w:t>Volume</w:t>
      </w:r>
      <w:r w:rsidR="00F10FF9">
        <w:rPr>
          <w:rFonts w:ascii="Calibri" w:hAnsi="Calibri" w:cs="Calibri"/>
        </w:rPr>
        <w:t> </w:t>
      </w:r>
      <w:r w:rsidR="00F10FF9">
        <w:t xml:space="preserve">III, </w:t>
      </w:r>
      <w:r w:rsidRPr="006D3C55">
        <w:t>Annex</w:t>
      </w:r>
      <w:r w:rsidRPr="006D3C55">
        <w:rPr>
          <w:rFonts w:ascii="Calibri" w:hAnsi="Calibri" w:cs="Calibri"/>
        </w:rPr>
        <w:t> </w:t>
      </w:r>
      <w:r w:rsidRPr="006D3C55">
        <w:t>5. Based on the audits and controls carried out, each year the Commission departments estimate the level of risk for the legality and regularity of EU spending at two stages of the multiannual control cycle: a</w:t>
      </w:r>
      <w:r w:rsidR="00D41014" w:rsidRPr="006D3C55">
        <w:t>t</w:t>
      </w:r>
      <w:r w:rsidRPr="006D3C55">
        <w:t xml:space="preserve"> payment and at closure of the programmes.</w:t>
      </w:r>
    </w:p>
    <w:p w14:paraId="39E035F9" w14:textId="7D945D0C" w:rsidR="00A71499" w:rsidRPr="006D3C55" w:rsidRDefault="00B10F72" w:rsidP="00F6116C">
      <w:pPr>
        <w:pStyle w:val="ImagePlaceholder"/>
      </w:pPr>
      <w:r w:rsidRPr="00B10F72">
        <w:drawing>
          <wp:inline distT="0" distB="0" distL="0" distR="0" wp14:anchorId="279F5462" wp14:editId="3772477F">
            <wp:extent cx="5704114" cy="1819729"/>
            <wp:effectExtent l="0" t="0" r="0" b="9525"/>
            <wp:docPr id="76" name="Picture 75" descr="Visual showing the risk at payment (explaining this is at the moment of payment, before corrections are made), minus the estimated future corrections and recoveries (explaining this happens during corrections from the payment until the end of the programme) and as a result  the risk at closure which is the remaining level of error at the end of the programme once all corrections have taken place.">
              <a:extLst xmlns:a="http://schemas.openxmlformats.org/drawingml/2006/main">
                <a:ext uri="{FF2B5EF4-FFF2-40B4-BE49-F238E27FC236}">
                  <a16:creationId xmlns:a16="http://schemas.microsoft.com/office/drawing/2014/main" id="{6BD25FCC-C189-118B-B740-33854DAD343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Picture 75" descr="Visual showing the risk at payment (explaining this is at the moment of payment, before corrections are made), minus the estimated future corrections and recoveries (explaining this happens during corrections from the payment until the end of the programme) and as a result  the risk at closure which is the remaining level of error at the end of the programme once all corrections have taken place.">
                      <a:extLst>
                        <a:ext uri="{FF2B5EF4-FFF2-40B4-BE49-F238E27FC236}">
                          <a16:creationId xmlns:a16="http://schemas.microsoft.com/office/drawing/2014/main" id="{6BD25FCC-C189-118B-B740-33854DAD343E}"/>
                        </a:ext>
                      </a:extLst>
                    </pic:cNvPr>
                    <pic:cNvPicPr>
                      <a:picLocks noChangeAspect="1"/>
                    </pic:cNvPicPr>
                  </pic:nvPicPr>
                  <pic:blipFill>
                    <a:blip r:embed="rId68"/>
                    <a:srcRect l="8466" t="4571" r="8359" b="3062"/>
                    <a:stretch>
                      <a:fillRect/>
                    </a:stretch>
                  </pic:blipFill>
                  <pic:spPr>
                    <a:xfrm>
                      <a:off x="0" y="0"/>
                      <a:ext cx="5704114" cy="1819729"/>
                    </a:xfrm>
                    <a:prstGeom prst="rect">
                      <a:avLst/>
                    </a:prstGeom>
                  </pic:spPr>
                </pic:pic>
              </a:graphicData>
            </a:graphic>
          </wp:inline>
        </w:drawing>
      </w:r>
    </w:p>
    <w:p w14:paraId="666B7E31" w14:textId="77777777" w:rsidR="001301C1" w:rsidRPr="006D3C55" w:rsidRDefault="001301C1" w:rsidP="001301C1">
      <w:pPr>
        <w:pStyle w:val="ImageSource"/>
      </w:pPr>
      <w:r w:rsidRPr="006D3C55">
        <w:rPr>
          <w:rStyle w:val="Italic"/>
        </w:rPr>
        <w:t>Source:</w:t>
      </w:r>
      <w:r w:rsidRPr="006D3C55">
        <w:t xml:space="preserve"> European Commission.</w:t>
      </w:r>
    </w:p>
    <w:p w14:paraId="44D5032E" w14:textId="1CCC1BD8" w:rsidR="001301C1" w:rsidRPr="006D3C55" w:rsidRDefault="001301C1" w:rsidP="001301C1">
      <w:bookmarkStart w:id="40" w:name="_Hlk227686173"/>
      <w:r w:rsidRPr="006D3C55">
        <w:t>Until 2023, this was the only indicator used to measure the level of protection of the EU budget</w:t>
      </w:r>
      <w:r w:rsidR="007C1DF3" w:rsidRPr="006D3C55">
        <w:t>,</w:t>
      </w:r>
      <w:r w:rsidRPr="006D3C55">
        <w:t xml:space="preserve"> </w:t>
      </w:r>
      <w:r w:rsidR="00732DD3" w:rsidRPr="006D3C55">
        <w:t xml:space="preserve">and it </w:t>
      </w:r>
      <w:r w:rsidRPr="006D3C55">
        <w:t>was also used for the entire Commission. This indicator continue</w:t>
      </w:r>
      <w:r w:rsidR="00EC2474" w:rsidRPr="006D3C55">
        <w:t>s</w:t>
      </w:r>
      <w:r w:rsidRPr="006D3C55">
        <w:t xml:space="preserve"> to be applied for those headings under which payments are cost based</w:t>
      </w:r>
      <w:r w:rsidR="00077EDB" w:rsidRPr="006D3C55">
        <w:t xml:space="preserve"> and compliance</w:t>
      </w:r>
      <w:r w:rsidR="00DE7713" w:rsidRPr="006D3C55">
        <w:t xml:space="preserve"> </w:t>
      </w:r>
      <w:r w:rsidR="00077EDB" w:rsidRPr="006D3C55">
        <w:t>based</w:t>
      </w:r>
      <w:r w:rsidRPr="006D3C55">
        <w:t xml:space="preserve">, thus for </w:t>
      </w:r>
      <w:r w:rsidR="00732DD3" w:rsidRPr="006D3C55">
        <w:t xml:space="preserve">2025 </w:t>
      </w:r>
      <w:r w:rsidRPr="006D3C55">
        <w:t>headings 1, 2, 4, 5 and 7.</w:t>
      </w:r>
    </w:p>
    <w:bookmarkEnd w:id="40"/>
    <w:p w14:paraId="72411741" w14:textId="2417B533" w:rsidR="000F1223" w:rsidRPr="006D3C55" w:rsidRDefault="000F1223" w:rsidP="000F1223">
      <w:pPr>
        <w:pStyle w:val="ImageTitle"/>
      </w:pPr>
      <w:r w:rsidRPr="006D3C55">
        <w:t xml:space="preserve">Overview of risk at payment and risk at closure for </w:t>
      </w:r>
      <w:r w:rsidR="00077EDB" w:rsidRPr="006D3C55">
        <w:t>cost</w:t>
      </w:r>
      <w:r w:rsidR="00DE7713" w:rsidRPr="006D3C55">
        <w:t>-</w:t>
      </w:r>
      <w:r w:rsidR="00077EDB" w:rsidRPr="006D3C55">
        <w:t xml:space="preserve"> and</w:t>
      </w:r>
      <w:r w:rsidRPr="006D3C55">
        <w:t xml:space="preserve"> compliance-based expenditure</w:t>
      </w:r>
    </w:p>
    <w:p w14:paraId="46261F43" w14:textId="52D805B4" w:rsidR="000F1223" w:rsidRPr="006D3C55" w:rsidRDefault="003C7C66" w:rsidP="000F1223">
      <w:pPr>
        <w:pStyle w:val="ImagePlaceholder"/>
        <w:rPr>
          <w:noProof w:val="0"/>
          <w:highlight w:val="lightGray"/>
        </w:rPr>
      </w:pPr>
      <w:r w:rsidRPr="003C7C66">
        <w:t xml:space="preserve"> </w:t>
      </w:r>
      <w:r w:rsidRPr="003C7C66">
        <w:rPr>
          <w:highlight w:val="lightGray"/>
        </w:rPr>
        <w:drawing>
          <wp:inline distT="0" distB="0" distL="0" distR="0" wp14:anchorId="562FFD51" wp14:editId="1576AEC1">
            <wp:extent cx="5372100" cy="4699000"/>
            <wp:effectExtent l="0" t="0" r="0" b="6350"/>
            <wp:docPr id="125" name="Picture 124" descr="Graph showing the overview of risk at payment and risk at closure in 2025 by budgetary heading. A line represents materiality at 2%.&#10;For Heading 1, Single market, innovation and digital:  Risk at payment 2.1% (above the materiality of 2%); Risk at closure 1.7% (below the materiality of 2%) .&#10;Heading 2, Cohesion, resilience and values: Risk at payment 2.3% (above the materiality of 2%); Risk at closure 0.8% (below the materiality of 2%).&#10;Heading 4, Migration and border management: Risk at payment 1.1%; Risk at closure 1.0 % (below the materiality of 2%).&#10;Heading 5, Security and defence: Risk at payment 1.7%; Risk at closure 1.7% (below the materiality of 2%).&#10;Heading 7, European public administration: Risk at payment 0.5%; Risk at closure 0.5% (below the materiality of 2%).">
              <a:extLst xmlns:a="http://schemas.openxmlformats.org/drawingml/2006/main">
                <a:ext uri="{FF2B5EF4-FFF2-40B4-BE49-F238E27FC236}">
                  <a16:creationId xmlns:a16="http://schemas.microsoft.com/office/drawing/2014/main" id="{B18895C4-4588-3607-9B73-81AA8345437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 name="Picture 124" descr="Graph showing the overview of risk at payment and risk at closure in 2025 by budgetary heading. A line represents materiality at 2%.&#10;For Heading 1, Single market, innovation and digital:  Risk at payment 2.1% (above the materiality of 2%); Risk at closure 1.7% (below the materiality of 2%) .&#10;Heading 2, Cohesion, resilience and values: Risk at payment 2.3% (above the materiality of 2%); Risk at closure 0.8% (below the materiality of 2%).&#10;Heading 4, Migration and border management: Risk at payment 1.1%; Risk at closure 1.0 % (below the materiality of 2%).&#10;Heading 5, Security and defence: Risk at payment 1.7%; Risk at closure 1.7% (below the materiality of 2%).&#10;Heading 7, European public administration: Risk at payment 0.5%; Risk at closure 0.5% (below the materiality of 2%).">
                      <a:extLst>
                        <a:ext uri="{FF2B5EF4-FFF2-40B4-BE49-F238E27FC236}">
                          <a16:creationId xmlns:a16="http://schemas.microsoft.com/office/drawing/2014/main" id="{B18895C4-4588-3607-9B73-81AA8345437F}"/>
                        </a:ext>
                      </a:extLst>
                    </pic:cNvPr>
                    <pic:cNvPicPr>
                      <a:picLocks noChangeAspect="1"/>
                    </pic:cNvPicPr>
                  </pic:nvPicPr>
                  <pic:blipFill>
                    <a:blip r:embed="rId69"/>
                    <a:srcRect l="5186" t="7708" r="16481" b="2874"/>
                    <a:stretch>
                      <a:fillRect/>
                    </a:stretch>
                  </pic:blipFill>
                  <pic:spPr>
                    <a:xfrm>
                      <a:off x="0" y="0"/>
                      <a:ext cx="5372100" cy="4699000"/>
                    </a:xfrm>
                    <a:prstGeom prst="rect">
                      <a:avLst/>
                    </a:prstGeom>
                  </pic:spPr>
                </pic:pic>
              </a:graphicData>
            </a:graphic>
          </wp:inline>
        </w:drawing>
      </w:r>
    </w:p>
    <w:p w14:paraId="3F8A277B" w14:textId="77777777" w:rsidR="000F1223" w:rsidRPr="006D3C55" w:rsidRDefault="000F1223" w:rsidP="000F1223">
      <w:pPr>
        <w:pStyle w:val="ImageSource"/>
        <w:rPr>
          <w:szCs w:val="16"/>
        </w:rPr>
      </w:pPr>
      <w:r w:rsidRPr="00C11B0A">
        <w:rPr>
          <w:rStyle w:val="Italic"/>
        </w:rPr>
        <w:t>Source:</w:t>
      </w:r>
      <w:r w:rsidRPr="006D3C55">
        <w:rPr>
          <w:szCs w:val="16"/>
        </w:rPr>
        <w:t xml:space="preserve"> European Commission annual activity reports for 2025.</w:t>
      </w:r>
    </w:p>
    <w:p w14:paraId="021FEB1C" w14:textId="1E266CC2" w:rsidR="00EB4582" w:rsidRPr="00725650" w:rsidRDefault="006419FD" w:rsidP="00725650">
      <w:pPr>
        <w:rPr>
          <w:rStyle w:val="Bold"/>
        </w:rPr>
      </w:pPr>
      <w:r>
        <w:rPr>
          <w:rStyle w:val="Bold"/>
        </w:rPr>
        <w:t>For</w:t>
      </w:r>
      <w:r w:rsidRPr="00725650">
        <w:rPr>
          <w:rStyle w:val="Bold"/>
        </w:rPr>
        <w:t xml:space="preserve"> </w:t>
      </w:r>
      <w:r w:rsidR="00EB4582" w:rsidRPr="00725650">
        <w:rPr>
          <w:rStyle w:val="Bold"/>
        </w:rPr>
        <w:t xml:space="preserve">instruments </w:t>
      </w:r>
      <w:r w:rsidR="00C11B0A">
        <w:rPr>
          <w:rStyle w:val="Bold"/>
        </w:rPr>
        <w:t>where</w:t>
      </w:r>
      <w:r w:rsidR="00A87A78" w:rsidRPr="00725650">
        <w:rPr>
          <w:rStyle w:val="Bold"/>
        </w:rPr>
        <w:t xml:space="preserve"> </w:t>
      </w:r>
      <w:r w:rsidR="00EB4582" w:rsidRPr="00725650">
        <w:rPr>
          <w:rStyle w:val="Bold"/>
        </w:rPr>
        <w:t xml:space="preserve">expenditure </w:t>
      </w:r>
      <w:r w:rsidR="000753BE" w:rsidRPr="00725650">
        <w:rPr>
          <w:rStyle w:val="Bold"/>
        </w:rPr>
        <w:t xml:space="preserve">is </w:t>
      </w:r>
      <w:r w:rsidR="00EB4582" w:rsidRPr="00725650">
        <w:rPr>
          <w:rStyle w:val="Bold"/>
        </w:rPr>
        <w:t>performance</w:t>
      </w:r>
      <w:r w:rsidR="000753BE" w:rsidRPr="00725650">
        <w:rPr>
          <w:rStyle w:val="Bold"/>
        </w:rPr>
        <w:t xml:space="preserve"> </w:t>
      </w:r>
      <w:r w:rsidR="00EB4582" w:rsidRPr="00725650">
        <w:rPr>
          <w:rStyle w:val="Bold"/>
        </w:rPr>
        <w:t xml:space="preserve">based, </w:t>
      </w:r>
      <w:r w:rsidR="00C11B0A">
        <w:rPr>
          <w:rStyle w:val="Bold"/>
        </w:rPr>
        <w:t>a qualitative</w:t>
      </w:r>
      <w:r w:rsidR="007A72CC">
        <w:rPr>
          <w:rStyle w:val="Bold"/>
        </w:rPr>
        <w:t xml:space="preserve"> assessment is made </w:t>
      </w:r>
      <w:r w:rsidR="00C11B0A">
        <w:rPr>
          <w:rStyle w:val="Bold"/>
        </w:rPr>
        <w:t>allowing the share</w:t>
      </w:r>
      <w:r w:rsidR="008A40D0">
        <w:rPr>
          <w:rStyle w:val="Bold"/>
        </w:rPr>
        <w:t xml:space="preserve"> of</w:t>
      </w:r>
      <w:r w:rsidR="007A72CC">
        <w:rPr>
          <w:rStyle w:val="Bold"/>
        </w:rPr>
        <w:t xml:space="preserve"> </w:t>
      </w:r>
      <w:r w:rsidR="00C11B0A">
        <w:rPr>
          <w:rStyle w:val="Bold"/>
        </w:rPr>
        <w:t>expenditure in each</w:t>
      </w:r>
      <w:r w:rsidR="007A72CC">
        <w:rPr>
          <w:rStyle w:val="Bold"/>
        </w:rPr>
        <w:t xml:space="preserve"> categor</w:t>
      </w:r>
      <w:r w:rsidR="00C11B0A">
        <w:rPr>
          <w:rStyle w:val="Bold"/>
        </w:rPr>
        <w:t>y</w:t>
      </w:r>
      <w:r w:rsidR="007A72CC">
        <w:rPr>
          <w:rStyle w:val="Bold"/>
        </w:rPr>
        <w:t xml:space="preserve"> of </w:t>
      </w:r>
      <w:r w:rsidR="00313B90">
        <w:rPr>
          <w:rStyle w:val="Bold"/>
        </w:rPr>
        <w:t>(</w:t>
      </w:r>
      <w:r w:rsidR="007A72CC">
        <w:rPr>
          <w:rStyle w:val="Bold"/>
        </w:rPr>
        <w:t>risk</w:t>
      </w:r>
      <w:r w:rsidR="00C11B0A">
        <w:rPr>
          <w:rStyle w:val="Bold"/>
        </w:rPr>
        <w:t>, low, medium and high</w:t>
      </w:r>
      <w:r w:rsidR="00313B90">
        <w:rPr>
          <w:rStyle w:val="Bold"/>
        </w:rPr>
        <w:t>) to be determined</w:t>
      </w:r>
      <w:r w:rsidR="00D73450">
        <w:rPr>
          <w:rStyle w:val="Bold"/>
        </w:rPr>
        <w:t xml:space="preserve">. This concerned </w:t>
      </w:r>
      <w:r w:rsidR="00EB4582" w:rsidRPr="00C11B0A">
        <w:rPr>
          <w:rStyle w:val="Bold"/>
        </w:rPr>
        <w:t>the following headings</w:t>
      </w:r>
      <w:r w:rsidR="00A87A78" w:rsidRPr="00725650">
        <w:rPr>
          <w:rStyle w:val="Bold"/>
        </w:rPr>
        <w:t>.</w:t>
      </w:r>
    </w:p>
    <w:p w14:paraId="3AE7CC56" w14:textId="3CD3ABC7" w:rsidR="001301C1" w:rsidRPr="006D3C55" w:rsidRDefault="00EB4582" w:rsidP="004F59DE">
      <w:pPr>
        <w:pStyle w:val="ListBulletorangeLevel1"/>
      </w:pPr>
      <w:r w:rsidRPr="00725650">
        <w:rPr>
          <w:rStyle w:val="Bold"/>
        </w:rPr>
        <w:t>Natural resources and environment</w:t>
      </w:r>
      <w:r w:rsidR="00A87A78" w:rsidRPr="00725650">
        <w:rPr>
          <w:rStyle w:val="Bold"/>
        </w:rPr>
        <w:t>.</w:t>
      </w:r>
      <w:r w:rsidRPr="00AD4275">
        <w:t xml:space="preserve"> </w:t>
      </w:r>
      <w:r w:rsidR="00A87A78" w:rsidRPr="00AD4275">
        <w:t>S</w:t>
      </w:r>
      <w:r w:rsidRPr="00AD4275">
        <w:t>ince 2024</w:t>
      </w:r>
      <w:r w:rsidR="00A87A78" w:rsidRPr="00AD4275">
        <w:t>,</w:t>
      </w:r>
      <w:r w:rsidRPr="006D3C55">
        <w:t xml:space="preserve"> </w:t>
      </w:r>
      <w:r w:rsidRPr="00AD4275">
        <w:t>with the new delivery model under</w:t>
      </w:r>
      <w:r w:rsidR="001301C1" w:rsidRPr="00AD4275">
        <w:t xml:space="preserve"> the </w:t>
      </w:r>
      <w:r w:rsidR="00F45EBA" w:rsidRPr="006D3C55">
        <w:t>2023-2027 common agricultural policy</w:t>
      </w:r>
      <w:r w:rsidR="001301C1" w:rsidRPr="006D3C55">
        <w:t xml:space="preserve">, the focus </w:t>
      </w:r>
      <w:r w:rsidR="00A87A78" w:rsidRPr="006D3C55">
        <w:t xml:space="preserve">has been </w:t>
      </w:r>
      <w:r w:rsidR="001301C1" w:rsidRPr="006D3C55">
        <w:t xml:space="preserve">on performance, based on the achievement of results, and on the proper functioning of the governance systems in the Member States. </w:t>
      </w:r>
      <w:r w:rsidR="00D52AEC" w:rsidRPr="006D3C55">
        <w:t xml:space="preserve">As </w:t>
      </w:r>
      <w:r w:rsidR="001301C1" w:rsidRPr="006D3C55">
        <w:t xml:space="preserve">Member States no longer report to the Commission on control statistics at </w:t>
      </w:r>
      <w:r w:rsidR="001301C1" w:rsidRPr="006D3C55" w:rsidDel="00DD2DFA">
        <w:t xml:space="preserve">the </w:t>
      </w:r>
      <w:r w:rsidR="00A25C1F" w:rsidRPr="006D3C55">
        <w:t xml:space="preserve">beneficiary </w:t>
      </w:r>
      <w:r w:rsidR="001301C1" w:rsidRPr="006D3C55">
        <w:t>level</w:t>
      </w:r>
      <w:r w:rsidR="00D52AEC" w:rsidRPr="006D3C55">
        <w:t xml:space="preserve">, </w:t>
      </w:r>
      <w:r w:rsidR="00A8203A">
        <w:t xml:space="preserve">a </w:t>
      </w:r>
      <w:r w:rsidR="001301C1" w:rsidRPr="006D3C55">
        <w:t>risk at payment</w:t>
      </w:r>
      <w:r w:rsidR="00D52AEC" w:rsidRPr="006D3C55">
        <w:t xml:space="preserve"> and risk at </w:t>
      </w:r>
      <w:r w:rsidR="00752CAA" w:rsidRPr="006D3C55">
        <w:t>closure cannot be determined</w:t>
      </w:r>
      <w:r w:rsidR="001301C1" w:rsidRPr="006D3C55">
        <w:rPr>
          <w:bCs/>
        </w:rPr>
        <w:t>.</w:t>
      </w:r>
      <w:r w:rsidR="001301C1" w:rsidRPr="006D3C55">
        <w:t xml:space="preserve"> </w:t>
      </w:r>
      <w:r w:rsidR="0053171E" w:rsidRPr="006D3C55">
        <w:t>Instead,</w:t>
      </w:r>
      <w:r w:rsidR="001301C1" w:rsidRPr="006D3C55">
        <w:t xml:space="preserve"> the corresponding expenditure </w:t>
      </w:r>
      <w:r w:rsidR="00226080" w:rsidRPr="006D3C55">
        <w:t xml:space="preserve">is </w:t>
      </w:r>
      <w:r w:rsidR="00D52AEC" w:rsidRPr="006D3C55">
        <w:t xml:space="preserve">grouped </w:t>
      </w:r>
      <w:r w:rsidR="001301C1" w:rsidRPr="006D3C55">
        <w:t>in</w:t>
      </w:r>
      <w:r w:rsidR="00226080" w:rsidRPr="006D3C55">
        <w:t>to</w:t>
      </w:r>
      <w:r w:rsidR="001301C1" w:rsidRPr="006D3C55">
        <w:t xml:space="preserve"> three categories of risk (low, medium and high)</w:t>
      </w:r>
      <w:r w:rsidR="001301C1" w:rsidRPr="006D3C55" w:rsidDel="008D405B">
        <w:t>,</w:t>
      </w:r>
      <w:r w:rsidR="001301C1" w:rsidRPr="006D3C55">
        <w:t xml:space="preserve"> based on the assessment of the functioning of the systems in place in the Member States to ensure the legality and regularity of the underlying transactions</w:t>
      </w:r>
      <w:r w:rsidR="00C97107" w:rsidRPr="006D3C55">
        <w:t>, along with</w:t>
      </w:r>
      <w:r w:rsidR="001301C1" w:rsidRPr="006D3C55">
        <w:t xml:space="preserve"> the quality of performance results</w:t>
      </w:r>
      <w:r w:rsidR="00B54590" w:rsidRPr="006D3C55">
        <w:t xml:space="preserve"> and progress made on the performance part</w:t>
      </w:r>
      <w:r w:rsidR="001301C1" w:rsidRPr="006D3C55">
        <w:t>.</w:t>
      </w:r>
      <w:r w:rsidR="00500D2C" w:rsidRPr="006D3C55">
        <w:t xml:space="preserve"> For instance, if a system is assessed as functioning well, all expenditure made through that system will be considered low risk. </w:t>
      </w:r>
      <w:r w:rsidR="00C11B0A">
        <w:t>C</w:t>
      </w:r>
      <w:r w:rsidR="00500D2C" w:rsidRPr="006D3C55">
        <w:t>ontrols carried out continue to result in suspensions, reductions</w:t>
      </w:r>
      <w:r w:rsidR="004A42FA" w:rsidRPr="006D3C55">
        <w:t>,</w:t>
      </w:r>
      <w:r w:rsidR="00500D2C" w:rsidRPr="006D3C55">
        <w:t xml:space="preserve"> financial corrections and recoveries.</w:t>
      </w:r>
    </w:p>
    <w:p w14:paraId="46EE60F5" w14:textId="77777777" w:rsidR="008A7EDB" w:rsidRDefault="008A7EDB">
      <w:pPr>
        <w:suppressAutoHyphens w:val="0"/>
        <w:rPr>
          <w:rStyle w:val="Bold"/>
          <w:rFonts w:eastAsia="Times New Roman"/>
        </w:rPr>
      </w:pPr>
      <w:r>
        <w:rPr>
          <w:rStyle w:val="Bold"/>
        </w:rPr>
        <w:br w:type="page"/>
      </w:r>
    </w:p>
    <w:p w14:paraId="48567698" w14:textId="7DFD701D" w:rsidR="00B54590" w:rsidRPr="006D3C55" w:rsidRDefault="00EB4582" w:rsidP="004F59DE">
      <w:pPr>
        <w:pStyle w:val="ListBulletorangeLevel1"/>
      </w:pPr>
      <w:r w:rsidRPr="00725650">
        <w:rPr>
          <w:rStyle w:val="Bold"/>
        </w:rPr>
        <w:t>Neighbourhood and the world</w:t>
      </w:r>
      <w:r w:rsidR="00A87A78" w:rsidRPr="00725650">
        <w:rPr>
          <w:rStyle w:val="Bold"/>
        </w:rPr>
        <w:t>.</w:t>
      </w:r>
      <w:r w:rsidRPr="00725650">
        <w:rPr>
          <w:rStyle w:val="Bold"/>
        </w:rPr>
        <w:t xml:space="preserve"> </w:t>
      </w:r>
      <w:r w:rsidR="00A87A78" w:rsidRPr="00AD4275">
        <w:t>S</w:t>
      </w:r>
      <w:r w:rsidRPr="00AD4275">
        <w:t>ince 2025</w:t>
      </w:r>
      <w:r w:rsidR="003652CF" w:rsidRPr="00AD4275">
        <w:t>,</w:t>
      </w:r>
      <w:r w:rsidRPr="00AD4275">
        <w:t xml:space="preserve"> r</w:t>
      </w:r>
      <w:r w:rsidR="000624F3" w:rsidRPr="00AD4275">
        <w:t>egarding the Ukraine</w:t>
      </w:r>
      <w:r w:rsidR="00557D79" w:rsidRPr="00725650">
        <w:rPr>
          <w:rFonts w:ascii="Calibri" w:hAnsi="Calibri" w:cs="Calibri"/>
        </w:rPr>
        <w:t> </w:t>
      </w:r>
      <w:r w:rsidR="00557D79" w:rsidRPr="00AD4275">
        <w:t>(</w:t>
      </w:r>
      <w:r w:rsidR="00557D79" w:rsidRPr="00352191">
        <w:rPr>
          <w:rStyle w:val="FootnoteReference"/>
        </w:rPr>
        <w:footnoteReference w:id="19"/>
      </w:r>
      <w:r w:rsidR="00557D79" w:rsidRPr="00AD4275">
        <w:t>)</w:t>
      </w:r>
      <w:r w:rsidR="000624F3" w:rsidRPr="00AD4275">
        <w:t>, Western</w:t>
      </w:r>
      <w:r w:rsidR="00616786" w:rsidRPr="00AD4275">
        <w:t xml:space="preserve"> </w:t>
      </w:r>
      <w:r w:rsidR="000624F3" w:rsidRPr="00AD4275">
        <w:t xml:space="preserve">Balkans and Moldova </w:t>
      </w:r>
      <w:r w:rsidR="00616786" w:rsidRPr="00AD4275">
        <w:t>f</w:t>
      </w:r>
      <w:r w:rsidR="000624F3" w:rsidRPr="00AD4275">
        <w:t xml:space="preserve">acilities, </w:t>
      </w:r>
      <w:r w:rsidR="000624F3" w:rsidRPr="006D3C55">
        <w:t xml:space="preserve">expenditure </w:t>
      </w:r>
      <w:r w:rsidR="003652CF" w:rsidRPr="006D3C55">
        <w:t xml:space="preserve">has been </w:t>
      </w:r>
      <w:r w:rsidR="000624F3" w:rsidRPr="006D3C55">
        <w:t>considered performance</w:t>
      </w:r>
      <w:r w:rsidR="003652CF" w:rsidRPr="006D3C55">
        <w:t xml:space="preserve"> </w:t>
      </w:r>
      <w:r w:rsidR="000624F3" w:rsidRPr="006D3C55">
        <w:t>based</w:t>
      </w:r>
      <w:r w:rsidR="003652CF" w:rsidRPr="006D3C55">
        <w:t>,</w:t>
      </w:r>
      <w:r w:rsidR="000624F3" w:rsidRPr="006D3C55">
        <w:t xml:space="preserve"> given that </w:t>
      </w:r>
      <w:r w:rsidR="00506C92" w:rsidRPr="006D3C55">
        <w:t>payments are made once predefined steps (</w:t>
      </w:r>
      <w:r w:rsidR="00B54590" w:rsidRPr="006D3C55">
        <w:t xml:space="preserve">equivalent to </w:t>
      </w:r>
      <w:r w:rsidR="000624F3" w:rsidRPr="006D3C55">
        <w:t>milestones and targets</w:t>
      </w:r>
      <w:r w:rsidR="00506C92" w:rsidRPr="006D3C55">
        <w:t>)</w:t>
      </w:r>
      <w:r w:rsidR="00500D2C" w:rsidRPr="006D3C55">
        <w:t xml:space="preserve"> are satisfactorily fulfilled</w:t>
      </w:r>
      <w:r w:rsidR="000624F3" w:rsidRPr="006D3C55">
        <w:t xml:space="preserve">. </w:t>
      </w:r>
      <w:r w:rsidR="00506C92" w:rsidRPr="006D3C55">
        <w:t xml:space="preserve">For the assurance, the Commission makes a qualitative assessment of the satisfactory fulfilment of the steps submitted for payment. This qualitative assessment is difficult to translate into quantitative terms with an error rate. In addition, the investments and reforms included in the </w:t>
      </w:r>
      <w:r w:rsidR="00E10C6C" w:rsidRPr="006D3C55">
        <w:t xml:space="preserve">beneficiary </w:t>
      </w:r>
      <w:r w:rsidR="00506C92" w:rsidRPr="006D3C55">
        <w:t xml:space="preserve">countries’ plans are very diverse, which </w:t>
      </w:r>
      <w:r w:rsidR="00EA4D07" w:rsidRPr="006D3C55">
        <w:t>hinders</w:t>
      </w:r>
      <w:r w:rsidR="00506C92" w:rsidRPr="006D3C55">
        <w:t xml:space="preserve"> statistical extrapolation. In this context, a meaningful error rate cannot be determined. </w:t>
      </w:r>
      <w:r w:rsidR="00B54590" w:rsidRPr="006D3C55">
        <w:t>Here as well, expenditure is grouped in</w:t>
      </w:r>
      <w:r w:rsidR="00B7607F" w:rsidRPr="006D3C55">
        <w:t>to</w:t>
      </w:r>
      <w:r w:rsidR="00B54590" w:rsidRPr="006D3C55">
        <w:t xml:space="preserve"> three categories of risk (low, medium and high)</w:t>
      </w:r>
      <w:r w:rsidR="00B54590" w:rsidRPr="006D3C55" w:rsidDel="008D405B">
        <w:t>,</w:t>
      </w:r>
      <w:r w:rsidR="00B54590" w:rsidRPr="006D3C55">
        <w:t xml:space="preserve"> based on the assessment of the level of risk of the steps </w:t>
      </w:r>
      <w:r w:rsidR="00327B34" w:rsidRPr="006D3C55">
        <w:t xml:space="preserve">associated </w:t>
      </w:r>
      <w:r w:rsidR="00B7607F" w:rsidRPr="006D3C55">
        <w:t xml:space="preserve">with </w:t>
      </w:r>
      <w:r w:rsidR="00327B34" w:rsidRPr="006D3C55">
        <w:t>the payment made</w:t>
      </w:r>
      <w:r w:rsidR="00CB0FE2" w:rsidRPr="006D3C55">
        <w:t xml:space="preserve">, complemented by the result of </w:t>
      </w:r>
      <w:r w:rsidR="006810F9" w:rsidRPr="00725650">
        <w:t>ex ante</w:t>
      </w:r>
      <w:r w:rsidR="00CB0FE2" w:rsidRPr="006D3C55">
        <w:t xml:space="preserve"> and </w:t>
      </w:r>
      <w:r w:rsidR="006810F9" w:rsidRPr="00725650">
        <w:t>ex post</w:t>
      </w:r>
      <w:r w:rsidR="00CB0FE2" w:rsidRPr="006D3C55">
        <w:t xml:space="preserve"> controls</w:t>
      </w:r>
      <w:r w:rsidR="00327B34" w:rsidRPr="006D3C55">
        <w:rPr>
          <w:rFonts w:ascii="Calibri" w:hAnsi="Calibri" w:cs="Calibri"/>
        </w:rPr>
        <w:t> </w:t>
      </w:r>
      <w:r w:rsidR="00327B34" w:rsidRPr="006D3C55">
        <w:t>(</w:t>
      </w:r>
      <w:r w:rsidR="00327B34" w:rsidRPr="00352191">
        <w:rPr>
          <w:rStyle w:val="FootnoteReference"/>
        </w:rPr>
        <w:footnoteReference w:id="20"/>
      </w:r>
      <w:r w:rsidR="00327B34" w:rsidRPr="006D3C55">
        <w:t>).</w:t>
      </w:r>
      <w:r w:rsidR="00500D2C" w:rsidRPr="006D3C55">
        <w:t xml:space="preserve"> </w:t>
      </w:r>
      <w:r w:rsidR="00053C76" w:rsidRPr="006D3C55">
        <w:t xml:space="preserve">For instance, </w:t>
      </w:r>
      <w:r w:rsidR="00053C76" w:rsidRPr="00057C7B">
        <w:t xml:space="preserve">if a step </w:t>
      </w:r>
      <w:r w:rsidR="000B69A4" w:rsidRPr="00057C7B">
        <w:t>relate</w:t>
      </w:r>
      <w:r w:rsidR="006C221F" w:rsidRPr="00057C7B">
        <w:t>s</w:t>
      </w:r>
      <w:r w:rsidR="003951DC" w:rsidRPr="00057C7B">
        <w:t xml:space="preserve"> to</w:t>
      </w:r>
      <w:r w:rsidR="00053C76" w:rsidRPr="00057C7B">
        <w:t xml:space="preserve"> the adoption of a reform, it is </w:t>
      </w:r>
      <w:r w:rsidR="00B7607F" w:rsidRPr="00057C7B">
        <w:t xml:space="preserve">usually </w:t>
      </w:r>
      <w:r w:rsidR="00053C76" w:rsidRPr="00057C7B">
        <w:t xml:space="preserve">considered low risk, </w:t>
      </w:r>
      <w:r w:rsidR="00B7607F" w:rsidRPr="00057C7B">
        <w:t xml:space="preserve">and </w:t>
      </w:r>
      <w:r w:rsidR="00053C76" w:rsidRPr="00057C7B">
        <w:t xml:space="preserve">the amount paid corresponding to that step is </w:t>
      </w:r>
      <w:r w:rsidR="00057C7B" w:rsidRPr="00057C7B">
        <w:t xml:space="preserve">also </w:t>
      </w:r>
      <w:r w:rsidR="00053C76" w:rsidRPr="00057C7B">
        <w:t>considered low risk.</w:t>
      </w:r>
      <w:r w:rsidR="00053C76" w:rsidRPr="006D3C55">
        <w:t xml:space="preserve"> </w:t>
      </w:r>
      <w:r w:rsidR="00500D2C" w:rsidRPr="006D3C55">
        <w:t xml:space="preserve">See more details in </w:t>
      </w:r>
      <w:r w:rsidR="00EC77AE" w:rsidRPr="006D3C55">
        <w:t>S</w:t>
      </w:r>
      <w:r w:rsidR="00500D2C" w:rsidRPr="006D3C55">
        <w:t>ection</w:t>
      </w:r>
      <w:r w:rsidR="00EC77AE" w:rsidRPr="006D3C55">
        <w:rPr>
          <w:rFonts w:ascii="Calibri" w:hAnsi="Calibri" w:cs="Calibri"/>
        </w:rPr>
        <w:t> </w:t>
      </w:r>
      <w:r w:rsidR="00500D2C" w:rsidRPr="006D3C55">
        <w:t>2.1.2</w:t>
      </w:r>
      <w:r w:rsidR="00EC77AE" w:rsidRPr="006D3C55">
        <w:t>,</w:t>
      </w:r>
      <w:r w:rsidR="00500D2C" w:rsidRPr="006D3C55">
        <w:t xml:space="preserve"> </w:t>
      </w:r>
      <w:r w:rsidR="004A42FA" w:rsidRPr="006D3C55">
        <w:t>under ‘H</w:t>
      </w:r>
      <w:r w:rsidR="00500D2C" w:rsidRPr="006D3C55">
        <w:t xml:space="preserve">eading </w:t>
      </w:r>
      <w:r w:rsidR="004A42FA" w:rsidRPr="006D3C55">
        <w:t>6 – n</w:t>
      </w:r>
      <w:r w:rsidR="00500D2C" w:rsidRPr="006D3C55">
        <w:t xml:space="preserve">eighbourhood and the world’. </w:t>
      </w:r>
      <w:r w:rsidR="00C11B0A">
        <w:t>As foreseen in the regulation</w:t>
      </w:r>
      <w:r w:rsidR="00500D2C" w:rsidRPr="006D3C55">
        <w:t xml:space="preserve">, controls will result in suspensions, reductions, financial corrections and recoveries </w:t>
      </w:r>
      <w:r w:rsidR="00244D44" w:rsidRPr="006D3C55">
        <w:t xml:space="preserve">when </w:t>
      </w:r>
      <w:r w:rsidR="00500D2C" w:rsidRPr="006D3C55">
        <w:t xml:space="preserve">errors </w:t>
      </w:r>
      <w:r w:rsidR="00244D44" w:rsidRPr="006D3C55">
        <w:t>are</w:t>
      </w:r>
      <w:r w:rsidR="00500D2C" w:rsidRPr="006D3C55">
        <w:t xml:space="preserve"> identified</w:t>
      </w:r>
      <w:r w:rsidR="00C21768" w:rsidRPr="006D3C55">
        <w:t xml:space="preserve"> or in cases of serious breaches of the beneficiaries</w:t>
      </w:r>
      <w:r w:rsidR="00F82533" w:rsidRPr="006D3C55">
        <w:t>’</w:t>
      </w:r>
      <w:r w:rsidR="00C21768" w:rsidRPr="006D3C55">
        <w:t xml:space="preserve"> obligations</w:t>
      </w:r>
      <w:r w:rsidR="00500D2C" w:rsidRPr="006D3C55">
        <w:t>.</w:t>
      </w:r>
    </w:p>
    <w:p w14:paraId="2644B604" w14:textId="30C975C4" w:rsidR="00D52AEC" w:rsidRPr="006D3C55" w:rsidRDefault="005E4449" w:rsidP="00F7647E">
      <w:r w:rsidRPr="006D3C55">
        <w:t>Consequently</w:t>
      </w:r>
      <w:r w:rsidR="000624F3" w:rsidRPr="006D3C55">
        <w:t xml:space="preserve">, </w:t>
      </w:r>
      <w:r w:rsidR="00C11B0A">
        <w:t>control results are reported per heading, some with risk at payment and risk at closure, some with share of low, medium and high-risk expenditure. This latter presentation is also used to the EU expenditure as a whole.</w:t>
      </w:r>
    </w:p>
    <w:p w14:paraId="7F5DE76C" w14:textId="6DA8B5C3" w:rsidR="001301C1" w:rsidRPr="006D3C55" w:rsidRDefault="000E6198" w:rsidP="001301C1">
      <w:pPr>
        <w:pStyle w:val="amprboxheading"/>
      </w:pPr>
      <w:r w:rsidRPr="006D3C55">
        <w:rPr>
          <w:szCs w:val="16"/>
        </w:rPr>
        <w:t xml:space="preserve">For </w:t>
      </w:r>
      <w:r w:rsidR="001301C1" w:rsidRPr="006D3C55">
        <w:rPr>
          <w:szCs w:val="16"/>
        </w:rPr>
        <w:t>202</w:t>
      </w:r>
      <w:r w:rsidR="00B60C45" w:rsidRPr="006D3C55">
        <w:rPr>
          <w:szCs w:val="16"/>
        </w:rPr>
        <w:t>5</w:t>
      </w:r>
      <w:r w:rsidR="001301C1" w:rsidRPr="006D3C55">
        <w:t>,</w:t>
      </w:r>
      <w:r w:rsidR="001301C1" w:rsidRPr="006D3C55" w:rsidDel="00197BDC">
        <w:t xml:space="preserve"> </w:t>
      </w:r>
      <w:r w:rsidR="003201BA" w:rsidRPr="006D3C55">
        <w:t>all</w:t>
      </w:r>
      <w:r w:rsidR="001301C1" w:rsidRPr="006D3C55">
        <w:t xml:space="preserve"> headings</w:t>
      </w:r>
      <w:r w:rsidR="00694111">
        <w:t xml:space="preserve"> managed under the </w:t>
      </w:r>
      <w:r w:rsidR="00694111" w:rsidRPr="00694111">
        <w:t>cost-based and compliance-based payment</w:t>
      </w:r>
      <w:r w:rsidR="001301C1" w:rsidRPr="006D3C55">
        <w:t xml:space="preserve"> </w:t>
      </w:r>
      <w:r w:rsidR="00694111">
        <w:t>delivery model</w:t>
      </w:r>
      <w:r w:rsidR="00E84D9F">
        <w:t xml:space="preserve"> </w:t>
      </w:r>
      <w:r w:rsidR="001301C1" w:rsidRPr="006D3C55">
        <w:t>have a risk at at closure below 2%</w:t>
      </w:r>
      <w:r w:rsidR="00197BDC" w:rsidRPr="006D3C55">
        <w:t>.</w:t>
      </w:r>
      <w:r w:rsidR="001301C1" w:rsidRPr="006D3C55">
        <w:t xml:space="preserve"> </w:t>
      </w:r>
      <w:r w:rsidR="00BD10D3" w:rsidRPr="006D3C55">
        <w:t>For t</w:t>
      </w:r>
      <w:r w:rsidR="00197BDC" w:rsidRPr="006D3C55">
        <w:t>he</w:t>
      </w:r>
      <w:r w:rsidR="001301C1" w:rsidRPr="006D3C55">
        <w:t xml:space="preserve"> heading on natural resources and environment</w:t>
      </w:r>
      <w:r w:rsidR="00BD10D3" w:rsidRPr="006D3C55">
        <w:t>, the</w:t>
      </w:r>
      <w:r w:rsidR="001301C1" w:rsidRPr="006D3C55">
        <w:t xml:space="preserve"> share of low-risk payments </w:t>
      </w:r>
      <w:r w:rsidR="00BD10D3" w:rsidRPr="006D3C55">
        <w:t>is</w:t>
      </w:r>
      <w:r w:rsidR="001301C1" w:rsidRPr="006D3C55">
        <w:t xml:space="preserve"> </w:t>
      </w:r>
      <w:r w:rsidR="00197BDC" w:rsidRPr="006D3C55">
        <w:t>64</w:t>
      </w:r>
      <w:r w:rsidR="001301C1" w:rsidRPr="006D3C55">
        <w:t xml:space="preserve">%, </w:t>
      </w:r>
      <w:r w:rsidR="00197BDC" w:rsidRPr="006D3C55">
        <w:t>in line with the</w:t>
      </w:r>
      <w:r w:rsidR="001301C1" w:rsidRPr="006D3C55">
        <w:t xml:space="preserve"> </w:t>
      </w:r>
      <w:r w:rsidR="00726D73">
        <w:t xml:space="preserve">range </w:t>
      </w:r>
      <w:r w:rsidR="00DB7DA0">
        <w:t>for</w:t>
      </w:r>
      <w:r w:rsidR="00726D73">
        <w:t xml:space="preserve"> the period </w:t>
      </w:r>
      <w:r w:rsidR="00621C94" w:rsidRPr="006D3C55">
        <w:t>20</w:t>
      </w:r>
      <w:r w:rsidR="00621C94">
        <w:t>2</w:t>
      </w:r>
      <w:r w:rsidR="000375D9">
        <w:t>0</w:t>
      </w:r>
      <w:r w:rsidR="00DB7DA0">
        <w:rPr>
          <w:rFonts w:ascii="Calibri" w:hAnsi="Calibri" w:cs="Calibri"/>
        </w:rPr>
        <w:t> </w:t>
      </w:r>
      <w:r w:rsidR="001301C1" w:rsidRPr="006D3C55">
        <w:t>-</w:t>
      </w:r>
      <w:r w:rsidR="00DB7DA0">
        <w:rPr>
          <w:rFonts w:ascii="Calibri" w:hAnsi="Calibri" w:cs="Calibri"/>
        </w:rPr>
        <w:t> </w:t>
      </w:r>
      <w:r w:rsidR="00197BDC" w:rsidRPr="006D3C55">
        <w:t xml:space="preserve">2024 </w:t>
      </w:r>
      <w:r w:rsidR="00726D73">
        <w:t>(</w:t>
      </w:r>
      <w:r w:rsidR="002036E2">
        <w:t>50</w:t>
      </w:r>
      <w:r w:rsidR="000375D9">
        <w:t>.6</w:t>
      </w:r>
      <w:r w:rsidR="00DC1FA2">
        <w:t xml:space="preserve">% to </w:t>
      </w:r>
      <w:r w:rsidR="002036E2">
        <w:t>77.6</w:t>
      </w:r>
      <w:r w:rsidR="00DC1FA2">
        <w:t>%)</w:t>
      </w:r>
      <w:r w:rsidR="001301C1" w:rsidRPr="006D3C55">
        <w:t xml:space="preserve">. </w:t>
      </w:r>
      <w:r w:rsidR="00BD10D3" w:rsidRPr="006D3C55">
        <w:t>For t</w:t>
      </w:r>
      <w:r w:rsidR="00197BDC" w:rsidRPr="006D3C55">
        <w:t xml:space="preserve">he heading </w:t>
      </w:r>
      <w:r w:rsidRPr="006D3C55">
        <w:t xml:space="preserve">on </w:t>
      </w:r>
      <w:r w:rsidR="00197BDC" w:rsidRPr="006D3C55">
        <w:t>neighbourhood and the world</w:t>
      </w:r>
      <w:r w:rsidR="00BD10D3" w:rsidRPr="006D3C55">
        <w:t>, the</w:t>
      </w:r>
      <w:r w:rsidR="00197BDC" w:rsidRPr="006D3C55">
        <w:t xml:space="preserve"> share of low-risk payments </w:t>
      </w:r>
      <w:r w:rsidR="00BD10D3" w:rsidRPr="006D3C55">
        <w:t>is</w:t>
      </w:r>
      <w:r w:rsidR="00197BDC" w:rsidRPr="006D3C55">
        <w:t xml:space="preserve"> </w:t>
      </w:r>
      <w:r w:rsidR="001B3787">
        <w:t>89.6</w:t>
      </w:r>
      <w:r w:rsidR="00197BDC" w:rsidRPr="006D3C55">
        <w:t xml:space="preserve">%, </w:t>
      </w:r>
      <w:r w:rsidR="000F1223" w:rsidRPr="006D3C55">
        <w:t xml:space="preserve">in line with the </w:t>
      </w:r>
      <w:r w:rsidR="00DC1FA2">
        <w:t xml:space="preserve">range </w:t>
      </w:r>
      <w:r w:rsidR="000F1223" w:rsidRPr="006D3C55">
        <w:t xml:space="preserve">for </w:t>
      </w:r>
      <w:r w:rsidR="007A7E2E">
        <w:t xml:space="preserve">the period </w:t>
      </w:r>
      <w:r w:rsidR="002036E2" w:rsidRPr="006D3C55">
        <w:t>20</w:t>
      </w:r>
      <w:r w:rsidR="002036E2">
        <w:t>2</w:t>
      </w:r>
      <w:r w:rsidR="000375D9">
        <w:t>0</w:t>
      </w:r>
      <w:r w:rsidR="00DB7DA0">
        <w:rPr>
          <w:rFonts w:ascii="Calibri" w:hAnsi="Calibri" w:cs="Calibri"/>
        </w:rPr>
        <w:t> </w:t>
      </w:r>
      <w:r w:rsidR="000F1223" w:rsidRPr="006D3C55">
        <w:t>-</w:t>
      </w:r>
      <w:r w:rsidR="00DB7DA0">
        <w:rPr>
          <w:rFonts w:ascii="Calibri" w:hAnsi="Calibri" w:cs="Calibri"/>
        </w:rPr>
        <w:t> </w:t>
      </w:r>
      <w:r w:rsidR="000F1223" w:rsidRPr="006D3C55">
        <w:t>202</w:t>
      </w:r>
      <w:r w:rsidR="00C62E6A">
        <w:t>4</w:t>
      </w:r>
      <w:r w:rsidR="003461F7" w:rsidRPr="006D3C55">
        <w:t xml:space="preserve"> (</w:t>
      </w:r>
      <w:r w:rsidR="00DC1FA2">
        <w:t xml:space="preserve">from </w:t>
      </w:r>
      <w:r w:rsidR="00D01216">
        <w:t>76.6</w:t>
      </w:r>
      <w:r w:rsidR="00F632B4">
        <w:t>% to 100%</w:t>
      </w:r>
      <w:r w:rsidR="003461F7" w:rsidRPr="006D3C55">
        <w:t>)</w:t>
      </w:r>
      <w:r w:rsidR="00197BDC" w:rsidRPr="006D3C55">
        <w:t xml:space="preserve">. </w:t>
      </w:r>
      <w:r w:rsidR="001301C1" w:rsidRPr="006D3C55">
        <w:t>The corresponding expenditure is thus well protected.</w:t>
      </w:r>
    </w:p>
    <w:p w14:paraId="50840F0C" w14:textId="36E83088" w:rsidR="001301C1" w:rsidRPr="006D3C55" w:rsidRDefault="00197BDC" w:rsidP="001301C1">
      <w:pPr>
        <w:pStyle w:val="amprboxheading"/>
      </w:pPr>
      <w:r w:rsidRPr="006D3C55">
        <w:t>For t</w:t>
      </w:r>
      <w:r w:rsidR="001301C1" w:rsidRPr="006D3C55">
        <w:t xml:space="preserve">he </w:t>
      </w:r>
      <w:r w:rsidRPr="006D3C55">
        <w:t xml:space="preserve">single market, innovation and digital and the </w:t>
      </w:r>
      <w:r w:rsidR="001301C1" w:rsidRPr="006D3C55">
        <w:t>cohesion</w:t>
      </w:r>
      <w:r w:rsidR="001A3E4B" w:rsidRPr="006D3C55">
        <w:t>, resilience and values</w:t>
      </w:r>
      <w:r w:rsidR="001301C1" w:rsidRPr="006D3C55">
        <w:t xml:space="preserve"> heading</w:t>
      </w:r>
      <w:r w:rsidRPr="006D3C55">
        <w:t>s, the</w:t>
      </w:r>
      <w:r w:rsidR="001301C1" w:rsidRPr="006D3C55" w:rsidDel="00197BDC">
        <w:t xml:space="preserve"> </w:t>
      </w:r>
      <w:r w:rsidR="001301C1" w:rsidRPr="006D3C55">
        <w:t xml:space="preserve">risk at payment </w:t>
      </w:r>
      <w:r w:rsidRPr="006D3C55">
        <w:t xml:space="preserve">is </w:t>
      </w:r>
      <w:r w:rsidR="001301C1" w:rsidRPr="006D3C55">
        <w:t xml:space="preserve">above 2% and </w:t>
      </w:r>
      <w:r w:rsidRPr="006D3C55">
        <w:t xml:space="preserve">the </w:t>
      </w:r>
      <w:r w:rsidR="001301C1" w:rsidRPr="006D3C55">
        <w:t>risk at closure below 2%. For th</w:t>
      </w:r>
      <w:r w:rsidRPr="006D3C55">
        <w:t>ese</w:t>
      </w:r>
      <w:r w:rsidR="001301C1" w:rsidRPr="006D3C55">
        <w:t xml:space="preserve"> heading</w:t>
      </w:r>
      <w:r w:rsidRPr="006D3C55">
        <w:t>s</w:t>
      </w:r>
      <w:r w:rsidR="001301C1" w:rsidRPr="006D3C55">
        <w:t>, the Commission is continuing its efforts to further reduce the level of risk at the time of payment.</w:t>
      </w:r>
      <w:r w:rsidR="000F1223" w:rsidRPr="006D3C55">
        <w:t xml:space="preserve"> Since the risk at closure is below 2%, this means that the corresponding expenditure </w:t>
      </w:r>
      <w:r w:rsidR="009A3EF7" w:rsidRPr="006D3C55">
        <w:t xml:space="preserve">is </w:t>
      </w:r>
      <w:r w:rsidR="000F1223" w:rsidRPr="006D3C55">
        <w:t xml:space="preserve">ultimately well protected thanks to the </w:t>
      </w:r>
      <w:r w:rsidR="009A3EF7" w:rsidRPr="006D3C55">
        <w:t xml:space="preserve">efforts of the </w:t>
      </w:r>
      <w:r w:rsidR="000F1223" w:rsidRPr="006D3C55">
        <w:t xml:space="preserve">Commission (and Member States) after payment, through controls and </w:t>
      </w:r>
      <w:r w:rsidR="00414F81" w:rsidRPr="006D3C55">
        <w:t>ensuing</w:t>
      </w:r>
      <w:r w:rsidR="000F1223" w:rsidRPr="006D3C55">
        <w:t xml:space="preserve"> corrections.</w:t>
      </w:r>
    </w:p>
    <w:p w14:paraId="7F21A163" w14:textId="77777777" w:rsidR="002B574E" w:rsidRDefault="002B574E">
      <w:pPr>
        <w:suppressAutoHyphens w:val="0"/>
      </w:pPr>
      <w:r>
        <w:br w:type="page"/>
      </w:r>
    </w:p>
    <w:p w14:paraId="75422017" w14:textId="15552964" w:rsidR="001301C1" w:rsidRPr="006D3C55" w:rsidRDefault="001301C1" w:rsidP="001301C1">
      <w:r w:rsidRPr="006D3C55">
        <w:t xml:space="preserve">To allow for comparability and to have an overview, the information is presented </w:t>
      </w:r>
      <w:r w:rsidR="00BD10D3" w:rsidRPr="006D3C55">
        <w:t xml:space="preserve">below </w:t>
      </w:r>
      <w:r w:rsidR="00D52AEC" w:rsidRPr="006D3C55">
        <w:t xml:space="preserve">per </w:t>
      </w:r>
      <w:r w:rsidRPr="006D3C55">
        <w:t xml:space="preserve">risk </w:t>
      </w:r>
      <w:r w:rsidR="00D52AEC" w:rsidRPr="006D3C55">
        <w:t>category</w:t>
      </w:r>
      <w:r w:rsidRPr="006D3C55">
        <w:t xml:space="preserve"> (low, medium or high</w:t>
      </w:r>
      <w:r w:rsidR="000F1223" w:rsidRPr="006D3C55">
        <w:t>) for each heading (</w:t>
      </w:r>
      <w:r w:rsidRPr="006D3C55">
        <w:t>see Section</w:t>
      </w:r>
      <w:r w:rsidRPr="006D3C55">
        <w:rPr>
          <w:rFonts w:ascii="Calibri" w:hAnsi="Calibri" w:cs="Calibri"/>
        </w:rPr>
        <w:t> </w:t>
      </w:r>
      <w:r w:rsidRPr="006D3C55">
        <w:t>2.1.2)</w:t>
      </w:r>
      <w:r w:rsidR="00D52AEC" w:rsidRPr="006D3C55">
        <w:t xml:space="preserve"> </w:t>
      </w:r>
      <w:r w:rsidRPr="006D3C55">
        <w:t>and for the entire Commission.</w:t>
      </w:r>
    </w:p>
    <w:p w14:paraId="04D5FF4E" w14:textId="123FE220" w:rsidR="001301C1" w:rsidRPr="006D3C55" w:rsidRDefault="001301C1" w:rsidP="001301C1">
      <w:pPr>
        <w:pStyle w:val="ImageTitle"/>
      </w:pPr>
      <w:r w:rsidRPr="006D3C55">
        <w:t>Overview of expenditure per risk category</w:t>
      </w:r>
      <w:r w:rsidR="000F1223" w:rsidRPr="006D3C55">
        <w:t xml:space="preserve"> for the entire Commission</w:t>
      </w:r>
    </w:p>
    <w:p w14:paraId="20B00B03" w14:textId="6A6A1FAF" w:rsidR="001301C1" w:rsidRPr="006D3C55" w:rsidRDefault="00C02A7E" w:rsidP="001301C1">
      <w:pPr>
        <w:pStyle w:val="ImagePlaceholder"/>
        <w:rPr>
          <w:noProof w:val="0"/>
          <w:highlight w:val="lightGray"/>
        </w:rPr>
      </w:pPr>
      <w:r w:rsidRPr="00C02A7E">
        <w:rPr>
          <w:highlight w:val="lightGray"/>
        </w:rPr>
        <w:drawing>
          <wp:inline distT="0" distB="0" distL="0" distR="0" wp14:anchorId="35111A30" wp14:editId="13C4FBAA">
            <wp:extent cx="5759450" cy="2521585"/>
            <wp:effectExtent l="0" t="0" r="0" b="0"/>
            <wp:docPr id="212237223" name="Picture 25" descr="The graph represents the expenditure per risk category (Low risk, medium risk and high risk) in percentage for the years 2025, 2024 and 2023.&#10;For 2025:  Low risk 58.6%, Medium risk 25.2%, High risk 16.2%.&#10;For 2024 Low risk 54.7%, Medium risk 24.5% and High risk 20.8%.&#10;For 2023: Low risk 66.5%, Medium risk 9.2% and High risk 24.2%.">
              <a:extLst xmlns:a="http://schemas.openxmlformats.org/drawingml/2006/main">
                <a:ext uri="{FF2B5EF4-FFF2-40B4-BE49-F238E27FC236}">
                  <a16:creationId xmlns:a16="http://schemas.microsoft.com/office/drawing/2014/main" id="{10317A70-5258-D217-5AF3-57C27BCA1C3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237223" name="Picture 25" descr="The graph represents the expenditure per risk category (Low risk, medium risk and high risk) in percentage for the years 2025, 2024 and 2023.&#10;For 2025:  Low risk 58.6%, Medium risk 25.2%, High risk 16.2%.&#10;For 2024 Low risk 54.7%, Medium risk 24.5% and High risk 20.8%.&#10;For 2023: Low risk 66.5%, Medium risk 9.2% and High risk 24.2%.">
                      <a:extLst>
                        <a:ext uri="{FF2B5EF4-FFF2-40B4-BE49-F238E27FC236}">
                          <a16:creationId xmlns:a16="http://schemas.microsoft.com/office/drawing/2014/main" id="{10317A70-5258-D217-5AF3-57C27BCA1C34}"/>
                        </a:ext>
                      </a:extLst>
                    </pic:cNvPr>
                    <pic:cNvPicPr>
                      <a:picLocks noChangeAspect="1"/>
                    </pic:cNvPicPr>
                  </pic:nvPicPr>
                  <pic:blipFill>
                    <a:blip r:embed="rId70"/>
                    <a:srcRect l="5416" t="3546" r="8288" b="6200"/>
                    <a:stretch>
                      <a:fillRect/>
                    </a:stretch>
                  </pic:blipFill>
                  <pic:spPr>
                    <a:xfrm>
                      <a:off x="0" y="0"/>
                      <a:ext cx="5759450" cy="2521585"/>
                    </a:xfrm>
                    <a:prstGeom prst="rect">
                      <a:avLst/>
                    </a:prstGeom>
                  </pic:spPr>
                </pic:pic>
              </a:graphicData>
            </a:graphic>
          </wp:inline>
        </w:drawing>
      </w:r>
    </w:p>
    <w:p w14:paraId="1CA323FF" w14:textId="25D7254B" w:rsidR="001301C1" w:rsidRPr="006D3C55" w:rsidRDefault="001301C1" w:rsidP="00C53526">
      <w:pPr>
        <w:pStyle w:val="ImageSource"/>
        <w:spacing w:before="120"/>
      </w:pPr>
      <w:r w:rsidRPr="00C11B0A">
        <w:rPr>
          <w:rStyle w:val="Italic"/>
        </w:rPr>
        <w:t>Source:</w:t>
      </w:r>
      <w:r w:rsidRPr="006D3C55">
        <w:t xml:space="preserve"> European Commission annual activity reports for 202</w:t>
      </w:r>
      <w:r w:rsidR="00F953CB" w:rsidRPr="006D3C55">
        <w:t>5</w:t>
      </w:r>
      <w:r w:rsidRPr="006D3C55">
        <w:t>.</w:t>
      </w:r>
    </w:p>
    <w:p w14:paraId="7513C365" w14:textId="741539F3" w:rsidR="00213918" w:rsidRPr="00525073" w:rsidRDefault="00213918" w:rsidP="00213918">
      <w:pPr>
        <w:pStyle w:val="Heading5"/>
      </w:pPr>
      <w:bookmarkStart w:id="41" w:name="_Hlk230705108"/>
      <w:r w:rsidRPr="00525073">
        <w:t>Preventive and corrective measures</w:t>
      </w:r>
    </w:p>
    <w:p w14:paraId="39A8A010" w14:textId="24BF0F33" w:rsidR="001301C1" w:rsidRPr="006D3C55" w:rsidRDefault="001301C1" w:rsidP="001301C1">
      <w:r w:rsidRPr="006D3C55">
        <w:t xml:space="preserve">This new approach </w:t>
      </w:r>
      <w:r w:rsidR="00CE6FA6" w:rsidRPr="006D3C55">
        <w:t xml:space="preserve">to </w:t>
      </w:r>
      <w:r w:rsidR="002C6DB3" w:rsidRPr="006D3C55">
        <w:t xml:space="preserve">assurance on performance-based payments </w:t>
      </w:r>
      <w:r w:rsidRPr="006D3C55">
        <w:t>has no impact on preventive and corrective measures that continue to be applied.</w:t>
      </w:r>
    </w:p>
    <w:p w14:paraId="15116905" w14:textId="53446B83" w:rsidR="001301C1" w:rsidRPr="006D3C55" w:rsidRDefault="001301C1" w:rsidP="001301C1">
      <w:pPr>
        <w:pStyle w:val="amprboxtext"/>
      </w:pPr>
      <w:r w:rsidRPr="006D3C55">
        <w:rPr>
          <w:rStyle w:val="Bold"/>
        </w:rPr>
        <w:t>Total</w:t>
      </w:r>
      <w:r w:rsidRPr="006D5CEC">
        <w:rPr>
          <w:rStyle w:val="Bold"/>
        </w:rPr>
        <w:t xml:space="preserve"> </w:t>
      </w:r>
      <w:r w:rsidRPr="006D3C55">
        <w:rPr>
          <w:rStyle w:val="Bold"/>
        </w:rPr>
        <w:t>preventive</w:t>
      </w:r>
      <w:r w:rsidRPr="006D5CEC">
        <w:rPr>
          <w:rStyle w:val="Bold"/>
        </w:rPr>
        <w:t xml:space="preserve"> </w:t>
      </w:r>
      <w:r w:rsidRPr="006D3C55">
        <w:rPr>
          <w:rStyle w:val="Bold"/>
        </w:rPr>
        <w:t>and</w:t>
      </w:r>
      <w:r w:rsidRPr="006D5CEC">
        <w:rPr>
          <w:rStyle w:val="Bold"/>
        </w:rPr>
        <w:t xml:space="preserve"> </w:t>
      </w:r>
      <w:r w:rsidRPr="006D3C55">
        <w:rPr>
          <w:rStyle w:val="Bold"/>
        </w:rPr>
        <w:t>corrective</w:t>
      </w:r>
      <w:r w:rsidRPr="006D5CEC">
        <w:rPr>
          <w:rStyle w:val="Bold"/>
        </w:rPr>
        <w:t xml:space="preserve"> </w:t>
      </w:r>
      <w:r w:rsidRPr="006D3C55">
        <w:rPr>
          <w:rStyle w:val="Bold"/>
        </w:rPr>
        <w:t>measures</w:t>
      </w:r>
      <w:r w:rsidRPr="006D3C55">
        <w:t xml:space="preserve"> (Commission and Member States)</w:t>
      </w:r>
      <w:r w:rsidRPr="006D5CEC">
        <w:t>:</w:t>
      </w:r>
      <w:r w:rsidRPr="006D3C55">
        <w:t xml:space="preserve"> </w:t>
      </w:r>
      <w:r w:rsidRPr="006D3C55">
        <w:rPr>
          <w:rFonts w:asciiTheme="minorHAnsi" w:hAnsiTheme="minorHAnsi"/>
        </w:rPr>
        <w:t>EUR</w:t>
      </w:r>
      <w:r w:rsidRPr="006D3C55">
        <w:rPr>
          <w:rFonts w:ascii="Calibri" w:hAnsi="Calibri" w:cs="Calibri"/>
        </w:rPr>
        <w:t> </w:t>
      </w:r>
      <w:r w:rsidR="006F73FB" w:rsidRPr="006C6C8F">
        <w:rPr>
          <w:rFonts w:asciiTheme="minorHAnsi" w:hAnsiTheme="minorHAnsi" w:cs="Calibri"/>
        </w:rPr>
        <w:t>9.</w:t>
      </w:r>
      <w:r w:rsidR="0012046D">
        <w:rPr>
          <w:rFonts w:asciiTheme="minorHAnsi" w:hAnsiTheme="minorHAnsi" w:cs="Calibri"/>
        </w:rPr>
        <w:t>0</w:t>
      </w:r>
      <w:r w:rsidRPr="006D3C55">
        <w:rPr>
          <w:rFonts w:ascii="Calibri" w:hAnsi="Calibri" w:cs="Calibri"/>
        </w:rPr>
        <w:t> </w:t>
      </w:r>
      <w:r w:rsidRPr="006D3C55">
        <w:rPr>
          <w:rFonts w:asciiTheme="minorHAnsi" w:hAnsiTheme="minorHAnsi"/>
        </w:rPr>
        <w:t>billion</w:t>
      </w:r>
      <w:r w:rsidRPr="006D3C55">
        <w:t xml:space="preserve"> (</w:t>
      </w:r>
      <w:r w:rsidR="00986397" w:rsidRPr="006D3C55">
        <w:t xml:space="preserve">2024: </w:t>
      </w:r>
      <w:r w:rsidRPr="006D3C55">
        <w:t>EUR</w:t>
      </w:r>
      <w:r w:rsidRPr="006D3C55">
        <w:rPr>
          <w:rFonts w:ascii="Calibri" w:hAnsi="Calibri" w:cs="Calibri"/>
        </w:rPr>
        <w:t> </w:t>
      </w:r>
      <w:r w:rsidRPr="006D3C55">
        <w:t>2.</w:t>
      </w:r>
      <w:r w:rsidR="0012046D">
        <w:t>7</w:t>
      </w:r>
      <w:r w:rsidRPr="006D3C55">
        <w:rPr>
          <w:rFonts w:ascii="Calibri" w:hAnsi="Calibri" w:cs="Calibri"/>
        </w:rPr>
        <w:t> </w:t>
      </w:r>
      <w:r w:rsidRPr="006D3C55">
        <w:t>billion).</w:t>
      </w:r>
    </w:p>
    <w:p w14:paraId="62E058F8" w14:textId="4D75157C" w:rsidR="00A95F8F" w:rsidRPr="006D3C55" w:rsidRDefault="008F2883" w:rsidP="001301C1">
      <w:pPr>
        <w:pStyle w:val="amprboxtext"/>
      </w:pPr>
      <w:r w:rsidRPr="00AC785E">
        <w:rPr>
          <w:rStyle w:val="Bold"/>
          <w:b w:val="0"/>
        </w:rPr>
        <w:t xml:space="preserve">This increase </w:t>
      </w:r>
      <w:r w:rsidR="00F923C9">
        <w:rPr>
          <w:rStyle w:val="Bold"/>
          <w:b w:val="0"/>
        </w:rPr>
        <w:t xml:space="preserve">relates to </w:t>
      </w:r>
      <w:r w:rsidRPr="00AC785E">
        <w:rPr>
          <w:rStyle w:val="Bold"/>
          <w:b w:val="0"/>
        </w:rPr>
        <w:t xml:space="preserve">cohesion </w:t>
      </w:r>
      <w:r w:rsidR="00F923C9">
        <w:rPr>
          <w:rStyle w:val="Bold"/>
          <w:b w:val="0"/>
        </w:rPr>
        <w:t xml:space="preserve">policy funds </w:t>
      </w:r>
      <w:r w:rsidRPr="00AC785E">
        <w:rPr>
          <w:rStyle w:val="Bold"/>
          <w:b w:val="0"/>
        </w:rPr>
        <w:t xml:space="preserve">and is mostly due to the corrections made </w:t>
      </w:r>
      <w:r w:rsidR="003D6779">
        <w:rPr>
          <w:rStyle w:val="Bold"/>
          <w:b w:val="0"/>
        </w:rPr>
        <w:t>t</w:t>
      </w:r>
      <w:r w:rsidRPr="00AC785E">
        <w:rPr>
          <w:rStyle w:val="Bold"/>
          <w:b w:val="0"/>
        </w:rPr>
        <w:t xml:space="preserve">o the </w:t>
      </w:r>
      <w:r w:rsidR="00F85406" w:rsidRPr="00FF0AD7">
        <w:rPr>
          <w:rStyle w:val="Bold"/>
          <w:b w:val="0"/>
        </w:rPr>
        <w:t xml:space="preserve">2014-2020 </w:t>
      </w:r>
      <w:r w:rsidRPr="00AC785E">
        <w:rPr>
          <w:rStyle w:val="Bold"/>
          <w:b w:val="0"/>
        </w:rPr>
        <w:t>programmes</w:t>
      </w:r>
      <w:r w:rsidR="00F85406">
        <w:rPr>
          <w:rStyle w:val="Bold"/>
          <w:b w:val="0"/>
        </w:rPr>
        <w:t>,</w:t>
      </w:r>
      <w:r w:rsidRPr="00AC785E">
        <w:rPr>
          <w:rStyle w:val="Bold"/>
          <w:b w:val="0"/>
        </w:rPr>
        <w:t xml:space="preserve"> </w:t>
      </w:r>
      <w:r w:rsidR="007054BB">
        <w:rPr>
          <w:rStyle w:val="Bold"/>
          <w:b w:val="0"/>
        </w:rPr>
        <w:t xml:space="preserve">for which </w:t>
      </w:r>
      <w:r w:rsidRPr="00AC785E">
        <w:rPr>
          <w:rStyle w:val="Bold"/>
          <w:b w:val="0"/>
        </w:rPr>
        <w:t xml:space="preserve">final accounts </w:t>
      </w:r>
      <w:r w:rsidR="007054BB">
        <w:rPr>
          <w:rStyle w:val="Bold"/>
          <w:b w:val="0"/>
        </w:rPr>
        <w:t>were</w:t>
      </w:r>
      <w:r w:rsidR="000444D5">
        <w:rPr>
          <w:rStyle w:val="Bold"/>
          <w:b w:val="0"/>
        </w:rPr>
        <w:t xml:space="preserve"> </w:t>
      </w:r>
      <w:r>
        <w:rPr>
          <w:rStyle w:val="Bold"/>
          <w:b w:val="0"/>
        </w:rPr>
        <w:t>submitted</w:t>
      </w:r>
      <w:r w:rsidRPr="008F2883">
        <w:rPr>
          <w:rStyle w:val="Bold"/>
          <w:b w:val="0"/>
        </w:rPr>
        <w:t xml:space="preserve"> and taken into </w:t>
      </w:r>
      <w:r w:rsidRPr="00AC785E">
        <w:rPr>
          <w:rStyle w:val="Bold"/>
          <w:b w:val="0"/>
        </w:rPr>
        <w:t>account in the financial year 2025</w:t>
      </w:r>
      <w:r w:rsidR="00C53F6F">
        <w:rPr>
          <w:rStyle w:val="Bold"/>
          <w:b w:val="0"/>
        </w:rPr>
        <w:t>.</w:t>
      </w:r>
    </w:p>
    <w:p w14:paraId="277426AA" w14:textId="1902ED47" w:rsidR="000C4FFF" w:rsidRPr="006D3C55" w:rsidRDefault="000C4FFF" w:rsidP="001301C1">
      <w:pPr>
        <w:pStyle w:val="amprboxtext"/>
      </w:pPr>
      <w:r w:rsidRPr="006D3C55">
        <w:rPr>
          <w:rStyle w:val="Bold"/>
          <w:b w:val="0"/>
          <w:bCs/>
        </w:rPr>
        <w:t xml:space="preserve">See </w:t>
      </w:r>
      <w:r w:rsidR="002C7474" w:rsidRPr="006D3C55">
        <w:rPr>
          <w:rStyle w:val="Bold"/>
          <w:b w:val="0"/>
          <w:bCs/>
        </w:rPr>
        <w:t>S</w:t>
      </w:r>
      <w:r w:rsidRPr="006D3C55">
        <w:rPr>
          <w:rStyle w:val="Bold"/>
          <w:b w:val="0"/>
          <w:bCs/>
        </w:rPr>
        <w:t>ection</w:t>
      </w:r>
      <w:r w:rsidR="002C7474" w:rsidRPr="006D3C55">
        <w:rPr>
          <w:rStyle w:val="Bold"/>
          <w:rFonts w:ascii="Calibri" w:hAnsi="Calibri" w:cs="Calibri"/>
          <w:b w:val="0"/>
          <w:bCs/>
        </w:rPr>
        <w:t> </w:t>
      </w:r>
      <w:r w:rsidRPr="006D3C55">
        <w:rPr>
          <w:rStyle w:val="Bold"/>
          <w:b w:val="0"/>
          <w:bCs/>
        </w:rPr>
        <w:t xml:space="preserve">2.1.3 </w:t>
      </w:r>
      <w:r w:rsidR="00590AB6">
        <w:rPr>
          <w:rStyle w:val="Bold"/>
          <w:b w:val="0"/>
          <w:bCs/>
        </w:rPr>
        <w:t>below</w:t>
      </w:r>
      <w:r w:rsidR="0060327F">
        <w:rPr>
          <w:rStyle w:val="Bold"/>
          <w:b w:val="0"/>
          <w:bCs/>
        </w:rPr>
        <w:t>,</w:t>
      </w:r>
      <w:r w:rsidRPr="006D3C55">
        <w:rPr>
          <w:rStyle w:val="Bold"/>
          <w:b w:val="0"/>
          <w:bCs/>
        </w:rPr>
        <w:t xml:space="preserve"> </w:t>
      </w:r>
      <w:r w:rsidR="0060327F" w:rsidRPr="001D6934">
        <w:rPr>
          <w:rStyle w:val="Bold"/>
          <w:b w:val="0"/>
        </w:rPr>
        <w:t xml:space="preserve">heading </w:t>
      </w:r>
      <w:r w:rsidR="0060327F">
        <w:rPr>
          <w:rStyle w:val="Bold"/>
          <w:b w:val="0"/>
        </w:rPr>
        <w:t>‘</w:t>
      </w:r>
      <w:r w:rsidR="0060327F" w:rsidRPr="001D6934">
        <w:rPr>
          <w:rStyle w:val="Bold"/>
          <w:b w:val="0"/>
        </w:rPr>
        <w:t>cohesion, resilience and values</w:t>
      </w:r>
      <w:r w:rsidR="0060327F">
        <w:rPr>
          <w:rStyle w:val="Bold"/>
          <w:b w:val="0"/>
        </w:rPr>
        <w:t>’,</w:t>
      </w:r>
      <w:r w:rsidRPr="006D3C55">
        <w:rPr>
          <w:rStyle w:val="Bold"/>
          <w:b w:val="0"/>
          <w:bCs/>
        </w:rPr>
        <w:t xml:space="preserve"> and </w:t>
      </w:r>
      <w:r w:rsidR="00F10FF9">
        <w:t>Volume</w:t>
      </w:r>
      <w:r w:rsidR="00F10FF9">
        <w:rPr>
          <w:rFonts w:ascii="Calibri" w:hAnsi="Calibri" w:cs="Calibri"/>
        </w:rPr>
        <w:t> </w:t>
      </w:r>
      <w:r w:rsidR="00F10FF9">
        <w:t xml:space="preserve">III, </w:t>
      </w:r>
      <w:r w:rsidRPr="006D3C55">
        <w:rPr>
          <w:rStyle w:val="Bold"/>
          <w:b w:val="0"/>
          <w:bCs/>
        </w:rPr>
        <w:t>Annex</w:t>
      </w:r>
      <w:r w:rsidR="002C7474" w:rsidRPr="006D3C55">
        <w:rPr>
          <w:rStyle w:val="Bold"/>
          <w:rFonts w:ascii="Calibri" w:hAnsi="Calibri" w:cs="Calibri"/>
          <w:b w:val="0"/>
          <w:bCs/>
        </w:rPr>
        <w:t> </w:t>
      </w:r>
      <w:r w:rsidRPr="006D3C55">
        <w:rPr>
          <w:rStyle w:val="Bold"/>
          <w:b w:val="0"/>
          <w:bCs/>
        </w:rPr>
        <w:t xml:space="preserve">5, </w:t>
      </w:r>
      <w:r w:rsidR="002C7474" w:rsidRPr="006D3C55">
        <w:rPr>
          <w:rStyle w:val="Bold"/>
          <w:b w:val="0"/>
          <w:bCs/>
        </w:rPr>
        <w:t>S</w:t>
      </w:r>
      <w:r w:rsidRPr="006D3C55">
        <w:rPr>
          <w:rStyle w:val="Bold"/>
          <w:b w:val="0"/>
          <w:bCs/>
        </w:rPr>
        <w:t>ection</w:t>
      </w:r>
      <w:r w:rsidR="002C7474" w:rsidRPr="006D3C55">
        <w:rPr>
          <w:rStyle w:val="Bold"/>
          <w:rFonts w:ascii="Calibri" w:hAnsi="Calibri" w:cs="Calibri"/>
          <w:b w:val="0"/>
          <w:bCs/>
        </w:rPr>
        <w:t> </w:t>
      </w:r>
      <w:r w:rsidRPr="006D3C55">
        <w:rPr>
          <w:rStyle w:val="Bold"/>
          <w:b w:val="0"/>
          <w:bCs/>
        </w:rPr>
        <w:t>5.4 for more details.</w:t>
      </w:r>
    </w:p>
    <w:bookmarkEnd w:id="41"/>
    <w:p w14:paraId="7B2832F9" w14:textId="3BCC46BA" w:rsidR="00986397" w:rsidRPr="006D3C55" w:rsidRDefault="001301C1" w:rsidP="001301C1">
      <w:pPr>
        <w:pStyle w:val="amprboxtext"/>
        <w:rPr>
          <w:highlight w:val="lightGray"/>
        </w:rPr>
      </w:pPr>
      <w:r w:rsidRPr="004F29D5">
        <w:rPr>
          <w:rStyle w:val="Bold"/>
        </w:rPr>
        <w:t>Reservations:</w:t>
      </w:r>
      <w:r w:rsidRPr="004F29D5">
        <w:t xml:space="preserve"> </w:t>
      </w:r>
      <w:r w:rsidR="00D94625" w:rsidRPr="004F29D5">
        <w:t>3</w:t>
      </w:r>
      <w:r w:rsidR="004F29D5" w:rsidRPr="004F29D5">
        <w:t>2</w:t>
      </w:r>
      <w:r w:rsidRPr="006D3C55">
        <w:t xml:space="preserve"> (18 in 202</w:t>
      </w:r>
      <w:r w:rsidR="00986397" w:rsidRPr="006D3C55">
        <w:t>4</w:t>
      </w:r>
      <w:r w:rsidRPr="006D3C55">
        <w:t xml:space="preserve">), of which </w:t>
      </w:r>
      <w:r w:rsidR="00D94625" w:rsidRPr="006D3C55">
        <w:t>30</w:t>
      </w:r>
      <w:r w:rsidRPr="006D3C55">
        <w:t xml:space="preserve"> related to expenditure from the EU budget with a total financial impact of EUR</w:t>
      </w:r>
      <w:r w:rsidRPr="006D3C55">
        <w:rPr>
          <w:rFonts w:ascii="Calibri" w:hAnsi="Calibri" w:cs="Calibri"/>
        </w:rPr>
        <w:t> </w:t>
      </w:r>
      <w:r w:rsidR="00D94625" w:rsidRPr="006D3C55">
        <w:t>867</w:t>
      </w:r>
      <w:r w:rsidRPr="006D3C55">
        <w:rPr>
          <w:rFonts w:ascii="Calibri" w:hAnsi="Calibri" w:cs="Calibri"/>
        </w:rPr>
        <w:t> </w:t>
      </w:r>
      <w:r w:rsidRPr="006D3C55">
        <w:t>million (</w:t>
      </w:r>
      <w:r w:rsidR="00D328F3" w:rsidRPr="006D3C55">
        <w:t xml:space="preserve">17 and </w:t>
      </w:r>
      <w:r w:rsidRPr="006D3C55">
        <w:t>EUR</w:t>
      </w:r>
      <w:r w:rsidRPr="006D3C55">
        <w:rPr>
          <w:rFonts w:ascii="Calibri" w:hAnsi="Calibri" w:cs="Calibri"/>
        </w:rPr>
        <w:t> </w:t>
      </w:r>
      <w:r w:rsidRPr="006D3C55">
        <w:t>330.9</w:t>
      </w:r>
      <w:r w:rsidRPr="006D3C55">
        <w:rPr>
          <w:rFonts w:ascii="Calibri" w:hAnsi="Calibri" w:cs="Calibri"/>
        </w:rPr>
        <w:t> </w:t>
      </w:r>
      <w:r w:rsidRPr="006D3C55">
        <w:t>million in 202</w:t>
      </w:r>
      <w:r w:rsidR="00986397" w:rsidRPr="006D3C55">
        <w:t>4</w:t>
      </w:r>
      <w:r w:rsidRPr="006D3C55">
        <w:t xml:space="preserve">) and </w:t>
      </w:r>
      <w:r w:rsidR="004F29D5">
        <w:t>two</w:t>
      </w:r>
      <w:r w:rsidRPr="006D3C55">
        <w:t xml:space="preserve"> related to expenditure from the Resilience and Recovery Facility with a financial impact of EUR</w:t>
      </w:r>
      <w:r w:rsidRPr="006D3C55">
        <w:rPr>
          <w:rFonts w:ascii="Calibri" w:hAnsi="Calibri" w:cs="Calibri"/>
        </w:rPr>
        <w:t> </w:t>
      </w:r>
      <w:r w:rsidR="00AB5C52">
        <w:t>343</w:t>
      </w:r>
      <w:r w:rsidR="00AB5C52">
        <w:rPr>
          <w:rFonts w:ascii="Calibri" w:hAnsi="Calibri" w:cs="Calibri"/>
        </w:rPr>
        <w:t> </w:t>
      </w:r>
      <w:r w:rsidRPr="006D3C55">
        <w:t>million</w:t>
      </w:r>
      <w:r w:rsidR="001C6D18" w:rsidRPr="006D3C55">
        <w:t xml:space="preserve"> (</w:t>
      </w:r>
      <w:r w:rsidRPr="006D3C55">
        <w:rPr>
          <w:rFonts w:asciiTheme="minorHAnsi" w:hAnsiTheme="minorHAnsi"/>
        </w:rPr>
        <w:t>EUR</w:t>
      </w:r>
      <w:r w:rsidRPr="006D3C55">
        <w:rPr>
          <w:rFonts w:ascii="Calibri" w:hAnsi="Calibri" w:cs="Calibri"/>
        </w:rPr>
        <w:t> </w:t>
      </w:r>
      <w:r w:rsidRPr="006D3C55">
        <w:rPr>
          <w:rFonts w:asciiTheme="minorHAnsi" w:hAnsiTheme="minorHAnsi" w:cs="Calibri"/>
        </w:rPr>
        <w:t>17.5</w:t>
      </w:r>
      <w:r w:rsidRPr="006D3C55">
        <w:rPr>
          <w:rFonts w:ascii="Calibri" w:hAnsi="Calibri" w:cs="Calibri"/>
        </w:rPr>
        <w:t> </w:t>
      </w:r>
      <w:r w:rsidRPr="006D3C55">
        <w:rPr>
          <w:rFonts w:asciiTheme="minorHAnsi" w:hAnsiTheme="minorHAnsi" w:cs="Calibri"/>
        </w:rPr>
        <w:t>million</w:t>
      </w:r>
      <w:r w:rsidR="001C6D18" w:rsidRPr="006D3C55">
        <w:rPr>
          <w:rFonts w:asciiTheme="minorHAnsi" w:hAnsiTheme="minorHAnsi" w:cs="Calibri"/>
        </w:rPr>
        <w:t xml:space="preserve"> in 202</w:t>
      </w:r>
      <w:r w:rsidR="003A06A8" w:rsidRPr="006D3C55">
        <w:rPr>
          <w:rFonts w:asciiTheme="minorHAnsi" w:hAnsiTheme="minorHAnsi" w:cs="Calibri"/>
        </w:rPr>
        <w:t>4</w:t>
      </w:r>
      <w:r w:rsidR="001C6D18" w:rsidRPr="006D3C55">
        <w:rPr>
          <w:rFonts w:asciiTheme="minorHAnsi" w:hAnsiTheme="minorHAnsi" w:cs="Calibri"/>
        </w:rPr>
        <w:t>)</w:t>
      </w:r>
      <w:r w:rsidRPr="006D3C55">
        <w:t>.</w:t>
      </w:r>
    </w:p>
    <w:p w14:paraId="57F6AB2C" w14:textId="4340C9EC" w:rsidR="001301C1" w:rsidRPr="006D3C55" w:rsidRDefault="001301C1" w:rsidP="001301C1">
      <w:pPr>
        <w:pStyle w:val="amprboxtext"/>
      </w:pPr>
      <w:r w:rsidRPr="006D3C55">
        <w:t>See Section</w:t>
      </w:r>
      <w:r w:rsidRPr="006D3C55">
        <w:rPr>
          <w:rFonts w:ascii="Calibri" w:hAnsi="Calibri" w:cs="Calibri"/>
        </w:rPr>
        <w:t> </w:t>
      </w:r>
      <w:r w:rsidRPr="006D3C55">
        <w:t>3.1</w:t>
      </w:r>
      <w:r>
        <w:rPr>
          <w:rStyle w:val="Bold"/>
          <w:b w:val="0"/>
        </w:rPr>
        <w:t xml:space="preserve"> </w:t>
      </w:r>
      <w:r w:rsidR="00590AB6">
        <w:rPr>
          <w:rStyle w:val="Bold"/>
          <w:b w:val="0"/>
          <w:bCs/>
        </w:rPr>
        <w:t>below</w:t>
      </w:r>
      <w:r w:rsidRPr="006D3C55">
        <w:t xml:space="preserve"> and </w:t>
      </w:r>
      <w:r w:rsidR="00F10FF9">
        <w:t>Volume</w:t>
      </w:r>
      <w:r w:rsidR="00F10FF9">
        <w:rPr>
          <w:rFonts w:ascii="Calibri" w:hAnsi="Calibri" w:cs="Calibri"/>
        </w:rPr>
        <w:t> </w:t>
      </w:r>
      <w:r w:rsidR="00F10FF9">
        <w:t xml:space="preserve">III, </w:t>
      </w:r>
      <w:r w:rsidRPr="006D3C55">
        <w:t>Annex</w:t>
      </w:r>
      <w:r w:rsidRPr="006D3C55">
        <w:rPr>
          <w:rFonts w:ascii="Calibri" w:hAnsi="Calibri" w:cs="Calibri"/>
        </w:rPr>
        <w:t> </w:t>
      </w:r>
      <w:r w:rsidRPr="006D3C55">
        <w:t>5, Section</w:t>
      </w:r>
      <w:r w:rsidRPr="006D3C55">
        <w:rPr>
          <w:rFonts w:ascii="Calibri" w:hAnsi="Calibri" w:cs="Calibri"/>
        </w:rPr>
        <w:t> </w:t>
      </w:r>
      <w:r w:rsidRPr="006D3C55">
        <w:t>5.3 for more details.</w:t>
      </w:r>
    </w:p>
    <w:p w14:paraId="14C19E35" w14:textId="77777777" w:rsidR="002B574E" w:rsidRDefault="002B574E">
      <w:pPr>
        <w:suppressAutoHyphens w:val="0"/>
        <w:rPr>
          <w:rFonts w:eastAsia="EC Square Sans Pro"/>
          <w:color w:val="003399" w:themeColor="text2"/>
          <w:sz w:val="28"/>
          <w:szCs w:val="21"/>
          <w:lang w:eastAsia="zh-CN"/>
        </w:rPr>
      </w:pPr>
      <w:bookmarkStart w:id="42" w:name="_Hlk133829656"/>
      <w:r>
        <w:br w:type="page"/>
      </w:r>
    </w:p>
    <w:p w14:paraId="2D11A654" w14:textId="57AFF7C8" w:rsidR="001301C1" w:rsidRPr="006D3C55" w:rsidRDefault="001301C1" w:rsidP="006D5CEC">
      <w:pPr>
        <w:pStyle w:val="HNum-fromh2Heading4-111"/>
      </w:pPr>
      <w:r w:rsidRPr="006D3C55">
        <w:t>Control results by lower-, medium- and higher-risk programme segments</w:t>
      </w:r>
    </w:p>
    <w:bookmarkEnd w:id="42"/>
    <w:p w14:paraId="1926BB36" w14:textId="00138543" w:rsidR="001301C1" w:rsidRPr="006D3C55" w:rsidRDefault="001301C1" w:rsidP="001301C1">
      <w:r w:rsidRPr="006D3C55">
        <w:rPr>
          <w:rStyle w:val="Bold"/>
        </w:rPr>
        <w:t>The Commission has reliable, evidence-based information showing the diversified situation of the funds it manages.</w:t>
      </w:r>
      <w:r w:rsidRPr="006D3C55">
        <w:t xml:space="preserve"> It identifies which programmes or segments of expenditure are higher risk, allowing it to efficiently provide its support and address specific weaknesses even for policies that</w:t>
      </w:r>
      <w:r w:rsidR="00A628EE">
        <w:t xml:space="preserve"> are</w:t>
      </w:r>
      <w:r w:rsidRPr="006D3C55">
        <w:t xml:space="preserve"> </w:t>
      </w:r>
      <w:r w:rsidR="0009153F">
        <w:t>generally</w:t>
      </w:r>
      <w:r w:rsidRPr="006D3C55">
        <w:t xml:space="preserve"> lower risk, such as the common agricultural policy.</w:t>
      </w:r>
    </w:p>
    <w:p w14:paraId="7DE8C029" w14:textId="77777777" w:rsidR="001301C1" w:rsidRPr="006D3C55" w:rsidRDefault="001301C1" w:rsidP="001301C1">
      <w:r w:rsidRPr="006D5CEC">
        <w:rPr>
          <w:rStyle w:val="Bold"/>
        </w:rPr>
        <w:t>For cost-based expenditure, the split between the categories of risk is based on the risk at payment</w:t>
      </w:r>
      <w:r w:rsidRPr="006D3C55">
        <w:rPr>
          <w:rFonts w:cs="Calibri"/>
        </w:rPr>
        <w:t xml:space="preserve"> </w:t>
      </w:r>
      <w:r w:rsidRPr="006D3C55">
        <w:t>(i.e. before any future correction is implemented)</w:t>
      </w:r>
      <w:r w:rsidRPr="000D6A88">
        <w:t>:</w:t>
      </w:r>
      <w:r w:rsidRPr="006D3C55">
        <w:t xml:space="preserve"> lower risk</w:t>
      </w:r>
      <w:r w:rsidRPr="006D3C55">
        <w:rPr>
          <w:rFonts w:ascii="Calibri" w:hAnsi="Calibri" w:cs="Calibri"/>
        </w:rPr>
        <w:t> </w:t>
      </w:r>
      <w:r w:rsidRPr="006D3C55">
        <w:t>– risk at payment below 2.0%; medium risk</w:t>
      </w:r>
      <w:r w:rsidRPr="006D3C55">
        <w:rPr>
          <w:rFonts w:ascii="Calibri" w:hAnsi="Calibri" w:cs="Calibri"/>
        </w:rPr>
        <w:t> </w:t>
      </w:r>
      <w:r w:rsidRPr="006D3C55">
        <w:t>– risk at payment between 2.0% and 2.5%; and higher risk</w:t>
      </w:r>
      <w:r w:rsidRPr="006D3C55">
        <w:rPr>
          <w:rFonts w:ascii="Calibri" w:hAnsi="Calibri" w:cs="Calibri"/>
        </w:rPr>
        <w:t> </w:t>
      </w:r>
      <w:r w:rsidRPr="006D3C55">
        <w:t>– risk at payment above 2.5%. For cohesion, this analysis is also applied at the level of the individual programmes in the Member States.</w:t>
      </w:r>
    </w:p>
    <w:p w14:paraId="6520D1EA" w14:textId="64F875C3" w:rsidR="001301C1" w:rsidRPr="006D3C55" w:rsidRDefault="001301C1" w:rsidP="001301C1">
      <w:r w:rsidRPr="006D3C55">
        <w:rPr>
          <w:rStyle w:val="Bold"/>
        </w:rPr>
        <w:t>P</w:t>
      </w:r>
      <w:r w:rsidRPr="006D5CEC">
        <w:rPr>
          <w:rStyle w:val="Bold"/>
        </w:rPr>
        <w:t xml:space="preserve">erformance-based expenditure is </w:t>
      </w:r>
      <w:r w:rsidR="002C6DB3" w:rsidRPr="006D5CEC">
        <w:rPr>
          <w:rStyle w:val="Bold"/>
        </w:rPr>
        <w:t xml:space="preserve">directly </w:t>
      </w:r>
      <w:r w:rsidRPr="006D3C55">
        <w:rPr>
          <w:rStyle w:val="Bold"/>
        </w:rPr>
        <w:t xml:space="preserve">split between the low-, medium- and high-risk categories according to the assessment </w:t>
      </w:r>
      <w:r w:rsidR="002C6DB3" w:rsidRPr="006D3C55">
        <w:rPr>
          <w:rStyle w:val="Bold"/>
        </w:rPr>
        <w:t xml:space="preserve">made based on methodologies tailored to the </w:t>
      </w:r>
      <w:r w:rsidR="00823E14" w:rsidRPr="006D3C55">
        <w:rPr>
          <w:rStyle w:val="Bold"/>
        </w:rPr>
        <w:t xml:space="preserve">means </w:t>
      </w:r>
      <w:r w:rsidR="002C6DB3" w:rsidRPr="006D3C55">
        <w:rPr>
          <w:rStyle w:val="Bold"/>
        </w:rPr>
        <w:t>of payment</w:t>
      </w:r>
      <w:r w:rsidR="00823E14" w:rsidRPr="006D3C55">
        <w:rPr>
          <w:rStyle w:val="Bold"/>
        </w:rPr>
        <w:t>.</w:t>
      </w:r>
      <w:r w:rsidR="002C6DB3" w:rsidRPr="006D3C55">
        <w:rPr>
          <w:rStyle w:val="Bold"/>
          <w:b w:val="0"/>
        </w:rPr>
        <w:t xml:space="preserve"> </w:t>
      </w:r>
      <w:r w:rsidR="00823E14" w:rsidRPr="00525073">
        <w:t>F</w:t>
      </w:r>
      <w:r w:rsidR="004B0433" w:rsidRPr="00525073">
        <w:t xml:space="preserve">or expenditure under the new delivery model of the </w:t>
      </w:r>
      <w:r w:rsidR="00A25C1F" w:rsidRPr="00525073">
        <w:t xml:space="preserve">2023-2027 </w:t>
      </w:r>
      <w:r w:rsidR="00F45EBA" w:rsidRPr="00525073">
        <w:t>common agricultural policy</w:t>
      </w:r>
      <w:r w:rsidR="004B0433" w:rsidRPr="00525073">
        <w:t xml:space="preserve">, this is based on the assessment of the </w:t>
      </w:r>
      <w:r w:rsidR="002C6DB3" w:rsidRPr="00525073">
        <w:t>f</w:t>
      </w:r>
      <w:r w:rsidRPr="00525073">
        <w:t>unctioning of the systems in the paying agencies</w:t>
      </w:r>
      <w:r w:rsidR="002C6DB3" w:rsidRPr="00525073">
        <w:t>,</w:t>
      </w:r>
      <w:r w:rsidRPr="00525073">
        <w:t xml:space="preserve"> at the intervention level</w:t>
      </w:r>
      <w:r w:rsidR="00043A62" w:rsidRPr="00525073">
        <w:t>.</w:t>
      </w:r>
      <w:r w:rsidR="002C6DB3" w:rsidRPr="00525073">
        <w:t xml:space="preserve"> </w:t>
      </w:r>
      <w:r w:rsidR="00043A62" w:rsidRPr="00525073">
        <w:t>F</w:t>
      </w:r>
      <w:r w:rsidR="002C6DB3" w:rsidRPr="00525073">
        <w:t xml:space="preserve">or expenditure under the </w:t>
      </w:r>
      <w:r w:rsidR="003229F3" w:rsidRPr="00525073">
        <w:t>f</w:t>
      </w:r>
      <w:r w:rsidR="004B0433" w:rsidRPr="00525073">
        <w:t xml:space="preserve">acilities, this is based on the </w:t>
      </w:r>
      <w:r w:rsidR="002C6DB3" w:rsidRPr="00525073">
        <w:t xml:space="preserve">risk assessment of the milestones and targets </w:t>
      </w:r>
      <w:r w:rsidR="004B0433" w:rsidRPr="00525073">
        <w:t xml:space="preserve">(steps) </w:t>
      </w:r>
      <w:r w:rsidR="002C6DB3" w:rsidRPr="00525073">
        <w:t>submitted for payment</w:t>
      </w:r>
      <w:r w:rsidRPr="00525073">
        <w:t>.</w:t>
      </w:r>
      <w:r w:rsidRPr="006D3C55">
        <w:t xml:space="preserve"> As a result, the new approach </w:t>
      </w:r>
      <w:r w:rsidR="004B0433" w:rsidRPr="006D3C55">
        <w:t>maintains or even increases the</w:t>
      </w:r>
      <w:r w:rsidR="002C6DB3" w:rsidRPr="006D3C55">
        <w:t xml:space="preserve"> granularity: in the case of the </w:t>
      </w:r>
      <w:r w:rsidRPr="006D3C55">
        <w:t>common agricultural policy</w:t>
      </w:r>
      <w:r w:rsidR="00043A62" w:rsidRPr="006D3C55">
        <w:t>,</w:t>
      </w:r>
      <w:r w:rsidRPr="006D3C55" w:rsidDel="009A4F2E">
        <w:t xml:space="preserve"> </w:t>
      </w:r>
      <w:r w:rsidR="002C6DB3" w:rsidRPr="006D3C55">
        <w:t>because</w:t>
      </w:r>
      <w:r w:rsidRPr="006D3C55">
        <w:t xml:space="preserve"> information on the weaknesses and deficiencies is at a </w:t>
      </w:r>
      <w:r w:rsidR="006D4C6F" w:rsidRPr="006D3C55">
        <w:t xml:space="preserve">level </w:t>
      </w:r>
      <w:r w:rsidRPr="006D3C55">
        <w:t>lower than paying-agency level</w:t>
      </w:r>
      <w:r w:rsidR="00043A62" w:rsidRPr="006D3C55">
        <w:t>;</w:t>
      </w:r>
      <w:r w:rsidR="002C6DB3" w:rsidRPr="006D3C55">
        <w:t xml:space="preserve"> in the case of the </w:t>
      </w:r>
      <w:r w:rsidR="00043A62" w:rsidRPr="006D3C55">
        <w:t>f</w:t>
      </w:r>
      <w:r w:rsidR="002C6DB3" w:rsidRPr="006D3C55">
        <w:t>acilities, because the information is at the level of each individual payment</w:t>
      </w:r>
      <w:r w:rsidR="006D4C6F" w:rsidRPr="006D3C55">
        <w:t>.</w:t>
      </w:r>
    </w:p>
    <w:p w14:paraId="3721E2F0" w14:textId="7BA4D78C" w:rsidR="001301C1" w:rsidRPr="006D3C55" w:rsidRDefault="001301C1" w:rsidP="00525073">
      <w:pPr>
        <w:pStyle w:val="ImageTitle"/>
      </w:pPr>
      <w:r w:rsidRPr="006D3C55">
        <w:t xml:space="preserve">The European </w:t>
      </w:r>
      <w:r w:rsidRPr="006D3C55" w:rsidDel="00187EC0">
        <w:t>Commission</w:t>
      </w:r>
      <w:r w:rsidRPr="006D3C55" w:rsidDel="007A68D6">
        <w:t>’</w:t>
      </w:r>
      <w:r w:rsidRPr="006D3C55" w:rsidDel="00187EC0">
        <w:t>s</w:t>
      </w:r>
      <w:r w:rsidRPr="006D3C55">
        <w:t xml:space="preserve"> categorisation of expenditure into lower-, medium- and higher-risk segments, as a percentage of the total relevant expenditure for 202</w:t>
      </w:r>
      <w:r w:rsidR="00BD2C23" w:rsidRPr="006D3C55">
        <w:t>5</w:t>
      </w:r>
    </w:p>
    <w:p w14:paraId="2A0BDE5E" w14:textId="044E6EB2" w:rsidR="001301C1" w:rsidRPr="00525073" w:rsidRDefault="00C07199" w:rsidP="001301C1">
      <w:pPr>
        <w:pStyle w:val="ImagePlaceholder"/>
        <w:rPr>
          <w:highlight w:val="lightGray"/>
        </w:rPr>
      </w:pPr>
      <w:r w:rsidRPr="00C07199">
        <w:rPr>
          <w:highlight w:val="lightGray"/>
        </w:rPr>
        <w:drawing>
          <wp:inline distT="0" distB="0" distL="0" distR="0" wp14:anchorId="4FA8EA0E" wp14:editId="4A94D730">
            <wp:extent cx="5759450" cy="4323715"/>
            <wp:effectExtent l="0" t="0" r="0" b="635"/>
            <wp:docPr id="131423365" name="Picture 8" descr="This graph shows a detailed Sankey diagram presenting the European Commission categorisation of expenditure into higher, medium- and lower-risk segments, as percentages of the total of relevant expenditure for 2025 and total amounts. &#10;On the left side of the graph appear the amounts per heading starting by heading 1 Single Market, Innovation and Digital  with 25 billion euros, heading 2 Cohesion, Resilience and Values 54 billion euros, heading 3 Natural Resources and Environment 58 billion euros, heading 4 Migration and Border Management with 3.8 billion euros, heading 5 Security and Defence 0.6 with billion , heading 6 Neighbourhood and the World with 16.4 billion and finally heading 7, European public administration with 8.9 billion. &#10;The graph shows the share of each heading that has been categorized as high-risk expenditure, medium risk expenditure and low risk expenditure and the distribution of amounts per heading. &#10;Totals are the following: 16.2%, which represent 27.1 billion euros were categorized as high risk expenditure; 25.2% which represents 42 billion euros as medium risk  expenditure and 58.6% which represents 97.6 billion euros as lower risk expenditure . &#10;On the lower-risk segment, European public administration represents 8.9 billion euros; Neighbourhood and the world 14.7 billion euros; Security and defence 0.1 billion euros; Migration and border management 3.3 billion euros; Natural resources and environment represent 37.3 billion euros, Cohesion Resilience and values 20.1 billion euros and Single market, innovation and digital 13.1 billion euros. &#10;On the medium risk segment, Neighbourhood and the world represents 1.7 billion euros; Security and defence 0.5 billion euros; Migration and border management 0.1 billion euros; Natural resources and environment represent 11.7 billion euros, Cohesion Resilience and values 25.1 billion euros and Single market, innovation and digital 2.9 billion euros. &#10;On the high-risk segment, Migration and border management represents 0.4 billion euros; Natural resources and environment represent 8.9-billion euros, Cohesion Resilience and values 8.8 billion euros and Single market, innovation and digital 9.0 billion euros. ">
              <a:extLst xmlns:a="http://schemas.openxmlformats.org/drawingml/2006/main">
                <a:ext uri="{FF2B5EF4-FFF2-40B4-BE49-F238E27FC236}">
                  <a16:creationId xmlns:a16="http://schemas.microsoft.com/office/drawing/2014/main" id="{A3D53DCF-62B5-E196-AD03-301385F6097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423365" name="Picture 8" descr="This graph shows a detailed Sankey diagram presenting the European Commission categorisation of expenditure into higher, medium- and lower-risk segments, as percentages of the total of relevant expenditure for 2025 and total amounts. &#10;On the left side of the graph appear the amounts per heading starting by heading 1 Single Market, Innovation and Digital  with 25 billion euros, heading 2 Cohesion, Resilience and Values 54 billion euros, heading 3 Natural Resources and Environment 58 billion euros, heading 4 Migration and Border Management with 3.8 billion euros, heading 5 Security and Defence 0.6 with billion , heading 6 Neighbourhood and the World with 16.4 billion and finally heading 7, European public administration with 8.9 billion. &#10;The graph shows the share of each heading that has been categorized as high-risk expenditure, medium risk expenditure and low risk expenditure and the distribution of amounts per heading. &#10;Totals are the following: 16.2%, which represent 27.1 billion euros were categorized as high risk expenditure; 25.2% which represents 42 billion euros as medium risk  expenditure and 58.6% which represents 97.6 billion euros as lower risk expenditure . &#10;On the lower-risk segment, European public administration represents 8.9 billion euros; Neighbourhood and the world 14.7 billion euros; Security and defence 0.1 billion euros; Migration and border management 3.3 billion euros; Natural resources and environment represent 37.3 billion euros, Cohesion Resilience and values 20.1 billion euros and Single market, innovation and digital 13.1 billion euros. &#10;On the medium risk segment, Neighbourhood and the world represents 1.7 billion euros; Security and defence 0.5 billion euros; Migration and border management 0.1 billion euros; Natural resources and environment represent 11.7 billion euros, Cohesion Resilience and values 25.1 billion euros and Single market, innovation and digital 2.9 billion euros. &#10;On the high-risk segment, Migration and border management represents 0.4 billion euros; Natural resources and environment represent 8.9-billion euros, Cohesion Resilience and values 8.8 billion euros and Single market, innovation and digital 9.0 billion euros. ">
                      <a:extLst>
                        <a:ext uri="{FF2B5EF4-FFF2-40B4-BE49-F238E27FC236}">
                          <a16:creationId xmlns:a16="http://schemas.microsoft.com/office/drawing/2014/main" id="{A3D53DCF-62B5-E196-AD03-301385F60977}"/>
                        </a:ext>
                      </a:extLst>
                    </pic:cNvPr>
                    <pic:cNvPicPr>
                      <a:picLocks noChangeAspect="1"/>
                    </pic:cNvPicPr>
                  </pic:nvPicPr>
                  <pic:blipFill>
                    <a:blip r:embed="rId71"/>
                    <a:srcRect l="2037" r="1665" b="7219"/>
                    <a:stretch>
                      <a:fillRect/>
                    </a:stretch>
                  </pic:blipFill>
                  <pic:spPr>
                    <a:xfrm>
                      <a:off x="0" y="0"/>
                      <a:ext cx="5759450" cy="4323715"/>
                    </a:xfrm>
                    <a:prstGeom prst="rect">
                      <a:avLst/>
                    </a:prstGeom>
                  </pic:spPr>
                </pic:pic>
              </a:graphicData>
            </a:graphic>
          </wp:inline>
        </w:drawing>
      </w:r>
    </w:p>
    <w:p w14:paraId="4BD55293" w14:textId="4522477A" w:rsidR="00BF7033" w:rsidRPr="006D3C55" w:rsidRDefault="00BF7033" w:rsidP="00525073">
      <w:pPr>
        <w:pStyle w:val="ImageSource"/>
        <w:spacing w:before="0" w:after="120"/>
      </w:pPr>
      <w:r w:rsidRPr="006D3C55">
        <w:rPr>
          <w:rStyle w:val="Italic"/>
        </w:rPr>
        <w:t>Source:</w:t>
      </w:r>
      <w:r w:rsidRPr="006D3C55">
        <w:t xml:space="preserve"> European Commission annual activity reports for 2025.</w:t>
      </w:r>
    </w:p>
    <w:p w14:paraId="6F50E4EC" w14:textId="77777777" w:rsidR="006D133B" w:rsidRDefault="006D133B">
      <w:pPr>
        <w:suppressAutoHyphens w:val="0"/>
      </w:pPr>
      <w:r>
        <w:br w:type="page"/>
      </w:r>
    </w:p>
    <w:p w14:paraId="2302F8CC" w14:textId="323B1E75" w:rsidR="007B50B6" w:rsidRPr="006D3C55" w:rsidRDefault="00EC7DC1" w:rsidP="00034DCE">
      <w:r>
        <w:t>In 2025,</w:t>
      </w:r>
      <w:r w:rsidR="005C47BC" w:rsidRPr="006D3C55" w:rsidDel="00EC7DC1">
        <w:t xml:space="preserve"> </w:t>
      </w:r>
      <w:r w:rsidR="005C47BC" w:rsidRPr="006D3C55">
        <w:t xml:space="preserve">the relevant expenditure </w:t>
      </w:r>
      <w:r w:rsidR="002F2B77" w:rsidRPr="00525073">
        <w:t>decrease</w:t>
      </w:r>
      <w:r w:rsidR="00B85728" w:rsidRPr="00525073">
        <w:t>d from</w:t>
      </w:r>
      <w:r w:rsidR="00CC3803" w:rsidRPr="00525073" w:rsidDel="00B85728">
        <w:t xml:space="preserve"> </w:t>
      </w:r>
      <w:r w:rsidR="00EF7CFD" w:rsidRPr="00525073">
        <w:t>EUR</w:t>
      </w:r>
      <w:r w:rsidR="00EF7CFD" w:rsidRPr="006D3C55">
        <w:rPr>
          <w:rFonts w:ascii="Calibri" w:hAnsi="Calibri" w:cs="Calibri"/>
        </w:rPr>
        <w:t> </w:t>
      </w:r>
      <w:r w:rsidR="00B85728" w:rsidRPr="00525073">
        <w:t>179</w:t>
      </w:r>
      <w:r w:rsidR="00EF7CFD" w:rsidRPr="006D3C55">
        <w:rPr>
          <w:rFonts w:ascii="Calibri" w:hAnsi="Calibri" w:cs="Calibri"/>
        </w:rPr>
        <w:t> </w:t>
      </w:r>
      <w:r w:rsidR="00EF7CFD" w:rsidRPr="00525073">
        <w:t xml:space="preserve">billion </w:t>
      </w:r>
      <w:r w:rsidR="00B85728" w:rsidRPr="00525073">
        <w:t>in</w:t>
      </w:r>
      <w:r w:rsidR="00EF7CFD" w:rsidRPr="00525073">
        <w:t xml:space="preserve"> 2024 to </w:t>
      </w:r>
      <w:r w:rsidR="00AC5066" w:rsidRPr="00525073">
        <w:t>EUR</w:t>
      </w:r>
      <w:r w:rsidR="00AC5066" w:rsidRPr="006D3C55">
        <w:rPr>
          <w:rFonts w:ascii="Calibri" w:hAnsi="Calibri" w:cs="Calibri"/>
        </w:rPr>
        <w:t> </w:t>
      </w:r>
      <w:r w:rsidR="00AC5066" w:rsidRPr="00525073">
        <w:t>166</w:t>
      </w:r>
      <w:r w:rsidR="00AE2D5D" w:rsidRPr="00525073">
        <w:t>.</w:t>
      </w:r>
      <w:r w:rsidR="0088113C">
        <w:t>7</w:t>
      </w:r>
      <w:r w:rsidR="00AC5066" w:rsidRPr="006D3C55">
        <w:rPr>
          <w:rFonts w:ascii="Calibri" w:hAnsi="Calibri" w:cs="Calibri"/>
        </w:rPr>
        <w:t> </w:t>
      </w:r>
      <w:r w:rsidR="00AC5066" w:rsidRPr="00525073">
        <w:t xml:space="preserve">billion in </w:t>
      </w:r>
      <w:r w:rsidR="00EF7CFD" w:rsidRPr="00525073">
        <w:t>2025</w:t>
      </w:r>
      <w:r w:rsidR="00C11B0A" w:rsidRPr="00525073">
        <w:t>.</w:t>
      </w:r>
      <w:r w:rsidR="003668BC" w:rsidRPr="00525073">
        <w:t xml:space="preserve"> </w:t>
      </w:r>
      <w:r w:rsidR="00C11B0A">
        <w:t>T</w:t>
      </w:r>
      <w:r w:rsidR="007B50B6" w:rsidRPr="006D3C55">
        <w:t>he</w:t>
      </w:r>
      <w:r w:rsidR="00187362" w:rsidRPr="006D3C55" w:rsidDel="00AC5066">
        <w:t xml:space="preserve"> </w:t>
      </w:r>
      <w:r w:rsidR="00AC5066" w:rsidRPr="006D3C55">
        <w:t xml:space="preserve">share </w:t>
      </w:r>
      <w:r w:rsidR="00187362" w:rsidRPr="006D3C55">
        <w:t>of the respective lower-, medium-, or higher-risk segments remain</w:t>
      </w:r>
      <w:r w:rsidR="00AC5066" w:rsidRPr="006D3C55">
        <w:t>ed</w:t>
      </w:r>
      <w:r w:rsidR="00187362" w:rsidRPr="006D3C55">
        <w:t xml:space="preserve"> stable </w:t>
      </w:r>
      <w:r w:rsidR="00AC5066" w:rsidRPr="006D3C55">
        <w:t>overall</w:t>
      </w:r>
      <w:r w:rsidR="00EF7CFD" w:rsidRPr="006D3C55">
        <w:t xml:space="preserve">, </w:t>
      </w:r>
      <w:r w:rsidR="00F6116C">
        <w:t>with</w:t>
      </w:r>
      <w:r w:rsidR="00EF7CFD" w:rsidRPr="006D3C55">
        <w:t xml:space="preserve"> some changes in the component</w:t>
      </w:r>
      <w:r w:rsidR="00AC5066" w:rsidRPr="006D3C55">
        <w:t>s</w:t>
      </w:r>
      <w:r w:rsidR="00187362" w:rsidRPr="006D3C55">
        <w:t>.</w:t>
      </w:r>
    </w:p>
    <w:p w14:paraId="567158D9" w14:textId="6296DC2A" w:rsidR="001301C1" w:rsidRPr="006D3C55" w:rsidRDefault="001301C1" w:rsidP="004F59DE">
      <w:pPr>
        <w:pStyle w:val="ListBulletorangeLevel1"/>
      </w:pPr>
      <w:r w:rsidRPr="006D5CEC">
        <w:rPr>
          <w:rStyle w:val="Bold"/>
        </w:rPr>
        <w:t>Lower risk.</w:t>
      </w:r>
      <w:r w:rsidRPr="006D3C55">
        <w:t xml:space="preserve"> Expenditure i</w:t>
      </w:r>
      <w:r w:rsidRPr="00525073">
        <w:t>n this category amounted to EUR</w:t>
      </w:r>
      <w:r w:rsidRPr="006D3C55">
        <w:rPr>
          <w:rFonts w:ascii="Calibri" w:hAnsi="Calibri" w:cs="Calibri"/>
        </w:rPr>
        <w:t> </w:t>
      </w:r>
      <w:r w:rsidRPr="00525073">
        <w:t>97.</w:t>
      </w:r>
      <w:r w:rsidR="001D320D" w:rsidRPr="00525073">
        <w:t>6</w:t>
      </w:r>
      <w:r w:rsidR="001D320D" w:rsidRPr="006D3C55">
        <w:rPr>
          <w:rFonts w:ascii="Calibri" w:hAnsi="Calibri" w:cs="Calibri"/>
        </w:rPr>
        <w:t> </w:t>
      </w:r>
      <w:r w:rsidRPr="00525073">
        <w:t xml:space="preserve">billion in </w:t>
      </w:r>
      <w:r w:rsidR="001D320D" w:rsidRPr="00525073">
        <w:t>2025</w:t>
      </w:r>
      <w:r w:rsidR="008F7AFD" w:rsidRPr="00525073">
        <w:t>,</w:t>
      </w:r>
      <w:r w:rsidR="001D320D" w:rsidRPr="00525073">
        <w:t xml:space="preserve"> </w:t>
      </w:r>
      <w:r w:rsidRPr="00523958">
        <w:t>representing 5</w:t>
      </w:r>
      <w:r w:rsidR="001D320D" w:rsidRPr="00523958">
        <w:t>8.6</w:t>
      </w:r>
      <w:r w:rsidRPr="00523958">
        <w:t>% of the total expenditure</w:t>
      </w:r>
      <w:r w:rsidRPr="00525073">
        <w:t xml:space="preserve"> </w:t>
      </w:r>
      <w:r w:rsidR="00F624B3" w:rsidRPr="00525073">
        <w:t>(</w:t>
      </w:r>
      <w:r w:rsidR="001D320D" w:rsidRPr="00525073">
        <w:t>54</w:t>
      </w:r>
      <w:r w:rsidR="007271AD" w:rsidRPr="00525073">
        <w:t>.7%</w:t>
      </w:r>
      <w:r w:rsidRPr="00525073">
        <w:t xml:space="preserve"> in </w:t>
      </w:r>
      <w:r w:rsidR="007271AD" w:rsidRPr="00525073">
        <w:t>2024</w:t>
      </w:r>
      <w:r w:rsidRPr="00525073">
        <w:t xml:space="preserve">). </w:t>
      </w:r>
      <w:r w:rsidR="009C7895" w:rsidRPr="009C7895">
        <w:t>This increase is due to the fact that, under the 2021–2027 programming period, many cohesion programmes present low error rates, since the initial amounts of expenditure declared are generally less error-prone compared to expenditure declared at later stages of implementation</w:t>
      </w:r>
      <w:r w:rsidR="00F20540" w:rsidRPr="00525073">
        <w:t>.</w:t>
      </w:r>
      <w:r w:rsidR="005A3D30">
        <w:t xml:space="preserve"> </w:t>
      </w:r>
      <w:r w:rsidR="00714F83">
        <w:br/>
      </w:r>
      <w:r w:rsidR="00962649" w:rsidRPr="006D3C55">
        <w:t xml:space="preserve">As </w:t>
      </w:r>
      <w:r w:rsidR="004C36ED" w:rsidRPr="006D3C55">
        <w:t xml:space="preserve">in </w:t>
      </w:r>
      <w:r w:rsidR="007E4AC2" w:rsidRPr="006D3C55">
        <w:t>previous</w:t>
      </w:r>
      <w:r w:rsidR="00AC6DB8" w:rsidRPr="006D3C55">
        <w:t xml:space="preserve"> years, this </w:t>
      </w:r>
      <w:r w:rsidRPr="006D3C55">
        <w:t>lower</w:t>
      </w:r>
      <w:r w:rsidR="00962649" w:rsidRPr="006D3C55">
        <w:t>-</w:t>
      </w:r>
      <w:r w:rsidRPr="006D3C55">
        <w:t xml:space="preserve">risk </w:t>
      </w:r>
      <w:r w:rsidRPr="00525073">
        <w:t xml:space="preserve">category </w:t>
      </w:r>
      <w:r w:rsidR="009908A9" w:rsidRPr="00525073">
        <w:t xml:space="preserve">also </w:t>
      </w:r>
      <w:r w:rsidRPr="00525073">
        <w:t>includes the majority</w:t>
      </w:r>
      <w:r w:rsidRPr="00525073" w:rsidDel="005068D2">
        <w:t xml:space="preserve"> </w:t>
      </w:r>
      <w:r w:rsidRPr="00525073">
        <w:t xml:space="preserve">of expenditure managed under the new </w:t>
      </w:r>
      <w:r w:rsidR="00F45EBA" w:rsidRPr="00525073">
        <w:t>common agricultural policy</w:t>
      </w:r>
      <w:r w:rsidR="00F64A30" w:rsidRPr="00525073">
        <w:t xml:space="preserve"> </w:t>
      </w:r>
      <w:r w:rsidR="007E4AC2" w:rsidRPr="00525073">
        <w:t>delivery</w:t>
      </w:r>
      <w:r w:rsidRPr="00525073">
        <w:t xml:space="preserve"> model </w:t>
      </w:r>
      <w:r w:rsidR="006F5EAD" w:rsidRPr="00525073">
        <w:t>(</w:t>
      </w:r>
      <w:r w:rsidR="00A62BE2" w:rsidRPr="00525073">
        <w:t>amount</w:t>
      </w:r>
      <w:r w:rsidR="006F5EAD" w:rsidRPr="00525073">
        <w:t>ing</w:t>
      </w:r>
      <w:r w:rsidR="00A76877" w:rsidRPr="00525073">
        <w:t xml:space="preserve"> to more than EUR</w:t>
      </w:r>
      <w:r w:rsidR="00A76877" w:rsidRPr="006D3C55">
        <w:rPr>
          <w:rFonts w:ascii="Calibri" w:hAnsi="Calibri" w:cs="Calibri"/>
        </w:rPr>
        <w:t> </w:t>
      </w:r>
      <w:r w:rsidR="00A76877" w:rsidRPr="00525073">
        <w:t>31.</w:t>
      </w:r>
      <w:r w:rsidR="00C7156A" w:rsidRPr="00525073">
        <w:t>5</w:t>
      </w:r>
      <w:r w:rsidR="00A76877" w:rsidRPr="006D3C55">
        <w:rPr>
          <w:rFonts w:ascii="Calibri" w:hAnsi="Calibri" w:cs="Calibri"/>
        </w:rPr>
        <w:t> </w:t>
      </w:r>
      <w:r w:rsidR="00A76877" w:rsidRPr="00525073">
        <w:t>billion</w:t>
      </w:r>
      <w:r w:rsidR="006F5EAD" w:rsidRPr="00525073">
        <w:t>, corresponding to</w:t>
      </w:r>
      <w:r w:rsidR="00E06A1C" w:rsidRPr="00525073">
        <w:t xml:space="preserve"> 2</w:t>
      </w:r>
      <w:r w:rsidR="00E06A1C" w:rsidRPr="006D3C55">
        <w:rPr>
          <w:rFonts w:ascii="Calibri" w:hAnsi="Calibri" w:cs="Calibri"/>
        </w:rPr>
        <w:t> </w:t>
      </w:r>
      <w:r w:rsidR="00E06A1C" w:rsidRPr="00525073">
        <w:t>188 interventions</w:t>
      </w:r>
      <w:r w:rsidR="006E12B8" w:rsidRPr="00525073">
        <w:t xml:space="preserve"> </w:t>
      </w:r>
      <w:r w:rsidR="006C34E6" w:rsidRPr="00525073">
        <w:t xml:space="preserve">with a governance system </w:t>
      </w:r>
      <w:r w:rsidR="006F5EAD" w:rsidRPr="00525073">
        <w:t xml:space="preserve">assessed as functioning well </w:t>
      </w:r>
      <w:r w:rsidR="006E12B8" w:rsidRPr="00525073">
        <w:t>out of a total of 2</w:t>
      </w:r>
      <w:r w:rsidR="006E12B8" w:rsidRPr="006D3C55">
        <w:rPr>
          <w:rFonts w:ascii="Calibri" w:hAnsi="Calibri" w:cs="Calibri"/>
        </w:rPr>
        <w:t> </w:t>
      </w:r>
      <w:r w:rsidR="006E12B8" w:rsidRPr="00525073">
        <w:t>865)</w:t>
      </w:r>
      <w:r w:rsidR="009C0370" w:rsidRPr="00525073">
        <w:t>.</w:t>
      </w:r>
      <w:r w:rsidR="00F3110B">
        <w:t xml:space="preserve"> </w:t>
      </w:r>
      <w:r w:rsidR="00714F83">
        <w:br/>
      </w:r>
      <w:r w:rsidR="00011A15" w:rsidRPr="006D3C55">
        <w:t>I</w:t>
      </w:r>
      <w:r w:rsidRPr="006D3C55">
        <w:t>t also includes</w:t>
      </w:r>
      <w:r w:rsidR="00AA2806" w:rsidRPr="006D3C55">
        <w:t xml:space="preserve"> </w:t>
      </w:r>
      <w:r w:rsidRPr="00525073">
        <w:t xml:space="preserve">expenditure </w:t>
      </w:r>
      <w:r w:rsidR="009C0370" w:rsidRPr="00525073">
        <w:t xml:space="preserve">managed by </w:t>
      </w:r>
      <w:r w:rsidR="00554EF9" w:rsidRPr="00272F56">
        <w:t xml:space="preserve">49 </w:t>
      </w:r>
      <w:r w:rsidR="009C0370" w:rsidRPr="00272F56">
        <w:t xml:space="preserve">out of </w:t>
      </w:r>
      <w:r w:rsidR="00554EF9" w:rsidRPr="00272F56">
        <w:t>68</w:t>
      </w:r>
      <w:r w:rsidR="009C0370" w:rsidRPr="00272F56">
        <w:t xml:space="preserve"> paying</w:t>
      </w:r>
      <w:r w:rsidR="009C0370" w:rsidRPr="00525073">
        <w:t xml:space="preserve"> agencies</w:t>
      </w:r>
      <w:r w:rsidR="00554EF9">
        <w:t xml:space="preserve"> </w:t>
      </w:r>
      <w:r w:rsidR="00554EF9" w:rsidRPr="00554EF9">
        <w:t>and by the United Kingdom</w:t>
      </w:r>
      <w:r w:rsidR="009C0370" w:rsidRPr="00525073">
        <w:t xml:space="preserve"> </w:t>
      </w:r>
      <w:r w:rsidR="009C0370" w:rsidRPr="00525073" w:rsidDel="00A275F1">
        <w:t>for</w:t>
      </w:r>
      <w:r w:rsidR="009C0370" w:rsidRPr="00525073">
        <w:t xml:space="preserve"> rural development</w:t>
      </w:r>
      <w:r w:rsidR="003F1C79" w:rsidRPr="00525073">
        <w:t>;</w:t>
      </w:r>
      <w:r w:rsidR="009C0370" w:rsidRPr="00525073">
        <w:t xml:space="preserve"> </w:t>
      </w:r>
      <w:r w:rsidR="009C0370" w:rsidRPr="006D3C55">
        <w:t xml:space="preserve">most of the </w:t>
      </w:r>
      <w:r w:rsidRPr="006D3C55">
        <w:t xml:space="preserve">expenditure </w:t>
      </w:r>
      <w:r w:rsidR="009C0370" w:rsidRPr="00525073">
        <w:t>implemented</w:t>
      </w:r>
      <w:r w:rsidRPr="00525073">
        <w:t xml:space="preserve"> under </w:t>
      </w:r>
      <w:r w:rsidR="009C0370" w:rsidRPr="00525073">
        <w:t xml:space="preserve">shared management in </w:t>
      </w:r>
      <w:r w:rsidR="00BD59CF" w:rsidRPr="00525073">
        <w:t>the m</w:t>
      </w:r>
      <w:r w:rsidR="009C0370" w:rsidRPr="00525073">
        <w:t xml:space="preserve">aritime </w:t>
      </w:r>
      <w:r w:rsidR="00BD59CF" w:rsidRPr="00525073">
        <w:t>a</w:t>
      </w:r>
      <w:r w:rsidR="009C0370" w:rsidRPr="00525073">
        <w:t xml:space="preserve">ffairs and </w:t>
      </w:r>
      <w:r w:rsidR="00BD59CF" w:rsidRPr="00525073">
        <w:t>f</w:t>
      </w:r>
      <w:r w:rsidR="009C0370" w:rsidRPr="00525073">
        <w:t>isheries</w:t>
      </w:r>
      <w:r w:rsidR="00BD59CF" w:rsidRPr="00525073">
        <w:t xml:space="preserve"> areas</w:t>
      </w:r>
      <w:r w:rsidR="003F1C79" w:rsidRPr="00525073">
        <w:t>;</w:t>
      </w:r>
      <w:r w:rsidR="009C0370" w:rsidRPr="00525073">
        <w:t xml:space="preserve"> </w:t>
      </w:r>
      <w:r w:rsidR="00BD59CF" w:rsidRPr="00525073">
        <w:t>and</w:t>
      </w:r>
      <w:r w:rsidR="009C0370" w:rsidRPr="00525073">
        <w:t xml:space="preserve"> expenditure </w:t>
      </w:r>
      <w:r w:rsidR="008B6BDF" w:rsidRPr="006D3C55">
        <w:t xml:space="preserve">relating </w:t>
      </w:r>
      <w:r w:rsidRPr="006D3C55">
        <w:t>to the Connecting Europe Facility</w:t>
      </w:r>
      <w:r w:rsidRPr="006D3C55">
        <w:rPr>
          <w:rFonts w:ascii="Calibri" w:hAnsi="Calibri" w:cs="Calibri"/>
        </w:rPr>
        <w:t> </w:t>
      </w:r>
      <w:r w:rsidRPr="006D3C55">
        <w:t xml:space="preserve">– transport </w:t>
      </w:r>
      <w:r w:rsidR="00E14A35" w:rsidRPr="006D3C55">
        <w:t>programme</w:t>
      </w:r>
      <w:r w:rsidR="00AA2806" w:rsidRPr="006D3C55">
        <w:t xml:space="preserve"> </w:t>
      </w:r>
      <w:r w:rsidR="00C738BB" w:rsidRPr="006D3C55">
        <w:t xml:space="preserve">for </w:t>
      </w:r>
      <w:r w:rsidR="002B0EEB">
        <w:t xml:space="preserve">the </w:t>
      </w:r>
      <w:r w:rsidR="00C738BB" w:rsidRPr="006D3C55">
        <w:t>2014-2020</w:t>
      </w:r>
      <w:r w:rsidR="00E14A35" w:rsidRPr="006D3C55">
        <w:t xml:space="preserve"> period</w:t>
      </w:r>
      <w:r w:rsidR="003F1C79" w:rsidRPr="006D3C55">
        <w:t>,</w:t>
      </w:r>
      <w:r w:rsidRPr="006D3C55">
        <w:t xml:space="preserve"> Erasmus+</w:t>
      </w:r>
      <w:r w:rsidR="003F1C79" w:rsidRPr="006D3C55">
        <w:t>,</w:t>
      </w:r>
      <w:r w:rsidRPr="006D3C55">
        <w:t xml:space="preserve"> the Marie Skłodowska-Curie actions</w:t>
      </w:r>
      <w:r w:rsidR="003F1C79" w:rsidRPr="006D3C55">
        <w:t>,</w:t>
      </w:r>
      <w:r w:rsidRPr="006D3C55">
        <w:t xml:space="preserve"> </w:t>
      </w:r>
      <w:r w:rsidR="009C0370" w:rsidRPr="006D3C55">
        <w:t>Horizon Europe financial instruments</w:t>
      </w:r>
      <w:r w:rsidR="003F1C79" w:rsidRPr="006D3C55">
        <w:t>,</w:t>
      </w:r>
      <w:r w:rsidR="009C0370" w:rsidRPr="006D3C55">
        <w:t xml:space="preserve"> </w:t>
      </w:r>
      <w:r w:rsidR="00F0271C">
        <w:t xml:space="preserve">the </w:t>
      </w:r>
      <w:r w:rsidR="0094384E">
        <w:t xml:space="preserve">vast majority of </w:t>
      </w:r>
      <w:r w:rsidRPr="006D3C55">
        <w:t xml:space="preserve">contributions to other EU bodies </w:t>
      </w:r>
      <w:r w:rsidR="0094384E">
        <w:t>and international organisations</w:t>
      </w:r>
      <w:r w:rsidR="0094384E" w:rsidRPr="006D3C55">
        <w:t xml:space="preserve"> </w:t>
      </w:r>
      <w:r w:rsidRPr="006D3C55">
        <w:t>(</w:t>
      </w:r>
      <w:r w:rsidR="00240512" w:rsidRPr="006D3C55">
        <w:t xml:space="preserve">e.g. </w:t>
      </w:r>
      <w:r w:rsidRPr="006D3C55">
        <w:t xml:space="preserve">the European Union Agency for the Space Programme, </w:t>
      </w:r>
      <w:r w:rsidR="003F1C79" w:rsidRPr="006D3C55">
        <w:t xml:space="preserve">the </w:t>
      </w:r>
      <w:r w:rsidR="00544AC7" w:rsidRPr="006D3C55">
        <w:t>European Joint Undertaking for ITER and the Development of Fusion Energy</w:t>
      </w:r>
      <w:r w:rsidR="00544AC7" w:rsidRPr="006D3C55" w:rsidDel="00544AC7">
        <w:t xml:space="preserve"> </w:t>
      </w:r>
      <w:r w:rsidR="005F4FEC" w:rsidRPr="006D3C55">
        <w:t>and the European Space Agency</w:t>
      </w:r>
      <w:r w:rsidRPr="006D3C55">
        <w:t>)</w:t>
      </w:r>
      <w:r w:rsidR="003F1C79" w:rsidRPr="006D3C55">
        <w:t>,</w:t>
      </w:r>
      <w:r w:rsidRPr="006D3C55">
        <w:t xml:space="preserve"> </w:t>
      </w:r>
      <w:r w:rsidR="004A585A" w:rsidRPr="006D3C55">
        <w:t xml:space="preserve">87.6% of the </w:t>
      </w:r>
      <w:r w:rsidRPr="006D3C55">
        <w:t>Asylum</w:t>
      </w:r>
      <w:r w:rsidR="00225A20">
        <w:t>,</w:t>
      </w:r>
      <w:r w:rsidRPr="006D3C55">
        <w:t xml:space="preserve"> Migration and Integration Fund</w:t>
      </w:r>
      <w:r w:rsidR="00544AC7" w:rsidRPr="006D3C55">
        <w:t>,</w:t>
      </w:r>
      <w:r w:rsidRPr="006D3C55">
        <w:t xml:space="preserve"> </w:t>
      </w:r>
      <w:r w:rsidR="000F001D" w:rsidRPr="006D3C55">
        <w:t xml:space="preserve">83.7% of </w:t>
      </w:r>
      <w:r w:rsidRPr="006D3C55">
        <w:t>the Internal Security Fund</w:t>
      </w:r>
      <w:r w:rsidR="00544AC7" w:rsidRPr="006D3C55">
        <w:t>,</w:t>
      </w:r>
      <w:r w:rsidRPr="006D3C55">
        <w:t xml:space="preserve"> humanitarian aid</w:t>
      </w:r>
      <w:r w:rsidR="00544AC7" w:rsidRPr="006D3C55">
        <w:t>,</w:t>
      </w:r>
      <w:r w:rsidRPr="006D3C55">
        <w:t xml:space="preserve"> expenditure in the neighbourhood and the world policy area</w:t>
      </w:r>
      <w:r w:rsidR="00967977" w:rsidRPr="006D3C55">
        <w:t xml:space="preserve"> (</w:t>
      </w:r>
      <w:r w:rsidR="00A74333" w:rsidRPr="006D3C55">
        <w:t>89.6% of the tota</w:t>
      </w:r>
      <w:r w:rsidR="00FE62BC" w:rsidRPr="006D3C55">
        <w:t>l</w:t>
      </w:r>
      <w:r w:rsidR="00A74333" w:rsidRPr="006D3C55">
        <w:t xml:space="preserve"> expenditure of that heading)</w:t>
      </w:r>
      <w:r w:rsidR="00544AC7" w:rsidRPr="006D3C55">
        <w:t>,</w:t>
      </w:r>
      <w:r w:rsidRPr="006D3C55">
        <w:t xml:space="preserve"> and administrative expenditure in general.</w:t>
      </w:r>
    </w:p>
    <w:p w14:paraId="6BD89133" w14:textId="2B1D55D8" w:rsidR="00FD5E13" w:rsidRPr="001D3264" w:rsidRDefault="001301C1" w:rsidP="004F59DE">
      <w:pPr>
        <w:pStyle w:val="ListBulletorangeLevel1"/>
        <w:rPr>
          <w:rStyle w:val="Bold"/>
          <w:b w:val="0"/>
          <w:spacing w:val="0"/>
        </w:rPr>
      </w:pPr>
      <w:r w:rsidRPr="006D5CEC">
        <w:rPr>
          <w:rStyle w:val="Bold"/>
        </w:rPr>
        <w:t>Medium risk.</w:t>
      </w:r>
      <w:r w:rsidRPr="006D3C55">
        <w:t xml:space="preserve"> Expenditure in this category amounted to EUR</w:t>
      </w:r>
      <w:r w:rsidRPr="006D3C55">
        <w:rPr>
          <w:rFonts w:ascii="Calibri" w:hAnsi="Calibri" w:cs="Calibri"/>
        </w:rPr>
        <w:t> </w:t>
      </w:r>
      <w:r w:rsidRPr="001D3264">
        <w:t>4</w:t>
      </w:r>
      <w:r w:rsidR="00B85971" w:rsidRPr="001D3264">
        <w:t>2</w:t>
      </w:r>
      <w:r w:rsidR="00B85971">
        <w:t>.0</w:t>
      </w:r>
      <w:r w:rsidRPr="006D3C55">
        <w:rPr>
          <w:rFonts w:ascii="Calibri" w:hAnsi="Calibri" w:cs="Calibri"/>
        </w:rPr>
        <w:t> </w:t>
      </w:r>
      <w:r w:rsidRPr="006D3C55">
        <w:t>billion in 202</w:t>
      </w:r>
      <w:r w:rsidR="00A32809" w:rsidRPr="006D3C55">
        <w:t>5,</w:t>
      </w:r>
      <w:r w:rsidRPr="006D3C55">
        <w:t xml:space="preserve"> </w:t>
      </w:r>
      <w:r w:rsidR="00D90C29" w:rsidRPr="00523958">
        <w:t xml:space="preserve">or </w:t>
      </w:r>
      <w:r w:rsidRPr="00523958">
        <w:t>2</w:t>
      </w:r>
      <w:r w:rsidR="00523958" w:rsidRPr="00523958">
        <w:t>5.</w:t>
      </w:r>
      <w:r w:rsidRPr="001D3264">
        <w:t>2</w:t>
      </w:r>
      <w:r w:rsidRPr="00523958">
        <w:t>%</w:t>
      </w:r>
      <w:r w:rsidRPr="006D3C55">
        <w:t xml:space="preserve"> of </w:t>
      </w:r>
      <w:r w:rsidR="00A32809" w:rsidRPr="006D3C55">
        <w:t xml:space="preserve">the total </w:t>
      </w:r>
      <w:r w:rsidRPr="006D3C55">
        <w:t>expenditure</w:t>
      </w:r>
      <w:r w:rsidR="000C6CBD" w:rsidRPr="006D3C55">
        <w:t>,</w:t>
      </w:r>
      <w:r w:rsidRPr="006D3C55">
        <w:t xml:space="preserve"> compared </w:t>
      </w:r>
      <w:r w:rsidR="000C6CBD" w:rsidRPr="006D3C55">
        <w:t>to EUR</w:t>
      </w:r>
      <w:r w:rsidR="000C6CBD" w:rsidRPr="006D3C55">
        <w:rPr>
          <w:rFonts w:ascii="Calibri" w:hAnsi="Calibri" w:cs="Calibri"/>
        </w:rPr>
        <w:t> </w:t>
      </w:r>
      <w:r w:rsidR="000C6CBD" w:rsidRPr="006D3C55">
        <w:t>43.9</w:t>
      </w:r>
      <w:r w:rsidR="000C6CBD" w:rsidRPr="006D3C55">
        <w:rPr>
          <w:rFonts w:ascii="Calibri" w:hAnsi="Calibri" w:cs="Calibri"/>
        </w:rPr>
        <w:t> </w:t>
      </w:r>
      <w:r w:rsidR="000C6CBD" w:rsidRPr="006D3C55">
        <w:t xml:space="preserve">billion in 2024, </w:t>
      </w:r>
      <w:r w:rsidR="00D90C29" w:rsidRPr="006D3C55">
        <w:t xml:space="preserve">or </w:t>
      </w:r>
      <w:r w:rsidR="00A3176C" w:rsidRPr="006D3C55">
        <w:t>24.5</w:t>
      </w:r>
      <w:r w:rsidRPr="006D3C55">
        <w:t xml:space="preserve">%. </w:t>
      </w:r>
      <w:r w:rsidR="000C6CBD" w:rsidRPr="006D3C55">
        <w:t xml:space="preserve">This apparent overall stability is explained by an increase in </w:t>
      </w:r>
      <w:r w:rsidR="00CF5EB7" w:rsidRPr="006D3C55">
        <w:rPr>
          <w:rFonts w:asciiTheme="minorHAnsi" w:hAnsiTheme="minorHAnsi"/>
        </w:rPr>
        <w:t xml:space="preserve">expenditure under the </w:t>
      </w:r>
      <w:r w:rsidR="00F64A30" w:rsidRPr="006D3C55">
        <w:rPr>
          <w:rFonts w:asciiTheme="minorHAnsi" w:hAnsiTheme="minorHAnsi"/>
        </w:rPr>
        <w:t xml:space="preserve">new </w:t>
      </w:r>
      <w:r w:rsidR="00F45EBA" w:rsidRPr="006D3C55">
        <w:rPr>
          <w:rFonts w:asciiTheme="minorHAnsi" w:hAnsiTheme="minorHAnsi"/>
        </w:rPr>
        <w:t>common agricultural policy</w:t>
      </w:r>
      <w:r w:rsidR="00F64A30" w:rsidRPr="006D3C55">
        <w:rPr>
          <w:rFonts w:asciiTheme="minorHAnsi" w:hAnsiTheme="minorHAnsi"/>
        </w:rPr>
        <w:t xml:space="preserve"> delivery model </w:t>
      </w:r>
      <w:r w:rsidR="000C6CBD" w:rsidRPr="006D3C55">
        <w:rPr>
          <w:rFonts w:asciiTheme="minorHAnsi" w:hAnsiTheme="minorHAnsi"/>
        </w:rPr>
        <w:t>allocated to this category of risk (</w:t>
      </w:r>
      <w:r w:rsidR="00A74A53" w:rsidRPr="006D3C55">
        <w:rPr>
          <w:rFonts w:asciiTheme="minorHAnsi" w:hAnsiTheme="minorHAnsi"/>
        </w:rPr>
        <w:t>from EUR</w:t>
      </w:r>
      <w:r w:rsidR="00A74A53" w:rsidRPr="006D3C55">
        <w:rPr>
          <w:rFonts w:ascii="Calibri" w:hAnsi="Calibri" w:cs="Calibri"/>
        </w:rPr>
        <w:t> </w:t>
      </w:r>
      <w:r w:rsidR="00A74A53" w:rsidRPr="006D3C55">
        <w:rPr>
          <w:rFonts w:asciiTheme="minorHAnsi" w:hAnsiTheme="minorHAnsi" w:cs="Calibri"/>
        </w:rPr>
        <w:t xml:space="preserve">4.7 billion </w:t>
      </w:r>
      <w:r w:rsidR="00EA15FC" w:rsidRPr="006D3C55">
        <w:rPr>
          <w:rFonts w:asciiTheme="minorHAnsi" w:hAnsiTheme="minorHAnsi" w:cs="Calibri"/>
        </w:rPr>
        <w:t>in 202</w:t>
      </w:r>
      <w:r w:rsidR="008433B4" w:rsidRPr="006D3C55">
        <w:rPr>
          <w:rFonts w:asciiTheme="minorHAnsi" w:hAnsiTheme="minorHAnsi" w:cs="Calibri"/>
        </w:rPr>
        <w:t>4</w:t>
      </w:r>
      <w:r w:rsidR="00EA15FC" w:rsidRPr="006D3C55">
        <w:rPr>
          <w:rFonts w:asciiTheme="minorHAnsi" w:hAnsiTheme="minorHAnsi" w:cs="Calibri"/>
        </w:rPr>
        <w:t xml:space="preserve"> </w:t>
      </w:r>
      <w:r w:rsidR="00A74A53" w:rsidRPr="006D3C55">
        <w:rPr>
          <w:rFonts w:asciiTheme="minorHAnsi" w:hAnsiTheme="minorHAnsi" w:cs="Calibri"/>
        </w:rPr>
        <w:t xml:space="preserve">to </w:t>
      </w:r>
      <w:r w:rsidR="001D4F47" w:rsidRPr="006D3C55">
        <w:rPr>
          <w:rFonts w:asciiTheme="minorHAnsi" w:hAnsiTheme="minorHAnsi" w:cs="Calibri"/>
        </w:rPr>
        <w:t>EUR</w:t>
      </w:r>
      <w:r w:rsidR="001D4F47" w:rsidRPr="006D3C55">
        <w:rPr>
          <w:rFonts w:ascii="Calibri" w:hAnsi="Calibri" w:cs="Calibri"/>
        </w:rPr>
        <w:t> </w:t>
      </w:r>
      <w:r w:rsidR="001D4F47" w:rsidRPr="006D3C55">
        <w:rPr>
          <w:rFonts w:asciiTheme="minorHAnsi" w:hAnsiTheme="minorHAnsi" w:cs="Calibri"/>
        </w:rPr>
        <w:t>11.2 billion</w:t>
      </w:r>
      <w:r w:rsidR="00EA15FC" w:rsidRPr="006D3C55">
        <w:rPr>
          <w:rFonts w:asciiTheme="minorHAnsi" w:hAnsiTheme="minorHAnsi" w:cs="Calibri"/>
        </w:rPr>
        <w:t xml:space="preserve"> in 2025</w:t>
      </w:r>
      <w:r w:rsidR="000C6CBD" w:rsidRPr="006D3C55">
        <w:rPr>
          <w:rFonts w:asciiTheme="minorHAnsi" w:hAnsiTheme="minorHAnsi" w:cs="Calibri"/>
        </w:rPr>
        <w:t>)</w:t>
      </w:r>
      <w:r w:rsidR="000E3087" w:rsidRPr="000E3087">
        <w:rPr>
          <w:rFonts w:asciiTheme="minorHAnsi" w:hAnsiTheme="minorHAnsi" w:cs="Calibri"/>
        </w:rPr>
        <w:t>,</w:t>
      </w:r>
      <w:r w:rsidR="000E3087">
        <w:rPr>
          <w:rFonts w:asciiTheme="minorHAnsi" w:hAnsiTheme="minorHAnsi" w:cs="Calibri"/>
        </w:rPr>
        <w:t xml:space="preserve"> </w:t>
      </w:r>
      <w:r w:rsidR="00FD3D3D">
        <w:rPr>
          <w:rFonts w:asciiTheme="minorHAnsi" w:hAnsiTheme="minorHAnsi" w:cs="Calibri"/>
        </w:rPr>
        <w:t>a</w:t>
      </w:r>
      <w:r w:rsidR="00553DCA">
        <w:rPr>
          <w:rFonts w:asciiTheme="minorHAnsi" w:hAnsiTheme="minorHAnsi" w:cs="Calibri"/>
        </w:rPr>
        <w:t>long with</w:t>
      </w:r>
      <w:r w:rsidR="00FD3D3D">
        <w:rPr>
          <w:rFonts w:asciiTheme="minorHAnsi" w:hAnsiTheme="minorHAnsi" w:cs="Calibri"/>
        </w:rPr>
        <w:t xml:space="preserve"> a higher share of </w:t>
      </w:r>
      <w:r w:rsidR="001A341D" w:rsidRPr="006D3C55">
        <w:rPr>
          <w:rFonts w:asciiTheme="minorHAnsi" w:hAnsiTheme="minorHAnsi" w:cs="Calibri"/>
        </w:rPr>
        <w:t xml:space="preserve">governance </w:t>
      </w:r>
      <w:r w:rsidR="000C6CBD" w:rsidRPr="006D3C55">
        <w:rPr>
          <w:rFonts w:asciiTheme="minorHAnsi" w:hAnsiTheme="minorHAnsi" w:cs="Calibri"/>
        </w:rPr>
        <w:t xml:space="preserve">systems </w:t>
      </w:r>
      <w:r w:rsidR="006512A7">
        <w:rPr>
          <w:rFonts w:asciiTheme="minorHAnsi" w:hAnsiTheme="minorHAnsi" w:cs="Calibri"/>
        </w:rPr>
        <w:t xml:space="preserve">being </w:t>
      </w:r>
      <w:r w:rsidR="000C6CBD" w:rsidRPr="006D3C55">
        <w:rPr>
          <w:rFonts w:asciiTheme="minorHAnsi" w:hAnsiTheme="minorHAnsi" w:cs="Calibri"/>
        </w:rPr>
        <w:t xml:space="preserve">assessed as </w:t>
      </w:r>
      <w:r w:rsidR="001A341D" w:rsidRPr="006D3C55">
        <w:rPr>
          <w:rFonts w:asciiTheme="minorHAnsi" w:hAnsiTheme="minorHAnsi" w:cs="Calibri"/>
        </w:rPr>
        <w:t xml:space="preserve">partially </w:t>
      </w:r>
      <w:r w:rsidR="000C6CBD" w:rsidRPr="006D3C55">
        <w:rPr>
          <w:rFonts w:asciiTheme="minorHAnsi" w:hAnsiTheme="minorHAnsi" w:cs="Calibri"/>
        </w:rPr>
        <w:t xml:space="preserve">functioning </w:t>
      </w:r>
      <w:r w:rsidR="00F808B8" w:rsidRPr="006D3C55">
        <w:rPr>
          <w:rFonts w:asciiTheme="minorHAnsi" w:hAnsiTheme="minorHAnsi" w:cs="Calibri"/>
        </w:rPr>
        <w:t>(</w:t>
      </w:r>
      <w:r w:rsidR="000C6CBD" w:rsidRPr="006D3C55">
        <w:t>448 out of 2</w:t>
      </w:r>
      <w:r w:rsidR="000C6CBD" w:rsidRPr="006D3C55">
        <w:rPr>
          <w:rFonts w:ascii="Calibri" w:hAnsi="Calibri" w:cs="Calibri"/>
        </w:rPr>
        <w:t> </w:t>
      </w:r>
      <w:r w:rsidR="000C6CBD" w:rsidRPr="006D3C55">
        <w:rPr>
          <w:rFonts w:asciiTheme="minorHAnsi" w:hAnsiTheme="minorHAnsi" w:cs="Calibri"/>
        </w:rPr>
        <w:t>865</w:t>
      </w:r>
      <w:r w:rsidR="000C6CBD" w:rsidRPr="006D3C55">
        <w:t xml:space="preserve"> </w:t>
      </w:r>
      <w:r w:rsidR="00DA1141" w:rsidRPr="006D3C55">
        <w:t xml:space="preserve">in 2025 </w:t>
      </w:r>
      <w:r w:rsidR="000C6CBD" w:rsidRPr="006D3C55">
        <w:rPr>
          <w:rFonts w:asciiTheme="minorHAnsi" w:hAnsiTheme="minorHAnsi" w:cs="Calibri"/>
        </w:rPr>
        <w:t xml:space="preserve">compared to </w:t>
      </w:r>
      <w:r w:rsidR="00095DB1" w:rsidRPr="006D3C55">
        <w:rPr>
          <w:rFonts w:asciiTheme="minorHAnsi" w:hAnsiTheme="minorHAnsi" w:cs="Calibri"/>
        </w:rPr>
        <w:t xml:space="preserve">152 </w:t>
      </w:r>
      <w:r w:rsidR="00DA1141" w:rsidRPr="006D3C55">
        <w:rPr>
          <w:rFonts w:asciiTheme="minorHAnsi" w:hAnsiTheme="minorHAnsi" w:cs="Calibri"/>
        </w:rPr>
        <w:t>out of 1</w:t>
      </w:r>
      <w:r w:rsidR="00DA1141" w:rsidRPr="006D3C55">
        <w:rPr>
          <w:rFonts w:ascii="Calibri" w:hAnsi="Calibri" w:cs="Calibri"/>
        </w:rPr>
        <w:t> </w:t>
      </w:r>
      <w:r w:rsidR="00DA1141" w:rsidRPr="006D3C55">
        <w:rPr>
          <w:rFonts w:asciiTheme="minorHAnsi" w:hAnsiTheme="minorHAnsi" w:cs="Calibri"/>
        </w:rPr>
        <w:t>526</w:t>
      </w:r>
      <w:r w:rsidR="000C6CBD" w:rsidRPr="006D3C55">
        <w:rPr>
          <w:rFonts w:asciiTheme="minorHAnsi" w:hAnsiTheme="minorHAnsi" w:cs="Calibri"/>
        </w:rPr>
        <w:t xml:space="preserve"> in 202</w:t>
      </w:r>
      <w:r w:rsidR="00240512" w:rsidRPr="006D3C55">
        <w:rPr>
          <w:rFonts w:asciiTheme="minorHAnsi" w:hAnsiTheme="minorHAnsi" w:cs="Calibri"/>
        </w:rPr>
        <w:t>4</w:t>
      </w:r>
      <w:r w:rsidR="00F808B8" w:rsidRPr="006D3C55">
        <w:rPr>
          <w:rFonts w:asciiTheme="minorHAnsi" w:hAnsiTheme="minorHAnsi" w:cs="Calibri"/>
        </w:rPr>
        <w:t>)</w:t>
      </w:r>
      <w:r w:rsidR="003F2B5D" w:rsidRPr="006D3C55">
        <w:rPr>
          <w:rFonts w:asciiTheme="minorHAnsi" w:hAnsiTheme="minorHAnsi" w:cs="Calibri"/>
        </w:rPr>
        <w:t>,</w:t>
      </w:r>
      <w:r w:rsidR="000C6CBD" w:rsidRPr="006D3C55">
        <w:rPr>
          <w:rFonts w:asciiTheme="minorHAnsi" w:hAnsiTheme="minorHAnsi" w:cs="Calibri"/>
        </w:rPr>
        <w:t xml:space="preserve"> </w:t>
      </w:r>
      <w:r w:rsidR="00A27314">
        <w:rPr>
          <w:rFonts w:asciiTheme="minorHAnsi" w:hAnsiTheme="minorHAnsi" w:cs="Calibri"/>
        </w:rPr>
        <w:t xml:space="preserve">which is largely offset </w:t>
      </w:r>
      <w:r w:rsidR="003F2B5D" w:rsidRPr="006D3C55">
        <w:rPr>
          <w:rFonts w:asciiTheme="minorHAnsi" w:hAnsiTheme="minorHAnsi" w:cs="Calibri"/>
        </w:rPr>
        <w:t>by</w:t>
      </w:r>
      <w:r w:rsidR="000C6CBD" w:rsidRPr="006D3C55">
        <w:rPr>
          <w:rFonts w:asciiTheme="minorHAnsi" w:hAnsiTheme="minorHAnsi" w:cs="Calibri"/>
        </w:rPr>
        <w:t xml:space="preserve"> a decrease in expenditure under cohesion considered in this category due to error rates below 2%</w:t>
      </w:r>
      <w:r w:rsidR="003F2B5D" w:rsidRPr="006D3C55">
        <w:rPr>
          <w:rFonts w:asciiTheme="minorHAnsi" w:hAnsiTheme="minorHAnsi" w:cs="Calibri"/>
        </w:rPr>
        <w:t>.</w:t>
      </w:r>
      <w:r w:rsidR="00110395">
        <w:rPr>
          <w:rFonts w:asciiTheme="minorHAnsi" w:hAnsiTheme="minorHAnsi" w:cs="Calibri"/>
        </w:rPr>
        <w:t xml:space="preserve"> </w:t>
      </w:r>
      <w:r w:rsidR="00110395">
        <w:br/>
      </w:r>
      <w:r w:rsidRPr="006D3C55">
        <w:t>This category also included expenditure in research and innovation</w:t>
      </w:r>
      <w:r w:rsidR="007237EE" w:rsidRPr="006D3C55">
        <w:t>,</w:t>
      </w:r>
      <w:r w:rsidRPr="006D3C55">
        <w:t xml:space="preserve"> in particular grants under Connecting Europe Facility</w:t>
      </w:r>
      <w:r w:rsidRPr="006D3C55">
        <w:rPr>
          <w:rFonts w:ascii="Calibri" w:hAnsi="Calibri" w:cs="Calibri"/>
        </w:rPr>
        <w:t> </w:t>
      </w:r>
      <w:r w:rsidRPr="006D3C55">
        <w:t xml:space="preserve">– transport programme for the 2021-2027 period, </w:t>
      </w:r>
      <w:r w:rsidR="00DD0530" w:rsidRPr="006D3C55">
        <w:t>along with</w:t>
      </w:r>
      <w:r w:rsidRPr="006D3C55">
        <w:t xml:space="preserve"> </w:t>
      </w:r>
      <w:r w:rsidR="00367BC5" w:rsidRPr="006D3C55">
        <w:t>other</w:t>
      </w:r>
      <w:r w:rsidRPr="006D3C55">
        <w:t xml:space="preserve"> expenditure related to the common agricultural policy</w:t>
      </w:r>
      <w:r w:rsidR="00DD0530" w:rsidRPr="006D3C55">
        <w:t>,</w:t>
      </w:r>
      <w:r w:rsidR="00AF0CE7" w:rsidRPr="006D3C55">
        <w:t xml:space="preserve"> such as market measures and rural development measures</w:t>
      </w:r>
      <w:r w:rsidRPr="006D3C55">
        <w:t>.</w:t>
      </w:r>
      <w:r w:rsidR="00110395">
        <w:t xml:space="preserve"> </w:t>
      </w:r>
    </w:p>
    <w:p w14:paraId="64181E8E" w14:textId="22672E9A" w:rsidR="00D62937" w:rsidRPr="001D3264" w:rsidRDefault="001301C1" w:rsidP="004F59DE">
      <w:pPr>
        <w:pStyle w:val="ListBulletorangeLevel1"/>
      </w:pPr>
      <w:r w:rsidRPr="006D5CEC">
        <w:rPr>
          <w:rStyle w:val="Bold"/>
        </w:rPr>
        <w:t>Higher risk.</w:t>
      </w:r>
      <w:r w:rsidRPr="006D3C55">
        <w:t xml:space="preserve"> </w:t>
      </w:r>
      <w:r w:rsidRPr="00336A52">
        <w:t xml:space="preserve">Expenditure in this category </w:t>
      </w:r>
      <w:r w:rsidR="0053430F" w:rsidRPr="00336A52">
        <w:t>decreased from EUR</w:t>
      </w:r>
      <w:r w:rsidR="0053430F" w:rsidRPr="00336A52">
        <w:rPr>
          <w:rFonts w:ascii="Calibri" w:hAnsi="Calibri" w:cs="Calibri"/>
        </w:rPr>
        <w:t> </w:t>
      </w:r>
      <w:r w:rsidR="0053430F" w:rsidRPr="00336A52">
        <w:t>37.2</w:t>
      </w:r>
      <w:r w:rsidR="0053430F" w:rsidRPr="00336A52">
        <w:rPr>
          <w:rFonts w:ascii="Calibri" w:hAnsi="Calibri" w:cs="Calibri"/>
        </w:rPr>
        <w:t> </w:t>
      </w:r>
      <w:r w:rsidR="0053430F" w:rsidRPr="00336A52">
        <w:t xml:space="preserve">billion in 2024, </w:t>
      </w:r>
      <w:r w:rsidR="002810B4" w:rsidRPr="00336A52">
        <w:t xml:space="preserve">or </w:t>
      </w:r>
      <w:r w:rsidR="0053430F" w:rsidRPr="00336A52">
        <w:t>20.8% of the total expenditure,</w:t>
      </w:r>
      <w:r w:rsidRPr="00336A52">
        <w:t xml:space="preserve"> to EUR</w:t>
      </w:r>
      <w:r w:rsidRPr="00336A52">
        <w:rPr>
          <w:rFonts w:ascii="Calibri" w:hAnsi="Calibri" w:cs="Calibri"/>
        </w:rPr>
        <w:t> </w:t>
      </w:r>
      <w:r w:rsidR="00FA486D" w:rsidRPr="00336A52">
        <w:t>27.</w:t>
      </w:r>
      <w:r w:rsidR="00B85971" w:rsidRPr="00336A52">
        <w:t>1</w:t>
      </w:r>
      <w:r w:rsidR="00B85971" w:rsidRPr="00336A52">
        <w:rPr>
          <w:rFonts w:ascii="Calibri" w:hAnsi="Calibri" w:cs="Calibri"/>
        </w:rPr>
        <w:t> </w:t>
      </w:r>
      <w:r w:rsidRPr="00336A52">
        <w:t>billion in 202</w:t>
      </w:r>
      <w:r w:rsidR="00FA486D" w:rsidRPr="00336A52">
        <w:t>5</w:t>
      </w:r>
      <w:r w:rsidR="0053430F" w:rsidRPr="00336A52">
        <w:t>,</w:t>
      </w:r>
      <w:r w:rsidRPr="00336A52">
        <w:t xml:space="preserve"> </w:t>
      </w:r>
      <w:r w:rsidR="002810B4" w:rsidRPr="00336A52">
        <w:t xml:space="preserve">or </w:t>
      </w:r>
      <w:r w:rsidR="000B13AA" w:rsidRPr="00336A52">
        <w:t>16.</w:t>
      </w:r>
      <w:r w:rsidR="00772114" w:rsidRPr="00336A52">
        <w:t>2</w:t>
      </w:r>
      <w:r w:rsidRPr="00336A52">
        <w:t xml:space="preserve">% of </w:t>
      </w:r>
      <w:r w:rsidR="0053430F" w:rsidRPr="00336A52">
        <w:t xml:space="preserve">the total </w:t>
      </w:r>
      <w:r w:rsidRPr="00336A52">
        <w:t xml:space="preserve">expenditure. </w:t>
      </w:r>
      <w:r w:rsidR="004B5F33" w:rsidRPr="00336A52">
        <w:t xml:space="preserve">In 2025, </w:t>
      </w:r>
      <w:r w:rsidR="000E1D04" w:rsidRPr="00336A52">
        <w:t xml:space="preserve">98.5% of </w:t>
      </w:r>
      <w:r w:rsidR="004B5F33" w:rsidRPr="00336A52">
        <w:t>e</w:t>
      </w:r>
      <w:r w:rsidR="0061632B" w:rsidRPr="00336A52">
        <w:t>xpen</w:t>
      </w:r>
      <w:r w:rsidR="00260399" w:rsidRPr="00336A52">
        <w:t>d</w:t>
      </w:r>
      <w:r w:rsidR="0061632B" w:rsidRPr="00336A52">
        <w:t xml:space="preserve">iture </w:t>
      </w:r>
      <w:r w:rsidR="00D962D4" w:rsidRPr="00336A52">
        <w:t xml:space="preserve">in this category of risk </w:t>
      </w:r>
      <w:r w:rsidR="00651C37" w:rsidRPr="00336A52">
        <w:t xml:space="preserve">was </w:t>
      </w:r>
      <w:r w:rsidR="00260399" w:rsidRPr="00336A52">
        <w:t xml:space="preserve">equally split between </w:t>
      </w:r>
      <w:r w:rsidR="00D962D4" w:rsidRPr="00336A52">
        <w:t>three</w:t>
      </w:r>
      <w:r w:rsidR="004B5F33" w:rsidRPr="00336A52">
        <w:t xml:space="preserve"> headings: (</w:t>
      </w:r>
      <w:r w:rsidR="00651C37" w:rsidRPr="00336A52">
        <w:t>1</w:t>
      </w:r>
      <w:r w:rsidR="004B5F33" w:rsidRPr="00336A52">
        <w:t xml:space="preserve">) </w:t>
      </w:r>
      <w:r w:rsidR="0061632B" w:rsidRPr="00336A52">
        <w:t>sin</w:t>
      </w:r>
      <w:r w:rsidR="00260399" w:rsidRPr="00336A52">
        <w:t>g</w:t>
      </w:r>
      <w:r w:rsidR="0061632B" w:rsidRPr="00336A52">
        <w:t xml:space="preserve">le market, innovation and </w:t>
      </w:r>
      <w:r w:rsidR="00260399" w:rsidRPr="00336A52">
        <w:t>digital (</w:t>
      </w:r>
      <w:r w:rsidR="00125B82" w:rsidRPr="00336A52">
        <w:t>3</w:t>
      </w:r>
      <w:r w:rsidR="00EB0DDD" w:rsidRPr="00336A52">
        <w:t>3.1</w:t>
      </w:r>
      <w:r w:rsidR="00125B82" w:rsidRPr="00336A52">
        <w:t xml:space="preserve">% </w:t>
      </w:r>
      <w:r w:rsidR="004B5F33" w:rsidRPr="00336A52">
        <w:t xml:space="preserve">in 2025 </w:t>
      </w:r>
      <w:r w:rsidR="005F668C" w:rsidRPr="00336A52">
        <w:t>versus</w:t>
      </w:r>
      <w:r w:rsidR="00125B82" w:rsidRPr="00336A52">
        <w:t xml:space="preserve"> </w:t>
      </w:r>
      <w:r w:rsidR="0090237E" w:rsidRPr="00336A52">
        <w:t>13.8% in 2024)</w:t>
      </w:r>
      <w:r w:rsidR="000B36D7" w:rsidRPr="00336A52">
        <w:t>;</w:t>
      </w:r>
      <w:r w:rsidR="00325D37" w:rsidRPr="00336A52">
        <w:t xml:space="preserve"> </w:t>
      </w:r>
      <w:r w:rsidR="004B5F33" w:rsidRPr="00336A52">
        <w:t>(</w:t>
      </w:r>
      <w:r w:rsidR="00651C37" w:rsidRPr="00336A52">
        <w:t>2</w:t>
      </w:r>
      <w:r w:rsidR="004B5F33" w:rsidRPr="00336A52">
        <w:t xml:space="preserve">) </w:t>
      </w:r>
      <w:r w:rsidR="00325D37" w:rsidRPr="00336A52">
        <w:t>cohesion, resilience and values (</w:t>
      </w:r>
      <w:r w:rsidR="00B92D35" w:rsidRPr="00336A52">
        <w:t>32</w:t>
      </w:r>
      <w:r w:rsidR="00651C37" w:rsidRPr="00336A52">
        <w:t>.</w:t>
      </w:r>
      <w:r w:rsidR="00EB0DDD" w:rsidRPr="00336A52">
        <w:t>5</w:t>
      </w:r>
      <w:r w:rsidR="00B92D35" w:rsidRPr="00336A52">
        <w:t xml:space="preserve">% </w:t>
      </w:r>
      <w:r w:rsidR="00325D37" w:rsidRPr="00336A52">
        <w:t>in 2025 versus 64</w:t>
      </w:r>
      <w:r w:rsidR="00651C37" w:rsidRPr="00336A52">
        <w:t>.</w:t>
      </w:r>
      <w:r w:rsidR="00325D37" w:rsidRPr="00336A52">
        <w:t>6% in 2024)</w:t>
      </w:r>
      <w:r w:rsidR="000B36D7" w:rsidRPr="00336A52">
        <w:t>;</w:t>
      </w:r>
      <w:r w:rsidR="00325D37" w:rsidRPr="00336A52">
        <w:t xml:space="preserve"> and </w:t>
      </w:r>
      <w:r w:rsidR="004B5F33" w:rsidRPr="00336A52">
        <w:t>(</w:t>
      </w:r>
      <w:r w:rsidR="00651C37" w:rsidRPr="00336A52">
        <w:t>3</w:t>
      </w:r>
      <w:r w:rsidR="004B5F33" w:rsidRPr="00336A52">
        <w:t xml:space="preserve">) </w:t>
      </w:r>
      <w:r w:rsidR="00325D37" w:rsidRPr="00336A52">
        <w:t>natural resources and environment (</w:t>
      </w:r>
      <w:r w:rsidR="00B92D35" w:rsidRPr="00336A52">
        <w:t>32</w:t>
      </w:r>
      <w:r w:rsidR="000B36D7" w:rsidRPr="00336A52">
        <w:t>.</w:t>
      </w:r>
      <w:r w:rsidR="000E1D04" w:rsidRPr="00336A52">
        <w:t>9</w:t>
      </w:r>
      <w:r w:rsidR="00B92D35" w:rsidRPr="00336A52">
        <w:t xml:space="preserve">% in 2025 </w:t>
      </w:r>
      <w:r w:rsidR="00325D37" w:rsidRPr="00336A52">
        <w:t>v</w:t>
      </w:r>
      <w:r w:rsidR="00B92D35" w:rsidRPr="00336A52">
        <w:t xml:space="preserve">ersus </w:t>
      </w:r>
      <w:r w:rsidR="00325D37" w:rsidRPr="00336A52">
        <w:t>19.7</w:t>
      </w:r>
      <w:r w:rsidR="00B92D35" w:rsidRPr="00336A52">
        <w:t>%</w:t>
      </w:r>
      <w:r w:rsidR="00325D37" w:rsidRPr="00336A52">
        <w:t xml:space="preserve"> in 2024)</w:t>
      </w:r>
      <w:r w:rsidR="0047361E" w:rsidRPr="00336A52">
        <w:t>.</w:t>
      </w:r>
      <w:r w:rsidR="00C11B0A" w:rsidRPr="00336A52">
        <w:t xml:space="preserve"> </w:t>
      </w:r>
      <w:r w:rsidR="0047361E" w:rsidRPr="00336A52">
        <w:t>Th</w:t>
      </w:r>
      <w:r w:rsidR="005F668C" w:rsidRPr="00336A52">
        <w:t xml:space="preserve">is </w:t>
      </w:r>
      <w:r w:rsidR="00DA1141" w:rsidRPr="00336A52">
        <w:t>corresponds</w:t>
      </w:r>
      <w:r w:rsidR="005F668C" w:rsidRPr="00336A52">
        <w:t xml:space="preserve"> mainly to the </w:t>
      </w:r>
      <w:r w:rsidR="00B95A09" w:rsidRPr="00336A52">
        <w:t xml:space="preserve">grants </w:t>
      </w:r>
      <w:r w:rsidR="00C01D2E" w:rsidRPr="00336A52">
        <w:t xml:space="preserve">under </w:t>
      </w:r>
      <w:r w:rsidR="00B95A09" w:rsidRPr="00336A52">
        <w:t xml:space="preserve">the </w:t>
      </w:r>
      <w:r w:rsidR="0047361E" w:rsidRPr="00336A52">
        <w:t xml:space="preserve">Horizon Europe and </w:t>
      </w:r>
      <w:r w:rsidR="000B36D7" w:rsidRPr="00336A52">
        <w:t>d</w:t>
      </w:r>
      <w:r w:rsidR="0047361E" w:rsidRPr="00336A52">
        <w:t xml:space="preserve">igital </w:t>
      </w:r>
      <w:r w:rsidR="000B36D7" w:rsidRPr="00336A52">
        <w:t xml:space="preserve">Europe </w:t>
      </w:r>
      <w:r w:rsidR="00B95A09" w:rsidRPr="00336A52">
        <w:t>p</w:t>
      </w:r>
      <w:r w:rsidR="0047361E" w:rsidRPr="00336A52">
        <w:t>rogramme</w:t>
      </w:r>
      <w:r w:rsidR="00B95A09" w:rsidRPr="00336A52">
        <w:t>s</w:t>
      </w:r>
      <w:r w:rsidR="005F668C" w:rsidRPr="00336A52">
        <w:t>; to the lower numbe</w:t>
      </w:r>
      <w:r w:rsidR="00DC0D25" w:rsidRPr="00336A52">
        <w:t>r</w:t>
      </w:r>
      <w:r w:rsidR="005F668C" w:rsidRPr="00336A52">
        <w:t xml:space="preserve"> of cohesion programmes with a high error rate in 2025 compared to 2024; and to the higher</w:t>
      </w:r>
      <w:r w:rsidR="005F668C" w:rsidRPr="006D3C55">
        <w:t xml:space="preserve"> number of </w:t>
      </w:r>
      <w:r w:rsidR="00DA1141" w:rsidRPr="006D3C55">
        <w:t xml:space="preserve">interventions </w:t>
      </w:r>
      <w:r w:rsidR="005F668C" w:rsidRPr="006D3C55">
        <w:t xml:space="preserve">assessed as not functioning in 2025 </w:t>
      </w:r>
      <w:r w:rsidR="00DA1141" w:rsidRPr="006D3C55">
        <w:t>(229 out of 2</w:t>
      </w:r>
      <w:r w:rsidR="00BD30B7">
        <w:rPr>
          <w:rFonts w:ascii="Calibri" w:hAnsi="Calibri" w:cs="Calibri"/>
        </w:rPr>
        <w:t> </w:t>
      </w:r>
      <w:r w:rsidR="00DA1141" w:rsidRPr="006D3C55">
        <w:t xml:space="preserve">865) </w:t>
      </w:r>
      <w:r w:rsidR="005F668C" w:rsidRPr="006D3C55">
        <w:t>compared to 2024</w:t>
      </w:r>
      <w:r w:rsidR="000C01AE" w:rsidRPr="006D3C55">
        <w:t xml:space="preserve"> (</w:t>
      </w:r>
      <w:r w:rsidR="001A0881" w:rsidRPr="006D3C55">
        <w:t>2</w:t>
      </w:r>
      <w:r w:rsidR="000C01AE" w:rsidRPr="006D3C55">
        <w:t xml:space="preserve">68 </w:t>
      </w:r>
      <w:r w:rsidR="009851D7" w:rsidRPr="006D3C55">
        <w:t>out of 1</w:t>
      </w:r>
      <w:r w:rsidR="009851D7" w:rsidRPr="006D3C55">
        <w:rPr>
          <w:rFonts w:ascii="Calibri" w:hAnsi="Calibri" w:cs="Calibri"/>
        </w:rPr>
        <w:t> </w:t>
      </w:r>
      <w:r w:rsidR="009851D7" w:rsidRPr="006D3C55">
        <w:t>526</w:t>
      </w:r>
      <w:r w:rsidR="000C01AE" w:rsidRPr="006D3C55">
        <w:t>)</w:t>
      </w:r>
      <w:r w:rsidR="00DA1141" w:rsidRPr="006D3C55">
        <w:t>.</w:t>
      </w:r>
      <w:r w:rsidR="005F668C" w:rsidRPr="006D3C55">
        <w:t xml:space="preserve"> For detailed explanations, </w:t>
      </w:r>
      <w:r w:rsidR="000B36D7" w:rsidRPr="006D3C55">
        <w:t>see S</w:t>
      </w:r>
      <w:r w:rsidR="005F668C" w:rsidRPr="006D3C55">
        <w:t>ection</w:t>
      </w:r>
      <w:r w:rsidR="000B36D7" w:rsidRPr="006D3C55">
        <w:rPr>
          <w:rFonts w:ascii="Calibri" w:hAnsi="Calibri" w:cs="Calibri"/>
        </w:rPr>
        <w:t> </w:t>
      </w:r>
      <w:r w:rsidR="005F668C" w:rsidRPr="006D3C55">
        <w:t>2.1.2 under the relevant headings.</w:t>
      </w:r>
    </w:p>
    <w:p w14:paraId="617677D1" w14:textId="77777777" w:rsidR="002B574E" w:rsidRDefault="002B574E">
      <w:pPr>
        <w:suppressAutoHyphens w:val="0"/>
        <w:rPr>
          <w:rStyle w:val="Bold"/>
        </w:rPr>
      </w:pPr>
      <w:r>
        <w:rPr>
          <w:rStyle w:val="Bold"/>
        </w:rPr>
        <w:br w:type="page"/>
      </w:r>
    </w:p>
    <w:p w14:paraId="453D834C" w14:textId="376493DB" w:rsidR="001301C1" w:rsidRPr="006D3C55" w:rsidRDefault="001301C1" w:rsidP="001301C1">
      <w:r w:rsidRPr="006D3C55">
        <w:rPr>
          <w:rStyle w:val="Bold"/>
        </w:rPr>
        <w:t>The Commission’s detailed analysis confirms that the level of error and share of high-risk expenditure are closely related to the nature of the funding.</w:t>
      </w:r>
      <w:r w:rsidRPr="006D3C55">
        <w:t xml:space="preserve"> Most programmes or segments of expenditure, corresponding to more than 50% of the year’s relevant expenditure, are estimated</w:t>
      </w:r>
      <w:r w:rsidR="0062184E" w:rsidRPr="006D3C55">
        <w:t xml:space="preserve"> to be</w:t>
      </w:r>
      <w:r w:rsidRPr="006D3C55">
        <w:t xml:space="preserve"> in the lower-risk category because they encompass more entitlement-based payments. On the other hand, some programmes or segments of expenditure with complex reimbursement-based rules appear to have a relatively higher risk at payment (as is typically the case under cohesion policy, with many applicable national, regional or programme rules in addition to EU rules). Nevertheless, the control systems in place allow the risks </w:t>
      </w:r>
      <w:r w:rsidR="00C20CAD" w:rsidRPr="006D3C55">
        <w:t xml:space="preserve">relating </w:t>
      </w:r>
      <w:r w:rsidRPr="006D3C55">
        <w:t>to some of the more complex programmes to be mitigated and, as a result, the level of risk at payment to be reduced.</w:t>
      </w:r>
    </w:p>
    <w:p w14:paraId="0F9B55D9" w14:textId="519BEF45" w:rsidR="001301C1" w:rsidRPr="006D3C55" w:rsidRDefault="001301C1" w:rsidP="001301C1">
      <w:pPr>
        <w:rPr>
          <w:highlight w:val="lightGray"/>
        </w:rPr>
      </w:pPr>
      <w:r w:rsidRPr="006D3C55">
        <w:rPr>
          <w:rStyle w:val="Bold"/>
        </w:rPr>
        <w:t>The Commission is closely monitoring the risks at payment and at closure for the various programmes and segments of expenditure</w:t>
      </w:r>
      <w:r w:rsidR="007C4FB9" w:rsidRPr="006D3C55">
        <w:rPr>
          <w:rStyle w:val="Bold"/>
        </w:rPr>
        <w:t>,</w:t>
      </w:r>
      <w:r w:rsidRPr="006D3C55">
        <w:rPr>
          <w:rStyle w:val="Bold"/>
        </w:rPr>
        <w:t xml:space="preserve"> and is taking further action to reduce them.</w:t>
      </w:r>
      <w:r w:rsidRPr="006D3C55">
        <w:t xml:space="preserve"> For the medium- and higher-risk categories in particular, the Commission is continually looking for ways to further decrease them by raising beneficiaries’ and implementing partners’ awareness of issues, adjusting the control strategies where necessary, applying the lessons learned to future programmes and simplifying rules wherever possible.</w:t>
      </w:r>
    </w:p>
    <w:p w14:paraId="553931E2" w14:textId="519F432A" w:rsidR="001301C1" w:rsidRPr="006D3C55" w:rsidRDefault="001301C1" w:rsidP="006D5CEC">
      <w:pPr>
        <w:pStyle w:val="HNum-fromh2Heading4-111"/>
      </w:pPr>
      <w:r w:rsidRPr="006D3C55">
        <w:t>Control results by policy area</w:t>
      </w:r>
    </w:p>
    <w:p w14:paraId="0E3B92F5" w14:textId="60A312A7" w:rsidR="001301C1" w:rsidRPr="006D3C55" w:rsidRDefault="001301C1" w:rsidP="001301C1">
      <w:r w:rsidRPr="006D3C55">
        <w:t xml:space="preserve">The </w:t>
      </w:r>
      <w:r w:rsidRPr="00C11B0A">
        <w:rPr>
          <w:rStyle w:val="Italic"/>
        </w:rPr>
        <w:t>Annual Management and Performance Report for the EU Budget</w:t>
      </w:r>
      <w:r w:rsidRPr="006D3C55">
        <w:t xml:space="preserve"> is a summary of the annual activity reports of the 5</w:t>
      </w:r>
      <w:r w:rsidR="00114D06" w:rsidRPr="006D3C55">
        <w:t>2</w:t>
      </w:r>
      <w:r w:rsidRPr="006D3C55">
        <w:t xml:space="preserve"> Commission departments. The spending covered in each of</w:t>
      </w:r>
      <w:r w:rsidRPr="006D3C55" w:rsidDel="00012E5B">
        <w:t xml:space="preserve"> </w:t>
      </w:r>
      <w:r w:rsidRPr="006D3C55">
        <w:t xml:space="preserve">these reports is allocated in full to one of the seven headings of the multiannual financial framework. Since 2022, considering its size, the spending for security and defence </w:t>
      </w:r>
      <w:r w:rsidR="00284656" w:rsidRPr="006D3C55">
        <w:t xml:space="preserve">by </w:t>
      </w:r>
      <w:r w:rsidRPr="006D3C55">
        <w:t xml:space="preserve">DG Defence Industry and Space </w:t>
      </w:r>
      <w:r w:rsidR="00284656" w:rsidRPr="006D3C55">
        <w:t xml:space="preserve">has been </w:t>
      </w:r>
      <w:r w:rsidRPr="006D3C55">
        <w:t>divided between heading</w:t>
      </w:r>
      <w:r w:rsidRPr="006D3C55">
        <w:rPr>
          <w:rFonts w:ascii="Calibri" w:hAnsi="Calibri" w:cs="Calibri"/>
        </w:rPr>
        <w:t> </w:t>
      </w:r>
      <w:r w:rsidRPr="006D3C55">
        <w:t>1 and heading</w:t>
      </w:r>
      <w:r w:rsidRPr="006D3C55">
        <w:rPr>
          <w:rFonts w:ascii="Calibri" w:hAnsi="Calibri" w:cs="Calibri"/>
        </w:rPr>
        <w:t> </w:t>
      </w:r>
      <w:r w:rsidRPr="006D3C55">
        <w:t xml:space="preserve">5. </w:t>
      </w:r>
      <w:r w:rsidR="001F718A" w:rsidRPr="006D3C55">
        <w:t xml:space="preserve">Since 2025, spending by DG Economic and Financial Affairs </w:t>
      </w:r>
      <w:r w:rsidR="00284656" w:rsidRPr="006D3C55">
        <w:t>has been</w:t>
      </w:r>
      <w:r w:rsidR="00882EF2" w:rsidRPr="006D3C55">
        <w:t xml:space="preserve"> </w:t>
      </w:r>
      <w:r w:rsidR="001F718A" w:rsidRPr="006D3C55">
        <w:t>split between heading</w:t>
      </w:r>
      <w:r w:rsidR="00284656" w:rsidRPr="006D3C55">
        <w:rPr>
          <w:rFonts w:ascii="Calibri" w:hAnsi="Calibri" w:cs="Calibri"/>
        </w:rPr>
        <w:t> </w:t>
      </w:r>
      <w:r w:rsidR="001F718A" w:rsidRPr="006D3C55">
        <w:t xml:space="preserve">2 and </w:t>
      </w:r>
      <w:r w:rsidR="00882EF2" w:rsidRPr="006D3C55">
        <w:t>h</w:t>
      </w:r>
      <w:r w:rsidR="001F718A" w:rsidRPr="006D3C55">
        <w:t>eading</w:t>
      </w:r>
      <w:r w:rsidR="00284656" w:rsidRPr="006D3C55">
        <w:rPr>
          <w:rFonts w:ascii="Calibri" w:hAnsi="Calibri" w:cs="Calibri"/>
        </w:rPr>
        <w:t> </w:t>
      </w:r>
      <w:r w:rsidR="001F718A" w:rsidRPr="006D3C55">
        <w:t>6</w:t>
      </w:r>
      <w:r w:rsidR="00552BC6" w:rsidRPr="006D3C55">
        <w:rPr>
          <w:rFonts w:cs="Calibri"/>
        </w:rPr>
        <w:t xml:space="preserve"> </w:t>
      </w:r>
      <w:r w:rsidR="001F718A" w:rsidRPr="006D3C55">
        <w:t xml:space="preserve">(expenditure related to Ukraine) and spending by DG </w:t>
      </w:r>
      <w:r w:rsidR="00552BC6" w:rsidRPr="006D3C55">
        <w:t xml:space="preserve">Budget </w:t>
      </w:r>
      <w:r w:rsidR="00284656" w:rsidRPr="006D3C55">
        <w:t>has been</w:t>
      </w:r>
      <w:r w:rsidR="00552BC6" w:rsidRPr="006D3C55">
        <w:t xml:space="preserve"> </w:t>
      </w:r>
      <w:r w:rsidR="001F718A" w:rsidRPr="006D3C55">
        <w:t>split between heading</w:t>
      </w:r>
      <w:r w:rsidR="00284656" w:rsidRPr="006D3C55">
        <w:rPr>
          <w:rFonts w:ascii="Calibri" w:hAnsi="Calibri" w:cs="Calibri"/>
        </w:rPr>
        <w:t> </w:t>
      </w:r>
      <w:r w:rsidR="001F718A" w:rsidRPr="006D3C55">
        <w:t xml:space="preserve">2 (interest paid </w:t>
      </w:r>
      <w:r w:rsidR="00882EF2" w:rsidRPr="006D3C55">
        <w:t xml:space="preserve">on </w:t>
      </w:r>
      <w:r w:rsidR="007720BB" w:rsidRPr="006D3C55">
        <w:t>NextGenerationEU</w:t>
      </w:r>
      <w:r w:rsidR="001F718A" w:rsidRPr="006D3C55">
        <w:t xml:space="preserve"> borrowing), heading</w:t>
      </w:r>
      <w:r w:rsidR="00284656" w:rsidRPr="006D3C55">
        <w:rPr>
          <w:rFonts w:ascii="Calibri" w:hAnsi="Calibri" w:cs="Calibri"/>
        </w:rPr>
        <w:t> </w:t>
      </w:r>
      <w:r w:rsidR="001F718A" w:rsidRPr="006D3C55">
        <w:t>6 (expenditure related to Ukraine) and heading</w:t>
      </w:r>
      <w:r w:rsidR="00284656" w:rsidRPr="006D3C55">
        <w:rPr>
          <w:rFonts w:ascii="Calibri" w:hAnsi="Calibri" w:cs="Calibri"/>
        </w:rPr>
        <w:t> </w:t>
      </w:r>
      <w:r w:rsidR="001F718A" w:rsidRPr="006D3C55">
        <w:t xml:space="preserve">7. </w:t>
      </w:r>
      <w:r w:rsidRPr="006D3C55">
        <w:t>The situation for each policy area is described below.</w:t>
      </w:r>
    </w:p>
    <w:p w14:paraId="63E81B63" w14:textId="77777777" w:rsidR="006D133B" w:rsidRDefault="006D133B">
      <w:pPr>
        <w:suppressAutoHyphens w:val="0"/>
      </w:pPr>
      <w:r>
        <w:br w:type="page"/>
      </w:r>
    </w:p>
    <w:p w14:paraId="1E816B0B" w14:textId="77777777" w:rsidR="001301C1" w:rsidRPr="006D3C55" w:rsidRDefault="001301C1" w:rsidP="001301C1">
      <w:pPr>
        <w:pStyle w:val="Heading5"/>
        <w:rPr>
          <w:rFonts w:ascii="EC Square Sans Pro" w:hAnsi="EC Square Sans Pro"/>
        </w:rPr>
      </w:pPr>
      <w:r w:rsidRPr="006D3C55">
        <w:rPr>
          <w:rFonts w:ascii="EC Square Sans Pro" w:hAnsi="EC Square Sans Pro"/>
        </w:rPr>
        <w:t>Heading</w:t>
      </w:r>
      <w:r w:rsidRPr="006D3C55">
        <w:rPr>
          <w:rFonts w:ascii="Calibri" w:hAnsi="Calibri" w:cs="Calibri"/>
        </w:rPr>
        <w:t> </w:t>
      </w:r>
      <w:r w:rsidRPr="006D3C55">
        <w:rPr>
          <w:rFonts w:ascii="EC Square Sans Pro" w:hAnsi="EC Square Sans Pro"/>
        </w:rPr>
        <w:t>1</w:t>
      </w:r>
      <w:r w:rsidRPr="006D3C55">
        <w:rPr>
          <w:rFonts w:ascii="Calibri" w:hAnsi="Calibri" w:cs="Calibri"/>
        </w:rPr>
        <w:t> </w:t>
      </w:r>
      <w:r w:rsidRPr="006D3C55">
        <w:rPr>
          <w:rFonts w:ascii="EC Square Sans Pro" w:hAnsi="EC Square Sans Pro"/>
        </w:rPr>
        <w:t>– single market, innovation and digital</w:t>
      </w:r>
    </w:p>
    <w:p w14:paraId="65F434A6" w14:textId="730FE94E" w:rsidR="001301C1" w:rsidRPr="00F21062" w:rsidRDefault="001301C1" w:rsidP="001301C1">
      <w:pPr>
        <w:pStyle w:val="amprboxtext"/>
        <w:spacing w:before="0" w:after="0"/>
        <w:rPr>
          <w:lang w:val="en-IE"/>
        </w:rPr>
      </w:pPr>
      <w:r w:rsidRPr="00F21062">
        <w:rPr>
          <w:rStyle w:val="Bold"/>
          <w:lang w:val="en-IE"/>
        </w:rPr>
        <w:t>Total relevant expenditure:</w:t>
      </w:r>
      <w:r w:rsidRPr="00F21062">
        <w:rPr>
          <w:lang w:val="en-IE"/>
        </w:rPr>
        <w:t xml:space="preserve"> </w:t>
      </w:r>
      <w:r w:rsidR="0064371E" w:rsidRPr="00F21062">
        <w:rPr>
          <w:lang w:val="en-IE"/>
        </w:rPr>
        <w:t>EUR</w:t>
      </w:r>
      <w:r w:rsidR="0064371E" w:rsidRPr="00F21062">
        <w:rPr>
          <w:rFonts w:ascii="Calibri" w:hAnsi="Calibri" w:cs="Calibri"/>
          <w:lang w:val="en-IE"/>
        </w:rPr>
        <w:t> </w:t>
      </w:r>
      <w:r w:rsidR="0064371E" w:rsidRPr="00F21062">
        <w:rPr>
          <w:lang w:val="en-IE"/>
        </w:rPr>
        <w:t>25.0</w:t>
      </w:r>
      <w:r w:rsidR="0064371E" w:rsidRPr="00F21062">
        <w:rPr>
          <w:rFonts w:ascii="Calibri" w:hAnsi="Calibri" w:cs="Calibri"/>
          <w:lang w:val="en-IE"/>
        </w:rPr>
        <w:t> </w:t>
      </w:r>
      <w:r w:rsidR="0064371E" w:rsidRPr="00F21062">
        <w:rPr>
          <w:lang w:val="en-IE"/>
        </w:rPr>
        <w:t>billion (2024: EUR</w:t>
      </w:r>
      <w:r w:rsidR="0064371E" w:rsidRPr="00F21062">
        <w:rPr>
          <w:rFonts w:ascii="Calibri" w:hAnsi="Calibri" w:cs="Calibri"/>
          <w:lang w:val="en-IE"/>
        </w:rPr>
        <w:t> </w:t>
      </w:r>
      <w:r w:rsidR="0064371E" w:rsidRPr="00F21062">
        <w:rPr>
          <w:lang w:val="en-IE"/>
        </w:rPr>
        <w:t>24.2</w:t>
      </w:r>
      <w:r w:rsidR="0064371E" w:rsidRPr="00F21062">
        <w:rPr>
          <w:rFonts w:ascii="Calibri" w:hAnsi="Calibri" w:cs="Calibri"/>
          <w:lang w:val="en-IE"/>
        </w:rPr>
        <w:t> </w:t>
      </w:r>
      <w:r w:rsidR="0064371E" w:rsidRPr="00F21062">
        <w:rPr>
          <w:lang w:val="en-IE"/>
        </w:rPr>
        <w:t>billion).</w:t>
      </w:r>
    </w:p>
    <w:p w14:paraId="256713C1" w14:textId="3668039F" w:rsidR="0064371E" w:rsidRPr="000562AD" w:rsidRDefault="001301C1" w:rsidP="001301C1">
      <w:pPr>
        <w:pStyle w:val="amprboxtext"/>
        <w:spacing w:before="0" w:after="0"/>
      </w:pPr>
      <w:r w:rsidRPr="000562AD">
        <w:rPr>
          <w:rStyle w:val="Bold"/>
        </w:rPr>
        <w:t>Risk at payment:</w:t>
      </w:r>
      <w:r w:rsidRPr="000562AD">
        <w:t xml:space="preserve"> </w:t>
      </w:r>
      <w:r w:rsidR="0064371E" w:rsidRPr="000562AD">
        <w:t>2.1% (2024: 1.6%).</w:t>
      </w:r>
    </w:p>
    <w:p w14:paraId="37862074" w14:textId="13C3B9C0" w:rsidR="001301C1" w:rsidRPr="006D3C55" w:rsidRDefault="001301C1" w:rsidP="001301C1">
      <w:pPr>
        <w:pStyle w:val="amprboxtext"/>
        <w:spacing w:before="0" w:after="0"/>
      </w:pPr>
      <w:r w:rsidRPr="000562AD">
        <w:rPr>
          <w:rStyle w:val="Bold"/>
        </w:rPr>
        <w:t>Risk at closure:</w:t>
      </w:r>
      <w:r w:rsidRPr="000562AD">
        <w:t xml:space="preserve"> </w:t>
      </w:r>
      <w:r w:rsidR="001D69D9" w:rsidRPr="000562AD">
        <w:t>1.7% (2024: 1.2%).</w:t>
      </w:r>
    </w:p>
    <w:p w14:paraId="2F97E3A0" w14:textId="172F312C" w:rsidR="001301C1" w:rsidRPr="0000272F" w:rsidRDefault="001301C1" w:rsidP="001301C1">
      <w:pPr>
        <w:pStyle w:val="amprboxtext"/>
        <w:spacing w:before="0" w:after="0"/>
      </w:pPr>
      <w:r w:rsidRPr="006D3C55">
        <w:rPr>
          <w:rStyle w:val="Bold"/>
        </w:rPr>
        <w:t xml:space="preserve">Total preventive and corrective </w:t>
      </w:r>
      <w:r w:rsidRPr="0000272F">
        <w:rPr>
          <w:rStyle w:val="Bold"/>
        </w:rPr>
        <w:t>measures:</w:t>
      </w:r>
      <w:r w:rsidRPr="0000272F">
        <w:t xml:space="preserve"> </w:t>
      </w:r>
      <w:r w:rsidR="001D69D9" w:rsidRPr="0000272F">
        <w:t>EUR</w:t>
      </w:r>
      <w:r w:rsidR="001D69D9" w:rsidRPr="0000272F">
        <w:rPr>
          <w:rFonts w:ascii="Calibri" w:hAnsi="Calibri" w:cs="Calibri"/>
        </w:rPr>
        <w:t> </w:t>
      </w:r>
      <w:r w:rsidR="0000272F" w:rsidRPr="0000272F">
        <w:t>232.9</w:t>
      </w:r>
      <w:r w:rsidR="00CD4166" w:rsidRPr="0000272F">
        <w:rPr>
          <w:rFonts w:ascii="Calibri" w:hAnsi="Calibri" w:cs="Calibri"/>
        </w:rPr>
        <w:t> </w:t>
      </w:r>
      <w:r w:rsidR="001D69D9" w:rsidRPr="0000272F">
        <w:t>million (2024: EUR</w:t>
      </w:r>
      <w:r w:rsidR="001D69D9" w:rsidRPr="0000272F">
        <w:rPr>
          <w:rFonts w:ascii="Calibri" w:hAnsi="Calibri" w:cs="Calibri"/>
        </w:rPr>
        <w:t> </w:t>
      </w:r>
      <w:r w:rsidR="001D69D9" w:rsidRPr="0000272F">
        <w:t>348.5</w:t>
      </w:r>
      <w:r w:rsidR="001D69D9" w:rsidRPr="0000272F">
        <w:rPr>
          <w:rFonts w:ascii="Calibri" w:hAnsi="Calibri" w:cs="Calibri"/>
        </w:rPr>
        <w:t> </w:t>
      </w:r>
      <w:r w:rsidR="001D69D9" w:rsidRPr="0000272F">
        <w:t>million):</w:t>
      </w:r>
    </w:p>
    <w:p w14:paraId="66363B4A" w14:textId="63A94A0A" w:rsidR="00CF7C85" w:rsidRPr="0000272F" w:rsidRDefault="00CF7C85" w:rsidP="00215B29">
      <w:pPr>
        <w:pStyle w:val="amprboxbulletlistorange"/>
        <w:rPr>
          <w:rStyle w:val="Italic"/>
        </w:rPr>
      </w:pPr>
      <w:r w:rsidRPr="0000272F">
        <w:rPr>
          <w:rStyle w:val="Italic"/>
        </w:rPr>
        <w:t>preventive measures: EUR</w:t>
      </w:r>
      <w:r w:rsidRPr="0000272F">
        <w:rPr>
          <w:rStyle w:val="Italic"/>
          <w:rFonts w:ascii="Calibri" w:hAnsi="Calibri" w:cs="Calibri"/>
        </w:rPr>
        <w:t> </w:t>
      </w:r>
      <w:r w:rsidR="0029434D" w:rsidRPr="0000272F">
        <w:rPr>
          <w:rStyle w:val="Italic"/>
        </w:rPr>
        <w:t>153</w:t>
      </w:r>
      <w:r w:rsidR="002A632F" w:rsidRPr="0000272F">
        <w:rPr>
          <w:rStyle w:val="Italic"/>
        </w:rPr>
        <w:t>.3</w:t>
      </w:r>
      <w:r w:rsidR="008F60EC" w:rsidRPr="0000272F">
        <w:rPr>
          <w:rStyle w:val="Italic"/>
          <w:rFonts w:ascii="Calibri" w:hAnsi="Calibri" w:cs="Calibri"/>
        </w:rPr>
        <w:t> </w:t>
      </w:r>
      <w:r w:rsidRPr="0000272F">
        <w:rPr>
          <w:rStyle w:val="Italic"/>
        </w:rPr>
        <w:t>million (2024: EUR</w:t>
      </w:r>
      <w:r w:rsidRPr="00AB51E8">
        <w:rPr>
          <w:rStyle w:val="Italic"/>
          <w:rFonts w:ascii="Calibri" w:hAnsi="Calibri" w:cs="Calibri"/>
        </w:rPr>
        <w:t> </w:t>
      </w:r>
      <w:r w:rsidRPr="0000272F">
        <w:rPr>
          <w:rStyle w:val="Italic"/>
        </w:rPr>
        <w:t>244.7</w:t>
      </w:r>
      <w:r w:rsidRPr="00AB51E8">
        <w:rPr>
          <w:rStyle w:val="Italic"/>
          <w:rFonts w:ascii="Calibri" w:hAnsi="Calibri" w:cs="Calibri"/>
        </w:rPr>
        <w:t> </w:t>
      </w:r>
      <w:r w:rsidRPr="0000272F">
        <w:rPr>
          <w:rStyle w:val="Italic"/>
        </w:rPr>
        <w:t>million);</w:t>
      </w:r>
    </w:p>
    <w:p w14:paraId="498D7826" w14:textId="0076726D" w:rsidR="00CF7C85" w:rsidRPr="00C11B0A" w:rsidRDefault="00CF7C85" w:rsidP="00215B29">
      <w:pPr>
        <w:pStyle w:val="amprboxbulletlistorange"/>
        <w:rPr>
          <w:rStyle w:val="Italic"/>
        </w:rPr>
      </w:pPr>
      <w:r w:rsidRPr="0000272F">
        <w:rPr>
          <w:rStyle w:val="Italic"/>
        </w:rPr>
        <w:t>corrective measures: EUR</w:t>
      </w:r>
      <w:r w:rsidRPr="0000272F">
        <w:rPr>
          <w:rStyle w:val="Italic"/>
          <w:rFonts w:ascii="Calibri" w:hAnsi="Calibri" w:cs="Calibri"/>
        </w:rPr>
        <w:t> </w:t>
      </w:r>
      <w:r w:rsidR="008F60EC" w:rsidRPr="0000272F">
        <w:rPr>
          <w:rStyle w:val="Italic"/>
        </w:rPr>
        <w:t>79.6</w:t>
      </w:r>
      <w:r w:rsidR="008F60EC" w:rsidRPr="0000272F">
        <w:rPr>
          <w:rStyle w:val="Italic"/>
          <w:rFonts w:ascii="Calibri" w:hAnsi="Calibri" w:cs="Calibri"/>
        </w:rPr>
        <w:t> </w:t>
      </w:r>
      <w:r w:rsidRPr="0000272F">
        <w:rPr>
          <w:rStyle w:val="Italic"/>
        </w:rPr>
        <w:t>million (2024: EUR</w:t>
      </w:r>
      <w:r w:rsidRPr="00AB51E8">
        <w:rPr>
          <w:rStyle w:val="Italic"/>
          <w:rFonts w:ascii="Calibri" w:hAnsi="Calibri" w:cs="Calibri"/>
        </w:rPr>
        <w:t> </w:t>
      </w:r>
      <w:r w:rsidRPr="00C11B0A">
        <w:rPr>
          <w:rStyle w:val="Italic"/>
        </w:rPr>
        <w:t>103.8</w:t>
      </w:r>
      <w:r w:rsidRPr="00AB51E8">
        <w:rPr>
          <w:rStyle w:val="Italic"/>
          <w:rFonts w:ascii="Calibri" w:hAnsi="Calibri" w:cs="Calibri"/>
        </w:rPr>
        <w:t> </w:t>
      </w:r>
      <w:r w:rsidRPr="00C11B0A">
        <w:rPr>
          <w:rStyle w:val="Italic"/>
        </w:rPr>
        <w:t>million).</w:t>
      </w:r>
    </w:p>
    <w:p w14:paraId="4C499442" w14:textId="1997FED4" w:rsidR="001301C1" w:rsidRPr="006D3C55" w:rsidRDefault="001301C1" w:rsidP="00D90885">
      <w:pPr>
        <w:pStyle w:val="amprboxtext"/>
      </w:pPr>
      <w:r w:rsidRPr="006D3C55">
        <w:rPr>
          <w:rStyle w:val="Bold"/>
        </w:rPr>
        <w:t>Reservation</w:t>
      </w:r>
      <w:r w:rsidR="00404F2C" w:rsidRPr="006D3C55">
        <w:rPr>
          <w:rStyle w:val="Bold"/>
        </w:rPr>
        <w:t>s</w:t>
      </w:r>
      <w:r w:rsidRPr="006D5CEC">
        <w:rPr>
          <w:rStyle w:val="Bold"/>
        </w:rPr>
        <w:t>:</w:t>
      </w:r>
      <w:r w:rsidRPr="006D3C55">
        <w:t xml:space="preserve"> </w:t>
      </w:r>
      <w:r w:rsidR="006A2AB8" w:rsidRPr="006D3C55">
        <w:t>13</w:t>
      </w:r>
      <w:r w:rsidR="00D90885" w:rsidRPr="006D3C55">
        <w:t xml:space="preserve"> (2024: one reputational reservation without financial impact</w:t>
      </w:r>
      <w:r w:rsidR="008A6036" w:rsidRPr="006D3C55">
        <w:rPr>
          <w:rFonts w:ascii="Calibri" w:hAnsi="Calibri" w:cs="Calibri"/>
        </w:rPr>
        <w:t> </w:t>
      </w:r>
      <w:r w:rsidR="00D90885" w:rsidRPr="006D3C55">
        <w:t>(</w:t>
      </w:r>
      <w:r w:rsidR="00D90885" w:rsidRPr="00352191">
        <w:rPr>
          <w:rStyle w:val="FootnoteReference"/>
        </w:rPr>
        <w:footnoteReference w:id="21"/>
      </w:r>
      <w:r w:rsidR="00D90885" w:rsidRPr="006D3C55">
        <w:t>)).</w:t>
      </w:r>
    </w:p>
    <w:p w14:paraId="123B4E23" w14:textId="7E852FDC" w:rsidR="006410B9" w:rsidRPr="006D3C55" w:rsidRDefault="00BF0461" w:rsidP="006410B9">
      <w:r w:rsidRPr="006D3C55">
        <w:rPr>
          <w:b/>
          <w:bCs/>
          <w:noProof/>
        </w:rPr>
        <w:drawing>
          <wp:anchor distT="0" distB="0" distL="114300" distR="114300" simplePos="0" relativeHeight="251658241" behindDoc="0" locked="0" layoutInCell="1" allowOverlap="1" wp14:anchorId="781374FE" wp14:editId="2CDAA2B5">
            <wp:simplePos x="0" y="0"/>
            <wp:positionH relativeFrom="margin">
              <wp:align>left</wp:align>
            </wp:positionH>
            <wp:positionV relativeFrom="paragraph">
              <wp:posOffset>48404</wp:posOffset>
            </wp:positionV>
            <wp:extent cx="2514600" cy="3529330"/>
            <wp:effectExtent l="0" t="0" r="0" b="0"/>
            <wp:wrapSquare wrapText="bothSides"/>
            <wp:docPr id="695032663" name="Picture 7" descr="Graph showing the evolution of risk at payment and risk at closure for Heading 1 – Single market, innovation and digital between 2023 and 2025. The graph shows the materiality represented by a line at 2%.&#10;Risk at payment in 2023 was 1.4%, in 2024 1.6%; in 2025 2.1%.&#10;Risk at closure in 2023 1.0%; in 2024 1.2% and in 2025 1.7%.">
              <a:extLst xmlns:a="http://schemas.openxmlformats.org/drawingml/2006/main">
                <a:ext uri="{FF2B5EF4-FFF2-40B4-BE49-F238E27FC236}">
                  <a16:creationId xmlns:a16="http://schemas.microsoft.com/office/drawing/2014/main" id="{CF81D094-C867-9F69-7F54-68D1EC2728D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5032663" name="Picture 7" descr="Graph showing the evolution of risk at payment and risk at closure for Heading 1 – Single market, innovation and digital between 2023 and 2025. The graph shows the materiality represented by a line at 2%.&#10;Risk at payment in 2023 was 1.4%, in 2024 1.6%; in 2025 2.1%.&#10;Risk at closure in 2023 1.0%; in 2024 1.2% and in 2025 1.7%.">
                      <a:extLst>
                        <a:ext uri="{FF2B5EF4-FFF2-40B4-BE49-F238E27FC236}">
                          <a16:creationId xmlns:a16="http://schemas.microsoft.com/office/drawing/2014/main" id="{CF81D094-C867-9F69-7F54-68D1EC2728DD}"/>
                        </a:ext>
                      </a:extLst>
                    </pic:cNvPr>
                    <pic:cNvPicPr>
                      <a:picLocks noChangeAspect="1"/>
                    </pic:cNvPicPr>
                  </pic:nvPicPr>
                  <pic:blipFill>
                    <a:blip r:embed="rId72" cstate="print">
                      <a:extLst>
                        <a:ext uri="{28A0092B-C50C-407E-A947-70E740481C1C}">
                          <a14:useLocalDpi xmlns:a14="http://schemas.microsoft.com/office/drawing/2010/main" val="0"/>
                        </a:ext>
                      </a:extLst>
                    </a:blip>
                    <a:stretch>
                      <a:fillRect/>
                    </a:stretch>
                  </pic:blipFill>
                  <pic:spPr>
                    <a:xfrm>
                      <a:off x="0" y="0"/>
                      <a:ext cx="2526035" cy="3545470"/>
                    </a:xfrm>
                    <a:prstGeom prst="rect">
                      <a:avLst/>
                    </a:prstGeom>
                  </pic:spPr>
                </pic:pic>
              </a:graphicData>
            </a:graphic>
            <wp14:sizeRelH relativeFrom="page">
              <wp14:pctWidth>0</wp14:pctWidth>
            </wp14:sizeRelH>
            <wp14:sizeRelV relativeFrom="page">
              <wp14:pctHeight>0</wp14:pctHeight>
            </wp14:sizeRelV>
          </wp:anchor>
        </w:drawing>
      </w:r>
      <w:r w:rsidR="002E6435" w:rsidRPr="006D5CEC">
        <w:rPr>
          <w:rStyle w:val="Bold"/>
        </w:rPr>
        <w:t xml:space="preserve">In </w:t>
      </w:r>
      <w:r w:rsidR="006410B9" w:rsidRPr="006D5CEC">
        <w:rPr>
          <w:rStyle w:val="Bold"/>
        </w:rPr>
        <w:t>2025, the risks at payment (2</w:t>
      </w:r>
      <w:r w:rsidR="008A6036" w:rsidRPr="006D5CEC">
        <w:rPr>
          <w:rStyle w:val="Bold"/>
        </w:rPr>
        <w:t>.</w:t>
      </w:r>
      <w:r w:rsidR="006410B9" w:rsidRPr="006D5CEC">
        <w:rPr>
          <w:rStyle w:val="Bold"/>
        </w:rPr>
        <w:t>1%) and at closure (1.7%) increased by 0.5</w:t>
      </w:r>
      <w:r w:rsidR="008A6036" w:rsidRPr="006D5CEC">
        <w:rPr>
          <w:rStyle w:val="Bold"/>
        </w:rPr>
        <w:t> </w:t>
      </w:r>
      <w:r w:rsidR="006410B9" w:rsidRPr="006D5CEC">
        <w:rPr>
          <w:rStyle w:val="Bold"/>
        </w:rPr>
        <w:t>percentage points</w:t>
      </w:r>
      <w:r w:rsidR="006410B9" w:rsidRPr="006D3C55">
        <w:t xml:space="preserve"> compared to 2024. This is due to the increase in the risk at payment for grants under both Horizon programmes and for grants </w:t>
      </w:r>
      <w:r w:rsidR="00567C8C" w:rsidRPr="006D3C55">
        <w:t xml:space="preserve">under </w:t>
      </w:r>
      <w:r w:rsidR="006410B9" w:rsidRPr="006D3C55">
        <w:t xml:space="preserve">the </w:t>
      </w:r>
      <w:r w:rsidR="001E1031" w:rsidRPr="006D3C55">
        <w:t>d</w:t>
      </w:r>
      <w:r w:rsidR="006410B9" w:rsidRPr="006D3C55">
        <w:t xml:space="preserve">igital Europe </w:t>
      </w:r>
      <w:r w:rsidR="001E1031" w:rsidRPr="006D3C55">
        <w:t>p</w:t>
      </w:r>
      <w:r w:rsidR="006410B9" w:rsidRPr="006D3C55">
        <w:t>rogramme.</w:t>
      </w:r>
    </w:p>
    <w:p w14:paraId="083156F5" w14:textId="7D0C9A1A" w:rsidR="006410B9" w:rsidRPr="006D3C55" w:rsidRDefault="006410B9" w:rsidP="006410B9">
      <w:r w:rsidRPr="006D5CEC">
        <w:rPr>
          <w:rStyle w:val="Bold"/>
        </w:rPr>
        <w:t>For Horizon 2020,</w:t>
      </w:r>
      <w:r w:rsidRPr="006D3C55">
        <w:rPr>
          <w:bCs/>
        </w:rPr>
        <w:t xml:space="preserve"> the risk at payment increased from 3.55% to 3.83%, whereas the total expenditure of that heading decreased from 20.3% to 16.9%. As in previous years, and despite ongoing efforts and improvements</w:t>
      </w:r>
      <w:r w:rsidRPr="006D3C55">
        <w:t>, the risk at payment remained above 2% because of the inherent complexity of the rules and the nature of the payments. Payments made in 2025 correspond</w:t>
      </w:r>
      <w:r w:rsidR="005413B3" w:rsidRPr="006D3C55">
        <w:t>ed</w:t>
      </w:r>
      <w:r w:rsidRPr="006D3C55">
        <w:t xml:space="preserve"> mostly to final payments </w:t>
      </w:r>
      <w:r w:rsidR="005413B3" w:rsidRPr="006D3C55">
        <w:t xml:space="preserve">for </w:t>
      </w:r>
      <w:r w:rsidRPr="006D3C55">
        <w:t>larger and more complex projects</w:t>
      </w:r>
      <w:r w:rsidR="005413B3" w:rsidRPr="006D3C55">
        <w:t>,</w:t>
      </w:r>
      <w:r w:rsidRPr="006D3C55">
        <w:t xml:space="preserve"> </w:t>
      </w:r>
      <w:r w:rsidR="005413B3" w:rsidRPr="006D3C55">
        <w:t xml:space="preserve">which </w:t>
      </w:r>
      <w:r w:rsidRPr="006D3C55">
        <w:t>are more error prone than interim payments. Similar</w:t>
      </w:r>
      <w:r w:rsidR="005413B3" w:rsidRPr="006D3C55">
        <w:t>ly</w:t>
      </w:r>
      <w:r w:rsidRPr="006D3C55">
        <w:t xml:space="preserve"> to previous years, the research departments did not qualify their declarations of assurance with a reservation in relation to the Horizon 2020 programme</w:t>
      </w:r>
      <w:r w:rsidRPr="006D3C55">
        <w:rPr>
          <w:rFonts w:ascii="Calibri" w:hAnsi="Calibri" w:cs="Calibri"/>
        </w:rPr>
        <w:t> </w:t>
      </w:r>
      <w:r w:rsidRPr="006D3C55">
        <w:t>(</w:t>
      </w:r>
      <w:r w:rsidRPr="00352191">
        <w:rPr>
          <w:rStyle w:val="FootnoteReference"/>
        </w:rPr>
        <w:footnoteReference w:id="22"/>
      </w:r>
      <w:r w:rsidRPr="006D3C55">
        <w:t>).</w:t>
      </w:r>
      <w:r w:rsidR="00C67325">
        <w:t xml:space="preserve"> </w:t>
      </w:r>
      <w:r w:rsidR="00C67325" w:rsidRPr="00C67325">
        <w:t>At the same time, the risk at closure</w:t>
      </w:r>
      <w:r w:rsidR="0065687C">
        <w:t>,</w:t>
      </w:r>
      <w:r w:rsidR="00C67325" w:rsidRPr="00C67325">
        <w:t xml:space="preserve"> at 1.78%</w:t>
      </w:r>
      <w:r w:rsidR="0065687C">
        <w:t>,</w:t>
      </w:r>
      <w:r w:rsidR="00C67325" w:rsidRPr="00C67325">
        <w:t xml:space="preserve"> is in line with 2024, at 1.79%, and remained below the materiality threshold</w:t>
      </w:r>
      <w:r w:rsidR="00C67325">
        <w:t>.</w:t>
      </w:r>
    </w:p>
    <w:p w14:paraId="67E197FE" w14:textId="391E5E8B" w:rsidR="006410B9" w:rsidRPr="006D3C55" w:rsidRDefault="006410B9" w:rsidP="006410B9">
      <w:r w:rsidRPr="006D5CEC">
        <w:rPr>
          <w:rStyle w:val="Bold"/>
        </w:rPr>
        <w:t>For Horizon Europe</w:t>
      </w:r>
      <w:r w:rsidRPr="006D3C55">
        <w:t>, the risk at payment increased from 2% to 4.</w:t>
      </w:r>
      <w:r w:rsidR="00D84690">
        <w:t>38</w:t>
      </w:r>
      <w:r w:rsidRPr="006D3C55">
        <w:t>%</w:t>
      </w:r>
      <w:r w:rsidR="00E5182E" w:rsidRPr="00C26EA0">
        <w:rPr>
          <w:rFonts w:cs="Calibri"/>
        </w:rPr>
        <w:t> </w:t>
      </w:r>
      <w:r w:rsidR="00E5182E" w:rsidRPr="00E5182E">
        <w:t>(</w:t>
      </w:r>
      <w:r w:rsidR="00E5182E">
        <w:rPr>
          <w:rStyle w:val="FootnoteReference"/>
        </w:rPr>
        <w:footnoteReference w:id="23"/>
      </w:r>
      <w:r w:rsidR="00E5182E">
        <w:t>)</w:t>
      </w:r>
      <w:r w:rsidRPr="006D3C55">
        <w:t xml:space="preserve"> and the share in the total expenditure of that heading increased from 17.9% to 25.8%. </w:t>
      </w:r>
      <w:r w:rsidR="00F726AB" w:rsidRPr="00F726AB">
        <w:t xml:space="preserve">The risk at closure is estimated </w:t>
      </w:r>
      <w:r w:rsidR="00BB477E">
        <w:t xml:space="preserve">overall </w:t>
      </w:r>
      <w:r w:rsidR="00F726AB" w:rsidRPr="00F726AB">
        <w:t xml:space="preserve">at 4.05% in 2025. </w:t>
      </w:r>
      <w:r w:rsidRPr="006D3C55">
        <w:t>This higher level of error is the combined result of (</w:t>
      </w:r>
      <w:r w:rsidR="00B062A1" w:rsidRPr="006D3C55">
        <w:t>1</w:t>
      </w:r>
      <w:r w:rsidRPr="006D3C55">
        <w:t>) a population of beneficiaries composed of newcomers to the programme and small and medium-sized enterprise beneficiaries</w:t>
      </w:r>
      <w:r w:rsidR="00B8190D" w:rsidRPr="006D3C55">
        <w:t>, for</w:t>
      </w:r>
      <w:r w:rsidRPr="006D3C55">
        <w:t xml:space="preserve"> which cost claims are generally more error prone</w:t>
      </w:r>
      <w:r w:rsidR="0018187C" w:rsidRPr="006D3C55">
        <w:t>;</w:t>
      </w:r>
      <w:r w:rsidRPr="006D3C55">
        <w:t xml:space="preserve"> (</w:t>
      </w:r>
      <w:r w:rsidR="00B062A1" w:rsidRPr="006D3C55">
        <w:t>2</w:t>
      </w:r>
      <w:r w:rsidRPr="006D3C55">
        <w:t xml:space="preserve">) significant errors identified in three participations/projects that </w:t>
      </w:r>
      <w:r w:rsidR="006D6878" w:rsidRPr="006D3C55">
        <w:t xml:space="preserve">had </w:t>
      </w:r>
      <w:r w:rsidRPr="006D3C55">
        <w:t>a big impact on the error rate in a still rather limited audited population</w:t>
      </w:r>
      <w:r w:rsidR="006D6878" w:rsidRPr="006D3C55">
        <w:t>,</w:t>
      </w:r>
      <w:r w:rsidRPr="006D3C55">
        <w:t xml:space="preserve"> being at the beginning of the audit campaign of the programme</w:t>
      </w:r>
      <w:r w:rsidR="0018187C" w:rsidRPr="006D3C55">
        <w:t>;</w:t>
      </w:r>
      <w:r w:rsidRPr="006D3C55">
        <w:t xml:space="preserve"> and (</w:t>
      </w:r>
      <w:r w:rsidR="00B062A1" w:rsidRPr="006D3C55">
        <w:t>3</w:t>
      </w:r>
      <w:r w:rsidRPr="006D3C55">
        <w:t>) the limited impact of lump sum grants in the Horizon Europe control results</w:t>
      </w:r>
      <w:r w:rsidR="006D6878" w:rsidRPr="006D3C55">
        <w:t>,</w:t>
      </w:r>
      <w:r w:rsidRPr="006D3C55">
        <w:t xml:space="preserve"> since </w:t>
      </w:r>
      <w:r w:rsidR="006D6878" w:rsidRPr="006D3C55">
        <w:t>few</w:t>
      </w:r>
      <w:r w:rsidRPr="006D3C55">
        <w:t xml:space="preserve"> have </w:t>
      </w:r>
      <w:r w:rsidR="0018187C" w:rsidRPr="006D3C55">
        <w:t xml:space="preserve">yet </w:t>
      </w:r>
      <w:r w:rsidRPr="006D3C55">
        <w:t>been paid and reviewed.</w:t>
      </w:r>
      <w:r w:rsidR="00874B58" w:rsidRPr="00874B58">
        <w:t xml:space="preserve"> Similar to Horizon 2020, the most frequent errors are related to personnel costs (e.g. missing or unreliable time reporting system, wrong calculation of daily rates)</w:t>
      </w:r>
      <w:r w:rsidR="00874B58">
        <w:t>.</w:t>
      </w:r>
    </w:p>
    <w:p w14:paraId="5490E4CE" w14:textId="6B0678BE" w:rsidR="006410B9" w:rsidRPr="006D3C55" w:rsidRDefault="006410B9" w:rsidP="006410B9">
      <w:r w:rsidRPr="006D3C55">
        <w:t xml:space="preserve">To reduce these error rates, the Commission is focusing its </w:t>
      </w:r>
      <w:r w:rsidRPr="006D5CEC">
        <w:rPr>
          <w:rStyle w:val="Bold"/>
        </w:rPr>
        <w:t xml:space="preserve">efforts on communication, both external </w:t>
      </w:r>
      <w:r w:rsidR="00225959">
        <w:rPr>
          <w:rStyle w:val="Bold"/>
        </w:rPr>
        <w:br/>
      </w:r>
      <w:r w:rsidRPr="006D5CEC">
        <w:rPr>
          <w:rStyle w:val="Bold"/>
        </w:rPr>
        <w:t>and internal</w:t>
      </w:r>
      <w:r w:rsidRPr="006D3C55">
        <w:t>. Dedicated webinars and training</w:t>
      </w:r>
      <w:r w:rsidR="00AE7BF3" w:rsidRPr="006D3C55">
        <w:t xml:space="preserve"> sessions</w:t>
      </w:r>
      <w:r w:rsidRPr="006D3C55">
        <w:t xml:space="preserve"> targeting beneficiaries </w:t>
      </w:r>
      <w:r w:rsidR="00AE7BF3" w:rsidRPr="006D3C55">
        <w:t>were</w:t>
      </w:r>
      <w:r w:rsidRPr="006D3C55">
        <w:t xml:space="preserve"> </w:t>
      </w:r>
      <w:r w:rsidR="00AE7BF3" w:rsidRPr="006D3C55">
        <w:t>organised throughout the</w:t>
      </w:r>
      <w:r w:rsidRPr="006D3C55">
        <w:t xml:space="preserve"> year for Horizon Europe. In the context of the client centricity project, the error-rate</w:t>
      </w:r>
      <w:r w:rsidR="007106B2" w:rsidRPr="006D3C55">
        <w:t>-</w:t>
      </w:r>
      <w:r w:rsidRPr="006D3C55">
        <w:t xml:space="preserve">reduction campaign </w:t>
      </w:r>
      <w:r w:rsidR="007106B2" w:rsidRPr="006D3C55">
        <w:t xml:space="preserve">that was </w:t>
      </w:r>
      <w:r w:rsidRPr="006D3C55">
        <w:t xml:space="preserve">launched in 2024 continued in 2025, with </w:t>
      </w:r>
      <w:r w:rsidRPr="00CE40C1">
        <w:t xml:space="preserve">three additional rounds of personalised notifications sent to the most error-prone beneficiaries </w:t>
      </w:r>
      <w:r w:rsidR="00DB19DA">
        <w:t>that</w:t>
      </w:r>
      <w:r w:rsidR="00DB19DA" w:rsidRPr="00CE40C1">
        <w:t xml:space="preserve"> </w:t>
      </w:r>
      <w:r w:rsidR="00E76E12" w:rsidRPr="00CE40C1">
        <w:t xml:space="preserve">were </w:t>
      </w:r>
      <w:r w:rsidRPr="00CE40C1">
        <w:t>approaching their reporting deadlines</w:t>
      </w:r>
      <w:r w:rsidRPr="006D3C55">
        <w:t>. These notifications were revised to maximise their impact and included practical tips on how to avoid the most common errors.</w:t>
      </w:r>
    </w:p>
    <w:p w14:paraId="7501B164" w14:textId="3C83A5C4" w:rsidR="006410B9" w:rsidRPr="006D3C55" w:rsidRDefault="006410B9" w:rsidP="006410B9">
      <w:r w:rsidRPr="006D3C55">
        <w:t xml:space="preserve">The Commission is also pursuing the roll-out of lump sums </w:t>
      </w:r>
      <w:r w:rsidR="008B5A70" w:rsidRPr="006D3C55">
        <w:t xml:space="preserve">under </w:t>
      </w:r>
      <w:r w:rsidRPr="006D3C55">
        <w:t xml:space="preserve">Horizon Europe with the goal </w:t>
      </w:r>
      <w:r w:rsidR="00912D28" w:rsidRPr="006D3C55">
        <w:t xml:space="preserve">of </w:t>
      </w:r>
      <w:r w:rsidRPr="006D3C55">
        <w:t>lump</w:t>
      </w:r>
      <w:r w:rsidR="00912D28" w:rsidRPr="006D3C55">
        <w:t>-</w:t>
      </w:r>
      <w:r w:rsidRPr="006D3C55">
        <w:t>sum grants reach</w:t>
      </w:r>
      <w:r w:rsidR="00912D28" w:rsidRPr="006D3C55">
        <w:t>ing</w:t>
      </w:r>
      <w:r w:rsidRPr="006D3C55">
        <w:t xml:space="preserve"> at least 50% of the call budget in the main </w:t>
      </w:r>
      <w:r w:rsidR="00912D28" w:rsidRPr="006D3C55">
        <w:t xml:space="preserve">2026-2027 </w:t>
      </w:r>
      <w:r w:rsidRPr="006D3C55">
        <w:t>work programme.</w:t>
      </w:r>
      <w:r w:rsidRPr="006D5CEC">
        <w:rPr>
          <w:rStyle w:val="Bold"/>
        </w:rPr>
        <w:t xml:space="preserve"> According to the Horizon Europe midterm evaluation</w:t>
      </w:r>
      <w:r w:rsidRPr="006D3C55">
        <w:rPr>
          <w:rFonts w:ascii="Calibri" w:hAnsi="Calibri" w:cs="Calibri"/>
        </w:rPr>
        <w:t> </w:t>
      </w:r>
      <w:r w:rsidRPr="006D3C55">
        <w:t>(</w:t>
      </w:r>
      <w:r w:rsidRPr="00352191">
        <w:rPr>
          <w:rStyle w:val="FootnoteReference"/>
        </w:rPr>
        <w:footnoteReference w:id="24"/>
      </w:r>
      <w:r w:rsidRPr="006D3C55">
        <w:t>)</w:t>
      </w:r>
      <w:r w:rsidR="009C5860" w:rsidRPr="006D5CEC">
        <w:rPr>
          <w:rStyle w:val="Bold"/>
        </w:rPr>
        <w:t>,</w:t>
      </w:r>
      <w:r w:rsidRPr="006D5CEC">
        <w:rPr>
          <w:rStyle w:val="Bold"/>
        </w:rPr>
        <w:t xml:space="preserve"> lump sums help avoid financial errors while safeguarding the EU’s financial interest</w:t>
      </w:r>
      <w:r w:rsidR="009C5860" w:rsidRPr="00AD4275">
        <w:rPr>
          <w:bCs/>
        </w:rPr>
        <w:t>,</w:t>
      </w:r>
      <w:r w:rsidRPr="006D3C55">
        <w:rPr>
          <w:bCs/>
        </w:rPr>
        <w:t xml:space="preserve"> and controls thereof have led to grant reductions at </w:t>
      </w:r>
      <w:r w:rsidR="00BE4FFF" w:rsidRPr="006D3C55">
        <w:rPr>
          <w:bCs/>
        </w:rPr>
        <w:t xml:space="preserve">the </w:t>
      </w:r>
      <w:r w:rsidRPr="006D3C55">
        <w:rPr>
          <w:bCs/>
        </w:rPr>
        <w:t>evaluation and payment stage</w:t>
      </w:r>
      <w:r w:rsidR="00BE4FFF" w:rsidRPr="006D3C55">
        <w:rPr>
          <w:bCs/>
        </w:rPr>
        <w:t>s</w:t>
      </w:r>
      <w:r w:rsidRPr="00AD4275">
        <w:rPr>
          <w:bCs/>
        </w:rPr>
        <w:t xml:space="preserve">. </w:t>
      </w:r>
      <w:r w:rsidRPr="006D3C55">
        <w:rPr>
          <w:bCs/>
        </w:rPr>
        <w:t>In addition, this model helps shift the focus during the implementation stage from financial controls to the project</w:t>
      </w:r>
      <w:r w:rsidR="00130357" w:rsidRPr="006D3C55">
        <w:rPr>
          <w:bCs/>
        </w:rPr>
        <w:t>’</w:t>
      </w:r>
      <w:r w:rsidRPr="006D3C55">
        <w:rPr>
          <w:bCs/>
        </w:rPr>
        <w:t>s content</w:t>
      </w:r>
      <w:r w:rsidRPr="006D3C55">
        <w:t xml:space="preserve">. However, the impact on the error rate will not be felt before 2029, when a </w:t>
      </w:r>
      <w:r w:rsidR="00BE4FFF" w:rsidRPr="006D3C55">
        <w:t xml:space="preserve">larger </w:t>
      </w:r>
      <w:r w:rsidRPr="006D3C55">
        <w:t xml:space="preserve">number of such grants are paid and </w:t>
      </w:r>
      <w:r w:rsidR="006810F9" w:rsidRPr="00C11B0A">
        <w:rPr>
          <w:rStyle w:val="Italic"/>
        </w:rPr>
        <w:t>ex post</w:t>
      </w:r>
      <w:r w:rsidRPr="006D3C55">
        <w:t xml:space="preserve"> control results start to become available.</w:t>
      </w:r>
    </w:p>
    <w:p w14:paraId="620ED40E" w14:textId="65E03ED1" w:rsidR="005E5BA9" w:rsidRPr="006D3C55" w:rsidRDefault="006410B9" w:rsidP="006410B9">
      <w:r w:rsidRPr="006D5CEC">
        <w:rPr>
          <w:rStyle w:val="Bold"/>
        </w:rPr>
        <w:t xml:space="preserve">Regarding the </w:t>
      </w:r>
      <w:r w:rsidR="001E1031" w:rsidRPr="006D5CEC">
        <w:rPr>
          <w:rStyle w:val="Bold"/>
        </w:rPr>
        <w:t>d</w:t>
      </w:r>
      <w:r w:rsidRPr="006D5CEC">
        <w:rPr>
          <w:rStyle w:val="Bold"/>
        </w:rPr>
        <w:t xml:space="preserve">igital Europe </w:t>
      </w:r>
      <w:r w:rsidR="001E1031" w:rsidRPr="006D5CEC">
        <w:rPr>
          <w:rStyle w:val="Bold"/>
        </w:rPr>
        <w:t>p</w:t>
      </w:r>
      <w:r w:rsidRPr="006D5CEC">
        <w:rPr>
          <w:rStyle w:val="Bold"/>
        </w:rPr>
        <w:t xml:space="preserve">rogramme, </w:t>
      </w:r>
      <w:r w:rsidR="00C235F2" w:rsidRPr="006D5CEC">
        <w:rPr>
          <w:rStyle w:val="Bold"/>
        </w:rPr>
        <w:t>similarly to last</w:t>
      </w:r>
      <w:r w:rsidRPr="006D5CEC">
        <w:rPr>
          <w:rStyle w:val="Bold"/>
        </w:rPr>
        <w:t xml:space="preserve"> year it is the error rate </w:t>
      </w:r>
      <w:r w:rsidR="00362434" w:rsidRPr="006D5CEC">
        <w:rPr>
          <w:rStyle w:val="Bold"/>
        </w:rPr>
        <w:t xml:space="preserve">for the </w:t>
      </w:r>
      <w:r w:rsidRPr="006D5CEC">
        <w:rPr>
          <w:rStyle w:val="Bold"/>
        </w:rPr>
        <w:t xml:space="preserve">Horizon Europe </w:t>
      </w:r>
      <w:r w:rsidR="00362434" w:rsidRPr="006D5CEC">
        <w:rPr>
          <w:rStyle w:val="Bold"/>
        </w:rPr>
        <w:t>programme</w:t>
      </w:r>
      <w:r w:rsidRPr="006D5CEC">
        <w:rPr>
          <w:rStyle w:val="Bold"/>
        </w:rPr>
        <w:t xml:space="preserve"> that has been used,</w:t>
      </w:r>
      <w:r w:rsidRPr="006D3C55">
        <w:t xml:space="preserve"> given the limited number of available audit results at the end </w:t>
      </w:r>
      <w:r w:rsidR="00845931" w:rsidRPr="006D3C55">
        <w:t xml:space="preserve">of </w:t>
      </w:r>
      <w:r w:rsidRPr="006D3C55">
        <w:t>2025 and considering the similarities with th</w:t>
      </w:r>
      <w:r w:rsidR="00845931" w:rsidRPr="006D3C55">
        <w:t>at</w:t>
      </w:r>
      <w:r w:rsidRPr="006D3C55">
        <w:t xml:space="preserve"> programme (eligibility criteria, number of beneficiaries in common and type of beneficiaries).</w:t>
      </w:r>
    </w:p>
    <w:p w14:paraId="159F9F63" w14:textId="3B55B1B2" w:rsidR="006410B9" w:rsidRPr="006D3C55" w:rsidRDefault="00362434" w:rsidP="006410B9">
      <w:r w:rsidRPr="006D5CEC">
        <w:rPr>
          <w:rStyle w:val="Bold"/>
        </w:rPr>
        <w:t>In</w:t>
      </w:r>
      <w:r w:rsidR="006410B9" w:rsidRPr="006D5CEC">
        <w:rPr>
          <w:rStyle w:val="Bold"/>
        </w:rPr>
        <w:t xml:space="preserve"> </w:t>
      </w:r>
      <w:r w:rsidR="007D2CB8" w:rsidRPr="006D5CEC">
        <w:rPr>
          <w:rStyle w:val="Bold"/>
        </w:rPr>
        <w:t xml:space="preserve">2025, </w:t>
      </w:r>
      <w:r w:rsidR="0090261F" w:rsidRPr="006D5CEC">
        <w:rPr>
          <w:rStyle w:val="Bold"/>
        </w:rPr>
        <w:t xml:space="preserve">a </w:t>
      </w:r>
      <w:r w:rsidRPr="006D5CEC">
        <w:rPr>
          <w:rStyle w:val="Bold"/>
        </w:rPr>
        <w:t xml:space="preserve">total </w:t>
      </w:r>
      <w:r w:rsidR="0090261F" w:rsidRPr="006D5CEC">
        <w:rPr>
          <w:rStyle w:val="Bold"/>
        </w:rPr>
        <w:t xml:space="preserve">of </w:t>
      </w:r>
      <w:r w:rsidRPr="006D5CEC">
        <w:rPr>
          <w:rStyle w:val="Bold"/>
        </w:rPr>
        <w:t xml:space="preserve">13 </w:t>
      </w:r>
      <w:r w:rsidR="007D2CB8" w:rsidRPr="006D5CEC">
        <w:rPr>
          <w:rStyle w:val="Bold"/>
        </w:rPr>
        <w:t>reservations were issued</w:t>
      </w:r>
      <w:r w:rsidRPr="006D5CEC">
        <w:rPr>
          <w:rStyle w:val="Bold"/>
        </w:rPr>
        <w:t xml:space="preserve">, an increase of 12 reservations compared to 2024. </w:t>
      </w:r>
      <w:r w:rsidRPr="006D3C55">
        <w:t>Re</w:t>
      </w:r>
      <w:r w:rsidR="007D2CB8" w:rsidRPr="006D3C55">
        <w:t xml:space="preserve">servations were issued for </w:t>
      </w:r>
      <w:r w:rsidR="006410B9" w:rsidRPr="006D3C55">
        <w:t>th</w:t>
      </w:r>
      <w:r w:rsidR="00F766E5" w:rsidRPr="006D3C55">
        <w:t>os</w:t>
      </w:r>
      <w:r w:rsidR="006410B9" w:rsidRPr="006D3C55">
        <w:t xml:space="preserve">e </w:t>
      </w:r>
      <w:r w:rsidR="006410B9" w:rsidRPr="006D3C55">
        <w:rPr>
          <w:bCs/>
        </w:rPr>
        <w:t>programme</w:t>
      </w:r>
      <w:r w:rsidR="007D2CB8" w:rsidRPr="006D3C55">
        <w:rPr>
          <w:bCs/>
        </w:rPr>
        <w:t>s for which</w:t>
      </w:r>
      <w:r w:rsidR="006410B9" w:rsidRPr="006D3C55">
        <w:t xml:space="preserve"> the error rate after corrections remains above the materiality threshold of 2%</w:t>
      </w:r>
      <w:r w:rsidR="007D2CB8" w:rsidRPr="006D3C55">
        <w:t xml:space="preserve">: for </w:t>
      </w:r>
      <w:r w:rsidR="004465B4" w:rsidRPr="006D3C55">
        <w:t xml:space="preserve">the grants </w:t>
      </w:r>
      <w:r w:rsidR="003E6905" w:rsidRPr="006D3C55">
        <w:t xml:space="preserve">under </w:t>
      </w:r>
      <w:r w:rsidR="004465B4" w:rsidRPr="006D3C55">
        <w:t xml:space="preserve">the </w:t>
      </w:r>
      <w:r w:rsidR="007D2CB8" w:rsidRPr="006D3C55">
        <w:t>Horizon Europe</w:t>
      </w:r>
      <w:r w:rsidR="004465B4" w:rsidRPr="006D3C55">
        <w:t xml:space="preserve"> programme</w:t>
      </w:r>
      <w:r w:rsidR="006410B9" w:rsidRPr="006D3C55">
        <w:t xml:space="preserve">, in the declaration of assurance of the </w:t>
      </w:r>
      <w:r w:rsidR="00855A60" w:rsidRPr="006D3C55">
        <w:rPr>
          <w:bCs/>
        </w:rPr>
        <w:t xml:space="preserve">eight </w:t>
      </w:r>
      <w:r w:rsidR="006410B9" w:rsidRPr="006D3C55">
        <w:t>departments implementing the</w:t>
      </w:r>
      <w:r w:rsidR="004465B4" w:rsidRPr="006D3C55">
        <w:t>m</w:t>
      </w:r>
      <w:r w:rsidR="006410B9" w:rsidRPr="006D3C55">
        <w:t xml:space="preserve"> and where the </w:t>
      </w:r>
      <w:r w:rsidR="006410B9" w:rsidRPr="00C11B0A">
        <w:rPr>
          <w:rStyle w:val="Italic"/>
        </w:rPr>
        <w:t>de minimis</w:t>
      </w:r>
      <w:r w:rsidR="006410B9" w:rsidRPr="006D3C55">
        <w:t xml:space="preserve"> rule does not apply</w:t>
      </w:r>
      <w:r w:rsidR="003E6905" w:rsidRPr="006D3C55">
        <w:t>;</w:t>
      </w:r>
      <w:r w:rsidR="007D2CB8" w:rsidRPr="006D3C55">
        <w:t xml:space="preserve"> for the </w:t>
      </w:r>
      <w:r w:rsidR="00855A60" w:rsidRPr="006D3C55">
        <w:t xml:space="preserve">grants </w:t>
      </w:r>
      <w:r w:rsidR="00CB3895" w:rsidRPr="006D3C55">
        <w:t xml:space="preserve">under </w:t>
      </w:r>
      <w:r w:rsidR="00855A60" w:rsidRPr="006D3C55">
        <w:t xml:space="preserve">the </w:t>
      </w:r>
      <w:r w:rsidR="00C1488F" w:rsidRPr="006D3C55">
        <w:rPr>
          <w:bCs/>
        </w:rPr>
        <w:t>d</w:t>
      </w:r>
      <w:r w:rsidR="007D2CB8" w:rsidRPr="006D3C55">
        <w:rPr>
          <w:bCs/>
        </w:rPr>
        <w:t xml:space="preserve">igital Europe </w:t>
      </w:r>
      <w:r w:rsidR="007D2CB8" w:rsidRPr="006D3C55">
        <w:t>programme, in</w:t>
      </w:r>
      <w:r w:rsidR="006410B9" w:rsidRPr="006D3C55">
        <w:t xml:space="preserve"> the two departments implementing </w:t>
      </w:r>
      <w:r w:rsidR="00855A60" w:rsidRPr="006D3C55">
        <w:t>them</w:t>
      </w:r>
      <w:r w:rsidR="003E6905" w:rsidRPr="006D3C55">
        <w:t>;</w:t>
      </w:r>
      <w:r w:rsidR="006410B9" w:rsidRPr="006D3C55">
        <w:t xml:space="preserve"> </w:t>
      </w:r>
      <w:r w:rsidR="007D2CB8" w:rsidRPr="006D3C55">
        <w:t>and for the promotion of agricultural products</w:t>
      </w:r>
      <w:r w:rsidR="007D2CB8" w:rsidRPr="00AD4275">
        <w:rPr>
          <w:bCs/>
        </w:rPr>
        <w:t xml:space="preserve"> </w:t>
      </w:r>
      <w:r w:rsidR="007D2CB8" w:rsidRPr="006D3C55">
        <w:t>programmes</w:t>
      </w:r>
      <w:r w:rsidR="00855A60" w:rsidRPr="006D3C55">
        <w:t xml:space="preserve"> (one department)</w:t>
      </w:r>
      <w:r w:rsidR="006410B9" w:rsidRPr="006D3C55">
        <w:t>.</w:t>
      </w:r>
      <w:r w:rsidR="007D2CB8" w:rsidRPr="006D3C55">
        <w:t xml:space="preserve"> In addition</w:t>
      </w:r>
      <w:r w:rsidR="006410B9" w:rsidRPr="006D3C55" w:rsidDel="007D2CB8">
        <w:rPr>
          <w:bCs/>
        </w:rPr>
        <w:t>,</w:t>
      </w:r>
      <w:r w:rsidR="006410B9" w:rsidRPr="006D3C55">
        <w:rPr>
          <w:bCs/>
        </w:rPr>
        <w:t xml:space="preserve"> a reservation was issued in the two departments implementing the European Innovation Council concerning weaknesses affecting the award decision process. Action plans to address the weaknesses </w:t>
      </w:r>
      <w:r w:rsidR="007D2CB8" w:rsidRPr="006D3C55">
        <w:rPr>
          <w:bCs/>
        </w:rPr>
        <w:t xml:space="preserve">and reduce the level of the error rate </w:t>
      </w:r>
      <w:r w:rsidR="006410B9" w:rsidRPr="006D3C55">
        <w:rPr>
          <w:bCs/>
        </w:rPr>
        <w:t>have been put in place</w:t>
      </w:r>
      <w:r w:rsidR="00855A60" w:rsidRPr="006D3C55">
        <w:rPr>
          <w:bCs/>
        </w:rPr>
        <w:t>.</w:t>
      </w:r>
      <w:r w:rsidR="00264777" w:rsidRPr="006D3C55">
        <w:rPr>
          <w:bCs/>
        </w:rPr>
        <w:t xml:space="preserve"> Further details are </w:t>
      </w:r>
      <w:r w:rsidR="00CB3895" w:rsidRPr="006D3C55">
        <w:rPr>
          <w:bCs/>
        </w:rPr>
        <w:t>provided</w:t>
      </w:r>
      <w:r w:rsidR="00CB3895" w:rsidRPr="006D3C55">
        <w:rPr>
          <w:iCs/>
        </w:rPr>
        <w:t xml:space="preserve"> </w:t>
      </w:r>
      <w:r w:rsidR="00264777" w:rsidRPr="006D3C55">
        <w:rPr>
          <w:iCs/>
        </w:rPr>
        <w:t>in Volume</w:t>
      </w:r>
      <w:r w:rsidR="00021960" w:rsidRPr="006D3C55">
        <w:rPr>
          <w:rFonts w:ascii="Calibri" w:hAnsi="Calibri" w:cs="Calibri"/>
          <w:iCs/>
        </w:rPr>
        <w:t> </w:t>
      </w:r>
      <w:r w:rsidR="00264777" w:rsidRPr="006D3C55">
        <w:rPr>
          <w:iCs/>
        </w:rPr>
        <w:t>III, Annex</w:t>
      </w:r>
      <w:r w:rsidR="00021960" w:rsidRPr="006D3C55">
        <w:rPr>
          <w:rFonts w:ascii="Calibri" w:hAnsi="Calibri" w:cs="Calibri"/>
          <w:iCs/>
        </w:rPr>
        <w:t> </w:t>
      </w:r>
      <w:r w:rsidR="00264777" w:rsidRPr="006D3C55">
        <w:rPr>
          <w:iCs/>
        </w:rPr>
        <w:t xml:space="preserve">5, </w:t>
      </w:r>
      <w:r w:rsidR="00C1488F" w:rsidRPr="006D3C55">
        <w:rPr>
          <w:iCs/>
        </w:rPr>
        <w:t>S</w:t>
      </w:r>
      <w:r w:rsidR="00264777" w:rsidRPr="006D3C55">
        <w:rPr>
          <w:iCs/>
        </w:rPr>
        <w:t>ection</w:t>
      </w:r>
      <w:r w:rsidR="00021960" w:rsidRPr="006D3C55">
        <w:rPr>
          <w:rFonts w:ascii="Calibri" w:hAnsi="Calibri" w:cs="Calibri"/>
          <w:iCs/>
        </w:rPr>
        <w:t> </w:t>
      </w:r>
      <w:r w:rsidR="00264777" w:rsidRPr="006D3C55">
        <w:rPr>
          <w:iCs/>
        </w:rPr>
        <w:t>5.3.3.</w:t>
      </w:r>
    </w:p>
    <w:p w14:paraId="7B48E955" w14:textId="45803A74" w:rsidR="001301C1" w:rsidRPr="006D3C55" w:rsidRDefault="000C0AE6" w:rsidP="004E74EA">
      <w:r w:rsidRPr="007D056F">
        <w:rPr>
          <w:rStyle w:val="Bold"/>
        </w:rPr>
        <w:t>T</w:t>
      </w:r>
      <w:r w:rsidR="00DC594B" w:rsidRPr="00C11B0A">
        <w:rPr>
          <w:rStyle w:val="Bold"/>
        </w:rPr>
        <w:t xml:space="preserve">he decrease </w:t>
      </w:r>
      <w:r w:rsidR="00AF4167" w:rsidRPr="00C11B0A">
        <w:rPr>
          <w:rStyle w:val="Bold"/>
          <w:rFonts w:asciiTheme="minorHAnsi" w:hAnsiTheme="minorHAnsi"/>
          <w:bCs/>
        </w:rPr>
        <w:t>in</w:t>
      </w:r>
      <w:r w:rsidR="00EE61F7" w:rsidRPr="00C11B0A">
        <w:rPr>
          <w:rStyle w:val="Bold"/>
          <w:rFonts w:asciiTheme="minorHAnsi" w:hAnsiTheme="minorHAnsi"/>
          <w:bCs/>
        </w:rPr>
        <w:t xml:space="preserve"> </w:t>
      </w:r>
      <w:r w:rsidR="00C11B0A" w:rsidRPr="00C11B0A">
        <w:rPr>
          <w:rStyle w:val="Bold"/>
          <w:rFonts w:asciiTheme="minorHAnsi" w:hAnsiTheme="minorHAnsi"/>
          <w:bCs/>
        </w:rPr>
        <w:t xml:space="preserve">the amount of </w:t>
      </w:r>
      <w:r w:rsidR="006410B9" w:rsidRPr="00C11B0A" w:rsidDel="000C0AE6">
        <w:rPr>
          <w:rStyle w:val="Bold"/>
          <w:rFonts w:asciiTheme="minorHAnsi" w:hAnsiTheme="minorHAnsi"/>
        </w:rPr>
        <w:t xml:space="preserve">preventive measures, </w:t>
      </w:r>
      <w:r w:rsidR="00FF5B2D" w:rsidRPr="00C11B0A">
        <w:rPr>
          <w:rStyle w:val="Bold"/>
          <w:rFonts w:asciiTheme="minorHAnsi" w:hAnsiTheme="minorHAnsi"/>
        </w:rPr>
        <w:t>from EUR</w:t>
      </w:r>
      <w:r w:rsidR="00AC3752" w:rsidRPr="00C11B0A">
        <w:rPr>
          <w:rStyle w:val="Bold"/>
          <w:rFonts w:ascii="Calibri" w:hAnsi="Calibri" w:cs="Calibri"/>
        </w:rPr>
        <w:t> </w:t>
      </w:r>
      <w:r w:rsidR="00FF5B2D" w:rsidRPr="00C11B0A">
        <w:rPr>
          <w:rStyle w:val="Bold"/>
          <w:rFonts w:asciiTheme="minorHAnsi" w:hAnsiTheme="minorHAnsi"/>
        </w:rPr>
        <w:t>244.7</w:t>
      </w:r>
      <w:r w:rsidR="00AC3752" w:rsidRPr="00C11B0A">
        <w:rPr>
          <w:rStyle w:val="Bold"/>
          <w:rFonts w:ascii="Calibri" w:hAnsi="Calibri" w:cs="Calibri"/>
        </w:rPr>
        <w:t> </w:t>
      </w:r>
      <w:r w:rsidR="00AC3752" w:rsidRPr="00C11B0A">
        <w:rPr>
          <w:rStyle w:val="Bold"/>
          <w:rFonts w:asciiTheme="minorHAnsi" w:hAnsiTheme="minorHAnsi"/>
        </w:rPr>
        <w:t xml:space="preserve">million </w:t>
      </w:r>
      <w:r w:rsidR="00CE2320" w:rsidRPr="00C11B0A">
        <w:rPr>
          <w:rStyle w:val="Bold"/>
          <w:rFonts w:asciiTheme="minorHAnsi" w:hAnsiTheme="minorHAnsi"/>
        </w:rPr>
        <w:t xml:space="preserve">in </w:t>
      </w:r>
      <w:r w:rsidR="00AC3752" w:rsidRPr="00C11B0A">
        <w:rPr>
          <w:rStyle w:val="Bold"/>
          <w:rFonts w:asciiTheme="minorHAnsi" w:hAnsiTheme="minorHAnsi"/>
        </w:rPr>
        <w:t>2024 to EUR</w:t>
      </w:r>
      <w:r w:rsidR="00176D89" w:rsidRPr="00C11B0A">
        <w:rPr>
          <w:rStyle w:val="Bold"/>
          <w:rFonts w:ascii="Calibri" w:hAnsi="Calibri" w:cs="Calibri"/>
        </w:rPr>
        <w:t> </w:t>
      </w:r>
      <w:r w:rsidR="00AC3752" w:rsidRPr="00C11B0A">
        <w:rPr>
          <w:rStyle w:val="Bold"/>
          <w:rFonts w:asciiTheme="minorHAnsi" w:hAnsiTheme="minorHAnsi"/>
        </w:rPr>
        <w:t>103.3</w:t>
      </w:r>
      <w:r w:rsidR="00AC3752" w:rsidRPr="00C11B0A">
        <w:rPr>
          <w:rStyle w:val="Bold"/>
          <w:rFonts w:ascii="Calibri" w:hAnsi="Calibri" w:cs="Calibri"/>
        </w:rPr>
        <w:t> </w:t>
      </w:r>
      <w:r w:rsidR="00AC3752" w:rsidRPr="00C11B0A">
        <w:rPr>
          <w:rStyle w:val="Bold"/>
          <w:rFonts w:asciiTheme="minorHAnsi" w:hAnsiTheme="minorHAnsi" w:cs="Calibri"/>
        </w:rPr>
        <w:t>million in 2025</w:t>
      </w:r>
      <w:r w:rsidR="00C11B0A" w:rsidRPr="00C11B0A">
        <w:rPr>
          <w:rStyle w:val="Bold"/>
          <w:rFonts w:asciiTheme="minorHAnsi" w:hAnsiTheme="minorHAnsi" w:cs="Calibri"/>
          <w:bCs/>
        </w:rPr>
        <w:t>,</w:t>
      </w:r>
      <w:r w:rsidR="00AC3752" w:rsidRPr="00C11B0A">
        <w:rPr>
          <w:rStyle w:val="Bold"/>
          <w:rFonts w:asciiTheme="minorHAnsi" w:hAnsiTheme="minorHAnsi" w:cs="Calibri"/>
          <w:bCs/>
        </w:rPr>
        <w:t xml:space="preserve"> </w:t>
      </w:r>
      <w:r w:rsidRPr="00C11B0A">
        <w:rPr>
          <w:rStyle w:val="Bold"/>
          <w:rFonts w:asciiTheme="minorHAnsi" w:hAnsiTheme="minorHAnsi"/>
          <w:bCs/>
        </w:rPr>
        <w:t>result</w:t>
      </w:r>
      <w:r w:rsidR="00424FBF" w:rsidRPr="00C11B0A">
        <w:rPr>
          <w:rStyle w:val="Bold"/>
          <w:rFonts w:asciiTheme="minorHAnsi" w:hAnsiTheme="minorHAnsi"/>
          <w:bCs/>
        </w:rPr>
        <w:t>ed</w:t>
      </w:r>
      <w:r w:rsidR="006410B9" w:rsidRPr="00C11B0A">
        <w:rPr>
          <w:bCs/>
        </w:rPr>
        <w:t xml:space="preserve"> mainly</w:t>
      </w:r>
      <w:r w:rsidR="006410B9" w:rsidRPr="006410B9" w:rsidDel="00424FBF">
        <w:t xml:space="preserve"> </w:t>
      </w:r>
      <w:r w:rsidR="00424FBF">
        <w:t xml:space="preserve">from </w:t>
      </w:r>
      <w:r w:rsidR="00E76080" w:rsidRPr="000A3B1B">
        <w:t xml:space="preserve">the transition to the Commission’s new accounting system, SUMMA, </w:t>
      </w:r>
      <w:r w:rsidR="00392BD4" w:rsidRPr="000A3B1B">
        <w:t xml:space="preserve">where </w:t>
      </w:r>
      <w:r w:rsidR="00E76080" w:rsidRPr="000A3B1B">
        <w:t>only preventive measures exceeding EUR</w:t>
      </w:r>
      <w:r w:rsidR="000D0727">
        <w:rPr>
          <w:rFonts w:ascii="Calibri" w:hAnsi="Calibri" w:cs="Calibri"/>
        </w:rPr>
        <w:t> </w:t>
      </w:r>
      <w:r w:rsidR="00E76080" w:rsidRPr="000A3B1B">
        <w:t>500</w:t>
      </w:r>
      <w:r w:rsidR="001E052D" w:rsidRPr="006D3C55">
        <w:rPr>
          <w:rFonts w:ascii="Calibri" w:hAnsi="Calibri" w:cs="Calibri"/>
        </w:rPr>
        <w:t> </w:t>
      </w:r>
      <w:r w:rsidR="00E76080" w:rsidRPr="000A3B1B">
        <w:t xml:space="preserve">000 are reported. </w:t>
      </w:r>
      <w:r w:rsidR="002938B8">
        <w:t>Under this heading, a</w:t>
      </w:r>
      <w:r w:rsidR="00607577" w:rsidRPr="000A3B1B">
        <w:t xml:space="preserve"> significant part </w:t>
      </w:r>
      <w:r w:rsidR="00244B42" w:rsidRPr="000A3B1B">
        <w:t xml:space="preserve">of those </w:t>
      </w:r>
      <w:r w:rsidR="00E76080" w:rsidRPr="000A3B1B">
        <w:t>preventive measures fall below this threshold, hence they are outside the reporting scope</w:t>
      </w:r>
      <w:r w:rsidR="00D43193" w:rsidRPr="000A3B1B">
        <w:t>.</w:t>
      </w:r>
    </w:p>
    <w:p w14:paraId="372C5BCA" w14:textId="3D24C680" w:rsidR="001301C1" w:rsidRPr="006D3C55" w:rsidRDefault="001301C1" w:rsidP="00625E94">
      <w:pPr>
        <w:pStyle w:val="ImageTitle"/>
        <w:spacing w:after="0"/>
      </w:pPr>
      <w:r w:rsidRPr="006D3C55">
        <w:t>Multiannual financial framework heading 1</w:t>
      </w:r>
      <w:r w:rsidRPr="006D3C55">
        <w:rPr>
          <w:rFonts w:ascii="Calibri" w:hAnsi="Calibri" w:cs="Calibri"/>
        </w:rPr>
        <w:t> </w:t>
      </w:r>
      <w:r w:rsidRPr="006D3C55">
        <w:rPr>
          <w:rFonts w:cs="EC Square Sans Pro"/>
        </w:rPr>
        <w:t>–</w:t>
      </w:r>
      <w:r w:rsidRPr="006D3C55">
        <w:t xml:space="preserve"> single market, innovation and digital</w:t>
      </w:r>
      <w:r w:rsidRPr="006D3C55">
        <w:rPr>
          <w:rFonts w:ascii="Calibri" w:hAnsi="Calibri" w:cs="Calibri"/>
        </w:rPr>
        <w:t> </w:t>
      </w:r>
      <w:r w:rsidRPr="006D3C55">
        <w:t xml:space="preserve">– </w:t>
      </w:r>
      <w:r w:rsidR="00A137E2" w:rsidRPr="006D3C55">
        <w:br/>
      </w:r>
      <w:r w:rsidRPr="006D3C55">
        <w:t>overview of risk segmentation for 202</w:t>
      </w:r>
      <w:r w:rsidR="005E5BA9" w:rsidRPr="006D3C55">
        <w:t>3</w:t>
      </w:r>
      <w:r w:rsidRPr="006D3C55">
        <w:t>-202</w:t>
      </w:r>
      <w:r w:rsidR="005E5BA9" w:rsidRPr="006D3C55">
        <w:t>5</w:t>
      </w:r>
    </w:p>
    <w:p w14:paraId="3BCA1C3D" w14:textId="20B55EA7" w:rsidR="001301C1" w:rsidRPr="006D3C55" w:rsidRDefault="00345C1C" w:rsidP="001301C1">
      <w:pPr>
        <w:pStyle w:val="ImagePlaceholder"/>
        <w:rPr>
          <w:noProof w:val="0"/>
          <w:highlight w:val="lightGray"/>
        </w:rPr>
      </w:pPr>
      <w:r w:rsidRPr="00345C1C">
        <w:rPr>
          <w:highlight w:val="lightGray"/>
        </w:rPr>
        <w:drawing>
          <wp:inline distT="0" distB="0" distL="0" distR="0" wp14:anchorId="68FCE144" wp14:editId="31A354C5">
            <wp:extent cx="5758590" cy="2705790"/>
            <wp:effectExtent l="0" t="0" r="0" b="0"/>
            <wp:docPr id="10" name="Picture 9" descr="The graph represents the expenditure per risk category (Low risk, medium risk and high risk) in percentage for the years 2023, 2024 and 2025 for heading 1 of the Multiannual financial framework: single market, innovation and digital.&#10;For 2025:  Low risk 52.7%, Medium risk 11.4%, High risk 35.9%&#10;For 2024 Low risk 56.2%, Medium risk 22.7% and High risk 21.1%&#10;For 2023: Low risk 67.3%, Medium risk 4.1% and High risk 28.6%.">
              <a:extLst xmlns:a="http://schemas.openxmlformats.org/drawingml/2006/main">
                <a:ext uri="{FF2B5EF4-FFF2-40B4-BE49-F238E27FC236}">
                  <a16:creationId xmlns:a16="http://schemas.microsoft.com/office/drawing/2014/main" id="{F0DD8F39-F87D-3E41-F2F7-11E86F0CE2D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9" descr="The graph represents the expenditure per risk category (Low risk, medium risk and high risk) in percentage for the years 2023, 2024 and 2025 for heading 1 of the Multiannual financial framework: single market, innovation and digital.&#10;For 2025:  Low risk 52.7%, Medium risk 11.4%, High risk 35.9%&#10;For 2024 Low risk 56.2%, Medium risk 22.7% and High risk 21.1%&#10;For 2023: Low risk 67.3%, Medium risk 4.1% and High risk 28.6%.">
                      <a:extLst>
                        <a:ext uri="{FF2B5EF4-FFF2-40B4-BE49-F238E27FC236}">
                          <a16:creationId xmlns:a16="http://schemas.microsoft.com/office/drawing/2014/main" id="{F0DD8F39-F87D-3E41-F2F7-11E86F0CE2D2}"/>
                        </a:ext>
                      </a:extLst>
                    </pic:cNvPr>
                    <pic:cNvPicPr>
                      <a:picLocks noChangeAspect="1"/>
                    </pic:cNvPicPr>
                  </pic:nvPicPr>
                  <pic:blipFill rotWithShape="1">
                    <a:blip r:embed="rId73"/>
                    <a:srcRect l="7073" t="1610" r="7094" b="6779"/>
                    <a:stretch>
                      <a:fillRect/>
                    </a:stretch>
                  </pic:blipFill>
                  <pic:spPr bwMode="auto">
                    <a:xfrm>
                      <a:off x="0" y="0"/>
                      <a:ext cx="5759450" cy="2706194"/>
                    </a:xfrm>
                    <a:prstGeom prst="rect">
                      <a:avLst/>
                    </a:prstGeom>
                    <a:ln>
                      <a:noFill/>
                    </a:ln>
                    <a:extLst>
                      <a:ext uri="{53640926-AAD7-44D8-BBD7-CCE9431645EC}">
                        <a14:shadowObscured xmlns:a14="http://schemas.microsoft.com/office/drawing/2010/main"/>
                      </a:ext>
                    </a:extLst>
                  </pic:spPr>
                </pic:pic>
              </a:graphicData>
            </a:graphic>
          </wp:inline>
        </w:drawing>
      </w:r>
    </w:p>
    <w:p w14:paraId="53AA316B" w14:textId="61C81D9E" w:rsidR="001301C1" w:rsidRPr="006D3C55" w:rsidRDefault="001301C1" w:rsidP="001301C1">
      <w:pPr>
        <w:pStyle w:val="ImageSource"/>
        <w:spacing w:before="120" w:after="600"/>
      </w:pPr>
      <w:r w:rsidRPr="00C11B0A">
        <w:rPr>
          <w:rStyle w:val="Italic"/>
        </w:rPr>
        <w:t>Source:</w:t>
      </w:r>
      <w:r w:rsidRPr="006D3C55">
        <w:t xml:space="preserve"> European Commission annual activity reports for 202</w:t>
      </w:r>
      <w:r w:rsidR="00432935" w:rsidRPr="006D3C55">
        <w:t>5</w:t>
      </w:r>
      <w:r w:rsidRPr="006D3C55">
        <w:t>.</w:t>
      </w:r>
    </w:p>
    <w:p w14:paraId="4336A6DE" w14:textId="77777777" w:rsidR="001301C1" w:rsidRPr="006D3C55" w:rsidRDefault="001301C1" w:rsidP="001301C1">
      <w:pPr>
        <w:rPr>
          <w:highlight w:val="lightGray"/>
        </w:rPr>
      </w:pPr>
      <w:r w:rsidRPr="006D3C55">
        <w:rPr>
          <w:highlight w:val="lightGray"/>
        </w:rPr>
        <w:br w:type="page"/>
      </w:r>
    </w:p>
    <w:p w14:paraId="22AC7A0D" w14:textId="77777777" w:rsidR="001301C1" w:rsidRPr="006D3C55" w:rsidRDefault="001301C1" w:rsidP="001301C1">
      <w:pPr>
        <w:pStyle w:val="Heading5"/>
        <w:numPr>
          <w:ilvl w:val="3"/>
          <w:numId w:val="0"/>
        </w:numPr>
        <w:rPr>
          <w:rFonts w:ascii="EC Square Sans Pro" w:hAnsi="EC Square Sans Pro"/>
        </w:rPr>
      </w:pPr>
      <w:r w:rsidRPr="006D3C55">
        <w:rPr>
          <w:rFonts w:ascii="EC Square Sans Pro" w:hAnsi="EC Square Sans Pro"/>
        </w:rPr>
        <w:t>Heading</w:t>
      </w:r>
      <w:r w:rsidRPr="006D3C55">
        <w:rPr>
          <w:rFonts w:ascii="Calibri" w:hAnsi="Calibri" w:cs="Calibri"/>
        </w:rPr>
        <w:t> </w:t>
      </w:r>
      <w:r w:rsidRPr="006D3C55">
        <w:rPr>
          <w:rFonts w:ascii="EC Square Sans Pro" w:hAnsi="EC Square Sans Pro"/>
        </w:rPr>
        <w:t>2</w:t>
      </w:r>
      <w:r w:rsidRPr="006D3C55">
        <w:rPr>
          <w:rFonts w:ascii="Calibri" w:hAnsi="Calibri" w:cs="Calibri"/>
        </w:rPr>
        <w:t> </w:t>
      </w:r>
      <w:r w:rsidRPr="006D3C55">
        <w:rPr>
          <w:rFonts w:ascii="EC Square Sans Pro" w:hAnsi="EC Square Sans Pro"/>
        </w:rPr>
        <w:t>– cohesion, resilience and values</w:t>
      </w:r>
    </w:p>
    <w:p w14:paraId="4DD311AC" w14:textId="1EEACAA0" w:rsidR="001301C1" w:rsidRPr="00990950" w:rsidRDefault="001301C1" w:rsidP="001301C1">
      <w:pPr>
        <w:pStyle w:val="amprboxtext"/>
        <w:spacing w:before="0" w:after="0"/>
        <w:rPr>
          <w:lang w:val="en-IE"/>
        </w:rPr>
      </w:pPr>
      <w:r w:rsidRPr="00990950">
        <w:rPr>
          <w:rStyle w:val="Bold"/>
          <w:lang w:val="en-IE"/>
        </w:rPr>
        <w:t>Total relevant expenditure:</w:t>
      </w:r>
      <w:r w:rsidRPr="00990950">
        <w:rPr>
          <w:lang w:val="en-IE"/>
        </w:rPr>
        <w:t xml:space="preserve"> EUR</w:t>
      </w:r>
      <w:r w:rsidRPr="00990950">
        <w:rPr>
          <w:rFonts w:ascii="Calibri" w:hAnsi="Calibri" w:cs="Calibri"/>
          <w:lang w:val="en-IE"/>
        </w:rPr>
        <w:t> </w:t>
      </w:r>
      <w:r w:rsidR="006C1D72" w:rsidRPr="00990950">
        <w:rPr>
          <w:lang w:val="en-IE"/>
        </w:rPr>
        <w:t>54</w:t>
      </w:r>
      <w:r w:rsidRPr="00990950">
        <w:rPr>
          <w:lang w:val="en-IE"/>
        </w:rPr>
        <w:t>.0</w:t>
      </w:r>
      <w:r w:rsidRPr="00990950">
        <w:rPr>
          <w:rFonts w:ascii="Calibri" w:hAnsi="Calibri" w:cs="Calibri"/>
          <w:lang w:val="en-IE"/>
        </w:rPr>
        <w:t> </w:t>
      </w:r>
      <w:r w:rsidRPr="00990950">
        <w:rPr>
          <w:lang w:val="en-IE"/>
        </w:rPr>
        <w:t>billion (</w:t>
      </w:r>
      <w:r w:rsidR="00307FEB" w:rsidRPr="00990950">
        <w:rPr>
          <w:lang w:val="en-IE"/>
        </w:rPr>
        <w:t>2024</w:t>
      </w:r>
      <w:r w:rsidRPr="00990950">
        <w:rPr>
          <w:lang w:val="en-IE"/>
        </w:rPr>
        <w:t>: EUR</w:t>
      </w:r>
      <w:r w:rsidRPr="00990950">
        <w:rPr>
          <w:rFonts w:ascii="Calibri" w:hAnsi="Calibri" w:cs="Calibri"/>
          <w:lang w:val="en-IE"/>
        </w:rPr>
        <w:t> </w:t>
      </w:r>
      <w:r w:rsidR="00307FEB" w:rsidRPr="00990950">
        <w:rPr>
          <w:lang w:val="en-IE"/>
        </w:rPr>
        <w:t>64.</w:t>
      </w:r>
      <w:r w:rsidR="00D34A18" w:rsidRPr="00990950">
        <w:rPr>
          <w:lang w:val="en-IE"/>
        </w:rPr>
        <w:t>1</w:t>
      </w:r>
      <w:r w:rsidRPr="00990950">
        <w:rPr>
          <w:rFonts w:ascii="Calibri" w:hAnsi="Calibri" w:cs="Calibri"/>
          <w:lang w:val="en-IE"/>
        </w:rPr>
        <w:t> </w:t>
      </w:r>
      <w:r w:rsidRPr="00990950">
        <w:rPr>
          <w:lang w:val="en-IE"/>
        </w:rPr>
        <w:t>billion)</w:t>
      </w:r>
      <w:r w:rsidR="003D1C3F" w:rsidRPr="00990950">
        <w:rPr>
          <w:rFonts w:cs="Calibri"/>
          <w:lang w:val="en-IE"/>
        </w:rPr>
        <w:t> </w:t>
      </w:r>
      <w:r w:rsidR="003D1C3F" w:rsidRPr="00990950">
        <w:rPr>
          <w:lang w:val="en-IE"/>
        </w:rPr>
        <w:t>(</w:t>
      </w:r>
      <w:r w:rsidR="003D1C3F" w:rsidRPr="00352191">
        <w:rPr>
          <w:rStyle w:val="FootnoteReference"/>
        </w:rPr>
        <w:footnoteReference w:id="25"/>
      </w:r>
      <w:r w:rsidRPr="00990950">
        <w:rPr>
          <w:lang w:val="en-IE"/>
        </w:rPr>
        <w:t>).</w:t>
      </w:r>
    </w:p>
    <w:p w14:paraId="3559E23B" w14:textId="51A04017" w:rsidR="001301C1" w:rsidRPr="006D3C55" w:rsidRDefault="001301C1" w:rsidP="001301C1">
      <w:pPr>
        <w:pStyle w:val="amprboxtext"/>
        <w:spacing w:before="0" w:after="0"/>
      </w:pPr>
      <w:r w:rsidRPr="006D3C55">
        <w:rPr>
          <w:rStyle w:val="Bold"/>
        </w:rPr>
        <w:t>Risk at payment</w:t>
      </w:r>
      <w:r w:rsidRPr="006D5CEC">
        <w:rPr>
          <w:rStyle w:val="Bold"/>
        </w:rPr>
        <w:t>:</w:t>
      </w:r>
      <w:r>
        <w:rPr>
          <w:rStyle w:val="Bold"/>
        </w:rPr>
        <w:t xml:space="preserve"> </w:t>
      </w:r>
      <w:r w:rsidRPr="006D3C55">
        <w:t>2.</w:t>
      </w:r>
      <w:r w:rsidR="00392A76" w:rsidRPr="006D3C55">
        <w:t>3</w:t>
      </w:r>
      <w:r w:rsidRPr="006D3C55">
        <w:t>% (</w:t>
      </w:r>
      <w:r w:rsidR="006C1D72" w:rsidRPr="006D3C55">
        <w:t>2024</w:t>
      </w:r>
      <w:r w:rsidRPr="006D3C55">
        <w:t>: 2.</w:t>
      </w:r>
      <w:r w:rsidR="006C1D72" w:rsidRPr="006D3C55">
        <w:t>9</w:t>
      </w:r>
      <w:r w:rsidRPr="006D3C55">
        <w:t>%).</w:t>
      </w:r>
    </w:p>
    <w:p w14:paraId="5448B6BE" w14:textId="766B9952" w:rsidR="001301C1" w:rsidRPr="006D3C55" w:rsidRDefault="001301C1" w:rsidP="001301C1">
      <w:pPr>
        <w:pStyle w:val="amprboxtext"/>
        <w:spacing w:before="0" w:after="0"/>
      </w:pPr>
      <w:r w:rsidRPr="006D3C55">
        <w:rPr>
          <w:rStyle w:val="Bold"/>
        </w:rPr>
        <w:t>Risk at closure</w:t>
      </w:r>
      <w:r w:rsidRPr="006D5CEC">
        <w:rPr>
          <w:rStyle w:val="Bold"/>
        </w:rPr>
        <w:t>:</w:t>
      </w:r>
      <w:r w:rsidRPr="006D3C55">
        <w:t xml:space="preserve"> </w:t>
      </w:r>
      <w:r w:rsidR="00392A76" w:rsidRPr="006D3C55">
        <w:t>0.8</w:t>
      </w:r>
      <w:r w:rsidRPr="006D3C55">
        <w:t>% (202</w:t>
      </w:r>
      <w:r w:rsidR="006C1D72" w:rsidRPr="006D3C55">
        <w:t>4</w:t>
      </w:r>
      <w:r w:rsidRPr="006D3C55">
        <w:t>: 1.</w:t>
      </w:r>
      <w:r w:rsidR="00392A76" w:rsidRPr="006D3C55">
        <w:t>7</w:t>
      </w:r>
      <w:r w:rsidRPr="006D3C55">
        <w:t>%).</w:t>
      </w:r>
    </w:p>
    <w:p w14:paraId="0497718A" w14:textId="2C1FA4CF" w:rsidR="001301C1" w:rsidRPr="006D3C55" w:rsidRDefault="001301C1" w:rsidP="001301C1">
      <w:pPr>
        <w:pStyle w:val="amprboxtext"/>
        <w:spacing w:before="0" w:after="0"/>
      </w:pPr>
      <w:r w:rsidRPr="006D3C55">
        <w:rPr>
          <w:rStyle w:val="Bold"/>
        </w:rPr>
        <w:t>Total preventive and corrective measures</w:t>
      </w:r>
      <w:r w:rsidRPr="006D3C55">
        <w:t xml:space="preserve"> (Commission and Member States)</w:t>
      </w:r>
      <w:r w:rsidRPr="00295935">
        <w:t>:</w:t>
      </w:r>
      <w:r w:rsidRPr="006D3C55">
        <w:t xml:space="preserve"> </w:t>
      </w:r>
      <w:r w:rsidRPr="006D3C55">
        <w:rPr>
          <w:rFonts w:asciiTheme="minorHAnsi" w:hAnsiTheme="minorHAnsi"/>
        </w:rPr>
        <w:t>EUR</w:t>
      </w:r>
      <w:r w:rsidRPr="006D3C55">
        <w:rPr>
          <w:rFonts w:ascii="Calibri" w:hAnsi="Calibri" w:cs="Calibri"/>
        </w:rPr>
        <w:t> </w:t>
      </w:r>
      <w:r w:rsidR="00F72909" w:rsidRPr="006D3C55">
        <w:rPr>
          <w:rFonts w:asciiTheme="minorHAnsi" w:hAnsiTheme="minorHAnsi" w:cs="Calibri"/>
        </w:rPr>
        <w:t>7</w:t>
      </w:r>
      <w:r w:rsidR="00F72909" w:rsidRPr="006D3C55">
        <w:rPr>
          <w:rFonts w:ascii="Calibri" w:hAnsi="Calibri" w:cs="Calibri"/>
        </w:rPr>
        <w:t> </w:t>
      </w:r>
      <w:r w:rsidR="004F5F80" w:rsidRPr="006D3C55">
        <w:rPr>
          <w:rFonts w:asciiTheme="minorHAnsi" w:hAnsiTheme="minorHAnsi" w:cs="Calibri"/>
        </w:rPr>
        <w:t>191</w:t>
      </w:r>
      <w:r w:rsidR="007847D2" w:rsidRPr="006D3C55">
        <w:rPr>
          <w:rFonts w:ascii="Calibri" w:hAnsi="Calibri" w:cs="Calibri"/>
        </w:rPr>
        <w:t> </w:t>
      </w:r>
      <w:r w:rsidRPr="006D3C55">
        <w:rPr>
          <w:rFonts w:asciiTheme="minorHAnsi" w:hAnsiTheme="minorHAnsi"/>
        </w:rPr>
        <w:t>million</w:t>
      </w:r>
      <w:r w:rsidRPr="006D3C55">
        <w:t xml:space="preserve"> (202</w:t>
      </w:r>
      <w:r w:rsidR="00AF4809" w:rsidRPr="006D3C55">
        <w:t>4</w:t>
      </w:r>
      <w:r w:rsidRPr="006D3C55">
        <w:t>: EUR</w:t>
      </w:r>
      <w:r w:rsidRPr="006D3C55">
        <w:rPr>
          <w:rFonts w:ascii="Calibri" w:hAnsi="Calibri" w:cs="Calibri"/>
        </w:rPr>
        <w:t> </w:t>
      </w:r>
      <w:r w:rsidR="00AF4809" w:rsidRPr="006D3C55">
        <w:rPr>
          <w:rFonts w:asciiTheme="minorHAnsi" w:hAnsiTheme="minorHAnsi" w:cs="Calibri"/>
        </w:rPr>
        <w:t>1</w:t>
      </w:r>
      <w:r w:rsidR="00AF4809" w:rsidRPr="006D3C55">
        <w:rPr>
          <w:rFonts w:ascii="Calibri" w:hAnsi="Calibri" w:cs="Calibri"/>
        </w:rPr>
        <w:t> </w:t>
      </w:r>
      <w:r w:rsidR="00AF4809" w:rsidRPr="006D3C55">
        <w:rPr>
          <w:rFonts w:asciiTheme="minorHAnsi" w:hAnsiTheme="minorHAnsi" w:cs="Calibri"/>
        </w:rPr>
        <w:t>028</w:t>
      </w:r>
      <w:r w:rsidR="00CB50DF" w:rsidRPr="006D3C55">
        <w:rPr>
          <w:rFonts w:asciiTheme="minorHAnsi" w:hAnsiTheme="minorHAnsi" w:cs="Calibri"/>
        </w:rPr>
        <w:t>.</w:t>
      </w:r>
      <w:r w:rsidR="00AF4809" w:rsidRPr="006D3C55">
        <w:rPr>
          <w:rFonts w:asciiTheme="minorHAnsi" w:hAnsiTheme="minorHAnsi" w:cs="Calibri"/>
        </w:rPr>
        <w:t>6</w:t>
      </w:r>
      <w:r w:rsidRPr="006D3C55">
        <w:rPr>
          <w:rFonts w:ascii="Calibri" w:hAnsi="Calibri" w:cs="Calibri"/>
        </w:rPr>
        <w:t> </w:t>
      </w:r>
      <w:r w:rsidRPr="006D3C55">
        <w:t>million):</w:t>
      </w:r>
    </w:p>
    <w:p w14:paraId="40EB7ECB" w14:textId="4173176C" w:rsidR="001301C1" w:rsidRPr="00C11B0A" w:rsidRDefault="001301C1" w:rsidP="00215B29">
      <w:pPr>
        <w:pStyle w:val="amprboxbulletlistorange"/>
        <w:rPr>
          <w:rStyle w:val="Italic"/>
        </w:rPr>
      </w:pPr>
      <w:r w:rsidRPr="00C11B0A">
        <w:rPr>
          <w:rStyle w:val="Italic"/>
        </w:rPr>
        <w:t>preventive measures: EUR</w:t>
      </w:r>
      <w:r w:rsidRPr="00AB51E8">
        <w:rPr>
          <w:rStyle w:val="Italic"/>
          <w:rFonts w:ascii="Calibri" w:hAnsi="Calibri" w:cs="Calibri"/>
        </w:rPr>
        <w:t> </w:t>
      </w:r>
      <w:r w:rsidR="0049374D" w:rsidRPr="00C11B0A">
        <w:rPr>
          <w:rStyle w:val="Italic"/>
        </w:rPr>
        <w:t>590</w:t>
      </w:r>
      <w:r w:rsidR="004F5F80" w:rsidRPr="00C11B0A">
        <w:rPr>
          <w:rStyle w:val="Italic"/>
        </w:rPr>
        <w:t>.2</w:t>
      </w:r>
      <w:r w:rsidRPr="00AB51E8">
        <w:rPr>
          <w:rStyle w:val="Italic"/>
          <w:rFonts w:ascii="Calibri" w:hAnsi="Calibri" w:cs="Calibri"/>
        </w:rPr>
        <w:t> </w:t>
      </w:r>
      <w:r w:rsidRPr="00C11B0A">
        <w:rPr>
          <w:rStyle w:val="Italic"/>
        </w:rPr>
        <w:t>million (</w:t>
      </w:r>
      <w:r w:rsidR="005F77C2" w:rsidRPr="00C11B0A">
        <w:rPr>
          <w:rStyle w:val="Italic"/>
        </w:rPr>
        <w:t>2024</w:t>
      </w:r>
      <w:r w:rsidRPr="00C11B0A">
        <w:rPr>
          <w:rStyle w:val="Italic"/>
        </w:rPr>
        <w:t>: EUR</w:t>
      </w:r>
      <w:r w:rsidRPr="00AB51E8">
        <w:rPr>
          <w:rStyle w:val="Italic"/>
          <w:rFonts w:ascii="Calibri" w:hAnsi="Calibri" w:cs="Calibri"/>
        </w:rPr>
        <w:t> </w:t>
      </w:r>
      <w:r w:rsidR="005F77C2" w:rsidRPr="00C11B0A">
        <w:rPr>
          <w:rStyle w:val="Italic"/>
        </w:rPr>
        <w:t>579</w:t>
      </w:r>
      <w:r w:rsidR="00D9091F" w:rsidRPr="00C11B0A">
        <w:rPr>
          <w:rStyle w:val="Italic"/>
        </w:rPr>
        <w:t>.</w:t>
      </w:r>
      <w:r w:rsidR="005F77C2" w:rsidRPr="00C11B0A">
        <w:rPr>
          <w:rStyle w:val="Italic"/>
        </w:rPr>
        <w:t>9</w:t>
      </w:r>
      <w:r w:rsidRPr="00AB51E8">
        <w:rPr>
          <w:rStyle w:val="Italic"/>
          <w:rFonts w:ascii="Calibri" w:hAnsi="Calibri" w:cs="Calibri"/>
        </w:rPr>
        <w:t> </w:t>
      </w:r>
      <w:r w:rsidRPr="00C11B0A">
        <w:rPr>
          <w:rStyle w:val="Italic"/>
        </w:rPr>
        <w:t>million);</w:t>
      </w:r>
    </w:p>
    <w:p w14:paraId="256C0C69" w14:textId="775664F8" w:rsidR="001301C1" w:rsidRPr="00C11B0A" w:rsidRDefault="001301C1" w:rsidP="00215B29">
      <w:pPr>
        <w:pStyle w:val="amprboxbulletlistorange"/>
        <w:rPr>
          <w:rStyle w:val="Italic"/>
        </w:rPr>
      </w:pPr>
      <w:r w:rsidRPr="00C11B0A">
        <w:rPr>
          <w:rStyle w:val="Italic"/>
        </w:rPr>
        <w:t>corrective measures: EUR</w:t>
      </w:r>
      <w:r w:rsidRPr="00AB51E8">
        <w:rPr>
          <w:rStyle w:val="Italic"/>
          <w:rFonts w:ascii="Calibri" w:hAnsi="Calibri" w:cs="Calibri"/>
        </w:rPr>
        <w:t> </w:t>
      </w:r>
      <w:r w:rsidR="00CC400C" w:rsidRPr="00C11B0A">
        <w:rPr>
          <w:rStyle w:val="Italic"/>
        </w:rPr>
        <w:t>6</w:t>
      </w:r>
      <w:r w:rsidR="00CC400C" w:rsidRPr="00AB51E8">
        <w:rPr>
          <w:rStyle w:val="Italic"/>
          <w:rFonts w:ascii="Calibri" w:hAnsi="Calibri" w:cs="Calibri"/>
        </w:rPr>
        <w:t> </w:t>
      </w:r>
      <w:r w:rsidR="00CC400C" w:rsidRPr="00C11B0A">
        <w:rPr>
          <w:rStyle w:val="Italic"/>
        </w:rPr>
        <w:t>600.8</w:t>
      </w:r>
      <w:r w:rsidRPr="00AB51E8">
        <w:rPr>
          <w:rStyle w:val="Italic"/>
          <w:rFonts w:ascii="Calibri" w:hAnsi="Calibri" w:cs="Calibri"/>
        </w:rPr>
        <w:t> </w:t>
      </w:r>
      <w:r w:rsidRPr="00C11B0A">
        <w:rPr>
          <w:rStyle w:val="Italic"/>
        </w:rPr>
        <w:t>million (</w:t>
      </w:r>
      <w:r w:rsidR="005F77C2" w:rsidRPr="00C11B0A">
        <w:rPr>
          <w:rStyle w:val="Italic"/>
        </w:rPr>
        <w:t>2024</w:t>
      </w:r>
      <w:r w:rsidRPr="00C11B0A">
        <w:rPr>
          <w:rStyle w:val="Italic"/>
        </w:rPr>
        <w:t>: EUR</w:t>
      </w:r>
      <w:r w:rsidRPr="00AB51E8">
        <w:rPr>
          <w:rStyle w:val="Italic"/>
          <w:rFonts w:ascii="Calibri" w:hAnsi="Calibri" w:cs="Calibri"/>
        </w:rPr>
        <w:t> </w:t>
      </w:r>
      <w:r w:rsidR="005F77C2" w:rsidRPr="00C11B0A">
        <w:rPr>
          <w:rStyle w:val="Italic"/>
        </w:rPr>
        <w:t>448</w:t>
      </w:r>
      <w:r w:rsidR="00CB50DF" w:rsidRPr="00C11B0A">
        <w:rPr>
          <w:rStyle w:val="Italic"/>
        </w:rPr>
        <w:t>.</w:t>
      </w:r>
      <w:r w:rsidR="005F77C2" w:rsidRPr="00C11B0A">
        <w:rPr>
          <w:rStyle w:val="Italic"/>
        </w:rPr>
        <w:t>7</w:t>
      </w:r>
      <w:r w:rsidRPr="00AB51E8">
        <w:rPr>
          <w:rStyle w:val="Italic"/>
          <w:rFonts w:ascii="Calibri" w:hAnsi="Calibri" w:cs="Calibri"/>
        </w:rPr>
        <w:t> </w:t>
      </w:r>
      <w:r w:rsidRPr="00C11B0A">
        <w:rPr>
          <w:rStyle w:val="Italic"/>
        </w:rPr>
        <w:t>million).</w:t>
      </w:r>
    </w:p>
    <w:p w14:paraId="3D24E9BE" w14:textId="7665B210" w:rsidR="001301C1" w:rsidRPr="006D3C55" w:rsidRDefault="001301C1" w:rsidP="001301C1">
      <w:pPr>
        <w:pStyle w:val="amprboxtext"/>
        <w:spacing w:before="0"/>
      </w:pPr>
      <w:r w:rsidRPr="006D3C55">
        <w:rPr>
          <w:rStyle w:val="Bold"/>
        </w:rPr>
        <w:t>Reservations:</w:t>
      </w:r>
      <w:r w:rsidRPr="006D3C55">
        <w:t xml:space="preserve"> </w:t>
      </w:r>
      <w:r w:rsidR="006D3EA3" w:rsidRPr="006D3C55">
        <w:t>five</w:t>
      </w:r>
      <w:r w:rsidR="009479AF" w:rsidRPr="006D3C55">
        <w:t xml:space="preserve"> </w:t>
      </w:r>
      <w:r w:rsidRPr="006D3C55">
        <w:t>reservations with a financial impact of EUR</w:t>
      </w:r>
      <w:r w:rsidRPr="006D3C55">
        <w:rPr>
          <w:rFonts w:ascii="Calibri" w:hAnsi="Calibri" w:cs="Calibri"/>
        </w:rPr>
        <w:t> </w:t>
      </w:r>
      <w:r w:rsidR="00F21B01" w:rsidRPr="006D3C55">
        <w:t>304</w:t>
      </w:r>
      <w:r w:rsidR="009479AF" w:rsidRPr="006D3C55">
        <w:rPr>
          <w:rFonts w:ascii="Calibri" w:hAnsi="Calibri" w:cs="Calibri"/>
        </w:rPr>
        <w:t> </w:t>
      </w:r>
      <w:r w:rsidRPr="006D3C55">
        <w:t>million (202</w:t>
      </w:r>
      <w:r w:rsidR="005F77C2" w:rsidRPr="006D3C55">
        <w:t>4</w:t>
      </w:r>
      <w:r w:rsidRPr="006D3C55">
        <w:t xml:space="preserve">: </w:t>
      </w:r>
      <w:r w:rsidR="005F77C2" w:rsidRPr="006D3C55">
        <w:t xml:space="preserve">five </w:t>
      </w:r>
      <w:r w:rsidRPr="006D3C55">
        <w:t>reservations with a financial impact of EUR</w:t>
      </w:r>
      <w:r w:rsidRPr="006D3C55">
        <w:rPr>
          <w:rFonts w:ascii="Calibri" w:hAnsi="Calibri" w:cs="Calibri"/>
        </w:rPr>
        <w:t> </w:t>
      </w:r>
      <w:r w:rsidR="009479AF" w:rsidRPr="006D3C55">
        <w:t>73</w:t>
      </w:r>
      <w:r w:rsidR="009479AF" w:rsidRPr="006D3C55">
        <w:rPr>
          <w:rFonts w:ascii="Calibri" w:hAnsi="Calibri" w:cs="Calibri"/>
        </w:rPr>
        <w:t> </w:t>
      </w:r>
      <w:r w:rsidRPr="006D3C55">
        <w:t>million).</w:t>
      </w:r>
    </w:p>
    <w:p w14:paraId="2CAEE677" w14:textId="7B8F5DAB" w:rsidR="00BD4CFC" w:rsidRDefault="00BD4CFC" w:rsidP="007E0D52">
      <w:pPr>
        <w:rPr>
          <w:rStyle w:val="Bold"/>
        </w:rPr>
      </w:pPr>
      <w:r w:rsidRPr="00BD4CFC">
        <w:rPr>
          <w:noProof/>
        </w:rPr>
        <w:drawing>
          <wp:anchor distT="0" distB="0" distL="114300" distR="114300" simplePos="0" relativeHeight="251658242" behindDoc="0" locked="0" layoutInCell="1" allowOverlap="1" wp14:anchorId="3783BA8E" wp14:editId="12D66DCD">
            <wp:simplePos x="0" y="0"/>
            <wp:positionH relativeFrom="column">
              <wp:posOffset>-3810</wp:posOffset>
            </wp:positionH>
            <wp:positionV relativeFrom="paragraph">
              <wp:posOffset>0</wp:posOffset>
            </wp:positionV>
            <wp:extent cx="2493010" cy="4614545"/>
            <wp:effectExtent l="0" t="0" r="2540" b="0"/>
            <wp:wrapSquare wrapText="bothSides"/>
            <wp:docPr id="28" name="Picture 27" descr="Graph showing the evolution of risk at payment and risk at closure for Heading 2 – cohesion, resilience and values between 2023 and 2025. The graph shows the materiality represented by a line at 2%.&#10;Risk at payment in 2023 was 2.6%, in 2024 2.9%, and in 2025 2.3%.&#10;Risk at closure in 2023 1.2%; in 2024 1.7% and in 2025 0.8%.">
              <a:extLst xmlns:a="http://schemas.openxmlformats.org/drawingml/2006/main">
                <a:ext uri="{FF2B5EF4-FFF2-40B4-BE49-F238E27FC236}">
                  <a16:creationId xmlns:a16="http://schemas.microsoft.com/office/drawing/2014/main" id="{D1EDB1DA-0E79-FF9B-837D-8ECB55BB0FE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7" descr="Graph showing the evolution of risk at payment and risk at closure for Heading 2 – cohesion, resilience and values between 2023 and 2025. The graph shows the materiality represented by a line at 2%.&#10;Risk at payment in 2023 was 2.6%, in 2024 2.9%, and in 2025 2.3%.&#10;Risk at closure in 2023 1.2%; in 2024 1.7% and in 2025 0.8%.">
                      <a:extLst>
                        <a:ext uri="{FF2B5EF4-FFF2-40B4-BE49-F238E27FC236}">
                          <a16:creationId xmlns:a16="http://schemas.microsoft.com/office/drawing/2014/main" id="{D1EDB1DA-0E79-FF9B-837D-8ECB55BB0FEE}"/>
                        </a:ext>
                      </a:extLst>
                    </pic:cNvPr>
                    <pic:cNvPicPr>
                      <a:picLocks noChangeAspect="1"/>
                    </pic:cNvPicPr>
                  </pic:nvPicPr>
                  <pic:blipFill>
                    <a:blip r:embed="rId74"/>
                    <a:srcRect l="2064" t="1316" r="3615" b="1316"/>
                    <a:stretch>
                      <a:fillRect/>
                    </a:stretch>
                  </pic:blipFill>
                  <pic:spPr>
                    <a:xfrm>
                      <a:off x="0" y="0"/>
                      <a:ext cx="2493010" cy="4614545"/>
                    </a:xfrm>
                    <a:prstGeom prst="rect">
                      <a:avLst/>
                    </a:prstGeom>
                  </pic:spPr>
                </pic:pic>
              </a:graphicData>
            </a:graphic>
            <wp14:sizeRelH relativeFrom="margin">
              <wp14:pctWidth>0</wp14:pctWidth>
            </wp14:sizeRelH>
            <wp14:sizeRelV relativeFrom="margin">
              <wp14:pctHeight>0</wp14:pctHeight>
            </wp14:sizeRelV>
          </wp:anchor>
        </w:drawing>
      </w:r>
      <w:r w:rsidR="006D4133" w:rsidRPr="006D3C55">
        <w:t xml:space="preserve">The reduction in total relevant expenditure under this heading from </w:t>
      </w:r>
      <w:r w:rsidR="00313B9A" w:rsidRPr="006D3C55">
        <w:t>EUR</w:t>
      </w:r>
      <w:r w:rsidR="008D1785" w:rsidRPr="006D3C55">
        <w:rPr>
          <w:rFonts w:ascii="Calibri" w:hAnsi="Calibri" w:cs="Calibri"/>
        </w:rPr>
        <w:t> </w:t>
      </w:r>
      <w:r w:rsidR="00313B9A" w:rsidRPr="006D3C55">
        <w:t>62</w:t>
      </w:r>
      <w:r w:rsidR="008D1785" w:rsidRPr="006D3C55">
        <w:rPr>
          <w:rFonts w:ascii="Calibri" w:hAnsi="Calibri" w:cs="Calibri"/>
        </w:rPr>
        <w:t> </w:t>
      </w:r>
      <w:r w:rsidR="00313B9A" w:rsidRPr="006D3C55">
        <w:t>billion in 2024 to EUR</w:t>
      </w:r>
      <w:r w:rsidR="008D1785" w:rsidRPr="006D3C55">
        <w:rPr>
          <w:rFonts w:ascii="Calibri" w:hAnsi="Calibri" w:cs="Calibri"/>
        </w:rPr>
        <w:t> </w:t>
      </w:r>
      <w:r w:rsidR="00313B9A" w:rsidRPr="006D3C55">
        <w:t>54</w:t>
      </w:r>
      <w:r w:rsidR="008D1785" w:rsidRPr="006D3C55">
        <w:rPr>
          <w:rFonts w:ascii="Calibri" w:hAnsi="Calibri" w:cs="Calibri"/>
        </w:rPr>
        <w:t> </w:t>
      </w:r>
      <w:r w:rsidR="00313B9A" w:rsidRPr="006D3C55">
        <w:t xml:space="preserve">billion in 2025 is largely attributable </w:t>
      </w:r>
      <w:r w:rsidR="00114763" w:rsidRPr="006D3C55">
        <w:t xml:space="preserve">to the timing of the Member States’ </w:t>
      </w:r>
      <w:r w:rsidR="006228EF" w:rsidRPr="006D3C55">
        <w:t xml:space="preserve">accounts submissions for </w:t>
      </w:r>
      <w:r w:rsidR="006F4D35" w:rsidRPr="006D3C55">
        <w:t xml:space="preserve">2014-2020. </w:t>
      </w:r>
      <w:r w:rsidR="00CE14B7" w:rsidRPr="006D3C55">
        <w:t xml:space="preserve">The </w:t>
      </w:r>
      <w:r w:rsidR="003005E6" w:rsidRPr="006D3C55">
        <w:t>expenditure for 2025</w:t>
      </w:r>
      <w:r w:rsidR="00CE14B7" w:rsidRPr="006D3C55">
        <w:t xml:space="preserve"> </w:t>
      </w:r>
      <w:r w:rsidR="00242A91" w:rsidRPr="006D3C55">
        <w:t>include</w:t>
      </w:r>
      <w:r w:rsidR="008D1785" w:rsidRPr="006D3C55">
        <w:t>s</w:t>
      </w:r>
      <w:r w:rsidR="00242A91" w:rsidRPr="006D3C55">
        <w:t xml:space="preserve"> only 20% of </w:t>
      </w:r>
      <w:r w:rsidR="00373EB3" w:rsidRPr="006D3C55">
        <w:t xml:space="preserve">the final </w:t>
      </w:r>
      <w:r w:rsidR="00904ED1" w:rsidRPr="006D3C55">
        <w:t>account submissions,</w:t>
      </w:r>
      <w:r w:rsidR="00242A91" w:rsidRPr="006D3C55">
        <w:t xml:space="preserve"> </w:t>
      </w:r>
      <w:r w:rsidR="001941DC" w:rsidRPr="006D3C55">
        <w:t>with the rema</w:t>
      </w:r>
      <w:r w:rsidR="00373EB3" w:rsidRPr="006D3C55">
        <w:t>i</w:t>
      </w:r>
      <w:r w:rsidR="001941DC" w:rsidRPr="006D3C55">
        <w:t xml:space="preserve">ning 80% being deferred to 2026 </w:t>
      </w:r>
      <w:r w:rsidR="00D8735E" w:rsidRPr="006D3C55">
        <w:t>due to</w:t>
      </w:r>
      <w:r w:rsidR="00572558" w:rsidRPr="006D3C55">
        <w:t xml:space="preserve"> the </w:t>
      </w:r>
      <w:r w:rsidR="00633C43" w:rsidRPr="006D3C55">
        <w:t xml:space="preserve">Strategic Technologies for Europe Platform </w:t>
      </w:r>
      <w:r w:rsidR="002551C3" w:rsidRPr="006D3C55">
        <w:t>Regulation</w:t>
      </w:r>
      <w:r w:rsidR="00AF26FB" w:rsidRPr="00AD4275">
        <w:rPr>
          <w:rFonts w:cs="Calibri"/>
        </w:rPr>
        <w:t> </w:t>
      </w:r>
      <w:r w:rsidR="00AF26FB" w:rsidRPr="006D3C55">
        <w:t>(</w:t>
      </w:r>
      <w:r w:rsidR="00AF26FB" w:rsidRPr="00352191">
        <w:rPr>
          <w:rStyle w:val="FootnoteReference"/>
        </w:rPr>
        <w:footnoteReference w:id="26"/>
      </w:r>
      <w:r w:rsidR="00AF26FB" w:rsidRPr="006D3C55">
        <w:t>)</w:t>
      </w:r>
      <w:r w:rsidR="00D8735E" w:rsidRPr="006D3C55">
        <w:t xml:space="preserve">, which postponed the deadline for submitting the accounts by one year. </w:t>
      </w:r>
      <w:r w:rsidR="003D2B6A" w:rsidRPr="006D3C55">
        <w:br/>
      </w:r>
      <w:r w:rsidR="001301C1" w:rsidRPr="006D3C55">
        <w:t>The</w:t>
      </w:r>
      <w:r w:rsidR="007E0D52" w:rsidRPr="006D3C55">
        <w:t xml:space="preserve"> </w:t>
      </w:r>
      <w:r w:rsidR="007E0D52" w:rsidRPr="00083F6E">
        <w:rPr>
          <w:rStyle w:val="Bold"/>
        </w:rPr>
        <w:t>risk at payment for this heading decreased from 2.9% to 2.3%, while the risk at closure</w:t>
      </w:r>
    </w:p>
    <w:p w14:paraId="4E44DBC5" w14:textId="77777777" w:rsidR="00BD4CFC" w:rsidRDefault="00BD4CFC">
      <w:pPr>
        <w:suppressAutoHyphens w:val="0"/>
        <w:rPr>
          <w:rStyle w:val="Bold"/>
        </w:rPr>
      </w:pPr>
      <w:r>
        <w:rPr>
          <w:rStyle w:val="Bold"/>
        </w:rPr>
        <w:br w:type="page"/>
      </w:r>
    </w:p>
    <w:p w14:paraId="74C0F8CA" w14:textId="4CCC2218" w:rsidR="007E0D52" w:rsidRPr="006D3C55" w:rsidRDefault="007E0D52" w:rsidP="007E0D52">
      <w:r w:rsidRPr="00083F6E">
        <w:rPr>
          <w:rStyle w:val="Bold"/>
        </w:rPr>
        <w:t xml:space="preserve"> decreased </w:t>
      </w:r>
      <w:r w:rsidRPr="00F54969">
        <w:rPr>
          <w:rStyle w:val="Bold"/>
        </w:rPr>
        <w:t>from 1.7% to 0.8%</w:t>
      </w:r>
      <w:r w:rsidR="00706197" w:rsidRPr="00AD4275">
        <w:rPr>
          <w:rFonts w:ascii="Calibri" w:hAnsi="Calibri" w:cs="Calibri"/>
          <w:bCs/>
        </w:rPr>
        <w:t> </w:t>
      </w:r>
      <w:r w:rsidRPr="00AD4275">
        <w:rPr>
          <w:bCs/>
        </w:rPr>
        <w:t>(</w:t>
      </w:r>
      <w:r w:rsidRPr="00352191">
        <w:rPr>
          <w:rStyle w:val="FootnoteReference"/>
        </w:rPr>
        <w:footnoteReference w:id="27"/>
      </w:r>
      <w:r w:rsidRPr="00AD4275">
        <w:rPr>
          <w:bCs/>
        </w:rPr>
        <w:t>).</w:t>
      </w:r>
      <w:r w:rsidRPr="006D3C55">
        <w:t xml:space="preserve"> The risk at payment and risk at closure were mostly driven by the amounts paid for the cohesion policy funds</w:t>
      </w:r>
      <w:r w:rsidRPr="006D3C55">
        <w:rPr>
          <w:rFonts w:ascii="Calibri" w:hAnsi="Calibri" w:cs="Calibri"/>
        </w:rPr>
        <w:t> </w:t>
      </w:r>
      <w:r w:rsidRPr="006D3C55">
        <w:t>(</w:t>
      </w:r>
      <w:r w:rsidRPr="00352191">
        <w:rPr>
          <w:rStyle w:val="FootnoteReference"/>
        </w:rPr>
        <w:footnoteReference w:id="28"/>
      </w:r>
      <w:r w:rsidRPr="006D3C55">
        <w:t>) managed under shared management, which represented around 84% of the total relevant expenditure for this heading.</w:t>
      </w:r>
    </w:p>
    <w:p w14:paraId="2A15606F" w14:textId="68552F8B" w:rsidR="007E0D52" w:rsidRPr="006D3C55" w:rsidRDefault="007E0D52" w:rsidP="007E0D52">
      <w:r w:rsidRPr="006D3C55">
        <w:rPr>
          <w:rStyle w:val="Bold"/>
        </w:rPr>
        <w:t>For all the cohesion policy funds,</w:t>
      </w:r>
      <w:r w:rsidRPr="006D3C55" w:rsidDel="000D5565">
        <w:rPr>
          <w:rStyle w:val="Bold"/>
        </w:rPr>
        <w:t xml:space="preserve"> </w:t>
      </w:r>
      <w:r w:rsidRPr="006D3C55">
        <w:rPr>
          <w:rStyle w:val="Bold"/>
        </w:rPr>
        <w:t>the risk at payment remained material in the range of 2.0% to 2.7%</w:t>
      </w:r>
      <w:r w:rsidRPr="007975E7">
        <w:rPr>
          <w:rStyle w:val="Bold"/>
        </w:rPr>
        <w:t>,</w:t>
      </w:r>
      <w:r w:rsidRPr="006D3C55">
        <w:t xml:space="preserve"> a decrease from the range observed in 2024 of 2.3% to 3.2%. The decrease is mainly due to the prudent approach taken by the Commission for expenditure corresponding to the 2021-2027 programming period of using a flat rate of 2%, increased where necessary </w:t>
      </w:r>
      <w:r w:rsidR="003E241C">
        <w:t>on a programme</w:t>
      </w:r>
      <w:r w:rsidR="00273594">
        <w:t>-</w:t>
      </w:r>
      <w:r w:rsidR="003E241C">
        <w:t>by</w:t>
      </w:r>
      <w:r w:rsidR="00273594">
        <w:t>-</w:t>
      </w:r>
      <w:r w:rsidR="003E241C">
        <w:t>programme basis</w:t>
      </w:r>
      <w:r w:rsidR="00006142">
        <w:t xml:space="preserve"> </w:t>
      </w:r>
      <w:r w:rsidRPr="006D3C55">
        <w:t>based on information available, due to the limited audit results received for the 2024-2025</w:t>
      </w:r>
      <w:r w:rsidR="009F49F8" w:rsidRPr="006D3C55">
        <w:t xml:space="preserve"> accounting year</w:t>
      </w:r>
      <w:r w:rsidRPr="006D3C55">
        <w:rPr>
          <w:rFonts w:ascii="Calibri" w:hAnsi="Calibri" w:cs="Calibri"/>
        </w:rPr>
        <w:t> </w:t>
      </w:r>
      <w:r w:rsidRPr="006D3C55">
        <w:t>(</w:t>
      </w:r>
      <w:r w:rsidRPr="00352191">
        <w:rPr>
          <w:rStyle w:val="FootnoteReference"/>
        </w:rPr>
        <w:footnoteReference w:id="29"/>
      </w:r>
      <w:r w:rsidRPr="006D3C55">
        <w:t xml:space="preserve">) and the increased share of this expenditure in the total </w:t>
      </w:r>
      <w:r w:rsidR="00B96958" w:rsidRPr="006D3C55">
        <w:t>c</w:t>
      </w:r>
      <w:r w:rsidRPr="006D3C55">
        <w:t>ohesion expenditure</w:t>
      </w:r>
      <w:r w:rsidR="009F49F8" w:rsidRPr="006D3C55">
        <w:t>,</w:t>
      </w:r>
      <w:r w:rsidRPr="006D3C55">
        <w:t xml:space="preserve"> from 15.3% in 2024 </w:t>
      </w:r>
      <w:r w:rsidR="00E165EB" w:rsidRPr="006D3C55">
        <w:rPr>
          <w:rFonts w:asciiTheme="minorHAnsi" w:hAnsiTheme="minorHAnsi"/>
        </w:rPr>
        <w:t>(EUR</w:t>
      </w:r>
      <w:r w:rsidR="00E165EB" w:rsidRPr="006D3C55">
        <w:rPr>
          <w:rFonts w:ascii="Calibri" w:hAnsi="Calibri" w:cs="Calibri"/>
        </w:rPr>
        <w:t> </w:t>
      </w:r>
      <w:r w:rsidR="00E165EB" w:rsidRPr="006D3C55">
        <w:rPr>
          <w:rFonts w:asciiTheme="minorHAnsi" w:hAnsiTheme="minorHAnsi"/>
        </w:rPr>
        <w:t>8</w:t>
      </w:r>
      <w:r w:rsidR="00CB50DF" w:rsidRPr="006D3C55">
        <w:rPr>
          <w:rFonts w:asciiTheme="minorHAnsi" w:hAnsiTheme="minorHAnsi"/>
        </w:rPr>
        <w:t>.</w:t>
      </w:r>
      <w:r w:rsidR="00E165EB" w:rsidRPr="006D3C55">
        <w:rPr>
          <w:rFonts w:asciiTheme="minorHAnsi" w:hAnsiTheme="minorHAnsi"/>
        </w:rPr>
        <w:t>4</w:t>
      </w:r>
      <w:r w:rsidR="00E165EB" w:rsidRPr="006D3C55">
        <w:rPr>
          <w:rFonts w:ascii="Calibri" w:hAnsi="Calibri" w:cs="Calibri"/>
        </w:rPr>
        <w:t> </w:t>
      </w:r>
      <w:r w:rsidR="00E165EB" w:rsidRPr="006D3C55">
        <w:rPr>
          <w:rFonts w:asciiTheme="minorHAnsi" w:hAnsiTheme="minorHAnsi" w:cs="Calibri"/>
        </w:rPr>
        <w:t>b</w:t>
      </w:r>
      <w:r w:rsidR="00E165EB" w:rsidRPr="006D3C55">
        <w:rPr>
          <w:rFonts w:asciiTheme="minorHAnsi" w:hAnsiTheme="minorHAnsi"/>
        </w:rPr>
        <w:t>illion)</w:t>
      </w:r>
      <w:r w:rsidRPr="006D3C55">
        <w:rPr>
          <w:rFonts w:asciiTheme="minorHAnsi" w:hAnsiTheme="minorHAnsi"/>
        </w:rPr>
        <w:t xml:space="preserve"> to 80.5% </w:t>
      </w:r>
      <w:r w:rsidR="00E165EB" w:rsidRPr="006D3C55">
        <w:rPr>
          <w:rFonts w:asciiTheme="minorHAnsi" w:hAnsiTheme="minorHAnsi"/>
        </w:rPr>
        <w:t>(EUR</w:t>
      </w:r>
      <w:r w:rsidR="00E165EB" w:rsidRPr="006D3C55">
        <w:rPr>
          <w:rFonts w:ascii="Calibri" w:hAnsi="Calibri" w:cs="Calibri"/>
        </w:rPr>
        <w:t> </w:t>
      </w:r>
      <w:r w:rsidR="00E165EB" w:rsidRPr="006D3C55">
        <w:rPr>
          <w:rFonts w:asciiTheme="minorHAnsi" w:hAnsiTheme="minorHAnsi" w:cs="Calibri"/>
        </w:rPr>
        <w:t>36</w:t>
      </w:r>
      <w:r w:rsidR="00E165EB" w:rsidRPr="006D3C55">
        <w:rPr>
          <w:rFonts w:ascii="Calibri" w:hAnsi="Calibri" w:cs="Calibri"/>
        </w:rPr>
        <w:t> </w:t>
      </w:r>
      <w:r w:rsidR="00E165EB" w:rsidRPr="006D3C55">
        <w:rPr>
          <w:rFonts w:asciiTheme="minorHAnsi" w:hAnsiTheme="minorHAnsi" w:cs="Calibri"/>
        </w:rPr>
        <w:t xml:space="preserve">billion) </w:t>
      </w:r>
      <w:r w:rsidRPr="006D3C55">
        <w:rPr>
          <w:rFonts w:asciiTheme="minorHAnsi" w:hAnsiTheme="minorHAnsi"/>
        </w:rPr>
        <w:t>in 2025</w:t>
      </w:r>
      <w:r w:rsidRPr="006D3C55">
        <w:t xml:space="preserve">. In 2024, most of the cohesion expenditure corresponded to the 2014-2020 programming period, </w:t>
      </w:r>
      <w:r w:rsidR="00AE09B7" w:rsidRPr="006D3C55">
        <w:t xml:space="preserve">for which </w:t>
      </w:r>
      <w:r w:rsidRPr="006D3C55">
        <w:t>the risk at payment was higher.</w:t>
      </w:r>
    </w:p>
    <w:p w14:paraId="11215054" w14:textId="11F967EA" w:rsidR="007E0D52" w:rsidRPr="006D3C55" w:rsidRDefault="007E0D52" w:rsidP="007E0D52">
      <w:r w:rsidRPr="007975E7">
        <w:rPr>
          <w:rStyle w:val="Bold"/>
        </w:rPr>
        <w:t xml:space="preserve">Overall, the Commission has reasonable assurance that the management and control systems function sufficiently well for </w:t>
      </w:r>
      <w:r w:rsidR="000B4560" w:rsidRPr="007975E7">
        <w:rPr>
          <w:rStyle w:val="Bold"/>
        </w:rPr>
        <w:t>85</w:t>
      </w:r>
      <w:r w:rsidRPr="007975E7">
        <w:rPr>
          <w:rStyle w:val="Bold"/>
        </w:rPr>
        <w:t xml:space="preserve">% of the </w:t>
      </w:r>
      <w:r w:rsidR="00EC7655" w:rsidRPr="007975E7">
        <w:rPr>
          <w:rStyle w:val="Bold"/>
        </w:rPr>
        <w:t>c</w:t>
      </w:r>
      <w:r w:rsidRPr="007975E7">
        <w:rPr>
          <w:rStyle w:val="Bold"/>
        </w:rPr>
        <w:t xml:space="preserve">ohesion </w:t>
      </w:r>
      <w:r w:rsidRPr="002554EA">
        <w:rPr>
          <w:rStyle w:val="Bold"/>
        </w:rPr>
        <w:t>programmes</w:t>
      </w:r>
      <w:r w:rsidRPr="002554EA">
        <w:rPr>
          <w:rFonts w:ascii="Calibri" w:hAnsi="Calibri" w:cs="Calibri"/>
        </w:rPr>
        <w:t> </w:t>
      </w:r>
      <w:r w:rsidRPr="002554EA">
        <w:t>(</w:t>
      </w:r>
      <w:r w:rsidRPr="00352191">
        <w:rPr>
          <w:rStyle w:val="FootnoteReference"/>
        </w:rPr>
        <w:footnoteReference w:id="30"/>
      </w:r>
      <w:r w:rsidRPr="002554EA">
        <w:t>)</w:t>
      </w:r>
      <w:r w:rsidRPr="002554EA">
        <w:rPr>
          <w:rStyle w:val="Bold"/>
        </w:rPr>
        <w:t>.</w:t>
      </w:r>
      <w:r w:rsidRPr="002554EA">
        <w:t xml:space="preserve"> </w:t>
      </w:r>
      <w:r w:rsidRPr="002554EA">
        <w:rPr>
          <w:rStyle w:val="Bold"/>
        </w:rPr>
        <w:t>Nevertheless</w:t>
      </w:r>
      <w:r w:rsidRPr="007975E7">
        <w:rPr>
          <w:rStyle w:val="Bold"/>
        </w:rPr>
        <w:t>, the risk at payment remained above the 2% materiality threshold.</w:t>
      </w:r>
      <w:r w:rsidRPr="006D3C55">
        <w:t xml:space="preserve"> This is mainly due to the inherent complexity of the projects financed by these funds, the variety of actors concerned and the difficulty of tackling </w:t>
      </w:r>
      <w:r w:rsidR="00EC7655" w:rsidRPr="006D3C55">
        <w:t xml:space="preserve">certain </w:t>
      </w:r>
      <w:r w:rsidRPr="006D3C55">
        <w:t>complex rules at both the national and the EU level, in particular those relat</w:t>
      </w:r>
      <w:r w:rsidR="007C58B1" w:rsidRPr="006D3C55">
        <w:t>ing</w:t>
      </w:r>
      <w:r w:rsidRPr="006D3C55">
        <w:t xml:space="preserve"> to public procurement and State aid. Weaknesses remain mainly at the level of managing authorities or their intermediate bodies. The main categories of irregularities identified by the Member States’ audit authorities and the Commission are similar to those identified by the Court of Auditors: ineligible expenditure</w:t>
      </w:r>
      <w:r w:rsidR="007C58B1" w:rsidRPr="006D3C55">
        <w:t>;</w:t>
      </w:r>
      <w:r w:rsidRPr="006D3C55">
        <w:t xml:space="preserve"> ineligible projects or beneficiaries</w:t>
      </w:r>
      <w:r w:rsidR="007C58B1" w:rsidRPr="006D3C55">
        <w:t>;</w:t>
      </w:r>
      <w:r w:rsidRPr="006D3C55">
        <w:t xml:space="preserve"> errors in public procurement procedures</w:t>
      </w:r>
      <w:r w:rsidR="007C58B1" w:rsidRPr="006D3C55">
        <w:t>;</w:t>
      </w:r>
      <w:r w:rsidRPr="006D3C55">
        <w:t xml:space="preserve"> and missing supporting information or documentation.</w:t>
      </w:r>
    </w:p>
    <w:p w14:paraId="46135D5D" w14:textId="587C7C12" w:rsidR="007E0D52" w:rsidRPr="006D3C55" w:rsidRDefault="007E0D52" w:rsidP="007E0D52">
      <w:r w:rsidRPr="006D3C55">
        <w:t xml:space="preserve">For the cohesion funds, the Commission applied additional financial corrections for those programmes where it confirmed individual error rates above 2%, so that the risk at closure will ultimately </w:t>
      </w:r>
      <w:r w:rsidR="00A9069A" w:rsidRPr="006D3C55">
        <w:t xml:space="preserve">be </w:t>
      </w:r>
      <w:r w:rsidRPr="006D3C55">
        <w:t>below 2% for all the programmes. Estimated future corrections corresponded to a range of 1.24% to 2.05%, leading to an estimated risk at closure of 0.76%.</w:t>
      </w:r>
    </w:p>
    <w:p w14:paraId="21595863" w14:textId="3977B7A5" w:rsidR="007E0D52" w:rsidRPr="006D3C55" w:rsidRDefault="0099576E" w:rsidP="007E0D52">
      <w:pPr>
        <w:rPr>
          <w:rFonts w:asciiTheme="minorHAnsi" w:hAnsiTheme="minorHAnsi"/>
        </w:rPr>
      </w:pPr>
      <w:r>
        <w:rPr>
          <w:rStyle w:val="Bold"/>
        </w:rPr>
        <w:t>The sharp increase in p</w:t>
      </w:r>
      <w:r w:rsidR="007E0D52" w:rsidRPr="007975E7">
        <w:rPr>
          <w:rStyle w:val="Bold"/>
        </w:rPr>
        <w:t xml:space="preserve">reventive </w:t>
      </w:r>
      <w:r>
        <w:rPr>
          <w:rStyle w:val="Bold"/>
        </w:rPr>
        <w:t>and corrective measures in 2025 compared to 2024 was mainly driven by</w:t>
      </w:r>
      <w:r w:rsidR="007E0D52" w:rsidRPr="007975E7">
        <w:rPr>
          <w:rStyle w:val="Bold"/>
        </w:rPr>
        <w:t xml:space="preserve"> corrective measures </w:t>
      </w:r>
      <w:r w:rsidR="00906E07">
        <w:rPr>
          <w:rStyle w:val="Bold"/>
        </w:rPr>
        <w:t>related to</w:t>
      </w:r>
      <w:r w:rsidR="00906E07" w:rsidRPr="007975E7">
        <w:rPr>
          <w:rStyle w:val="Bold"/>
        </w:rPr>
        <w:t xml:space="preserve"> </w:t>
      </w:r>
      <w:r w:rsidR="007E0D52" w:rsidRPr="007975E7">
        <w:rPr>
          <w:rStyle w:val="Bold"/>
        </w:rPr>
        <w:t>operational programmes under the 2014-2020 programming period</w:t>
      </w:r>
      <w:r w:rsidR="00906E07">
        <w:rPr>
          <w:rStyle w:val="Bold"/>
        </w:rPr>
        <w:t>,</w:t>
      </w:r>
      <w:r w:rsidR="0095065B">
        <w:rPr>
          <w:rStyle w:val="Bold"/>
        </w:rPr>
        <w:t xml:space="preserve"> </w:t>
      </w:r>
      <w:r w:rsidR="0095065B" w:rsidRPr="0095065B">
        <w:rPr>
          <w:rStyle w:val="Bold"/>
        </w:rPr>
        <w:t>which reached the closure stage</w:t>
      </w:r>
      <w:r w:rsidR="007E0D52" w:rsidRPr="007975E7">
        <w:rPr>
          <w:rStyle w:val="Bold"/>
        </w:rPr>
        <w:t xml:space="preserve">. </w:t>
      </w:r>
      <w:r w:rsidR="007E0D52" w:rsidRPr="007975E7">
        <w:t>Member States reported EUR</w:t>
      </w:r>
      <w:r w:rsidR="00420DF4" w:rsidRPr="006D3C55">
        <w:rPr>
          <w:rFonts w:ascii="Calibri" w:hAnsi="Calibri" w:cs="Calibri"/>
        </w:rPr>
        <w:t> </w:t>
      </w:r>
      <w:r w:rsidR="007E0D52" w:rsidRPr="007975E7">
        <w:t>6</w:t>
      </w:r>
      <w:r w:rsidR="00420DF4" w:rsidRPr="006D3C55">
        <w:rPr>
          <w:rFonts w:ascii="Calibri" w:hAnsi="Calibri" w:cs="Calibri"/>
        </w:rPr>
        <w:t> </w:t>
      </w:r>
      <w:r w:rsidR="001F5834">
        <w:t>518</w:t>
      </w:r>
      <w:r w:rsidR="001F5834" w:rsidRPr="006D3C55">
        <w:rPr>
          <w:rFonts w:ascii="Calibri" w:hAnsi="Calibri" w:cs="Calibri"/>
        </w:rPr>
        <w:t> </w:t>
      </w:r>
      <w:r w:rsidR="007E0D52" w:rsidRPr="007975E7">
        <w:t>million in corrective measures</w:t>
      </w:r>
      <w:r w:rsidR="002373AB" w:rsidRPr="006D3C55">
        <w:rPr>
          <w:rFonts w:ascii="Calibri" w:hAnsi="Calibri" w:cs="Calibri"/>
        </w:rPr>
        <w:t> </w:t>
      </w:r>
      <w:r w:rsidR="007E0D52" w:rsidRPr="007975E7">
        <w:t>(</w:t>
      </w:r>
      <w:r w:rsidR="007E0D52" w:rsidRPr="00352191">
        <w:rPr>
          <w:rStyle w:val="FootnoteReference"/>
        </w:rPr>
        <w:footnoteReference w:id="31"/>
      </w:r>
      <w:r w:rsidR="007E0D52" w:rsidRPr="007975E7">
        <w:t>) for cohesion funds under the 2014</w:t>
      </w:r>
      <w:r w:rsidR="00962649" w:rsidRPr="007975E7">
        <w:t>-</w:t>
      </w:r>
      <w:r w:rsidR="007E0D52" w:rsidRPr="007975E7">
        <w:t>2020 programming period</w:t>
      </w:r>
      <w:r w:rsidR="001F5834">
        <w:t>. This marks</w:t>
      </w:r>
      <w:r w:rsidR="007E0D52" w:rsidRPr="007975E7">
        <w:t xml:space="preserve"> a sharp increase from EUR</w:t>
      </w:r>
      <w:r w:rsidR="00420DF4" w:rsidRPr="006D3C55">
        <w:rPr>
          <w:rFonts w:ascii="Calibri" w:hAnsi="Calibri" w:cs="Calibri"/>
        </w:rPr>
        <w:t> </w:t>
      </w:r>
      <w:r w:rsidR="007E0D52" w:rsidRPr="007975E7">
        <w:t>211</w:t>
      </w:r>
      <w:r w:rsidR="00420DF4" w:rsidRPr="006D3C55">
        <w:rPr>
          <w:rFonts w:ascii="Calibri" w:hAnsi="Calibri" w:cs="Calibri"/>
        </w:rPr>
        <w:t> </w:t>
      </w:r>
      <w:r w:rsidR="007E0D52" w:rsidRPr="007975E7">
        <w:t>million in the previous year</w:t>
      </w:r>
      <w:r w:rsidR="00E116BF">
        <w:t>,</w:t>
      </w:r>
      <w:r w:rsidR="004A19B3">
        <w:t xml:space="preserve"> which was exceptionally low</w:t>
      </w:r>
      <w:r>
        <w:t xml:space="preserve"> due to the limited number of final accounts submitted</w:t>
      </w:r>
      <w:r w:rsidR="002C5BBA">
        <w:t xml:space="preserve"> (i.e. only </w:t>
      </w:r>
      <w:r>
        <w:t xml:space="preserve">20%, due to the additional year </w:t>
      </w:r>
      <w:r w:rsidRPr="007975E7">
        <w:t xml:space="preserve">provided under the </w:t>
      </w:r>
      <w:r w:rsidRPr="006D3C55">
        <w:t xml:space="preserve">Strategic Technologies for Europe Platform </w:t>
      </w:r>
      <w:r w:rsidRPr="007975E7">
        <w:t>Regulation</w:t>
      </w:r>
      <w:r w:rsidRPr="006D3C55">
        <w:rPr>
          <w:rFonts w:ascii="Calibri" w:hAnsi="Calibri" w:cs="Calibri"/>
        </w:rPr>
        <w:t> </w:t>
      </w:r>
      <w:bookmarkStart w:id="43" w:name="_Hlk230707309"/>
      <w:r w:rsidRPr="006D3C55">
        <w:t>(</w:t>
      </w:r>
      <w:r w:rsidRPr="00352191">
        <w:rPr>
          <w:rStyle w:val="FootnoteReference"/>
        </w:rPr>
        <w:footnoteReference w:id="32"/>
      </w:r>
      <w:r w:rsidRPr="006D3C55">
        <w:t>)</w:t>
      </w:r>
      <w:bookmarkEnd w:id="43"/>
      <w:r>
        <w:t xml:space="preserve"> to submit them</w:t>
      </w:r>
      <w:r w:rsidR="002C5BBA">
        <w:t>)</w:t>
      </w:r>
      <w:r w:rsidR="007E0D52" w:rsidRPr="007975E7">
        <w:t xml:space="preserve">. </w:t>
      </w:r>
      <w:r w:rsidR="000907E9" w:rsidRPr="007975E7">
        <w:t>Th</w:t>
      </w:r>
      <w:r w:rsidR="004A19B3">
        <w:t>e</w:t>
      </w:r>
      <w:r w:rsidR="000907E9" w:rsidRPr="007975E7">
        <w:t xml:space="preserve"> convergence</w:t>
      </w:r>
      <w:r w:rsidR="004A19B3">
        <w:t xml:space="preserve"> of the last accounting period for the 2014-2020 programming period, concentrating the highest volumes of accounts</w:t>
      </w:r>
      <w:r w:rsidR="004A19B3" w:rsidRPr="0076117C">
        <w:rPr>
          <w:rFonts w:cs="Calibri"/>
        </w:rPr>
        <w:t> </w:t>
      </w:r>
      <w:r w:rsidR="004A19B3" w:rsidRPr="004A19B3">
        <w:t>(</w:t>
      </w:r>
      <w:r w:rsidR="004A19B3" w:rsidRPr="00352191">
        <w:rPr>
          <w:rStyle w:val="FootnoteReference"/>
        </w:rPr>
        <w:footnoteReference w:id="33"/>
      </w:r>
      <w:r w:rsidR="004A19B3">
        <w:t xml:space="preserve">), and the additional </w:t>
      </w:r>
      <w:r w:rsidR="004A19B3" w:rsidRPr="007975E7">
        <w:t xml:space="preserve">time frame </w:t>
      </w:r>
      <w:r w:rsidR="004A19B3">
        <w:t>led to a</w:t>
      </w:r>
      <w:r w:rsidR="000907E9" w:rsidRPr="007975E7">
        <w:t xml:space="preserve"> significantly amplified scale of adjustments, as </w:t>
      </w:r>
      <w:r w:rsidR="00E251AC">
        <w:t>programme</w:t>
      </w:r>
      <w:r w:rsidR="00E251AC" w:rsidRPr="007975E7">
        <w:t xml:space="preserve"> </w:t>
      </w:r>
      <w:r w:rsidR="000907E9" w:rsidRPr="007975E7">
        <w:t xml:space="preserve">authorities in Member States undertook a final, comprehensive review of both </w:t>
      </w:r>
      <w:r w:rsidR="004F33A5" w:rsidRPr="007975E7">
        <w:t xml:space="preserve">the </w:t>
      </w:r>
      <w:r w:rsidR="000907E9" w:rsidRPr="007975E7">
        <w:t xml:space="preserve">current and </w:t>
      </w:r>
      <w:r w:rsidR="004F33A5" w:rsidRPr="007975E7">
        <w:t xml:space="preserve">the </w:t>
      </w:r>
      <w:r w:rsidR="000907E9" w:rsidRPr="007975E7">
        <w:t>previous accounting years.</w:t>
      </w:r>
      <w:r w:rsidR="001F5834">
        <w:t xml:space="preserve"> </w:t>
      </w:r>
      <w:r w:rsidR="001A7DB9">
        <w:t xml:space="preserve">In this context, the closure acted as a critical safeguard, ensuring that remaining irregular or inaccurate expenditure was identified and excluded. </w:t>
      </w:r>
    </w:p>
    <w:p w14:paraId="7BA086D5" w14:textId="74F2F796" w:rsidR="007E0D52" w:rsidRPr="006D3C55" w:rsidRDefault="009D03D2" w:rsidP="007E0D52">
      <w:r w:rsidRPr="006D3C55">
        <w:t>For the 2021-2027</w:t>
      </w:r>
      <w:r w:rsidR="00962649" w:rsidRPr="006D3C55">
        <w:t xml:space="preserve"> programming period</w:t>
      </w:r>
      <w:r w:rsidRPr="006D3C55">
        <w:t>, t</w:t>
      </w:r>
      <w:r w:rsidR="007E0D52" w:rsidRPr="006D3C55">
        <w:t xml:space="preserve">he preventive measures increased </w:t>
      </w:r>
      <w:r w:rsidR="00B421FD" w:rsidRPr="006D3C55">
        <w:t xml:space="preserve">slightly </w:t>
      </w:r>
      <w:r w:rsidR="007E0D52" w:rsidRPr="006D3C55">
        <w:t>from EUR</w:t>
      </w:r>
      <w:r w:rsidR="00507E2B" w:rsidRPr="006D3C55">
        <w:rPr>
          <w:rFonts w:ascii="Calibri" w:hAnsi="Calibri" w:cs="Calibri"/>
        </w:rPr>
        <w:t> </w:t>
      </w:r>
      <w:r w:rsidR="007E0D52" w:rsidRPr="006D3C55">
        <w:t>565</w:t>
      </w:r>
      <w:r w:rsidR="00507E2B" w:rsidRPr="006D3C55">
        <w:rPr>
          <w:rFonts w:ascii="Calibri" w:hAnsi="Calibri" w:cs="Calibri"/>
        </w:rPr>
        <w:t> </w:t>
      </w:r>
      <w:r w:rsidR="007E0D52" w:rsidRPr="006D3C55">
        <w:t>million in 2024 to EUR</w:t>
      </w:r>
      <w:r w:rsidR="00507E2B" w:rsidRPr="006D3C55">
        <w:rPr>
          <w:rFonts w:ascii="Calibri" w:hAnsi="Calibri" w:cs="Calibri"/>
        </w:rPr>
        <w:t> </w:t>
      </w:r>
      <w:r w:rsidR="007E0D52" w:rsidRPr="006D3C55">
        <w:t>586</w:t>
      </w:r>
      <w:r w:rsidR="00507E2B" w:rsidRPr="006D3C55">
        <w:rPr>
          <w:rFonts w:ascii="Calibri" w:hAnsi="Calibri" w:cs="Calibri"/>
        </w:rPr>
        <w:t> </w:t>
      </w:r>
      <w:r w:rsidR="007E0D52" w:rsidRPr="006D3C55">
        <w:t>million in 2025. As it is still early in the programme life</w:t>
      </w:r>
      <w:r w:rsidR="006C16BE" w:rsidRPr="006D3C55">
        <w:t>-</w:t>
      </w:r>
      <w:r w:rsidR="007E0D52" w:rsidRPr="006D3C55">
        <w:t>cycle implem</w:t>
      </w:r>
      <w:r w:rsidRPr="006D3C55">
        <w:t>e</w:t>
      </w:r>
      <w:r w:rsidR="007E0D52" w:rsidRPr="006D3C55">
        <w:t>ntation, the corrective measures were rather low at EUR</w:t>
      </w:r>
      <w:r w:rsidR="00507E2B" w:rsidRPr="006D3C55">
        <w:rPr>
          <w:rFonts w:ascii="Calibri" w:hAnsi="Calibri" w:cs="Calibri"/>
        </w:rPr>
        <w:t> </w:t>
      </w:r>
      <w:r w:rsidR="007E0D52" w:rsidRPr="006D3C55">
        <w:t>9</w:t>
      </w:r>
      <w:r w:rsidR="00507E2B" w:rsidRPr="006D3C55">
        <w:rPr>
          <w:rFonts w:ascii="Calibri" w:hAnsi="Calibri" w:cs="Calibri"/>
        </w:rPr>
        <w:t> </w:t>
      </w:r>
      <w:r w:rsidR="007E0D52" w:rsidRPr="006D3C55">
        <w:t>million (2024: EUR</w:t>
      </w:r>
      <w:r w:rsidR="00507E2B" w:rsidRPr="006D3C55">
        <w:rPr>
          <w:rFonts w:ascii="Calibri" w:hAnsi="Calibri" w:cs="Calibri"/>
        </w:rPr>
        <w:t> </w:t>
      </w:r>
      <w:r w:rsidR="007E0D52" w:rsidRPr="006D3C55">
        <w:t>8</w:t>
      </w:r>
      <w:r w:rsidR="00507E2B" w:rsidRPr="006D3C55">
        <w:rPr>
          <w:rFonts w:ascii="Calibri" w:hAnsi="Calibri" w:cs="Calibri"/>
        </w:rPr>
        <w:t> </w:t>
      </w:r>
      <w:r w:rsidR="007E0D52" w:rsidRPr="006D3C55">
        <w:t>million).</w:t>
      </w:r>
    </w:p>
    <w:p w14:paraId="58619469" w14:textId="30307B5C" w:rsidR="007E0D52" w:rsidRPr="006D3C55" w:rsidRDefault="007E0D52" w:rsidP="007E0D52">
      <w:r w:rsidRPr="006D3C55">
        <w:t>One specific feature of the 2021-2027 multiannual financial framework for the European Regional Development Fund, Cohesion Fund and European Social Fund Plus is the need for Member States to comply with a set of thematic and horizontal enabling conditions to allow for the effective implementation of the funds</w:t>
      </w:r>
      <w:r w:rsidRPr="00AD4275">
        <w:rPr>
          <w:bCs/>
        </w:rPr>
        <w:t xml:space="preserve">. </w:t>
      </w:r>
      <w:r w:rsidRPr="007975E7">
        <w:rPr>
          <w:rStyle w:val="Bold"/>
        </w:rPr>
        <w:t>At the end of 2025, around 97% of the applicable thematic enabling conditions were assessed as fulfilled for the European Regional Development Fund, Cohesion Fund and European Social Fund Plus programmes that had been adopted.</w:t>
      </w:r>
      <w:r w:rsidRPr="006D3C55">
        <w:t xml:space="preserve"> By the end of April 202</w:t>
      </w:r>
      <w:r w:rsidR="00F13309" w:rsidRPr="006D3C55">
        <w:t>6</w:t>
      </w:r>
      <w:r w:rsidRPr="006D3C55">
        <w:t>, all Member States except Hungary fulfilled the horizontal enabling conditions</w:t>
      </w:r>
      <w:r w:rsidRPr="006D3C55">
        <w:rPr>
          <w:rFonts w:ascii="Calibri" w:hAnsi="Calibri" w:cs="Calibri"/>
        </w:rPr>
        <w:t> </w:t>
      </w:r>
      <w:r w:rsidRPr="006D3C55">
        <w:t>(</w:t>
      </w:r>
      <w:r w:rsidRPr="00352191">
        <w:rPr>
          <w:rStyle w:val="FootnoteReference"/>
        </w:rPr>
        <w:footnoteReference w:id="34"/>
      </w:r>
      <w:r w:rsidRPr="006D3C55">
        <w:t>).</w:t>
      </w:r>
    </w:p>
    <w:p w14:paraId="328763E0" w14:textId="56E7A549" w:rsidR="007E0D52" w:rsidRPr="006D3C55" w:rsidRDefault="007E0D52" w:rsidP="007E0D52">
      <w:r w:rsidRPr="007975E7">
        <w:rPr>
          <w:rStyle w:val="Bold"/>
        </w:rPr>
        <w:t>At the end of 2025,</w:t>
      </w:r>
      <w:r w:rsidRPr="007975E7" w:rsidDel="00F60CA9">
        <w:rPr>
          <w:rStyle w:val="Bold"/>
        </w:rPr>
        <w:t xml:space="preserve"> </w:t>
      </w:r>
      <w:r w:rsidRPr="007975E7">
        <w:rPr>
          <w:rStyle w:val="Bold"/>
        </w:rPr>
        <w:t>four reservations were issued in relation to cohesion policy funds (two per programming period): one for the European Regional Development Fund and Cohesion Fund and one for the European Social Fund, the youth employment initiative and the Fund for European Aid to the Most Deprived.</w:t>
      </w:r>
      <w:r w:rsidRPr="006D3C55">
        <w:t xml:space="preserve"> These reservations concern operational programmes that presented significant weaknesses in their management and control systems or for which the error rate was above the materiality threshold, or, less frequently, for which the audit work at the Member State level was deemed insufficient or unsatisfactory.</w:t>
      </w:r>
    </w:p>
    <w:p w14:paraId="0F0F5927" w14:textId="14671ED5" w:rsidR="007E0D52" w:rsidRPr="006D3C55" w:rsidRDefault="007E0D52" w:rsidP="004F59DE">
      <w:pPr>
        <w:pStyle w:val="ListBulletorangeLevel1"/>
      </w:pPr>
      <w:r w:rsidRPr="006D3C55">
        <w:t>Two reservations for the 2014-2020 period: the number of programmes under reservation (40) was higher than in 2024 (26), while the financial impact increased from EUR</w:t>
      </w:r>
      <w:r w:rsidRPr="006D3C55">
        <w:rPr>
          <w:rFonts w:ascii="Calibri" w:hAnsi="Calibri" w:cs="Calibri"/>
        </w:rPr>
        <w:t> </w:t>
      </w:r>
      <w:r w:rsidRPr="006D3C55">
        <w:t>68</w:t>
      </w:r>
      <w:r w:rsidRPr="006D3C55">
        <w:rPr>
          <w:rFonts w:ascii="Calibri" w:hAnsi="Calibri" w:cs="Calibri"/>
        </w:rPr>
        <w:t> </w:t>
      </w:r>
      <w:r w:rsidRPr="006D3C55">
        <w:t>million to EUR</w:t>
      </w:r>
      <w:r w:rsidRPr="006D3C55">
        <w:rPr>
          <w:rFonts w:ascii="Calibri" w:hAnsi="Calibri" w:cs="Calibri"/>
        </w:rPr>
        <w:t> </w:t>
      </w:r>
      <w:r w:rsidRPr="006D3C55">
        <w:t>143</w:t>
      </w:r>
      <w:r w:rsidRPr="006D3C55">
        <w:rPr>
          <w:rFonts w:ascii="Calibri" w:hAnsi="Calibri" w:cs="Calibri"/>
        </w:rPr>
        <w:t> </w:t>
      </w:r>
      <w:r w:rsidRPr="006D3C55">
        <w:t xml:space="preserve">million. The increase in both number of programmes under reservation and </w:t>
      </w:r>
      <w:r w:rsidR="00765695" w:rsidRPr="006D3C55">
        <w:t xml:space="preserve">the </w:t>
      </w:r>
      <w:r w:rsidRPr="006D3C55">
        <w:t xml:space="preserve">corresponding financial impact is explained by the larger number of programmes closed during 2025 (i.e. 80% of accounts). In 2024, the </w:t>
      </w:r>
      <w:r w:rsidR="00633C43" w:rsidRPr="006D3C55">
        <w:t xml:space="preserve">Strategic Technologies for Europe Platform </w:t>
      </w:r>
      <w:r w:rsidR="00070350" w:rsidRPr="006D3C55">
        <w:t>R</w:t>
      </w:r>
      <w:r w:rsidRPr="006D3C55">
        <w:t>egulation postponed the deadline for submitting the accounts by one year, which resulted in an un</w:t>
      </w:r>
      <w:r w:rsidR="002A33B4">
        <w:t>u</w:t>
      </w:r>
      <w:r w:rsidRPr="006D3C55">
        <w:t xml:space="preserve">sually low </w:t>
      </w:r>
      <w:r w:rsidR="00765695" w:rsidRPr="006D3C55">
        <w:t xml:space="preserve">level of </w:t>
      </w:r>
      <w:r w:rsidRPr="006D3C55">
        <w:t>submission of accounts (only 20%)</w:t>
      </w:r>
      <w:r w:rsidR="00E41764" w:rsidRPr="00260F02">
        <w:rPr>
          <w:rFonts w:ascii="Calibri" w:hAnsi="Calibri" w:cs="Calibri"/>
        </w:rPr>
        <w:t> </w:t>
      </w:r>
      <w:r w:rsidR="00E41764" w:rsidRPr="00E41764">
        <w:t>(</w:t>
      </w:r>
      <w:r w:rsidR="00E41764" w:rsidRPr="00352191">
        <w:rPr>
          <w:rStyle w:val="FootnoteReference"/>
        </w:rPr>
        <w:footnoteReference w:id="35"/>
      </w:r>
      <w:r w:rsidR="00E41764">
        <w:t>)</w:t>
      </w:r>
      <w:r w:rsidRPr="006D3C55">
        <w:t>.</w:t>
      </w:r>
    </w:p>
    <w:p w14:paraId="5ADBD94D" w14:textId="01212E4A" w:rsidR="007E0D52" w:rsidRPr="006D3C55" w:rsidRDefault="007E0D52" w:rsidP="004F59DE">
      <w:pPr>
        <w:pStyle w:val="ListBulletorangeLevel1"/>
      </w:pPr>
      <w:r w:rsidRPr="006D3C55">
        <w:t xml:space="preserve">Two reservations for the 2021-2027 period: the number of programmes under reservation (28) was higher than in 2024 (7), and </w:t>
      </w:r>
      <w:r w:rsidR="003641A9" w:rsidRPr="006D3C55">
        <w:t xml:space="preserve">the </w:t>
      </w:r>
      <w:r w:rsidRPr="006D3C55">
        <w:t>total financial impact increased from EUR</w:t>
      </w:r>
      <w:r w:rsidRPr="006D3C55">
        <w:rPr>
          <w:rFonts w:ascii="Calibri" w:hAnsi="Calibri" w:cs="Calibri"/>
        </w:rPr>
        <w:t> </w:t>
      </w:r>
      <w:r w:rsidRPr="006D3C55">
        <w:t>3</w:t>
      </w:r>
      <w:r w:rsidRPr="006D3C55">
        <w:rPr>
          <w:rFonts w:ascii="Calibri" w:hAnsi="Calibri" w:cs="Calibri"/>
        </w:rPr>
        <w:t> </w:t>
      </w:r>
      <w:r w:rsidRPr="006D3C55">
        <w:t>million to EUR</w:t>
      </w:r>
      <w:r w:rsidR="003641A9" w:rsidRPr="006D3C55">
        <w:rPr>
          <w:rFonts w:ascii="Calibri" w:hAnsi="Calibri" w:cs="Calibri"/>
        </w:rPr>
        <w:t> </w:t>
      </w:r>
      <w:r w:rsidRPr="006D3C55">
        <w:t>156</w:t>
      </w:r>
      <w:r w:rsidR="003641A9" w:rsidRPr="006D3C55">
        <w:rPr>
          <w:rFonts w:ascii="Calibri" w:hAnsi="Calibri" w:cs="Calibri"/>
        </w:rPr>
        <w:t> </w:t>
      </w:r>
      <w:r w:rsidRPr="006D3C55">
        <w:t>million. The increase is explained by the higher number of programmes gaining speed in implementation in 2025 compared to 2024</w:t>
      </w:r>
      <w:r w:rsidR="00CE7DEC" w:rsidRPr="006D3C55">
        <w:t xml:space="preserve"> and the corresponding accounts that are submitted</w:t>
      </w:r>
      <w:r w:rsidRPr="006D3C55">
        <w:t>.</w:t>
      </w:r>
    </w:p>
    <w:p w14:paraId="3F2C384A" w14:textId="77777777" w:rsidR="007E0D52" w:rsidRPr="006D3C55" w:rsidRDefault="007E0D52" w:rsidP="007E0D52">
      <w:r w:rsidRPr="006D3C55">
        <w:t>Reservations are only lifted once the system weaknesses have been addressed and the error rate is below 2%. Usually, the reasons for the reservations are not structural, and it takes one to two years for most reservations to be lifted. For more details on reservations, see Volume</w:t>
      </w:r>
      <w:r w:rsidRPr="006D3C55">
        <w:rPr>
          <w:rFonts w:ascii="Calibri" w:hAnsi="Calibri" w:cs="Calibri"/>
        </w:rPr>
        <w:t> </w:t>
      </w:r>
      <w:r w:rsidRPr="006D3C55">
        <w:t>III, Annex</w:t>
      </w:r>
      <w:r w:rsidRPr="006D3C55">
        <w:rPr>
          <w:rFonts w:ascii="Calibri" w:hAnsi="Calibri" w:cs="Calibri"/>
        </w:rPr>
        <w:t> </w:t>
      </w:r>
      <w:r w:rsidRPr="006D3C55">
        <w:t>5.</w:t>
      </w:r>
    </w:p>
    <w:p w14:paraId="3D8A4DDD" w14:textId="381FA739" w:rsidR="001301C1" w:rsidRPr="006D3C55" w:rsidRDefault="007E0D52" w:rsidP="001301C1">
      <w:pPr>
        <w:rPr>
          <w:highlight w:val="lightGray"/>
        </w:rPr>
      </w:pPr>
      <w:r w:rsidRPr="006D3C55">
        <w:rPr>
          <w:rStyle w:val="Bold"/>
        </w:rPr>
        <w:t>The Commission continues to take action to support programme authorities in improving their management and control systems and to bring the risk at closure for cohesion below 2%.</w:t>
      </w:r>
      <w:r w:rsidRPr="006D3C55">
        <w:t xml:space="preserve"> In December 2024, following a participative debate with both audit and managing authorities, the </w:t>
      </w:r>
      <w:r w:rsidRPr="00546A0F">
        <w:rPr>
          <w:rStyle w:val="Bold"/>
          <w:b w:val="0"/>
        </w:rPr>
        <w:t xml:space="preserve">Commission established a jointly agreed action plan </w:t>
      </w:r>
      <w:r w:rsidR="00B14C72" w:rsidRPr="00546A0F">
        <w:rPr>
          <w:rStyle w:val="Bold"/>
          <w:b w:val="0"/>
        </w:rPr>
        <w:t xml:space="preserve">to improve the programme authorities’ error detection capacity </w:t>
      </w:r>
      <w:r w:rsidRPr="00546A0F">
        <w:rPr>
          <w:rStyle w:val="Bold"/>
          <w:b w:val="0"/>
        </w:rPr>
        <w:t>comprising 22 measures</w:t>
      </w:r>
      <w:r w:rsidRPr="00546A0F" w:rsidDel="00BB7027">
        <w:rPr>
          <w:b/>
        </w:rPr>
        <w:t xml:space="preserve"> </w:t>
      </w:r>
      <w:r w:rsidRPr="006D3C55">
        <w:t xml:space="preserve">covering the following categories: </w:t>
      </w:r>
      <w:r w:rsidR="00D2630A" w:rsidRPr="006D3C55">
        <w:t xml:space="preserve">the </w:t>
      </w:r>
      <w:r w:rsidRPr="006D3C55">
        <w:t xml:space="preserve">dissemination of information to beneficiaries to improve their understanding of their obligations and rules; </w:t>
      </w:r>
      <w:r w:rsidR="00D2630A" w:rsidRPr="006D3C55">
        <w:t xml:space="preserve">the </w:t>
      </w:r>
      <w:r w:rsidRPr="006D3C55">
        <w:t xml:space="preserve">analysis of errors detected, and in particular additional errors reported by EU audits; </w:t>
      </w:r>
      <w:r w:rsidR="00D2630A" w:rsidRPr="006D3C55">
        <w:t xml:space="preserve">the </w:t>
      </w:r>
      <w:r w:rsidRPr="006D3C55">
        <w:t xml:space="preserve">enhanced use of information technology tools; staff training; </w:t>
      </w:r>
      <w:r w:rsidR="00D2630A" w:rsidRPr="006D3C55">
        <w:t xml:space="preserve">the </w:t>
      </w:r>
      <w:r w:rsidRPr="006D3C55">
        <w:t xml:space="preserve">enhanced preventive role of auditing; </w:t>
      </w:r>
      <w:r w:rsidR="00D2630A" w:rsidRPr="006D3C55">
        <w:t xml:space="preserve">the </w:t>
      </w:r>
      <w:r w:rsidRPr="006D3C55">
        <w:t xml:space="preserve">use of complete and updated audit checklists; and effective audit practices in line with audit standards (e.g. documentation of verifications/checks done). Throughout 2025, the Commission monitored the implementation of the </w:t>
      </w:r>
      <w:r w:rsidR="00E52459" w:rsidRPr="006D3C55">
        <w:t>measures</w:t>
      </w:r>
      <w:r w:rsidRPr="006D3C55">
        <w:t xml:space="preserve">. The progress was discussed in the annual coordination meetings between </w:t>
      </w:r>
      <w:r w:rsidR="00E52459" w:rsidRPr="006D3C55">
        <w:t xml:space="preserve">the </w:t>
      </w:r>
      <w:r w:rsidRPr="006D3C55">
        <w:t xml:space="preserve">audit authorities of all </w:t>
      </w:r>
      <w:r w:rsidR="00E52459" w:rsidRPr="006D3C55">
        <w:t xml:space="preserve">of the </w:t>
      </w:r>
      <w:r w:rsidRPr="006D3C55">
        <w:t>Member States. In addition, the Commiss</w:t>
      </w:r>
      <w:r w:rsidR="002A33B4">
        <w:t>i</w:t>
      </w:r>
      <w:r w:rsidRPr="006D3C55">
        <w:t xml:space="preserve">on updated its </w:t>
      </w:r>
      <w:r w:rsidR="00E52459" w:rsidRPr="006D3C55">
        <w:t>s</w:t>
      </w:r>
      <w:r w:rsidRPr="006D3C55">
        <w:t xml:space="preserve">ingle </w:t>
      </w:r>
      <w:r w:rsidR="00E52459" w:rsidRPr="006D3C55">
        <w:t>a</w:t>
      </w:r>
      <w:r w:rsidRPr="006D3C55">
        <w:t xml:space="preserve">udit </w:t>
      </w:r>
      <w:r w:rsidR="00E52459" w:rsidRPr="006D3C55">
        <w:t>s</w:t>
      </w:r>
      <w:r w:rsidRPr="006D3C55">
        <w:t xml:space="preserve">trategy to target high-risk areas, taking account of resource constraints, by significantly </w:t>
      </w:r>
      <w:r w:rsidR="00D73803" w:rsidRPr="006D3C55">
        <w:t xml:space="preserve">increasing </w:t>
      </w:r>
      <w:r w:rsidRPr="006D3C55">
        <w:t>the coverage of its on-the-spot audits and by reflecting its new approach for compliance audits (faster, preventive and targeted).</w:t>
      </w:r>
    </w:p>
    <w:p w14:paraId="7E2CF7D5" w14:textId="1A3ABFAD" w:rsidR="000B0C99" w:rsidRPr="006D3C55" w:rsidRDefault="001301C1" w:rsidP="000B0C99">
      <w:pPr>
        <w:pStyle w:val="ImageTitle"/>
      </w:pPr>
      <w:r w:rsidRPr="006D3C55">
        <w:t>Multiannual financial framework heading 2</w:t>
      </w:r>
      <w:r w:rsidRPr="006D3C55">
        <w:rPr>
          <w:rFonts w:ascii="Calibri" w:hAnsi="Calibri" w:cs="Calibri"/>
        </w:rPr>
        <w:t> </w:t>
      </w:r>
      <w:r w:rsidRPr="006D3C55">
        <w:t>– cohesion, resilience and values</w:t>
      </w:r>
      <w:r w:rsidRPr="006D3C55">
        <w:rPr>
          <w:rFonts w:ascii="Calibri" w:hAnsi="Calibri" w:cs="Calibri"/>
        </w:rPr>
        <w:t> </w:t>
      </w:r>
      <w:r w:rsidRPr="006D3C55">
        <w:t>–</w:t>
      </w:r>
      <w:r w:rsidR="00A137E2" w:rsidRPr="006D3C55">
        <w:br/>
      </w:r>
      <w:r w:rsidRPr="006D3C55">
        <w:t xml:space="preserve">overview of risk segmentation for </w:t>
      </w:r>
      <w:r w:rsidR="00EE2F49" w:rsidRPr="006D3C55">
        <w:t>2023</w:t>
      </w:r>
      <w:r w:rsidRPr="006D3C55">
        <w:t>-</w:t>
      </w:r>
      <w:r w:rsidR="00EE2F49" w:rsidRPr="006D3C55">
        <w:t>2025</w:t>
      </w:r>
    </w:p>
    <w:p w14:paraId="2DE74015" w14:textId="54442EF9" w:rsidR="001301C1" w:rsidRPr="006D3C55" w:rsidRDefault="008B16B9" w:rsidP="001301C1">
      <w:pPr>
        <w:pStyle w:val="ImagePlaceholder"/>
        <w:rPr>
          <w:noProof w:val="0"/>
        </w:rPr>
      </w:pPr>
      <w:r w:rsidRPr="008B16B9">
        <w:drawing>
          <wp:inline distT="0" distB="0" distL="0" distR="0" wp14:anchorId="65BDB967" wp14:editId="41484780">
            <wp:extent cx="5759450" cy="2689225"/>
            <wp:effectExtent l="0" t="0" r="0" b="0"/>
            <wp:docPr id="218340068" name="Picture 38" descr="The graph represents the expenditure per risk category (Low risk, medium risk and high risk) in percentage for the years 2023, 2024 and 2025 for heading 2 of the Multiannual financial framework: cohesion, resilience and values.&#10;For 2025: Low risk 37.2%, Medium risk 46.4%, High risk 16.3%.&#10;For 2024 Low risk 13.9%, Medium risk 48.6% and High risk 37.5%.&#10;For 2023: Low risk 52.7%, Medium risk 14.2% and High risk 33.1%.">
              <a:extLst xmlns:a="http://schemas.openxmlformats.org/drawingml/2006/main">
                <a:ext uri="{FF2B5EF4-FFF2-40B4-BE49-F238E27FC236}">
                  <a16:creationId xmlns:a16="http://schemas.microsoft.com/office/drawing/2014/main" id="{6D75CC52-037A-ED38-81D2-658745C48A7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8340068" name="Picture 38" descr="The graph represents the expenditure per risk category (Low risk, medium risk and high risk) in percentage for the years 2023, 2024 and 2025 for heading 2 of the Multiannual financial framework: cohesion, resilience and values.&#10;For 2025: Low risk 37.2%, Medium risk 46.4%, High risk 16.3%.&#10;For 2024 Low risk 13.9%, Medium risk 48.6% and High risk 37.5%.&#10;For 2023: Low risk 52.7%, Medium risk 14.2% and High risk 33.1%.">
                      <a:extLst>
                        <a:ext uri="{FF2B5EF4-FFF2-40B4-BE49-F238E27FC236}">
                          <a16:creationId xmlns:a16="http://schemas.microsoft.com/office/drawing/2014/main" id="{6D75CC52-037A-ED38-81D2-658745C48A74}"/>
                        </a:ext>
                      </a:extLst>
                    </pic:cNvPr>
                    <pic:cNvPicPr>
                      <a:picLocks noChangeAspect="1"/>
                    </pic:cNvPicPr>
                  </pic:nvPicPr>
                  <pic:blipFill>
                    <a:blip r:embed="rId75"/>
                    <a:stretch>
                      <a:fillRect/>
                    </a:stretch>
                  </pic:blipFill>
                  <pic:spPr>
                    <a:xfrm>
                      <a:off x="0" y="0"/>
                      <a:ext cx="5759450" cy="2689225"/>
                    </a:xfrm>
                    <a:prstGeom prst="rect">
                      <a:avLst/>
                    </a:prstGeom>
                  </pic:spPr>
                </pic:pic>
              </a:graphicData>
            </a:graphic>
          </wp:inline>
        </w:drawing>
      </w:r>
    </w:p>
    <w:p w14:paraId="51BF911D" w14:textId="127C9CB7" w:rsidR="001301C1" w:rsidRPr="006D3C55" w:rsidRDefault="001301C1" w:rsidP="001301C1">
      <w:pPr>
        <w:pStyle w:val="ImageSource"/>
      </w:pPr>
      <w:r w:rsidRPr="007975E7">
        <w:rPr>
          <w:rStyle w:val="Italic"/>
        </w:rPr>
        <w:t>Source:</w:t>
      </w:r>
      <w:r w:rsidRPr="006D3C55">
        <w:t xml:space="preserve"> European Commission annual activity reports for </w:t>
      </w:r>
      <w:r w:rsidR="00EE2F49" w:rsidRPr="006D3C55">
        <w:t>2025</w:t>
      </w:r>
      <w:r w:rsidR="005A3C30" w:rsidRPr="007975E7">
        <w:rPr>
          <w:rFonts w:cs="Calibri"/>
        </w:rPr>
        <w:t> </w:t>
      </w:r>
      <w:r w:rsidR="005A3C30" w:rsidRPr="005A3C30">
        <w:t>(</w:t>
      </w:r>
      <w:r w:rsidR="005A3C30" w:rsidRPr="00352191">
        <w:rPr>
          <w:rStyle w:val="FootnoteReference"/>
        </w:rPr>
        <w:footnoteReference w:id="36"/>
      </w:r>
      <w:r w:rsidR="005A3C30">
        <w:t>)</w:t>
      </w:r>
      <w:r w:rsidRPr="006D3C55">
        <w:t>.</w:t>
      </w:r>
    </w:p>
    <w:p w14:paraId="3D2EE9DD" w14:textId="77777777" w:rsidR="001301C1" w:rsidRPr="006D3C55" w:rsidRDefault="001301C1" w:rsidP="001301C1">
      <w:pPr>
        <w:rPr>
          <w:highlight w:val="lightGray"/>
        </w:rPr>
      </w:pPr>
      <w:r w:rsidRPr="006D3C55">
        <w:rPr>
          <w:highlight w:val="lightGray"/>
        </w:rPr>
        <w:br w:type="page"/>
      </w:r>
    </w:p>
    <w:p w14:paraId="4BCEA571" w14:textId="77777777" w:rsidR="001301C1" w:rsidRPr="006D3C55" w:rsidRDefault="001301C1" w:rsidP="001301C1">
      <w:pPr>
        <w:pStyle w:val="Heading5"/>
        <w:numPr>
          <w:ilvl w:val="3"/>
          <w:numId w:val="0"/>
        </w:numPr>
        <w:rPr>
          <w:rFonts w:ascii="EC Square Sans Pro" w:hAnsi="EC Square Sans Pro"/>
        </w:rPr>
      </w:pPr>
      <w:r w:rsidRPr="00F9662C">
        <w:rPr>
          <w:rFonts w:ascii="EC Square Sans Pro" w:hAnsi="EC Square Sans Pro"/>
        </w:rPr>
        <w:t>Heading</w:t>
      </w:r>
      <w:r w:rsidRPr="00F9662C">
        <w:rPr>
          <w:rFonts w:ascii="Calibri" w:hAnsi="Calibri" w:cs="Calibri"/>
        </w:rPr>
        <w:t> </w:t>
      </w:r>
      <w:r w:rsidRPr="00F9662C">
        <w:rPr>
          <w:rFonts w:ascii="EC Square Sans Pro" w:hAnsi="EC Square Sans Pro"/>
        </w:rPr>
        <w:t>3</w:t>
      </w:r>
      <w:r w:rsidRPr="00F9662C">
        <w:rPr>
          <w:rFonts w:ascii="Calibri" w:hAnsi="Calibri" w:cs="Calibri"/>
        </w:rPr>
        <w:t> </w:t>
      </w:r>
      <w:r w:rsidRPr="00F9662C">
        <w:rPr>
          <w:rFonts w:ascii="EC Square Sans Pro" w:hAnsi="EC Square Sans Pro"/>
        </w:rPr>
        <w:t>– natural resources and environment</w:t>
      </w:r>
    </w:p>
    <w:p w14:paraId="51ADB7F1" w14:textId="2F03D64C" w:rsidR="001301C1" w:rsidRPr="006D3C55" w:rsidRDefault="001301C1" w:rsidP="001301C1">
      <w:pPr>
        <w:pStyle w:val="amprboxtext"/>
        <w:spacing w:before="0" w:after="0"/>
      </w:pPr>
      <w:r w:rsidRPr="006D3C55">
        <w:rPr>
          <w:rStyle w:val="Bold"/>
        </w:rPr>
        <w:t>Total amount of relevant expenditure</w:t>
      </w:r>
      <w:r w:rsidRPr="007975E7">
        <w:rPr>
          <w:rStyle w:val="Bold"/>
        </w:rPr>
        <w:t>:</w:t>
      </w:r>
      <w:r w:rsidRPr="006D3C55">
        <w:t xml:space="preserve"> EUR</w:t>
      </w:r>
      <w:r w:rsidRPr="006D3C55">
        <w:rPr>
          <w:rFonts w:ascii="Calibri" w:hAnsi="Calibri" w:cs="Calibri"/>
        </w:rPr>
        <w:t> </w:t>
      </w:r>
      <w:r w:rsidR="00853385" w:rsidRPr="006D3C55">
        <w:t>58.0</w:t>
      </w:r>
      <w:r w:rsidR="00853385" w:rsidRPr="006D3C55">
        <w:rPr>
          <w:rFonts w:ascii="Calibri" w:hAnsi="Calibri" w:cs="Calibri"/>
        </w:rPr>
        <w:t> </w:t>
      </w:r>
      <w:r w:rsidR="00853385" w:rsidRPr="006D3C55">
        <w:t>billion (2024: EUR</w:t>
      </w:r>
      <w:r w:rsidR="00853385" w:rsidRPr="006D3C55">
        <w:rPr>
          <w:rFonts w:ascii="Calibri" w:hAnsi="Calibri" w:cs="Calibri"/>
        </w:rPr>
        <w:t> </w:t>
      </w:r>
      <w:r w:rsidRPr="006D3C55">
        <w:t>57.4</w:t>
      </w:r>
      <w:r w:rsidRPr="006D3C55">
        <w:rPr>
          <w:rFonts w:ascii="Calibri" w:hAnsi="Calibri" w:cs="Calibri"/>
        </w:rPr>
        <w:t> </w:t>
      </w:r>
      <w:r w:rsidRPr="006D3C55">
        <w:t>billion)</w:t>
      </w:r>
      <w:r w:rsidR="00D326CE" w:rsidRPr="006D3C55">
        <w:t>:</w:t>
      </w:r>
    </w:p>
    <w:p w14:paraId="19CB564B" w14:textId="70FECA5B" w:rsidR="00460FC0" w:rsidRPr="007975E7" w:rsidRDefault="00D326CE" w:rsidP="00215B29">
      <w:pPr>
        <w:pStyle w:val="amprboxbulletlistorange"/>
        <w:rPr>
          <w:rStyle w:val="Italic"/>
        </w:rPr>
      </w:pPr>
      <w:r w:rsidRPr="007975E7">
        <w:rPr>
          <w:rStyle w:val="Italic"/>
        </w:rPr>
        <w:t>c</w:t>
      </w:r>
      <w:r w:rsidR="00460FC0" w:rsidRPr="007975E7">
        <w:rPr>
          <w:rStyle w:val="Italic"/>
        </w:rPr>
        <w:t>ompliance-based assurance model: EUR</w:t>
      </w:r>
      <w:r w:rsidR="00460FC0" w:rsidRPr="00AB51E8">
        <w:rPr>
          <w:rStyle w:val="Italic"/>
          <w:rFonts w:ascii="Calibri" w:hAnsi="Calibri" w:cs="Calibri"/>
        </w:rPr>
        <w:t> </w:t>
      </w:r>
      <w:r w:rsidR="00460FC0" w:rsidRPr="007975E7">
        <w:rPr>
          <w:rStyle w:val="Italic"/>
        </w:rPr>
        <w:t>11.7</w:t>
      </w:r>
      <w:r w:rsidR="00460FC0" w:rsidRPr="00AB51E8">
        <w:rPr>
          <w:rStyle w:val="Italic"/>
          <w:rFonts w:ascii="Calibri" w:hAnsi="Calibri" w:cs="Calibri"/>
        </w:rPr>
        <w:t> </w:t>
      </w:r>
      <w:r w:rsidR="00460FC0" w:rsidRPr="007975E7">
        <w:rPr>
          <w:rStyle w:val="Italic"/>
        </w:rPr>
        <w:t>billion (2024: EUR</w:t>
      </w:r>
      <w:r w:rsidR="00460FC0" w:rsidRPr="00AB51E8">
        <w:rPr>
          <w:rStyle w:val="Italic"/>
          <w:rFonts w:ascii="Calibri" w:hAnsi="Calibri" w:cs="Calibri"/>
        </w:rPr>
        <w:t> </w:t>
      </w:r>
      <w:r w:rsidR="00460FC0" w:rsidRPr="007975E7">
        <w:rPr>
          <w:rStyle w:val="Italic"/>
        </w:rPr>
        <w:t>14.5</w:t>
      </w:r>
      <w:r w:rsidR="00460FC0" w:rsidRPr="00AB51E8">
        <w:rPr>
          <w:rStyle w:val="Italic"/>
          <w:rFonts w:ascii="Calibri" w:hAnsi="Calibri" w:cs="Calibri"/>
        </w:rPr>
        <w:t> </w:t>
      </w:r>
      <w:r w:rsidR="00460FC0" w:rsidRPr="007975E7">
        <w:rPr>
          <w:rStyle w:val="Italic"/>
        </w:rPr>
        <w:t>billion)</w:t>
      </w:r>
      <w:r w:rsidR="004020ED" w:rsidRPr="007975E7">
        <w:rPr>
          <w:rStyle w:val="Italic"/>
        </w:rPr>
        <w:t>;</w:t>
      </w:r>
    </w:p>
    <w:p w14:paraId="436B5B2A" w14:textId="79A609FA" w:rsidR="00B92193" w:rsidRPr="007975E7" w:rsidRDefault="004020ED" w:rsidP="00215B29">
      <w:pPr>
        <w:pStyle w:val="amprboxbulletlistorange"/>
        <w:rPr>
          <w:rStyle w:val="Italic"/>
        </w:rPr>
      </w:pPr>
      <w:r w:rsidRPr="007975E7">
        <w:rPr>
          <w:rStyle w:val="Italic"/>
        </w:rPr>
        <w:t>p</w:t>
      </w:r>
      <w:r w:rsidR="00B92193" w:rsidRPr="007975E7">
        <w:rPr>
          <w:rStyle w:val="Italic"/>
        </w:rPr>
        <w:t>erformance-based assurance model: EUR</w:t>
      </w:r>
      <w:r w:rsidR="00B92193" w:rsidRPr="00AB51E8">
        <w:rPr>
          <w:rStyle w:val="Italic"/>
          <w:rFonts w:ascii="Calibri" w:hAnsi="Calibri" w:cs="Calibri"/>
        </w:rPr>
        <w:t> </w:t>
      </w:r>
      <w:r w:rsidR="00B92193" w:rsidRPr="007975E7">
        <w:rPr>
          <w:rStyle w:val="Italic"/>
        </w:rPr>
        <w:t>46.3</w:t>
      </w:r>
      <w:r w:rsidR="00B92193" w:rsidRPr="00AB51E8">
        <w:rPr>
          <w:rStyle w:val="Italic"/>
          <w:rFonts w:ascii="Calibri" w:hAnsi="Calibri" w:cs="Calibri"/>
        </w:rPr>
        <w:t> </w:t>
      </w:r>
      <w:r w:rsidR="00B92193" w:rsidRPr="007975E7">
        <w:rPr>
          <w:rStyle w:val="Italic"/>
        </w:rPr>
        <w:t>billion (2024: EUR</w:t>
      </w:r>
      <w:r w:rsidR="00B92193" w:rsidRPr="00AB51E8">
        <w:rPr>
          <w:rStyle w:val="Italic"/>
          <w:rFonts w:ascii="Calibri" w:hAnsi="Calibri" w:cs="Calibri"/>
        </w:rPr>
        <w:t> </w:t>
      </w:r>
      <w:r w:rsidR="00B92193" w:rsidRPr="007975E7">
        <w:rPr>
          <w:rStyle w:val="Italic"/>
        </w:rPr>
        <w:t>42.9</w:t>
      </w:r>
      <w:r w:rsidR="00B92193" w:rsidRPr="00AB51E8">
        <w:rPr>
          <w:rStyle w:val="Italic"/>
          <w:rFonts w:ascii="Calibri" w:hAnsi="Calibri" w:cs="Calibri"/>
        </w:rPr>
        <w:t> </w:t>
      </w:r>
      <w:r w:rsidR="00B92193" w:rsidRPr="007975E7">
        <w:rPr>
          <w:rStyle w:val="Italic"/>
        </w:rPr>
        <w:t>billion).</w:t>
      </w:r>
    </w:p>
    <w:p w14:paraId="38F7D7C8" w14:textId="1BA8692E" w:rsidR="001301C1" w:rsidRPr="007975E7" w:rsidRDefault="001301C1" w:rsidP="001301C1">
      <w:pPr>
        <w:pStyle w:val="amprboxtext"/>
        <w:spacing w:before="0" w:after="0"/>
      </w:pPr>
      <w:r w:rsidRPr="006D3C55">
        <w:rPr>
          <w:rStyle w:val="Bold"/>
        </w:rPr>
        <w:t>Share of low-risk expenditure:</w:t>
      </w:r>
      <w:r w:rsidRPr="00AD4275">
        <w:rPr>
          <w:rStyle w:val="Bold"/>
          <w:b w:val="0"/>
          <w:bCs/>
        </w:rPr>
        <w:t xml:space="preserve"> </w:t>
      </w:r>
      <w:r w:rsidR="00B92193" w:rsidRPr="00AD4275">
        <w:rPr>
          <w:rStyle w:val="Bold"/>
          <w:b w:val="0"/>
          <w:bCs/>
        </w:rPr>
        <w:t>64</w:t>
      </w:r>
      <w:r w:rsidR="00842AB4">
        <w:rPr>
          <w:rStyle w:val="Bold"/>
          <w:b w:val="0"/>
          <w:bCs/>
        </w:rPr>
        <w:t>.4</w:t>
      </w:r>
      <w:r w:rsidRPr="00AD4275">
        <w:rPr>
          <w:rStyle w:val="Bold"/>
          <w:b w:val="0"/>
          <w:bCs/>
        </w:rPr>
        <w:t>% (202</w:t>
      </w:r>
      <w:r w:rsidR="00B92193" w:rsidRPr="00AD4275">
        <w:rPr>
          <w:rStyle w:val="Bold"/>
          <w:b w:val="0"/>
          <w:bCs/>
        </w:rPr>
        <w:t>5</w:t>
      </w:r>
      <w:r w:rsidRPr="00AD4275">
        <w:rPr>
          <w:rStyle w:val="Bold"/>
          <w:b w:val="0"/>
          <w:bCs/>
        </w:rPr>
        <w:t>), 77</w:t>
      </w:r>
      <w:r w:rsidR="00842AB4">
        <w:rPr>
          <w:rStyle w:val="Bold"/>
          <w:b w:val="0"/>
          <w:bCs/>
        </w:rPr>
        <w:t>.6</w:t>
      </w:r>
      <w:r w:rsidRPr="00AD4275">
        <w:rPr>
          <w:rStyle w:val="Bold"/>
          <w:b w:val="0"/>
          <w:bCs/>
        </w:rPr>
        <w:t>% (2024).</w:t>
      </w:r>
    </w:p>
    <w:p w14:paraId="171DEE3F" w14:textId="4A67F468" w:rsidR="001301C1" w:rsidRPr="006D3C55" w:rsidRDefault="001301C1" w:rsidP="004751F0">
      <w:pPr>
        <w:pStyle w:val="amprboxtext"/>
        <w:spacing w:before="0" w:after="0"/>
      </w:pPr>
      <w:r w:rsidRPr="006D3C55">
        <w:rPr>
          <w:rStyle w:val="Bold"/>
        </w:rPr>
        <w:t>Total preventive and corrective measures</w:t>
      </w:r>
      <w:r w:rsidRPr="006D3C55">
        <w:t xml:space="preserve"> (Commis</w:t>
      </w:r>
      <w:r w:rsidRPr="006D3C55">
        <w:rPr>
          <w:rFonts w:asciiTheme="minorHAnsi" w:hAnsiTheme="minorHAnsi"/>
        </w:rPr>
        <w:t>sion and Member States)</w:t>
      </w:r>
      <w:r w:rsidRPr="007975E7">
        <w:rPr>
          <w:rFonts w:asciiTheme="minorHAnsi" w:hAnsiTheme="minorHAnsi"/>
        </w:rPr>
        <w:t>:</w:t>
      </w:r>
      <w:r w:rsidRPr="006D3C55">
        <w:rPr>
          <w:rFonts w:asciiTheme="minorHAnsi" w:hAnsiTheme="minorHAnsi"/>
        </w:rPr>
        <w:t xml:space="preserve"> EUR</w:t>
      </w:r>
      <w:r w:rsidRPr="006D3C55">
        <w:rPr>
          <w:rFonts w:ascii="Calibri" w:hAnsi="Calibri" w:cs="Calibri"/>
        </w:rPr>
        <w:t> </w:t>
      </w:r>
      <w:r w:rsidRPr="006D3C55">
        <w:rPr>
          <w:rFonts w:asciiTheme="minorHAnsi" w:hAnsiTheme="minorHAnsi"/>
        </w:rPr>
        <w:t>1</w:t>
      </w:r>
      <w:r w:rsidRPr="006D3C55">
        <w:rPr>
          <w:rFonts w:ascii="Calibri" w:hAnsi="Calibri" w:cs="Calibri"/>
        </w:rPr>
        <w:t> </w:t>
      </w:r>
      <w:r w:rsidR="003C1B1A" w:rsidRPr="006D3C55">
        <w:rPr>
          <w:rFonts w:asciiTheme="minorHAnsi" w:hAnsiTheme="minorHAnsi" w:cs="Calibri"/>
        </w:rPr>
        <w:t>417.1</w:t>
      </w:r>
      <w:r w:rsidR="00A777ED" w:rsidRPr="006D3C55">
        <w:rPr>
          <w:rFonts w:ascii="Calibri" w:hAnsi="Calibri" w:cs="Calibri"/>
        </w:rPr>
        <w:t> </w:t>
      </w:r>
      <w:r w:rsidRPr="006D3C55">
        <w:rPr>
          <w:rFonts w:asciiTheme="minorHAnsi" w:hAnsiTheme="minorHAnsi"/>
        </w:rPr>
        <w:t>million (202</w:t>
      </w:r>
      <w:r w:rsidR="00A777ED" w:rsidRPr="006D3C55">
        <w:rPr>
          <w:rFonts w:asciiTheme="minorHAnsi" w:hAnsiTheme="minorHAnsi"/>
        </w:rPr>
        <w:t>4</w:t>
      </w:r>
      <w:r w:rsidRPr="006D3C55">
        <w:rPr>
          <w:rFonts w:asciiTheme="minorHAnsi" w:hAnsiTheme="minorHAnsi"/>
        </w:rPr>
        <w:t>: EUR</w:t>
      </w:r>
      <w:r w:rsidRPr="006D3C55">
        <w:rPr>
          <w:rFonts w:ascii="Calibri" w:hAnsi="Calibri" w:cs="Calibri"/>
        </w:rPr>
        <w:t> </w:t>
      </w:r>
      <w:r w:rsidRPr="006D3C55">
        <w:rPr>
          <w:rFonts w:asciiTheme="minorHAnsi" w:hAnsiTheme="minorHAnsi"/>
        </w:rPr>
        <w:t>1</w:t>
      </w:r>
      <w:r w:rsidRPr="006D3C55">
        <w:rPr>
          <w:rFonts w:ascii="Calibri" w:hAnsi="Calibri" w:cs="Calibri"/>
        </w:rPr>
        <w:t> </w:t>
      </w:r>
      <w:r w:rsidR="00A777ED" w:rsidRPr="006D3C55">
        <w:rPr>
          <w:rFonts w:asciiTheme="minorHAnsi" w:hAnsiTheme="minorHAnsi" w:cs="Calibri"/>
        </w:rPr>
        <w:t>069.8</w:t>
      </w:r>
      <w:r w:rsidRPr="006D3C55">
        <w:rPr>
          <w:rFonts w:ascii="Calibri" w:hAnsi="Calibri" w:cs="Calibri"/>
        </w:rPr>
        <w:t> </w:t>
      </w:r>
      <w:r w:rsidRPr="006D3C55">
        <w:rPr>
          <w:rFonts w:asciiTheme="minorHAnsi" w:hAnsiTheme="minorHAnsi"/>
        </w:rPr>
        <w:t>million)</w:t>
      </w:r>
      <w:r w:rsidR="004020ED" w:rsidRPr="006D3C55">
        <w:rPr>
          <w:rFonts w:asciiTheme="minorHAnsi" w:hAnsiTheme="minorHAnsi"/>
        </w:rPr>
        <w:t>:</w:t>
      </w:r>
    </w:p>
    <w:p w14:paraId="0CBC7CB5" w14:textId="11181E6A" w:rsidR="00CD7A1A" w:rsidRPr="007975E7" w:rsidRDefault="001301C1" w:rsidP="00215B29">
      <w:pPr>
        <w:pStyle w:val="amprboxbulletlistorange"/>
        <w:rPr>
          <w:rStyle w:val="Italic"/>
        </w:rPr>
      </w:pPr>
      <w:r w:rsidRPr="007975E7">
        <w:rPr>
          <w:rStyle w:val="Italic"/>
        </w:rPr>
        <w:t xml:space="preserve">preventive measures: </w:t>
      </w:r>
      <w:r w:rsidR="00CD7A1A" w:rsidRPr="007975E7">
        <w:rPr>
          <w:rStyle w:val="Italic"/>
        </w:rPr>
        <w:t>EUR</w:t>
      </w:r>
      <w:r w:rsidR="00CD7A1A" w:rsidRPr="00AB51E8">
        <w:rPr>
          <w:rStyle w:val="Italic"/>
          <w:rFonts w:ascii="Calibri" w:hAnsi="Calibri" w:cs="Calibri"/>
        </w:rPr>
        <w:t> </w:t>
      </w:r>
      <w:r w:rsidR="004751F0" w:rsidRPr="007975E7">
        <w:rPr>
          <w:rStyle w:val="Italic"/>
        </w:rPr>
        <w:t>201.</w:t>
      </w:r>
      <w:r w:rsidR="0043475C" w:rsidRPr="007975E7">
        <w:rPr>
          <w:rStyle w:val="Italic"/>
        </w:rPr>
        <w:t>6</w:t>
      </w:r>
      <w:r w:rsidR="004B345B" w:rsidRPr="00AB51E8">
        <w:rPr>
          <w:rStyle w:val="Italic"/>
          <w:rFonts w:ascii="Calibri" w:hAnsi="Calibri" w:cs="Calibri"/>
        </w:rPr>
        <w:t> </w:t>
      </w:r>
      <w:r w:rsidR="00CD7A1A" w:rsidRPr="007975E7">
        <w:rPr>
          <w:rStyle w:val="Italic"/>
        </w:rPr>
        <w:t>million</w:t>
      </w:r>
      <w:r w:rsidR="00CD7A1A" w:rsidRPr="00AD4275">
        <w:rPr>
          <w:rFonts w:ascii="Calibri" w:hAnsi="Calibri" w:cs="Calibri"/>
          <w:iCs/>
          <w:noProof w:val="0"/>
        </w:rPr>
        <w:t> </w:t>
      </w:r>
      <w:r w:rsidR="00CD7A1A" w:rsidRPr="00AD4275">
        <w:rPr>
          <w:iCs/>
          <w:noProof w:val="0"/>
        </w:rPr>
        <w:t>(</w:t>
      </w:r>
      <w:r w:rsidR="00CD7A1A" w:rsidRPr="00352191">
        <w:rPr>
          <w:rStyle w:val="FootnoteReference"/>
        </w:rPr>
        <w:footnoteReference w:id="37"/>
      </w:r>
      <w:r w:rsidR="00CD7A1A" w:rsidRPr="00AD4275">
        <w:rPr>
          <w:iCs/>
          <w:noProof w:val="0"/>
        </w:rPr>
        <w:t>)</w:t>
      </w:r>
      <w:r w:rsidR="00CD7A1A" w:rsidRPr="007975E7">
        <w:rPr>
          <w:rStyle w:val="Italic"/>
        </w:rPr>
        <w:t xml:space="preserve"> (2024: EUR</w:t>
      </w:r>
      <w:r w:rsidR="00CD7A1A" w:rsidRPr="00AB51E8">
        <w:rPr>
          <w:rStyle w:val="Italic"/>
          <w:rFonts w:ascii="Calibri" w:hAnsi="Calibri" w:cs="Calibri"/>
        </w:rPr>
        <w:t> </w:t>
      </w:r>
      <w:r w:rsidR="00CD7A1A" w:rsidRPr="007975E7">
        <w:rPr>
          <w:rStyle w:val="Italic"/>
        </w:rPr>
        <w:t>178.4</w:t>
      </w:r>
      <w:r w:rsidR="00CD7A1A" w:rsidRPr="00AB51E8">
        <w:rPr>
          <w:rStyle w:val="Italic"/>
          <w:rFonts w:ascii="Calibri" w:hAnsi="Calibri" w:cs="Calibri"/>
        </w:rPr>
        <w:t> </w:t>
      </w:r>
      <w:r w:rsidR="00CD7A1A" w:rsidRPr="007975E7">
        <w:rPr>
          <w:rStyle w:val="Italic"/>
        </w:rPr>
        <w:t>million);</w:t>
      </w:r>
    </w:p>
    <w:p w14:paraId="102BEB80" w14:textId="6435D86B" w:rsidR="001301C1" w:rsidRPr="007975E7" w:rsidRDefault="001301C1" w:rsidP="00215B29">
      <w:pPr>
        <w:pStyle w:val="amprboxbulletlistorange"/>
        <w:rPr>
          <w:rStyle w:val="Italic"/>
        </w:rPr>
      </w:pPr>
      <w:r w:rsidRPr="007975E7">
        <w:rPr>
          <w:rStyle w:val="Italic"/>
        </w:rPr>
        <w:t>corrective measures: EUR</w:t>
      </w:r>
      <w:r w:rsidRPr="00AB51E8">
        <w:rPr>
          <w:rStyle w:val="Italic"/>
          <w:rFonts w:ascii="Calibri" w:hAnsi="Calibri" w:cs="Calibri"/>
        </w:rPr>
        <w:t> </w:t>
      </w:r>
      <w:r w:rsidR="004751F0" w:rsidRPr="007975E7">
        <w:rPr>
          <w:rStyle w:val="Italic"/>
        </w:rPr>
        <w:t>1</w:t>
      </w:r>
      <w:r w:rsidR="00907020" w:rsidRPr="00AB51E8">
        <w:rPr>
          <w:rStyle w:val="Italic"/>
          <w:rFonts w:ascii="Calibri" w:hAnsi="Calibri" w:cs="Calibri"/>
        </w:rPr>
        <w:t> </w:t>
      </w:r>
      <w:r w:rsidR="004751F0" w:rsidRPr="007975E7">
        <w:rPr>
          <w:rStyle w:val="Italic"/>
        </w:rPr>
        <w:t>215.</w:t>
      </w:r>
      <w:r w:rsidR="00332172" w:rsidRPr="007975E7">
        <w:rPr>
          <w:rStyle w:val="Italic"/>
        </w:rPr>
        <w:t>6</w:t>
      </w:r>
      <w:r w:rsidR="004B345B" w:rsidRPr="00AB51E8">
        <w:rPr>
          <w:rStyle w:val="Italic"/>
          <w:rFonts w:ascii="Calibri" w:hAnsi="Calibri" w:cs="Calibri"/>
        </w:rPr>
        <w:t> </w:t>
      </w:r>
      <w:r w:rsidR="00CD7A1A" w:rsidRPr="007975E7">
        <w:rPr>
          <w:rStyle w:val="Italic"/>
        </w:rPr>
        <w:t xml:space="preserve">million (2024: EUR </w:t>
      </w:r>
      <w:r w:rsidRPr="007975E7">
        <w:rPr>
          <w:rStyle w:val="Italic"/>
        </w:rPr>
        <w:t>891.4</w:t>
      </w:r>
      <w:r w:rsidRPr="00AB51E8">
        <w:rPr>
          <w:rStyle w:val="Italic"/>
          <w:rFonts w:ascii="Calibri" w:hAnsi="Calibri" w:cs="Calibri"/>
        </w:rPr>
        <w:t> </w:t>
      </w:r>
      <w:r w:rsidRPr="007975E7">
        <w:rPr>
          <w:rStyle w:val="Italic"/>
        </w:rPr>
        <w:t>million).</w:t>
      </w:r>
    </w:p>
    <w:p w14:paraId="7FF6392E" w14:textId="5F6191BD" w:rsidR="001301C1" w:rsidRPr="006D3C55" w:rsidRDefault="001301C1" w:rsidP="001301C1">
      <w:pPr>
        <w:pStyle w:val="amprboxtext"/>
        <w:spacing w:before="0" w:after="0"/>
      </w:pPr>
      <w:r w:rsidRPr="006D3C55">
        <w:rPr>
          <w:rStyle w:val="Bold"/>
        </w:rPr>
        <w:t>Reservations:</w:t>
      </w:r>
      <w:r w:rsidRPr="006D3C55">
        <w:t xml:space="preserve"> </w:t>
      </w:r>
      <w:r w:rsidR="008C32C8" w:rsidRPr="006D3C55">
        <w:t>seven</w:t>
      </w:r>
      <w:r w:rsidR="00E364AF" w:rsidRPr="006D3C55">
        <w:t xml:space="preserve"> </w:t>
      </w:r>
      <w:r w:rsidRPr="006D3C55">
        <w:t>reservations with a financial impact of EUR</w:t>
      </w:r>
      <w:r w:rsidRPr="006D3C55">
        <w:rPr>
          <w:rFonts w:ascii="Calibri" w:hAnsi="Calibri"/>
        </w:rPr>
        <w:t> </w:t>
      </w:r>
      <w:r w:rsidR="00AD7152" w:rsidRPr="006D3C55">
        <w:t>301</w:t>
      </w:r>
      <w:r w:rsidRPr="006D3C55">
        <w:rPr>
          <w:rFonts w:ascii="Calibri" w:hAnsi="Calibri"/>
        </w:rPr>
        <w:t> </w:t>
      </w:r>
      <w:r w:rsidRPr="006D3C55">
        <w:t>million (202</w:t>
      </w:r>
      <w:r w:rsidR="00E364AF" w:rsidRPr="006D3C55">
        <w:t>4</w:t>
      </w:r>
      <w:r w:rsidRPr="006D3C55">
        <w:t>: seven reservations with a financial impact of EUR</w:t>
      </w:r>
      <w:r w:rsidRPr="006D3C55">
        <w:rPr>
          <w:rFonts w:ascii="Calibri" w:hAnsi="Calibri"/>
        </w:rPr>
        <w:t> </w:t>
      </w:r>
      <w:r w:rsidRPr="006D3C55">
        <w:rPr>
          <w:rFonts w:asciiTheme="minorHAnsi" w:hAnsiTheme="minorHAnsi"/>
        </w:rPr>
        <w:t>254</w:t>
      </w:r>
      <w:r w:rsidRPr="006D3C55">
        <w:rPr>
          <w:rFonts w:ascii="Calibri" w:hAnsi="Calibri"/>
        </w:rPr>
        <w:t> </w:t>
      </w:r>
      <w:r w:rsidRPr="006D3C55">
        <w:rPr>
          <w:rFonts w:asciiTheme="minorHAnsi" w:hAnsiTheme="minorHAnsi"/>
        </w:rPr>
        <w:t>m</w:t>
      </w:r>
      <w:r w:rsidRPr="006D3C55">
        <w:t>illion).</w:t>
      </w:r>
    </w:p>
    <w:p w14:paraId="23FC95F2" w14:textId="749EBB4A" w:rsidR="001301C1" w:rsidRPr="006D3C55" w:rsidRDefault="001301C1" w:rsidP="001301C1">
      <w:pPr>
        <w:pStyle w:val="ImageTitle"/>
        <w:spacing w:before="600"/>
      </w:pPr>
      <w:r w:rsidRPr="006D3C55">
        <w:t>Multiannual financial framework heading 3</w:t>
      </w:r>
      <w:r w:rsidRPr="006D3C55">
        <w:rPr>
          <w:rFonts w:ascii="Calibri" w:hAnsi="Calibri" w:cs="Calibri"/>
        </w:rPr>
        <w:t> </w:t>
      </w:r>
      <w:r w:rsidRPr="006D3C55">
        <w:t>– natural resources and environment</w:t>
      </w:r>
      <w:r w:rsidRPr="006D3C55">
        <w:rPr>
          <w:rFonts w:ascii="Calibri" w:hAnsi="Calibri" w:cs="Calibri"/>
        </w:rPr>
        <w:t> </w:t>
      </w:r>
      <w:r w:rsidRPr="006D3C55">
        <w:t xml:space="preserve">– </w:t>
      </w:r>
      <w:r w:rsidR="00A137E2" w:rsidRPr="006D3C55">
        <w:br/>
      </w:r>
      <w:r w:rsidRPr="006D3C55">
        <w:t xml:space="preserve">overview of risk segmentation for </w:t>
      </w:r>
      <w:r w:rsidR="000F4802" w:rsidRPr="006D3C55">
        <w:t>2023</w:t>
      </w:r>
      <w:r w:rsidRPr="006D3C55">
        <w:t>-</w:t>
      </w:r>
      <w:r w:rsidR="000F4802" w:rsidRPr="006D3C55">
        <w:t>2025</w:t>
      </w:r>
    </w:p>
    <w:p w14:paraId="2C111EAF" w14:textId="7A1BD055" w:rsidR="001301C1" w:rsidRPr="006D3C55" w:rsidRDefault="00C90A68" w:rsidP="001301C1">
      <w:pPr>
        <w:pStyle w:val="ImagePlaceholder"/>
        <w:rPr>
          <w:noProof w:val="0"/>
        </w:rPr>
      </w:pPr>
      <w:r w:rsidRPr="00C90A68">
        <w:drawing>
          <wp:inline distT="0" distB="0" distL="0" distR="0" wp14:anchorId="1814407F" wp14:editId="7C452AA4">
            <wp:extent cx="5758710" cy="2501519"/>
            <wp:effectExtent l="0" t="0" r="0" b="0"/>
            <wp:docPr id="495915272" name="Picture 37" descr="The graph represents the expenditure per risk category (Low risk, medium risk and high risk) in percentage for the years 2023, 2024 and 2025 for heading 3 of the Multiannual financial framework, natural resources and environment.&#10;For 2025:  Low risk 64.4%, Medium risk 20.2%, High risk 15.4%.&#10;For 2024: Low risk 77.6%, Medium risk 9.6% and High risk 12.8%.&#10;For 2023: Low risk 69%, Medium risk 9% and High risk 22.0%.">
              <a:extLst xmlns:a="http://schemas.openxmlformats.org/drawingml/2006/main">
                <a:ext uri="{FF2B5EF4-FFF2-40B4-BE49-F238E27FC236}">
                  <a16:creationId xmlns:a16="http://schemas.microsoft.com/office/drawing/2014/main" id="{E9B8CA35-5922-CB7E-FE8A-ECC186C41ED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5915272" name="Picture 37" descr="The graph represents the expenditure per risk category (Low risk, medium risk and high risk) in percentage for the years 2023, 2024 and 2025 for heading 3 of the Multiannual financial framework, natural resources and environment.&#10;For 2025:  Low risk 64.4%, Medium risk 20.2%, High risk 15.4%.&#10;For 2024: Low risk 77.6%, Medium risk 9.6% and High risk 12.8%.&#10;For 2023: Low risk 69%, Medium risk 9% and High risk 22.0%.">
                      <a:extLst>
                        <a:ext uri="{FF2B5EF4-FFF2-40B4-BE49-F238E27FC236}">
                          <a16:creationId xmlns:a16="http://schemas.microsoft.com/office/drawing/2014/main" id="{E9B8CA35-5922-CB7E-FE8A-ECC186C41ED6}"/>
                        </a:ext>
                      </a:extLst>
                    </pic:cNvPr>
                    <pic:cNvPicPr>
                      <a:picLocks noChangeAspect="1"/>
                    </pic:cNvPicPr>
                  </pic:nvPicPr>
                  <pic:blipFill rotWithShape="1">
                    <a:blip r:embed="rId76"/>
                    <a:srcRect l="6561" t="6522" r="7302" b="7697"/>
                    <a:stretch>
                      <a:fillRect/>
                    </a:stretch>
                  </pic:blipFill>
                  <pic:spPr bwMode="auto">
                    <a:xfrm>
                      <a:off x="0" y="0"/>
                      <a:ext cx="5759450" cy="2501840"/>
                    </a:xfrm>
                    <a:prstGeom prst="rect">
                      <a:avLst/>
                    </a:prstGeom>
                    <a:ln>
                      <a:noFill/>
                    </a:ln>
                    <a:extLst>
                      <a:ext uri="{53640926-AAD7-44D8-BBD7-CCE9431645EC}">
                        <a14:shadowObscured xmlns:a14="http://schemas.microsoft.com/office/drawing/2010/main"/>
                      </a:ext>
                    </a:extLst>
                  </pic:spPr>
                </pic:pic>
              </a:graphicData>
            </a:graphic>
          </wp:inline>
        </w:drawing>
      </w:r>
    </w:p>
    <w:p w14:paraId="27D2FB23" w14:textId="1AE05C93" w:rsidR="001301C1" w:rsidRPr="006D3C55" w:rsidRDefault="001301C1" w:rsidP="001301C1">
      <w:pPr>
        <w:pStyle w:val="ImageSource"/>
      </w:pPr>
      <w:r w:rsidRPr="007975E7">
        <w:rPr>
          <w:rStyle w:val="Italic"/>
        </w:rPr>
        <w:t>Source:</w:t>
      </w:r>
      <w:r w:rsidRPr="006D3C55">
        <w:t xml:space="preserve"> European Commission annual activity reports for </w:t>
      </w:r>
      <w:r w:rsidR="000F4802" w:rsidRPr="006D3C55">
        <w:t>2025</w:t>
      </w:r>
      <w:r w:rsidRPr="006D3C55">
        <w:t>.</w:t>
      </w:r>
    </w:p>
    <w:p w14:paraId="39A8FED5" w14:textId="5F372E77" w:rsidR="00D532B6" w:rsidRPr="006D3C55" w:rsidRDefault="00D532B6" w:rsidP="009261D2">
      <w:r w:rsidRPr="007975E7">
        <w:rPr>
          <w:rStyle w:val="Bold"/>
        </w:rPr>
        <w:t xml:space="preserve">In 2025, for natural resources and environment, 64% of the expenditure was considered low risk. </w:t>
      </w:r>
      <w:r w:rsidRPr="006D3C55">
        <w:t>This corresponds to expenditure with a risk at payment below 2%, for compliance-based payments</w:t>
      </w:r>
      <w:r w:rsidR="00355165" w:rsidRPr="006D3C55">
        <w:t>;</w:t>
      </w:r>
      <w:r w:rsidRPr="006D3C55">
        <w:t xml:space="preserve"> and expenditure for which the systems in place in the Member States have been assessed as low risk, functioning well or functioning, for performance-based payments. This is the same as the share of low-risk expenditure for agriculture (64%), which represents the bulk of the expenditure in this policy area (98%), the rest corresponding to </w:t>
      </w:r>
      <w:r w:rsidRPr="006D3C55" w:rsidDel="00C405AC">
        <w:t xml:space="preserve">maritime </w:t>
      </w:r>
      <w:r w:rsidR="00000704">
        <w:t>a</w:t>
      </w:r>
      <w:r w:rsidR="00716D16">
        <w:t>ffairs</w:t>
      </w:r>
      <w:r w:rsidR="00C405AC">
        <w:t xml:space="preserve"> </w:t>
      </w:r>
      <w:r w:rsidRPr="006D3C55">
        <w:t xml:space="preserve">and </w:t>
      </w:r>
      <w:r w:rsidDel="00C405AC">
        <w:rPr>
          <w:rFonts w:ascii="Calibri" w:hAnsi="Calibri" w:cs="Calibri"/>
        </w:rPr>
        <w:t>f</w:t>
      </w:r>
      <w:r w:rsidRPr="006D3C55" w:rsidDel="00C405AC">
        <w:t>isheries</w:t>
      </w:r>
      <w:r w:rsidRPr="006D3C55" w:rsidDel="00C405AC">
        <w:rPr>
          <w:rFonts w:ascii="Calibri" w:hAnsi="Calibri" w:cs="Calibri"/>
        </w:rPr>
        <w:t> </w:t>
      </w:r>
      <w:r w:rsidRPr="006D3C55">
        <w:t>(</w:t>
      </w:r>
      <w:r w:rsidRPr="00352191">
        <w:rPr>
          <w:rStyle w:val="FootnoteReference"/>
        </w:rPr>
        <w:footnoteReference w:id="38"/>
      </w:r>
      <w:r w:rsidRPr="006D3C55">
        <w:t>), environment and climate expenditure. This is a decrease compared to the share of low-risk expenditure in 2024 (77%) and in 2023 (69%)</w:t>
      </w:r>
      <w:r w:rsidR="00251863">
        <w:t>,</w:t>
      </w:r>
      <w:r w:rsidRPr="006D3C55">
        <w:t xml:space="preserve"> and is slightly below the average for </w:t>
      </w:r>
      <w:r w:rsidR="005A3AE9" w:rsidRPr="006D3C55">
        <w:t>20</w:t>
      </w:r>
      <w:r w:rsidR="005A3AE9">
        <w:t>20</w:t>
      </w:r>
      <w:r w:rsidRPr="006D3C55">
        <w:t xml:space="preserve">-2024 </w:t>
      </w:r>
      <w:r w:rsidR="001179B2" w:rsidRPr="006D3C55">
        <w:t xml:space="preserve">of </w:t>
      </w:r>
      <w:r w:rsidRPr="006D3C55">
        <w:t>66</w:t>
      </w:r>
      <w:r w:rsidR="00F17CFB">
        <w:t>.7</w:t>
      </w:r>
      <w:r w:rsidRPr="006D3C55">
        <w:t>%.</w:t>
      </w:r>
      <w:r w:rsidR="008D2B9A" w:rsidRPr="00AD4275">
        <w:t xml:space="preserve"> </w:t>
      </w:r>
      <w:r w:rsidR="008D2B9A" w:rsidRPr="006D3C55">
        <w:t>This mainly reflects a shift from low to medium</w:t>
      </w:r>
      <w:r w:rsidR="001179B2" w:rsidRPr="006D3C55">
        <w:t xml:space="preserve"> </w:t>
      </w:r>
      <w:r w:rsidR="008D2B9A" w:rsidRPr="006D3C55">
        <w:t>risk</w:t>
      </w:r>
      <w:r w:rsidR="001179B2" w:rsidRPr="006D3C55">
        <w:t>, which is</w:t>
      </w:r>
      <w:r w:rsidR="008D2B9A" w:rsidRPr="006D3C55">
        <w:t xml:space="preserve"> partly due to improved assessment </w:t>
      </w:r>
      <w:r w:rsidR="00400F20" w:rsidRPr="006D3C55">
        <w:t xml:space="preserve">and </w:t>
      </w:r>
      <w:r w:rsidR="006C2D16">
        <w:t xml:space="preserve">the </w:t>
      </w:r>
      <w:r w:rsidR="00400F20" w:rsidRPr="006D3C55">
        <w:t xml:space="preserve">resulting gradings </w:t>
      </w:r>
      <w:r w:rsidR="008D2B9A" w:rsidRPr="006D3C55">
        <w:t xml:space="preserve">of the systems by </w:t>
      </w:r>
      <w:r w:rsidR="00110380">
        <w:t xml:space="preserve">the </w:t>
      </w:r>
      <w:r w:rsidR="00E713A6" w:rsidRPr="006D3C55">
        <w:t>c</w:t>
      </w:r>
      <w:r w:rsidR="008D2B9A" w:rsidRPr="006D3C55">
        <w:t xml:space="preserve">ertification </w:t>
      </w:r>
      <w:r w:rsidR="00E713A6" w:rsidRPr="006D3C55">
        <w:t>b</w:t>
      </w:r>
      <w:r w:rsidR="008D2B9A" w:rsidRPr="006D3C55">
        <w:t xml:space="preserve">odies, </w:t>
      </w:r>
      <w:r w:rsidR="00E713A6" w:rsidRPr="006D3C55">
        <w:t xml:space="preserve">which </w:t>
      </w:r>
      <w:r w:rsidR="008D2B9A" w:rsidRPr="006D3C55">
        <w:t xml:space="preserve">gained experience in the second year of implementing the new delivery model (notably in France, aligning with DG </w:t>
      </w:r>
      <w:r w:rsidR="002611B7" w:rsidRPr="006D3C55">
        <w:t xml:space="preserve">Agriculture and Rural Development </w:t>
      </w:r>
      <w:r w:rsidR="008D2B9A" w:rsidRPr="006D3C55">
        <w:t>audit findings), combined with end-of-programme effects in the 2014</w:t>
      </w:r>
      <w:r w:rsidR="008401B7" w:rsidRPr="006D3C55">
        <w:t>-</w:t>
      </w:r>
      <w:r w:rsidR="008D2B9A" w:rsidRPr="006D3C55">
        <w:t xml:space="preserve">2022 </w:t>
      </w:r>
      <w:r w:rsidR="002611B7" w:rsidRPr="006D3C55">
        <w:t>r</w:t>
      </w:r>
      <w:r w:rsidR="008D2B9A" w:rsidRPr="006D3C55">
        <w:t xml:space="preserve">ural </w:t>
      </w:r>
      <w:r w:rsidR="002611B7" w:rsidRPr="006D3C55">
        <w:t>d</w:t>
      </w:r>
      <w:r w:rsidR="008D2B9A" w:rsidRPr="006D3C55">
        <w:t xml:space="preserve">evelopment </w:t>
      </w:r>
      <w:r w:rsidR="002611B7" w:rsidRPr="006D3C55">
        <w:t>p</w:t>
      </w:r>
      <w:r w:rsidR="008D2B9A" w:rsidRPr="006D3C55">
        <w:t>rogrammes, where accelerated spending at closure can increase amounts under reservation</w:t>
      </w:r>
      <w:r w:rsidR="002611B7" w:rsidRPr="006D3C55">
        <w:rPr>
          <w:rFonts w:ascii="Calibri" w:hAnsi="Calibri" w:cs="Calibri"/>
        </w:rPr>
        <w:t> </w:t>
      </w:r>
      <w:r w:rsidR="008D2B9A" w:rsidRPr="006D3C55">
        <w:t>/</w:t>
      </w:r>
      <w:r w:rsidR="002611B7" w:rsidRPr="006D3C55">
        <w:t xml:space="preserve"> </w:t>
      </w:r>
      <w:r w:rsidR="008D2B9A" w:rsidRPr="006D3C55">
        <w:t>at risk. Greece’s continued precautionary reservation also remained a significant driver in absolute terms.</w:t>
      </w:r>
    </w:p>
    <w:p w14:paraId="2345066D" w14:textId="65346E08" w:rsidR="00D532B6" w:rsidRPr="006D3C55" w:rsidRDefault="00D532B6" w:rsidP="009261D2">
      <w:r w:rsidRPr="007975E7">
        <w:rPr>
          <w:rStyle w:val="Bold"/>
        </w:rPr>
        <w:t xml:space="preserve">The </w:t>
      </w:r>
      <w:r w:rsidR="00A25C1F" w:rsidRPr="007975E7">
        <w:rPr>
          <w:rStyle w:val="Bold"/>
        </w:rPr>
        <w:t xml:space="preserve">2023-2027 </w:t>
      </w:r>
      <w:r w:rsidR="00F45EBA" w:rsidRPr="007975E7">
        <w:rPr>
          <w:rStyle w:val="Bold"/>
        </w:rPr>
        <w:t>common agricultural policy</w:t>
      </w:r>
      <w:r w:rsidRPr="007975E7">
        <w:rPr>
          <w:rStyle w:val="Bold"/>
        </w:rPr>
        <w:t xml:space="preserve"> represents a shift from compliance</w:t>
      </w:r>
      <w:r w:rsidR="00044195" w:rsidRPr="007975E7">
        <w:rPr>
          <w:rStyle w:val="Bold"/>
        </w:rPr>
        <w:t>-</w:t>
      </w:r>
      <w:r w:rsidRPr="007975E7">
        <w:rPr>
          <w:rStyle w:val="Bold"/>
        </w:rPr>
        <w:t xml:space="preserve">based payments to a greater focus on performance and results achieved, with these changes applying for the first time </w:t>
      </w:r>
      <w:r w:rsidR="00044195" w:rsidRPr="007975E7">
        <w:rPr>
          <w:rStyle w:val="Bold"/>
        </w:rPr>
        <w:t xml:space="preserve">for </w:t>
      </w:r>
      <w:r w:rsidRPr="007975E7">
        <w:rPr>
          <w:rStyle w:val="Bold"/>
        </w:rPr>
        <w:t>the payments made in 2024.</w:t>
      </w:r>
      <w:r w:rsidRPr="006D3C55">
        <w:t xml:space="preserve"> With this new delivery model, Member States have more flexibility and responsibility in setting beneficiary rules in their </w:t>
      </w:r>
      <w:r w:rsidR="003F7282" w:rsidRPr="006D3C55">
        <w:t>n</w:t>
      </w:r>
      <w:r w:rsidRPr="006D3C55">
        <w:t xml:space="preserve">ational </w:t>
      </w:r>
      <w:r w:rsidR="003F7282" w:rsidRPr="006D3C55">
        <w:t>p</w:t>
      </w:r>
      <w:r w:rsidRPr="006D3C55">
        <w:t xml:space="preserve">lans within </w:t>
      </w:r>
      <w:r w:rsidR="003F7282" w:rsidRPr="006D3C55">
        <w:t>the</w:t>
      </w:r>
      <w:r w:rsidRPr="006D3C55">
        <w:t xml:space="preserve"> general </w:t>
      </w:r>
      <w:r w:rsidR="003F7282" w:rsidRPr="006D3C55">
        <w:t xml:space="preserve">EU </w:t>
      </w:r>
      <w:r w:rsidRPr="006D3C55">
        <w:t xml:space="preserve">framework. The Commission focuses on progress towards results and the effectiveness of national governance systems rather than </w:t>
      </w:r>
      <w:r w:rsidR="001A5FD1" w:rsidRPr="006D3C55">
        <w:t xml:space="preserve">on </w:t>
      </w:r>
      <w:r w:rsidRPr="006D3C55">
        <w:t xml:space="preserve">checking individual transactions. As Member States no longer report beneficiary-level control statistics, the Commission cannot calculate error rates at </w:t>
      </w:r>
      <w:r w:rsidR="001A5FD1" w:rsidRPr="006D3C55">
        <w:t xml:space="preserve">the </w:t>
      </w:r>
      <w:r w:rsidRPr="006D3C55">
        <w:t xml:space="preserve">paying agency or </w:t>
      </w:r>
      <w:r w:rsidR="001A5FD1" w:rsidRPr="006D3C55">
        <w:t xml:space="preserve">the </w:t>
      </w:r>
      <w:r w:rsidR="00F45EBA" w:rsidRPr="006D3C55">
        <w:t>common agricultural policy</w:t>
      </w:r>
      <w:r w:rsidRPr="006D3C55">
        <w:t xml:space="preserve"> level.</w:t>
      </w:r>
    </w:p>
    <w:p w14:paraId="2A143D4B" w14:textId="5E040FC1" w:rsidR="00D532B6" w:rsidRPr="006D3C55" w:rsidRDefault="00D532B6" w:rsidP="009261D2">
      <w:r w:rsidRPr="007975E7">
        <w:rPr>
          <w:rStyle w:val="Bold"/>
        </w:rPr>
        <w:t xml:space="preserve">For this new delivery model, the Commission’s assurance model therefore assesses the performance, the progress towards </w:t>
      </w:r>
      <w:r w:rsidR="001A5FD1" w:rsidRPr="007975E7">
        <w:rPr>
          <w:rStyle w:val="Bold"/>
        </w:rPr>
        <w:t xml:space="preserve">achieving </w:t>
      </w:r>
      <w:r w:rsidRPr="007975E7">
        <w:rPr>
          <w:rStyle w:val="Bold"/>
        </w:rPr>
        <w:t>the results and how well Member States’ systems ensure the legality and regularity of the underlining transactions and the quality of the performance results.</w:t>
      </w:r>
      <w:r w:rsidRPr="00B956E0">
        <w:t xml:space="preserve"> </w:t>
      </w:r>
      <w:r w:rsidR="00B956E0">
        <w:t xml:space="preserve">The Commission </w:t>
      </w:r>
      <w:r w:rsidRPr="00B956E0">
        <w:t xml:space="preserve">draws on </w:t>
      </w:r>
      <w:r w:rsidR="00B96302" w:rsidRPr="00B956E0">
        <w:t>c</w:t>
      </w:r>
      <w:r w:rsidRPr="00B956E0">
        <w:t xml:space="preserve">ertification </w:t>
      </w:r>
      <w:r w:rsidR="00B96302" w:rsidRPr="00B956E0">
        <w:t>b</w:t>
      </w:r>
      <w:r w:rsidRPr="00B956E0">
        <w:t xml:space="preserve">odies’ annual assessments of the systems </w:t>
      </w:r>
      <w:r w:rsidRPr="005F5922">
        <w:t xml:space="preserve">in place </w:t>
      </w:r>
      <w:r w:rsidR="00A76376" w:rsidRPr="005F5922">
        <w:t>(</w:t>
      </w:r>
      <w:r w:rsidRPr="005F5922">
        <w:t>with gradings assigned by paying agency and intervention</w:t>
      </w:r>
      <w:r w:rsidR="00A76376" w:rsidRPr="005F5922">
        <w:t>)</w:t>
      </w:r>
      <w:r w:rsidRPr="005F5922">
        <w:t xml:space="preserve">, </w:t>
      </w:r>
      <w:r w:rsidR="004A1ADF">
        <w:t>on</w:t>
      </w:r>
      <w:r>
        <w:t xml:space="preserve"> </w:t>
      </w:r>
      <w:r w:rsidRPr="005F5922">
        <w:t xml:space="preserve">Commission audits and </w:t>
      </w:r>
      <w:r w:rsidR="004A1ADF">
        <w:t xml:space="preserve">on </w:t>
      </w:r>
      <w:r w:rsidR="00820F5B" w:rsidRPr="007D480E">
        <w:t>findings</w:t>
      </w:r>
      <w:r w:rsidR="00820F5B" w:rsidRPr="00820F5B">
        <w:t xml:space="preserve"> </w:t>
      </w:r>
      <w:r w:rsidR="00820F5B">
        <w:t xml:space="preserve">by the </w:t>
      </w:r>
      <w:r w:rsidRPr="005F5922">
        <w:t>Court of Auditors</w:t>
      </w:r>
      <w:r w:rsidRPr="006D3C55">
        <w:t xml:space="preserve">, and may adjust gradings </w:t>
      </w:r>
      <w:r w:rsidR="00820F5B">
        <w:t xml:space="preserve">on a </w:t>
      </w:r>
      <w:r w:rsidRPr="006D3C55">
        <w:t>case</w:t>
      </w:r>
      <w:r w:rsidR="00820F5B">
        <w:t>-</w:t>
      </w:r>
      <w:r w:rsidRPr="006D3C55">
        <w:t>by</w:t>
      </w:r>
      <w:r w:rsidR="00820F5B">
        <w:t>-</w:t>
      </w:r>
      <w:r w:rsidRPr="006D3C55">
        <w:t>case</w:t>
      </w:r>
      <w:r w:rsidR="00820F5B">
        <w:t xml:space="preserve"> basis</w:t>
      </w:r>
      <w:r w:rsidRPr="006D3C55">
        <w:t>.</w:t>
      </w:r>
    </w:p>
    <w:p w14:paraId="65803AD7" w14:textId="556E3768" w:rsidR="00D532B6" w:rsidRPr="006D3C55" w:rsidRDefault="00D532B6" w:rsidP="009261D2">
      <w:r w:rsidRPr="00B956E0">
        <w:rPr>
          <w:rStyle w:val="Bold"/>
        </w:rPr>
        <w:t>Based on the final system grading</w:t>
      </w:r>
      <w:r w:rsidRPr="006D3C55">
        <w:rPr>
          <w:rFonts w:ascii="Calibri" w:hAnsi="Calibri" w:cs="Calibri"/>
        </w:rPr>
        <w:t> </w:t>
      </w:r>
      <w:r w:rsidRPr="006D3C55">
        <w:rPr>
          <w:bCs/>
        </w:rPr>
        <w:t>(</w:t>
      </w:r>
      <w:r w:rsidRPr="00352191">
        <w:rPr>
          <w:rStyle w:val="FootnoteReference"/>
        </w:rPr>
        <w:footnoteReference w:id="39"/>
      </w:r>
      <w:r w:rsidRPr="006D3C55">
        <w:rPr>
          <w:bCs/>
        </w:rPr>
        <w:t>)</w:t>
      </w:r>
      <w:r w:rsidRPr="00B956E0">
        <w:rPr>
          <w:rStyle w:val="Bold"/>
        </w:rPr>
        <w:t xml:space="preserve">, the Commission classifies </w:t>
      </w:r>
      <w:r w:rsidR="00F45EBA" w:rsidRPr="00B956E0">
        <w:rPr>
          <w:rStyle w:val="Bold"/>
        </w:rPr>
        <w:t>common agricultural policy</w:t>
      </w:r>
      <w:r w:rsidRPr="00B956E0">
        <w:rPr>
          <w:rStyle w:val="Bold"/>
        </w:rPr>
        <w:t xml:space="preserve"> expenditure as low, medium or high risk.</w:t>
      </w:r>
      <w:r w:rsidRPr="006D3C55">
        <w:t xml:space="preserve"> Low risk corresponds to grades</w:t>
      </w:r>
      <w:r w:rsidR="00136F4D" w:rsidRPr="006D3C55">
        <w:rPr>
          <w:rFonts w:ascii="Calibri" w:hAnsi="Calibri" w:cs="Calibri"/>
        </w:rPr>
        <w:t> </w:t>
      </w:r>
      <w:r w:rsidRPr="006D3C55">
        <w:t>3</w:t>
      </w:r>
      <w:r w:rsidR="00EF0440" w:rsidRPr="006D3C55">
        <w:t>-</w:t>
      </w:r>
      <w:r w:rsidRPr="006D3C55">
        <w:t>4, medium to grade</w:t>
      </w:r>
      <w:r w:rsidR="00136F4D" w:rsidRPr="006D3C55">
        <w:rPr>
          <w:rFonts w:ascii="Calibri" w:hAnsi="Calibri" w:cs="Calibri"/>
        </w:rPr>
        <w:t> </w:t>
      </w:r>
      <w:r w:rsidRPr="006D3C55">
        <w:t>2 and high to grade</w:t>
      </w:r>
      <w:r w:rsidR="00136F4D" w:rsidRPr="006D3C55">
        <w:rPr>
          <w:rFonts w:ascii="Calibri" w:hAnsi="Calibri" w:cs="Calibri"/>
        </w:rPr>
        <w:t> </w:t>
      </w:r>
      <w:r w:rsidRPr="006D3C55">
        <w:t xml:space="preserve">1. The Commission issues reservations where serious system deficiencies </w:t>
      </w:r>
      <w:r w:rsidRPr="006D3C55">
        <w:rPr>
          <w:bCs/>
        </w:rPr>
        <w:t xml:space="preserve">in the Member States’ governance systems </w:t>
      </w:r>
      <w:r w:rsidRPr="006D3C55">
        <w:t>are identified (grade</w:t>
      </w:r>
      <w:r w:rsidR="00136F4D" w:rsidRPr="006D3C55">
        <w:rPr>
          <w:rFonts w:ascii="Calibri" w:hAnsi="Calibri" w:cs="Calibri"/>
        </w:rPr>
        <w:t> </w:t>
      </w:r>
      <w:r w:rsidRPr="006D3C55">
        <w:t xml:space="preserve">1) or where a Member State is behind on </w:t>
      </w:r>
      <w:r w:rsidRPr="006D3C55">
        <w:rPr>
          <w:bCs/>
        </w:rPr>
        <w:t xml:space="preserve">its </w:t>
      </w:r>
      <w:r w:rsidRPr="006D3C55">
        <w:t>milestones.</w:t>
      </w:r>
    </w:p>
    <w:p w14:paraId="035E26B9" w14:textId="703A4930" w:rsidR="00D532B6" w:rsidRPr="006D3C55" w:rsidRDefault="00D532B6" w:rsidP="009261D2">
      <w:r w:rsidRPr="00B956E0">
        <w:rPr>
          <w:rStyle w:val="Bold"/>
        </w:rPr>
        <w:t>Reliance on the certification bodies plays a crucial role under the single audit principle that is applied by the Commission.</w:t>
      </w:r>
      <w:r w:rsidRPr="006D3C55">
        <w:t xml:space="preserve"> As a result, it only audits paying agencies if the work of the certification bodies cannot be relied upon. In 2025, the Commission performed 45 </w:t>
      </w:r>
      <w:r w:rsidR="009660B2">
        <w:t xml:space="preserve">conformity </w:t>
      </w:r>
      <w:r w:rsidRPr="006D3C55">
        <w:t>audits, targeting the governance systems in place in the Member States. The same audits, where relevant, also covered the legality and regularity of expenditure under the 2014-2022 programming period.</w:t>
      </w:r>
    </w:p>
    <w:p w14:paraId="4E0027CD" w14:textId="4D68D56E" w:rsidR="001301C1" w:rsidRPr="006D3C55" w:rsidRDefault="001301C1" w:rsidP="001301C1">
      <w:r w:rsidRPr="00B956E0">
        <w:rPr>
          <w:rStyle w:val="Bold"/>
        </w:rPr>
        <w:t xml:space="preserve">The corrective measures implemented in </w:t>
      </w:r>
      <w:r w:rsidR="00D532B6" w:rsidRPr="00B956E0">
        <w:rPr>
          <w:rStyle w:val="Bold"/>
        </w:rPr>
        <w:t>2025</w:t>
      </w:r>
      <w:r w:rsidRPr="00B956E0">
        <w:rPr>
          <w:rStyle w:val="Bold"/>
        </w:rPr>
        <w:t>, amounting to EUR </w:t>
      </w:r>
      <w:r w:rsidR="00A5692F" w:rsidRPr="00B956E0">
        <w:rPr>
          <w:rStyle w:val="Bold"/>
        </w:rPr>
        <w:t>1</w:t>
      </w:r>
      <w:r w:rsidR="00136F4D" w:rsidRPr="00B956E0">
        <w:rPr>
          <w:rStyle w:val="Bold"/>
        </w:rPr>
        <w:t> </w:t>
      </w:r>
      <w:r w:rsidR="007D675F" w:rsidRPr="00B956E0">
        <w:rPr>
          <w:rStyle w:val="Bold"/>
        </w:rPr>
        <w:t>216</w:t>
      </w:r>
      <w:r w:rsidRPr="00B956E0">
        <w:rPr>
          <w:rStyle w:val="Bold"/>
        </w:rPr>
        <w:t> million, still relate to the previous common agricultural policy</w:t>
      </w:r>
      <w:r w:rsidRPr="00B956E0" w:rsidDel="00321BAF">
        <w:rPr>
          <w:rStyle w:val="Bold"/>
        </w:rPr>
        <w:t xml:space="preserve"> </w:t>
      </w:r>
      <w:r w:rsidRPr="00B956E0">
        <w:rPr>
          <w:rStyle w:val="Bold"/>
        </w:rPr>
        <w:t xml:space="preserve">system. No net financial corrections have yet been decided for expenditure under the </w:t>
      </w:r>
      <w:r w:rsidR="00D532B6" w:rsidRPr="00B956E0">
        <w:rPr>
          <w:rStyle w:val="Bold"/>
        </w:rPr>
        <w:t>2023-2027</w:t>
      </w:r>
      <w:r w:rsidR="0018187C" w:rsidRPr="00B956E0">
        <w:rPr>
          <w:rStyle w:val="Bold"/>
        </w:rPr>
        <w:t xml:space="preserve"> </w:t>
      </w:r>
      <w:r w:rsidR="00F45EBA" w:rsidRPr="00B956E0">
        <w:rPr>
          <w:rStyle w:val="Bold"/>
        </w:rPr>
        <w:t>common agricultural policy</w:t>
      </w:r>
      <w:r w:rsidR="00D532B6" w:rsidRPr="00B956E0">
        <w:rPr>
          <w:rStyle w:val="Bold"/>
        </w:rPr>
        <w:t>.</w:t>
      </w:r>
      <w:r w:rsidRPr="006D3C55">
        <w:t xml:space="preserve"> The 202</w:t>
      </w:r>
      <w:r w:rsidR="006F57C7" w:rsidRPr="006D3C55">
        <w:t>5</w:t>
      </w:r>
      <w:r w:rsidRPr="006D3C55">
        <w:t xml:space="preserve"> audits showed that</w:t>
      </w:r>
      <w:r w:rsidR="000E38D8" w:rsidRPr="006D3C55">
        <w:t>, in</w:t>
      </w:r>
      <w:r w:rsidRPr="006D3C55">
        <w:t xml:space="preserve"> </w:t>
      </w:r>
      <w:r w:rsidR="00BE5890" w:rsidRPr="006D3C55">
        <w:t>general</w:t>
      </w:r>
      <w:r w:rsidR="000E38D8" w:rsidRPr="006D3C55">
        <w:t>,</w:t>
      </w:r>
      <w:r w:rsidR="00BE5890" w:rsidRPr="006D3C55">
        <w:t xml:space="preserve"> </w:t>
      </w:r>
      <w:r w:rsidRPr="006D3C55">
        <w:t>Member States</w:t>
      </w:r>
      <w:r w:rsidR="000E38D8" w:rsidRPr="006D3C55">
        <w:t>’</w:t>
      </w:r>
      <w:r w:rsidRPr="006D3C55">
        <w:t xml:space="preserve"> governance systems for the new common agricultural policy</w:t>
      </w:r>
      <w:r w:rsidR="00954AA9" w:rsidRPr="006D3C55">
        <w:t xml:space="preserve"> are operational</w:t>
      </w:r>
      <w:r w:rsidRPr="006D3C55">
        <w:t xml:space="preserve">. Some potentially serious deficiencies were found for which conformity procedures have been opened to confirm the deficiencies and to assess </w:t>
      </w:r>
      <w:r w:rsidR="00662A2A" w:rsidRPr="006D3C55">
        <w:t xml:space="preserve">more precisely </w:t>
      </w:r>
      <w:r w:rsidRPr="006D3C55">
        <w:t>the risk to the EU</w:t>
      </w:r>
      <w:r w:rsidRPr="006D3C55" w:rsidDel="0034442D">
        <w:t xml:space="preserve"> </w:t>
      </w:r>
      <w:r w:rsidRPr="006D3C55">
        <w:t>budget. Conformity procedures need time to offer the Member States the opportunity to contradict the Commission’s findings. As of the end of 202</w:t>
      </w:r>
      <w:r w:rsidR="00AC2506" w:rsidRPr="006D3C55">
        <w:t>5</w:t>
      </w:r>
      <w:r w:rsidRPr="006D3C55">
        <w:t>, no conformity procedures had been finalised for the expenditure under the common agricultural policy</w:t>
      </w:r>
      <w:r w:rsidRPr="006D3C55" w:rsidDel="00321BAF">
        <w:t xml:space="preserve"> </w:t>
      </w:r>
      <w:r w:rsidRPr="006D3C55">
        <w:t>strategic plans.</w:t>
      </w:r>
    </w:p>
    <w:p w14:paraId="7703BDD5" w14:textId="3C2EC737" w:rsidR="001301C1" w:rsidRPr="006D3C55" w:rsidRDefault="001301C1" w:rsidP="001301C1">
      <w:r w:rsidRPr="00B956E0">
        <w:rPr>
          <w:rStyle w:val="Bold"/>
        </w:rPr>
        <w:t xml:space="preserve">For the expenditure implemented outside the strategic plans for rural development, market measures and direct payments </w:t>
      </w:r>
      <w:r w:rsidRPr="00B956E0" w:rsidDel="00FE5276">
        <w:rPr>
          <w:rStyle w:val="Bold"/>
        </w:rPr>
        <w:t>(</w:t>
      </w:r>
      <w:r w:rsidR="00976D4E" w:rsidRPr="00B956E0">
        <w:rPr>
          <w:rStyle w:val="Bold"/>
        </w:rPr>
        <w:t>1</w:t>
      </w:r>
      <w:r w:rsidR="002C2807" w:rsidRPr="00B956E0">
        <w:rPr>
          <w:rStyle w:val="Bold"/>
        </w:rPr>
        <w:t>9</w:t>
      </w:r>
      <w:r w:rsidRPr="00B956E0">
        <w:rPr>
          <w:rStyle w:val="Bold"/>
        </w:rPr>
        <w:t xml:space="preserve">% of this heading’s expenditure), the </w:t>
      </w:r>
      <w:r w:rsidR="006672C5" w:rsidRPr="00B956E0">
        <w:rPr>
          <w:rStyle w:val="Bold"/>
        </w:rPr>
        <w:t xml:space="preserve">estimated </w:t>
      </w:r>
      <w:r w:rsidR="00600A65" w:rsidRPr="00B956E0">
        <w:rPr>
          <w:rStyle w:val="Bold"/>
        </w:rPr>
        <w:t xml:space="preserve">overall </w:t>
      </w:r>
      <w:r w:rsidRPr="00B956E0">
        <w:rPr>
          <w:rStyle w:val="Bold"/>
        </w:rPr>
        <w:t xml:space="preserve">risk at payment was </w:t>
      </w:r>
      <w:r w:rsidR="00754F5A" w:rsidRPr="00B956E0">
        <w:rPr>
          <w:rStyle w:val="Bold"/>
        </w:rPr>
        <w:t>higher</w:t>
      </w:r>
      <w:r w:rsidR="006672C5" w:rsidRPr="00B956E0">
        <w:rPr>
          <w:rStyle w:val="Bold"/>
        </w:rPr>
        <w:t xml:space="preserve"> in </w:t>
      </w:r>
      <w:r w:rsidR="006672C5" w:rsidRPr="00BD0F35">
        <w:rPr>
          <w:rStyle w:val="Bold"/>
        </w:rPr>
        <w:t>2025</w:t>
      </w:r>
      <w:r w:rsidR="00E710D0" w:rsidRPr="00BD0F35">
        <w:rPr>
          <w:rStyle w:val="Bold"/>
        </w:rPr>
        <w:t xml:space="preserve"> (</w:t>
      </w:r>
      <w:r w:rsidR="00C66B90" w:rsidRPr="00BD0F35">
        <w:rPr>
          <w:rStyle w:val="Bold"/>
        </w:rPr>
        <w:t>3.</w:t>
      </w:r>
      <w:r w:rsidR="00970918" w:rsidRPr="00BD0F35">
        <w:rPr>
          <w:rStyle w:val="Bold"/>
        </w:rPr>
        <w:t>46</w:t>
      </w:r>
      <w:r w:rsidR="00C66B90" w:rsidRPr="00BD0F35">
        <w:rPr>
          <w:rStyle w:val="Bold"/>
        </w:rPr>
        <w:t>%)</w:t>
      </w:r>
      <w:r w:rsidR="00754F5A" w:rsidRPr="00BD0F35">
        <w:rPr>
          <w:rStyle w:val="Bold"/>
        </w:rPr>
        <w:t xml:space="preserve"> </w:t>
      </w:r>
      <w:r w:rsidR="00920B24" w:rsidRPr="00BD0F35">
        <w:rPr>
          <w:rStyle w:val="Bold"/>
        </w:rPr>
        <w:t xml:space="preserve">than in </w:t>
      </w:r>
      <w:r w:rsidRPr="00BD0F35">
        <w:rPr>
          <w:rStyle w:val="Bold"/>
        </w:rPr>
        <w:t>202</w:t>
      </w:r>
      <w:r w:rsidR="00D5611F" w:rsidRPr="00BD0F35">
        <w:rPr>
          <w:rStyle w:val="Bold"/>
        </w:rPr>
        <w:t>4</w:t>
      </w:r>
      <w:r w:rsidR="00C66B90" w:rsidRPr="00BD0F35">
        <w:rPr>
          <w:rStyle w:val="Bold"/>
        </w:rPr>
        <w:t xml:space="preserve"> (2.79%)</w:t>
      </w:r>
      <w:r w:rsidRPr="00BD0F35">
        <w:rPr>
          <w:rStyle w:val="Bold"/>
        </w:rPr>
        <w:t>,</w:t>
      </w:r>
      <w:r w:rsidRPr="00BD0F35">
        <w:t xml:space="preserve"> </w:t>
      </w:r>
      <w:r w:rsidRPr="00BD0F35" w:rsidDel="00FE5276">
        <w:t>with</w:t>
      </w:r>
      <w:r w:rsidRPr="00970918" w:rsidDel="00FE5276">
        <w:t xml:space="preserve"> </w:t>
      </w:r>
      <w:r w:rsidR="00E77CF9" w:rsidRPr="00970918">
        <w:t>3.</w:t>
      </w:r>
      <w:r w:rsidR="00970918" w:rsidRPr="00970918">
        <w:t>75</w:t>
      </w:r>
      <w:r w:rsidRPr="00970918">
        <w:t>% for</w:t>
      </w:r>
      <w:r w:rsidRPr="006D3C55">
        <w:t xml:space="preserve"> rural development, </w:t>
      </w:r>
      <w:r w:rsidR="00474B13" w:rsidRPr="006D3C55">
        <w:t>2.41</w:t>
      </w:r>
      <w:r w:rsidRPr="006D3C55">
        <w:t xml:space="preserve">% for market measures and </w:t>
      </w:r>
      <w:r w:rsidR="00BF7779" w:rsidRPr="006D3C55">
        <w:t>1.60</w:t>
      </w:r>
      <w:r w:rsidRPr="006D3C55">
        <w:t xml:space="preserve">% for direct payments. </w:t>
      </w:r>
      <w:r w:rsidR="004009E5">
        <w:t xml:space="preserve">For </w:t>
      </w:r>
      <w:r w:rsidR="000978D6">
        <w:t>rural development</w:t>
      </w:r>
      <w:r w:rsidR="003B1CB0">
        <w:t xml:space="preserve"> and, to a lesser extent, market measures</w:t>
      </w:r>
      <w:r w:rsidR="005368FF">
        <w:t>,</w:t>
      </w:r>
      <w:r w:rsidR="003B1CB0">
        <w:t xml:space="preserve"> </w:t>
      </w:r>
      <w:r w:rsidR="00361122">
        <w:t>error rates are generally higher than for direct payments, large</w:t>
      </w:r>
      <w:r w:rsidR="0013652F">
        <w:t>ly due to the complexity of the rules.</w:t>
      </w:r>
      <w:r w:rsidRPr="006D3C55">
        <w:t xml:space="preserve"> </w:t>
      </w:r>
      <w:r w:rsidRPr="006D3C55" w:rsidDel="00376C37">
        <w:t xml:space="preserve">The </w:t>
      </w:r>
      <w:r w:rsidRPr="006D3C55">
        <w:t>higher rates</w:t>
      </w:r>
      <w:r w:rsidR="00C975C3">
        <w:t xml:space="preserve"> in 2025</w:t>
      </w:r>
      <w:r w:rsidRPr="006D3C55">
        <w:t xml:space="preserve"> </w:t>
      </w:r>
      <w:r w:rsidR="00E677A0" w:rsidRPr="006D3C55">
        <w:t xml:space="preserve">are </w:t>
      </w:r>
      <w:r w:rsidR="005168A6">
        <w:t xml:space="preserve">mainly </w:t>
      </w:r>
      <w:r w:rsidR="00E677A0" w:rsidRPr="006D3C55">
        <w:t>due</w:t>
      </w:r>
      <w:r w:rsidR="005168A6">
        <w:t xml:space="preserve"> </w:t>
      </w:r>
      <w:r w:rsidR="00E677A0" w:rsidRPr="00A27FBA">
        <w:t>to the</w:t>
      </w:r>
      <w:r w:rsidRPr="00A27FBA">
        <w:t xml:space="preserve"> </w:t>
      </w:r>
      <w:r w:rsidR="00E677A0" w:rsidRPr="00A27FBA">
        <w:t>end-of-programme effects</w:t>
      </w:r>
      <w:r w:rsidR="00186D2E">
        <w:t>, for which</w:t>
      </w:r>
      <w:r w:rsidR="00E677A0" w:rsidRPr="00A27FBA">
        <w:t xml:space="preserve"> more expenditure </w:t>
      </w:r>
      <w:r w:rsidR="00E007B0" w:rsidRPr="00A27FBA">
        <w:t xml:space="preserve">is </w:t>
      </w:r>
      <w:r w:rsidR="00E677A0" w:rsidRPr="00A27FBA">
        <w:t xml:space="preserve">found </w:t>
      </w:r>
      <w:r w:rsidR="00A40878">
        <w:t xml:space="preserve">to be </w:t>
      </w:r>
      <w:r w:rsidR="00E677A0" w:rsidRPr="00A27FBA">
        <w:t>at risk</w:t>
      </w:r>
      <w:r w:rsidRPr="00A27FBA">
        <w:t>.</w:t>
      </w:r>
    </w:p>
    <w:p w14:paraId="659696D4" w14:textId="2F34DEC4" w:rsidR="001301C1" w:rsidRPr="006D3C55" w:rsidRDefault="001301C1" w:rsidP="001301C1">
      <w:r w:rsidRPr="00FD53CC">
        <w:rPr>
          <w:rStyle w:val="Bold"/>
        </w:rPr>
        <w:t xml:space="preserve">Expenditure relating to fisheries, the environment and climate initiatives – </w:t>
      </w:r>
      <w:r w:rsidR="003427CB" w:rsidRPr="00FD53CC">
        <w:rPr>
          <w:rStyle w:val="Bold"/>
        </w:rPr>
        <w:t>2</w:t>
      </w:r>
      <w:r w:rsidRPr="00FD53CC">
        <w:rPr>
          <w:rStyle w:val="Bold"/>
        </w:rPr>
        <w:t>% of this heading’s expenditure – continued to be low risk.</w:t>
      </w:r>
      <w:r w:rsidRPr="006D3C55">
        <w:t xml:space="preserve"> The estimated risk at payment for the European Maritime and Fisheries Fund, for the 2014-2020 programming period, is </w:t>
      </w:r>
      <w:r w:rsidR="00763B15" w:rsidRPr="006D3C55">
        <w:t>1</w:t>
      </w:r>
      <w:r w:rsidR="00BF3D7D" w:rsidRPr="006D3C55">
        <w:t>.02</w:t>
      </w:r>
      <w:r w:rsidRPr="006D3C55">
        <w:t xml:space="preserve">% (compared to </w:t>
      </w:r>
      <w:r w:rsidR="0036259A" w:rsidRPr="006D3C55">
        <w:t>0.59</w:t>
      </w:r>
      <w:r w:rsidRPr="006D3C55">
        <w:t>% in 202</w:t>
      </w:r>
      <w:r w:rsidR="0003781E" w:rsidRPr="006D3C55">
        <w:t>4</w:t>
      </w:r>
      <w:r w:rsidRPr="006D3C55">
        <w:t xml:space="preserve">). The estimated risk at payment for the 2021-2027 European Maritime, Fisheries and Aquaculture Fund was </w:t>
      </w:r>
      <w:r w:rsidR="003E60B7" w:rsidRPr="006D3C55">
        <w:t>0.59</w:t>
      </w:r>
      <w:r w:rsidRPr="006D3C55">
        <w:t xml:space="preserve">%. Overall, the risk level has remained stable since 2021, at around 1%. </w:t>
      </w:r>
      <w:r w:rsidRPr="00FD53CC">
        <w:t xml:space="preserve">Similarly, </w:t>
      </w:r>
      <w:r w:rsidR="00CC7F37" w:rsidRPr="00FD53CC">
        <w:t xml:space="preserve">for climate </w:t>
      </w:r>
      <w:r w:rsidR="00AA1048">
        <w:t xml:space="preserve">and environment-related </w:t>
      </w:r>
      <w:r w:rsidR="00CC7F37" w:rsidRPr="00FD53CC">
        <w:t>initiatives</w:t>
      </w:r>
      <w:r w:rsidRPr="00FD53CC">
        <w:t xml:space="preserve">, </w:t>
      </w:r>
      <w:r w:rsidR="009E1227" w:rsidRPr="00FD53CC">
        <w:t xml:space="preserve">the </w:t>
      </w:r>
      <w:r w:rsidRPr="00FD53CC">
        <w:t>risk at payment</w:t>
      </w:r>
      <w:r w:rsidR="00FF65E3" w:rsidRPr="00FD53CC">
        <w:t xml:space="preserve"> is low</w:t>
      </w:r>
      <w:r w:rsidRPr="00FD53CC">
        <w:t xml:space="preserve"> </w:t>
      </w:r>
      <w:r w:rsidR="0004296F" w:rsidRPr="00FD53CC">
        <w:t>(</w:t>
      </w:r>
      <w:r w:rsidRPr="00FD53CC">
        <w:t>0.2</w:t>
      </w:r>
      <w:r w:rsidR="009156EA" w:rsidRPr="00FD53CC">
        <w:t>1</w:t>
      </w:r>
      <w:r w:rsidRPr="00FD53CC">
        <w:t xml:space="preserve">% </w:t>
      </w:r>
      <w:r w:rsidR="0004296F" w:rsidRPr="00FD53CC">
        <w:t xml:space="preserve">for </w:t>
      </w:r>
      <w:r w:rsidR="00735858" w:rsidRPr="00735858">
        <w:t xml:space="preserve">DG Environment </w:t>
      </w:r>
      <w:r w:rsidRPr="00FD53CC">
        <w:t>and 0.4</w:t>
      </w:r>
      <w:r w:rsidR="00F5060C" w:rsidRPr="00FD53CC">
        <w:t>1</w:t>
      </w:r>
      <w:r w:rsidRPr="00FD53CC">
        <w:t xml:space="preserve">% </w:t>
      </w:r>
      <w:r w:rsidR="00735858" w:rsidRPr="00735858">
        <w:t>for DG Climate Action</w:t>
      </w:r>
      <w:r w:rsidR="00EA7D24" w:rsidRPr="0065798C">
        <w:t>)</w:t>
      </w:r>
      <w:r w:rsidRPr="0065798C">
        <w:t xml:space="preserve">, </w:t>
      </w:r>
      <w:r w:rsidR="00DA587F" w:rsidRPr="00DA587F">
        <w:t>reflecting the predominance of inherently low-risk payment types</w:t>
      </w:r>
      <w:r w:rsidRPr="006D3C55">
        <w:t xml:space="preserve"> (e.g. procurements, subsidies to decentralised agencies, contribution agreements with international organisations).</w:t>
      </w:r>
    </w:p>
    <w:p w14:paraId="5D2525FF" w14:textId="32B1BB1C" w:rsidR="001301C1" w:rsidRPr="00FD53CC" w:rsidRDefault="001301C1" w:rsidP="009261D2">
      <w:pPr>
        <w:rPr>
          <w:rStyle w:val="Bold"/>
        </w:rPr>
      </w:pPr>
      <w:r w:rsidRPr="00FD53CC">
        <w:rPr>
          <w:rStyle w:val="Bold"/>
        </w:rPr>
        <w:t>At the end of 202</w:t>
      </w:r>
      <w:r w:rsidR="000214A2" w:rsidRPr="00FD53CC">
        <w:rPr>
          <w:rStyle w:val="Bold"/>
        </w:rPr>
        <w:t>5</w:t>
      </w:r>
      <w:r w:rsidRPr="00FD53CC">
        <w:rPr>
          <w:rStyle w:val="Bold"/>
        </w:rPr>
        <w:t>, there were seven reservations for this heading, as described below.</w:t>
      </w:r>
    </w:p>
    <w:p w14:paraId="752F7F73" w14:textId="76FB074E" w:rsidR="001301C1" w:rsidRPr="00FD53CC" w:rsidRDefault="001301C1" w:rsidP="00021FA3">
      <w:pPr>
        <w:pStyle w:val="NormalIndented"/>
        <w:rPr>
          <w:rStyle w:val="Bold"/>
        </w:rPr>
      </w:pPr>
      <w:r w:rsidRPr="00FD53CC">
        <w:rPr>
          <w:rStyle w:val="Bold"/>
        </w:rPr>
        <w:t>Five recurrent reservations for segments of expenditure or programmes where control weaknesses and/or error rates are above 2%:</w:t>
      </w:r>
    </w:p>
    <w:p w14:paraId="3A395A7C" w14:textId="24E93DF0" w:rsidR="001301C1" w:rsidRPr="006D3C55" w:rsidRDefault="001301C1" w:rsidP="004F59DE">
      <w:pPr>
        <w:pStyle w:val="ListBulletorangeLevel1"/>
      </w:pPr>
      <w:r w:rsidRPr="006D3C55">
        <w:t xml:space="preserve">European Agricultural Guarantee Fund market measures in relation to </w:t>
      </w:r>
      <w:r w:rsidR="003E5B07" w:rsidRPr="006D3C55">
        <w:t>five</w:t>
      </w:r>
      <w:r w:rsidRPr="006D3C55">
        <w:t xml:space="preserve"> aid schemes in </w:t>
      </w:r>
      <w:r w:rsidR="00221208" w:rsidRPr="006D3C55">
        <w:t>three</w:t>
      </w:r>
      <w:r w:rsidRPr="006D3C55">
        <w:t xml:space="preserve"> Member States, quantified;</w:t>
      </w:r>
    </w:p>
    <w:p w14:paraId="45511CB1" w14:textId="77777777" w:rsidR="001301C1" w:rsidRPr="006D3C55" w:rsidRDefault="001301C1" w:rsidP="004F59DE">
      <w:pPr>
        <w:pStyle w:val="ListBulletorangeLevel1"/>
      </w:pPr>
      <w:r w:rsidRPr="006D3C55">
        <w:t>direct payments (programme of options specifically relating to remoteness and insularity) in relation to one Member State, quantified;</w:t>
      </w:r>
    </w:p>
    <w:p w14:paraId="53C67D61" w14:textId="22F9E20D" w:rsidR="001301C1" w:rsidRPr="006D3C55" w:rsidRDefault="001301C1" w:rsidP="004F59DE">
      <w:pPr>
        <w:pStyle w:val="ListBulletorangeLevel1"/>
      </w:pPr>
      <w:r w:rsidRPr="006D3C55">
        <w:t>European Agricultural Fund for Rural Development measures in relation to 1</w:t>
      </w:r>
      <w:r w:rsidR="005D2820" w:rsidRPr="006D3C55">
        <w:t>0</w:t>
      </w:r>
      <w:r w:rsidRPr="006D3C55">
        <w:t xml:space="preserve"> paying agencies in 10 Member States, quantified;</w:t>
      </w:r>
    </w:p>
    <w:p w14:paraId="00C4CC3B" w14:textId="6761D999" w:rsidR="001301C1" w:rsidRPr="006D3C55" w:rsidRDefault="001301C1" w:rsidP="004F59DE">
      <w:pPr>
        <w:pStyle w:val="ListBulletorangeLevel1"/>
      </w:pPr>
      <w:r w:rsidRPr="006D3C55">
        <w:t xml:space="preserve">European Maritime and Fisheries Fund, for management and control system weaknesses in </w:t>
      </w:r>
      <w:r w:rsidR="00125D57" w:rsidRPr="006D3C55">
        <w:t>two</w:t>
      </w:r>
      <w:r w:rsidRPr="006D3C55">
        <w:t xml:space="preserve"> Member State</w:t>
      </w:r>
      <w:r w:rsidR="00125D57" w:rsidRPr="006D3C55">
        <w:t>s</w:t>
      </w:r>
      <w:r w:rsidRPr="006D3C55">
        <w:t>, non-quantified;</w:t>
      </w:r>
    </w:p>
    <w:p w14:paraId="18DBACAE" w14:textId="30EC329C" w:rsidR="001301C1" w:rsidRPr="006D3C55" w:rsidRDefault="001301C1" w:rsidP="004F59DE">
      <w:pPr>
        <w:pStyle w:val="ListBulletorangeLevel1"/>
      </w:pPr>
      <w:r w:rsidRPr="006D3C55">
        <w:t xml:space="preserve">EU emissions trading system registry, </w:t>
      </w:r>
      <w:r w:rsidR="0097625E">
        <w:t xml:space="preserve">one </w:t>
      </w:r>
      <w:r w:rsidRPr="00991197">
        <w:t>reservation</w:t>
      </w:r>
      <w:r w:rsidRPr="006D3C55">
        <w:t xml:space="preserve"> related to </w:t>
      </w:r>
      <w:r w:rsidR="00315811" w:rsidRPr="006D3C55">
        <w:t xml:space="preserve">information technology </w:t>
      </w:r>
      <w:r w:rsidRPr="006D3C55">
        <w:t>risks, non-quantified.</w:t>
      </w:r>
    </w:p>
    <w:p w14:paraId="3E7C605C" w14:textId="1F7560D3" w:rsidR="001301C1" w:rsidRPr="006D3C55" w:rsidRDefault="001301C1" w:rsidP="00021FA3">
      <w:pPr>
        <w:pStyle w:val="NormalIndented"/>
      </w:pPr>
      <w:r w:rsidRPr="00FD53CC">
        <w:rPr>
          <w:rStyle w:val="Bold"/>
        </w:rPr>
        <w:t>Two new reservations for expenditure under the common agricultural policy</w:t>
      </w:r>
      <w:r w:rsidRPr="00FD53CC" w:rsidDel="005E3BB9">
        <w:rPr>
          <w:rStyle w:val="Bold"/>
        </w:rPr>
        <w:t xml:space="preserve"> </w:t>
      </w:r>
      <w:r w:rsidRPr="00FD53CC">
        <w:rPr>
          <w:rStyle w:val="Bold"/>
        </w:rPr>
        <w:t>strategic plans for interventions in Member States where potential serious deficiencies were identified in the functioning of the governance systems.</w:t>
      </w:r>
      <w:r w:rsidRPr="006D3C55">
        <w:t xml:space="preserve"> Given the qualitative assessment, no financial impact can be determined, and the reservations are not </w:t>
      </w:r>
      <w:r w:rsidRPr="00FD53CC">
        <w:t>quantified:</w:t>
      </w:r>
    </w:p>
    <w:p w14:paraId="448983E6" w14:textId="09B113E6" w:rsidR="001301C1" w:rsidRPr="006D3C55" w:rsidRDefault="001301C1" w:rsidP="004F59DE">
      <w:pPr>
        <w:pStyle w:val="ListBulletorangeLevel1"/>
      </w:pPr>
      <w:r w:rsidRPr="006D3C55">
        <w:t>for expenditure that falls under the integrated administration and control system (</w:t>
      </w:r>
      <w:r w:rsidR="00D67F88" w:rsidRPr="006D3C55">
        <w:t>19</w:t>
      </w:r>
      <w:r w:rsidRPr="006D3C55">
        <w:t xml:space="preserve"> reservations in 1</w:t>
      </w:r>
      <w:r w:rsidR="00D00F7E" w:rsidRPr="006D3C55">
        <w:t>9</w:t>
      </w:r>
      <w:r w:rsidRPr="006D3C55">
        <w:t xml:space="preserve"> paying agencies for </w:t>
      </w:r>
      <w:r w:rsidR="00CB51EA" w:rsidRPr="006D3C55">
        <w:t>14</w:t>
      </w:r>
      <w:r w:rsidRPr="006D3C55">
        <w:t xml:space="preserve"> Member States affecting </w:t>
      </w:r>
      <w:r w:rsidR="00CB51EA" w:rsidRPr="006D3C55">
        <w:t>56</w:t>
      </w:r>
      <w:r w:rsidRPr="006D3C55">
        <w:t xml:space="preserve"> interventions);</w:t>
      </w:r>
    </w:p>
    <w:p w14:paraId="6A95E1DF" w14:textId="7D975361" w:rsidR="001301C1" w:rsidRPr="006D3C55" w:rsidRDefault="001301C1" w:rsidP="004F59DE">
      <w:pPr>
        <w:pStyle w:val="ListBulletorangeLevel1"/>
      </w:pPr>
      <w:r w:rsidRPr="006D3C55">
        <w:t>for expenditure that does not fall under the integrated administration and control system (</w:t>
      </w:r>
      <w:r w:rsidR="00F203F2" w:rsidRPr="006D3C55">
        <w:t>15</w:t>
      </w:r>
      <w:r w:rsidRPr="006D3C55">
        <w:t xml:space="preserve"> reservations in </w:t>
      </w:r>
      <w:r w:rsidR="0052279E" w:rsidRPr="006D3C55">
        <w:t>15</w:t>
      </w:r>
      <w:r w:rsidRPr="006D3C55">
        <w:t xml:space="preserve"> paying agencies for </w:t>
      </w:r>
      <w:r w:rsidR="0052279E" w:rsidRPr="006D3C55">
        <w:t>11</w:t>
      </w:r>
      <w:r w:rsidRPr="006D3C55">
        <w:t xml:space="preserve"> Member States affecting </w:t>
      </w:r>
      <w:r w:rsidR="00A84F78" w:rsidRPr="006D3C55">
        <w:t>26</w:t>
      </w:r>
      <w:r w:rsidRPr="006D3C55">
        <w:t xml:space="preserve"> interventions).</w:t>
      </w:r>
    </w:p>
    <w:p w14:paraId="1307279E" w14:textId="77777777" w:rsidR="001301C1" w:rsidRPr="006D3C55" w:rsidRDefault="001301C1" w:rsidP="001301C1">
      <w:r w:rsidRPr="006D3C55">
        <w:t>In all cases where the deficiencies identified have led to reservations, close follow-up measures are in place, including conformity clearance procedures to ultimately protect the EU budget, monitoring of the implementation of remedial measures taken by Member States and, where necessary, interruption or reduction/suspension of payments to the Member States (for more details, see Volume</w:t>
      </w:r>
      <w:r w:rsidRPr="006D3C55">
        <w:rPr>
          <w:rFonts w:ascii="Calibri" w:hAnsi="Calibri" w:cs="Calibri"/>
        </w:rPr>
        <w:t> </w:t>
      </w:r>
      <w:r w:rsidRPr="006D3C55">
        <w:t>III, Annex</w:t>
      </w:r>
      <w:r w:rsidRPr="006D3C55">
        <w:rPr>
          <w:rFonts w:ascii="Calibri" w:hAnsi="Calibri" w:cs="Calibri"/>
        </w:rPr>
        <w:t> </w:t>
      </w:r>
      <w:r w:rsidRPr="006D3C55">
        <w:t>5).</w:t>
      </w:r>
    </w:p>
    <w:p w14:paraId="451C098B" w14:textId="77777777" w:rsidR="001301C1" w:rsidRPr="006D3C55" w:rsidRDefault="001301C1" w:rsidP="001301C1">
      <w:pPr>
        <w:rPr>
          <w:highlight w:val="lightGray"/>
        </w:rPr>
      </w:pPr>
      <w:r w:rsidRPr="006D3C55">
        <w:rPr>
          <w:highlight w:val="lightGray"/>
        </w:rPr>
        <w:br w:type="page"/>
      </w:r>
    </w:p>
    <w:p w14:paraId="5FA6EE17" w14:textId="1CC6ADB6" w:rsidR="001301C1" w:rsidRPr="006D3C55" w:rsidRDefault="001301C1" w:rsidP="001301C1">
      <w:pPr>
        <w:pStyle w:val="Heading5"/>
        <w:numPr>
          <w:ilvl w:val="3"/>
          <w:numId w:val="0"/>
        </w:numPr>
        <w:rPr>
          <w:rFonts w:ascii="EC Square Sans Pro" w:hAnsi="EC Square Sans Pro"/>
        </w:rPr>
      </w:pPr>
      <w:r w:rsidRPr="006D3C55">
        <w:rPr>
          <w:rFonts w:ascii="EC Square Sans Pro" w:hAnsi="EC Square Sans Pro"/>
        </w:rPr>
        <w:t>Heading</w:t>
      </w:r>
      <w:r w:rsidRPr="006D3C55">
        <w:rPr>
          <w:rFonts w:ascii="Calibri" w:hAnsi="Calibri" w:cs="Calibri"/>
        </w:rPr>
        <w:t> </w:t>
      </w:r>
      <w:r w:rsidRPr="006D3C55">
        <w:rPr>
          <w:rFonts w:ascii="EC Square Sans Pro" w:hAnsi="EC Square Sans Pro"/>
        </w:rPr>
        <w:t>4</w:t>
      </w:r>
      <w:r w:rsidRPr="006D3C55">
        <w:rPr>
          <w:rFonts w:ascii="Calibri" w:hAnsi="Calibri" w:cs="Calibri"/>
        </w:rPr>
        <w:t> </w:t>
      </w:r>
      <w:r w:rsidRPr="006D3C55">
        <w:rPr>
          <w:rFonts w:ascii="EC Square Sans Pro" w:hAnsi="EC Square Sans Pro"/>
        </w:rPr>
        <w:t>– migration and border management</w:t>
      </w:r>
    </w:p>
    <w:p w14:paraId="423A4E74" w14:textId="77777777" w:rsidR="007503AB" w:rsidRPr="006D3C55" w:rsidRDefault="00785ED2" w:rsidP="007503AB">
      <w:pPr>
        <w:pStyle w:val="amprboxtext"/>
        <w:spacing w:before="0" w:after="0"/>
      </w:pPr>
      <w:r w:rsidRPr="00D763F1">
        <w:rPr>
          <w:rStyle w:val="Bold"/>
        </w:rPr>
        <w:t>Total amount of relevant expenditure:</w:t>
      </w:r>
      <w:r w:rsidRPr="006D3C55">
        <w:t xml:space="preserve"> EUR</w:t>
      </w:r>
      <w:r w:rsidRPr="006D3C55">
        <w:rPr>
          <w:rFonts w:ascii="Calibri" w:hAnsi="Calibri" w:cs="Calibri"/>
        </w:rPr>
        <w:t> </w:t>
      </w:r>
      <w:r w:rsidRPr="006D3C55">
        <w:t>3.8</w:t>
      </w:r>
      <w:r w:rsidRPr="006D3C55">
        <w:rPr>
          <w:rFonts w:ascii="Calibri" w:hAnsi="Calibri" w:cs="Calibri"/>
        </w:rPr>
        <w:t> </w:t>
      </w:r>
      <w:r w:rsidRPr="006D3C55">
        <w:t>billion (2024: EUR</w:t>
      </w:r>
      <w:r w:rsidRPr="006D3C55">
        <w:rPr>
          <w:rFonts w:ascii="Calibri" w:hAnsi="Calibri" w:cs="Calibri"/>
        </w:rPr>
        <w:t> </w:t>
      </w:r>
      <w:r w:rsidRPr="006D3C55">
        <w:t>3.5</w:t>
      </w:r>
      <w:r w:rsidRPr="006D3C55">
        <w:rPr>
          <w:rFonts w:ascii="Calibri" w:hAnsi="Calibri" w:cs="Calibri"/>
        </w:rPr>
        <w:t> </w:t>
      </w:r>
      <w:r w:rsidRPr="006D3C55">
        <w:t>billion).</w:t>
      </w:r>
    </w:p>
    <w:p w14:paraId="51E0A0F7" w14:textId="77777777" w:rsidR="00785ED2" w:rsidRPr="006D3C55" w:rsidRDefault="00785ED2" w:rsidP="00F47F25">
      <w:pPr>
        <w:pStyle w:val="amprboxtext"/>
        <w:spacing w:before="0" w:after="0"/>
      </w:pPr>
      <w:r w:rsidRPr="00D763F1">
        <w:rPr>
          <w:rStyle w:val="Bold"/>
        </w:rPr>
        <w:t>Risk at payment:</w:t>
      </w:r>
      <w:r w:rsidRPr="006D3C55">
        <w:t xml:space="preserve"> 1.1% (2024: 1.3%).</w:t>
      </w:r>
    </w:p>
    <w:p w14:paraId="318C01FE" w14:textId="77777777" w:rsidR="00785ED2" w:rsidRPr="006D3C55" w:rsidRDefault="00785ED2" w:rsidP="00F47F25">
      <w:pPr>
        <w:pStyle w:val="amprboxtext"/>
        <w:spacing w:before="0" w:after="0"/>
      </w:pPr>
      <w:r w:rsidRPr="00D763F1">
        <w:rPr>
          <w:rStyle w:val="Bold"/>
        </w:rPr>
        <w:t>Risk at closure:</w:t>
      </w:r>
      <w:r w:rsidRPr="006D3C55">
        <w:t xml:space="preserve"> 1.0% (2024: 1.2%).</w:t>
      </w:r>
    </w:p>
    <w:p w14:paraId="63353414" w14:textId="3BC54129" w:rsidR="00F47F25" w:rsidRPr="006D3C55" w:rsidRDefault="00785ED2" w:rsidP="00F47F25">
      <w:pPr>
        <w:pStyle w:val="amprboxtext"/>
        <w:spacing w:before="0" w:after="0"/>
      </w:pPr>
      <w:r w:rsidRPr="00D763F1">
        <w:rPr>
          <w:rStyle w:val="Bold"/>
        </w:rPr>
        <w:t xml:space="preserve">Total </w:t>
      </w:r>
      <w:r w:rsidR="002211D0" w:rsidRPr="00D763F1">
        <w:rPr>
          <w:rStyle w:val="Bold"/>
        </w:rPr>
        <w:t xml:space="preserve">preventive </w:t>
      </w:r>
      <w:r w:rsidR="002211D0">
        <w:rPr>
          <w:rStyle w:val="Bold"/>
        </w:rPr>
        <w:t>and</w:t>
      </w:r>
      <w:r w:rsidRPr="00D763F1">
        <w:rPr>
          <w:rStyle w:val="Bold"/>
        </w:rPr>
        <w:t xml:space="preserve"> corrective measures</w:t>
      </w:r>
      <w:r w:rsidRPr="006D3C55">
        <w:t xml:space="preserve"> (Commission and Member States)</w:t>
      </w:r>
      <w:r w:rsidRPr="00D763F1">
        <w:t>:</w:t>
      </w:r>
      <w:r w:rsidRPr="006D3C55">
        <w:t xml:space="preserve"> </w:t>
      </w:r>
      <w:r w:rsidRPr="006D3C55">
        <w:rPr>
          <w:rFonts w:asciiTheme="minorHAnsi" w:hAnsiTheme="minorHAnsi"/>
        </w:rPr>
        <w:t>EUR</w:t>
      </w:r>
      <w:r w:rsidR="008E655D" w:rsidRPr="006D3C55">
        <w:rPr>
          <w:rFonts w:ascii="Calibri" w:hAnsi="Calibri" w:cs="Calibri"/>
        </w:rPr>
        <w:t> </w:t>
      </w:r>
      <w:r w:rsidR="00670F2B" w:rsidRPr="006D3C55">
        <w:rPr>
          <w:rFonts w:asciiTheme="minorHAnsi" w:hAnsiTheme="minorHAnsi"/>
        </w:rPr>
        <w:t>115.</w:t>
      </w:r>
      <w:r w:rsidR="00BF4FA4" w:rsidRPr="006D3C55">
        <w:rPr>
          <w:rFonts w:asciiTheme="minorHAnsi" w:hAnsiTheme="minorHAnsi"/>
        </w:rPr>
        <w:t>6</w:t>
      </w:r>
      <w:r w:rsidR="008E655D" w:rsidRPr="006D3C55">
        <w:rPr>
          <w:rFonts w:ascii="Calibri" w:hAnsi="Calibri" w:cs="Calibri"/>
        </w:rPr>
        <w:t> </w:t>
      </w:r>
      <w:r w:rsidRPr="006D3C55">
        <w:t>million (2024: EUR</w:t>
      </w:r>
      <w:r w:rsidRPr="006D3C55">
        <w:rPr>
          <w:rFonts w:ascii="Calibri" w:hAnsi="Calibri" w:cs="Calibri"/>
        </w:rPr>
        <w:t> </w:t>
      </w:r>
      <w:r w:rsidRPr="006D3C55">
        <w:t>45.5</w:t>
      </w:r>
      <w:r w:rsidRPr="006D3C55">
        <w:rPr>
          <w:rFonts w:ascii="Calibri" w:hAnsi="Calibri" w:cs="Calibri"/>
        </w:rPr>
        <w:t> </w:t>
      </w:r>
      <w:r w:rsidRPr="006D3C55">
        <w:t>million):</w:t>
      </w:r>
    </w:p>
    <w:p w14:paraId="0B1BD60F" w14:textId="6163B107" w:rsidR="00F47F25" w:rsidRPr="00241104" w:rsidRDefault="00785ED2" w:rsidP="00215B29">
      <w:pPr>
        <w:pStyle w:val="amprboxbulletlistorange"/>
        <w:rPr>
          <w:rStyle w:val="Italic"/>
        </w:rPr>
      </w:pPr>
      <w:r w:rsidRPr="00241104">
        <w:rPr>
          <w:rStyle w:val="Italic"/>
        </w:rPr>
        <w:t xml:space="preserve">preventive measures: </w:t>
      </w:r>
      <w:r w:rsidR="00023C26" w:rsidRPr="00241104">
        <w:rPr>
          <w:rStyle w:val="Italic"/>
        </w:rPr>
        <w:t>EUR</w:t>
      </w:r>
      <w:r w:rsidR="001A3B11" w:rsidRPr="00241104">
        <w:rPr>
          <w:rStyle w:val="Italic"/>
          <w:rFonts w:ascii="Calibri" w:hAnsi="Calibri" w:cs="Calibri"/>
        </w:rPr>
        <w:t> </w:t>
      </w:r>
      <w:r w:rsidR="00D7389E" w:rsidRPr="00241104">
        <w:rPr>
          <w:rStyle w:val="Italic"/>
        </w:rPr>
        <w:t>115.6</w:t>
      </w:r>
      <w:r w:rsidR="001A3B11" w:rsidRPr="00241104">
        <w:rPr>
          <w:rStyle w:val="Italic"/>
          <w:rFonts w:ascii="Calibri" w:hAnsi="Calibri" w:cs="Calibri"/>
        </w:rPr>
        <w:t> </w:t>
      </w:r>
      <w:r w:rsidR="00D7389E" w:rsidRPr="00241104">
        <w:rPr>
          <w:rStyle w:val="Italic"/>
        </w:rPr>
        <w:t>million</w:t>
      </w:r>
      <w:r w:rsidRPr="00241104">
        <w:rPr>
          <w:rStyle w:val="Italic"/>
        </w:rPr>
        <w:t xml:space="preserve"> (2024: EUR</w:t>
      </w:r>
      <w:r w:rsidRPr="00241104">
        <w:rPr>
          <w:rStyle w:val="Italic"/>
          <w:rFonts w:ascii="Calibri" w:hAnsi="Calibri" w:cs="Calibri"/>
        </w:rPr>
        <w:t> </w:t>
      </w:r>
      <w:r w:rsidR="00B50AB3" w:rsidRPr="00241104">
        <w:rPr>
          <w:rStyle w:val="Italic"/>
        </w:rPr>
        <w:t>44</w:t>
      </w:r>
      <w:r w:rsidRPr="00241104">
        <w:rPr>
          <w:rStyle w:val="Italic"/>
        </w:rPr>
        <w:t>.</w:t>
      </w:r>
      <w:r w:rsidR="00713A97" w:rsidRPr="00241104">
        <w:rPr>
          <w:rStyle w:val="Italic"/>
        </w:rPr>
        <w:t>4</w:t>
      </w:r>
      <w:r w:rsidRPr="00241104">
        <w:rPr>
          <w:rStyle w:val="Italic"/>
          <w:rFonts w:ascii="Calibri" w:hAnsi="Calibri" w:cs="Calibri"/>
        </w:rPr>
        <w:t> </w:t>
      </w:r>
      <w:r w:rsidRPr="00241104">
        <w:rPr>
          <w:rStyle w:val="Italic"/>
        </w:rPr>
        <w:t>million);</w:t>
      </w:r>
    </w:p>
    <w:p w14:paraId="45EFBB6A" w14:textId="4C22E653" w:rsidR="00785ED2" w:rsidRPr="00241104" w:rsidRDefault="00785ED2" w:rsidP="00215B29">
      <w:pPr>
        <w:pStyle w:val="amprboxbulletlistorange"/>
        <w:rPr>
          <w:rStyle w:val="Italic"/>
        </w:rPr>
      </w:pPr>
      <w:r w:rsidRPr="00241104">
        <w:rPr>
          <w:rStyle w:val="Italic"/>
        </w:rPr>
        <w:t xml:space="preserve">corrective measures: </w:t>
      </w:r>
      <w:r w:rsidR="00CE4B8E">
        <w:rPr>
          <w:rStyle w:val="Italic"/>
        </w:rPr>
        <w:t>EUR</w:t>
      </w:r>
      <w:r w:rsidR="00CE4B8E">
        <w:rPr>
          <w:rStyle w:val="Italic"/>
          <w:rFonts w:ascii="Calibri" w:hAnsi="Calibri" w:cs="Calibri"/>
        </w:rPr>
        <w:t> </w:t>
      </w:r>
      <w:r w:rsidR="00CE4B8E">
        <w:rPr>
          <w:rStyle w:val="Italic"/>
        </w:rPr>
        <w:t>0.02</w:t>
      </w:r>
      <w:r w:rsidR="00CE4B8E">
        <w:rPr>
          <w:rStyle w:val="Italic"/>
          <w:rFonts w:ascii="Calibri" w:hAnsi="Calibri" w:cs="Calibri"/>
        </w:rPr>
        <w:t> </w:t>
      </w:r>
      <w:r w:rsidR="00CE4B8E" w:rsidRPr="00DD04DF">
        <w:rPr>
          <w:rStyle w:val="Italic"/>
        </w:rPr>
        <w:t>million</w:t>
      </w:r>
      <w:r w:rsidRPr="00241104">
        <w:rPr>
          <w:rStyle w:val="Italic"/>
        </w:rPr>
        <w:t xml:space="preserve"> (2024: EUR</w:t>
      </w:r>
      <w:r w:rsidRPr="00241104">
        <w:rPr>
          <w:rStyle w:val="Italic"/>
          <w:rFonts w:ascii="Calibri" w:hAnsi="Calibri" w:cs="Calibri"/>
        </w:rPr>
        <w:t> </w:t>
      </w:r>
      <w:r w:rsidRPr="00241104">
        <w:rPr>
          <w:rStyle w:val="Italic"/>
        </w:rPr>
        <w:t>1.1 million).</w:t>
      </w:r>
    </w:p>
    <w:p w14:paraId="26461276" w14:textId="718D175A" w:rsidR="00785ED2" w:rsidRPr="006D3C55" w:rsidRDefault="00785ED2" w:rsidP="001301C1">
      <w:pPr>
        <w:pStyle w:val="amprboxtext"/>
        <w:spacing w:before="0"/>
      </w:pPr>
      <w:r w:rsidRPr="00D763F1">
        <w:rPr>
          <w:rStyle w:val="Bold"/>
        </w:rPr>
        <w:t>Reservations:</w:t>
      </w:r>
      <w:r w:rsidRPr="006D3C55">
        <w:t xml:space="preserve"> two reservations with</w:t>
      </w:r>
      <w:r w:rsidR="005E31FF" w:rsidRPr="006D3C55">
        <w:t>out</w:t>
      </w:r>
      <w:r w:rsidRPr="006D3C55">
        <w:t xml:space="preserve"> a financial impact</w:t>
      </w:r>
      <w:r w:rsidR="00327DB6" w:rsidRPr="006D3C55">
        <w:t xml:space="preserve"> </w:t>
      </w:r>
      <w:r w:rsidRPr="006D3C55">
        <w:t>(2024: two reservations with a financial impact of EUR</w:t>
      </w:r>
      <w:r w:rsidRPr="006D3C55">
        <w:rPr>
          <w:rFonts w:ascii="Calibri" w:hAnsi="Calibri" w:cs="Calibri"/>
        </w:rPr>
        <w:t> </w:t>
      </w:r>
      <w:r w:rsidRPr="006D3C55">
        <w:t>3.4</w:t>
      </w:r>
      <w:r w:rsidRPr="006D3C55">
        <w:rPr>
          <w:rFonts w:ascii="Calibri" w:hAnsi="Calibri" w:cs="Calibri"/>
        </w:rPr>
        <w:t> </w:t>
      </w:r>
      <w:r w:rsidRPr="006D3C55">
        <w:t>million).</w:t>
      </w:r>
    </w:p>
    <w:p w14:paraId="1EA7A85D" w14:textId="16F46EA1" w:rsidR="006B7FD2" w:rsidRPr="006D3C55" w:rsidRDefault="007F4B3F" w:rsidP="006B7FD2">
      <w:r w:rsidRPr="007F4B3F">
        <w:rPr>
          <w:b/>
          <w:noProof/>
          <w:spacing w:val="1"/>
        </w:rPr>
        <w:drawing>
          <wp:anchor distT="0" distB="0" distL="114300" distR="114300" simplePos="0" relativeHeight="251658243" behindDoc="0" locked="0" layoutInCell="1" allowOverlap="1" wp14:anchorId="48872DC1" wp14:editId="5B8B4B85">
            <wp:simplePos x="0" y="0"/>
            <wp:positionH relativeFrom="column">
              <wp:posOffset>3175</wp:posOffset>
            </wp:positionH>
            <wp:positionV relativeFrom="paragraph">
              <wp:posOffset>4445</wp:posOffset>
            </wp:positionV>
            <wp:extent cx="2871470" cy="4050665"/>
            <wp:effectExtent l="0" t="0" r="5080" b="6985"/>
            <wp:wrapSquare wrapText="bothSides"/>
            <wp:docPr id="1630435377" name="Picture 24" descr="Graph showing the evolution of risk at payment and risk at closure for Heading 4 – migration and border management between 2023, 2024, and 2025. The graph shows the materiality represented by a line at 2%.&#10;Risk at payment in 2023 was 1.1%, in 2024 1.3% and in 2025 1.1%.&#10;Risk at closure in 2023 was 1.0%; in 2024 1.2% and in 2025 1.0%.">
              <a:extLst xmlns:a="http://schemas.openxmlformats.org/drawingml/2006/main">
                <a:ext uri="{FF2B5EF4-FFF2-40B4-BE49-F238E27FC236}">
                  <a16:creationId xmlns:a16="http://schemas.microsoft.com/office/drawing/2014/main" id="{C074CD58-16CE-8A38-AE5F-292E4F3E8EA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0435377" name="Picture 24" descr="Graph showing the evolution of risk at payment and risk at closure for Heading 4 – migration and border management between 2023, 2024, and 2025. The graph shows the materiality represented by a line at 2%.&#10;Risk at payment in 2023 was 1.1%, in 2024 1.3% and in 2025 1.1%.&#10;Risk at closure in 2023 was 1.0%; in 2024 1.2% and in 2025 1.0%.">
                      <a:extLst>
                        <a:ext uri="{FF2B5EF4-FFF2-40B4-BE49-F238E27FC236}">
                          <a16:creationId xmlns:a16="http://schemas.microsoft.com/office/drawing/2014/main" id="{C074CD58-16CE-8A38-AE5F-292E4F3E8EAC}"/>
                        </a:ext>
                      </a:extLst>
                    </pic:cNvPr>
                    <pic:cNvPicPr>
                      <a:picLocks noChangeAspect="1"/>
                    </pic:cNvPicPr>
                  </pic:nvPicPr>
                  <pic:blipFill rotWithShape="1">
                    <a:blip r:embed="rId77"/>
                    <a:srcRect l="1851" r="2496" b="2513"/>
                    <a:stretch>
                      <a:fillRect/>
                    </a:stretch>
                  </pic:blipFill>
                  <pic:spPr bwMode="auto">
                    <a:xfrm>
                      <a:off x="0" y="0"/>
                      <a:ext cx="2871470" cy="4050665"/>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sidR="001301C1" w:rsidRPr="00D763F1">
        <w:rPr>
          <w:rStyle w:val="Bold"/>
        </w:rPr>
        <w:t xml:space="preserve">For </w:t>
      </w:r>
      <w:r w:rsidR="00430281" w:rsidRPr="00D763F1">
        <w:rPr>
          <w:rStyle w:val="Bold"/>
        </w:rPr>
        <w:t>migration and border management</w:t>
      </w:r>
      <w:r w:rsidR="00430281" w:rsidRPr="00AD4275">
        <w:rPr>
          <w:rFonts w:ascii="Calibri" w:hAnsi="Calibri" w:cs="Calibri"/>
          <w:bCs/>
        </w:rPr>
        <w:t> </w:t>
      </w:r>
      <w:r w:rsidR="00430281" w:rsidRPr="00AD4275">
        <w:rPr>
          <w:bCs/>
        </w:rPr>
        <w:t>(</w:t>
      </w:r>
      <w:r w:rsidR="00430281" w:rsidRPr="00352191">
        <w:rPr>
          <w:rStyle w:val="FootnoteReference"/>
        </w:rPr>
        <w:footnoteReference w:id="40"/>
      </w:r>
      <w:r w:rsidR="00430281" w:rsidRPr="00AD4275">
        <w:rPr>
          <w:bCs/>
        </w:rPr>
        <w:t>)</w:t>
      </w:r>
      <w:r w:rsidR="00430281" w:rsidRPr="00D763F1">
        <w:rPr>
          <w:rStyle w:val="Bold"/>
        </w:rPr>
        <w:t>, both risk at payment and risk at closure decreased slightly compared to 2024</w:t>
      </w:r>
      <w:r w:rsidR="00430281" w:rsidRPr="006D3C55">
        <w:t xml:space="preserve"> and the share of low</w:t>
      </w:r>
      <w:r w:rsidR="000E07DD" w:rsidRPr="006D3C55">
        <w:t>-</w:t>
      </w:r>
      <w:r w:rsidR="00430281" w:rsidRPr="006D3C55">
        <w:t xml:space="preserve">risk expenditure (risk at payment </w:t>
      </w:r>
      <w:r w:rsidR="00430281" w:rsidRPr="009124E6">
        <w:t>below 2%) increased from 73.2% in 2024 to 8</w:t>
      </w:r>
      <w:r w:rsidR="009233D1" w:rsidRPr="009124E6">
        <w:t>7.6</w:t>
      </w:r>
      <w:r w:rsidR="00430281" w:rsidRPr="009124E6">
        <w:t xml:space="preserve">% in 2025 (see graph </w:t>
      </w:r>
      <w:r w:rsidR="009124E6" w:rsidRPr="009124E6">
        <w:t>to the left</w:t>
      </w:r>
      <w:r w:rsidR="00430281" w:rsidRPr="009124E6">
        <w:t xml:space="preserve">). </w:t>
      </w:r>
      <w:r w:rsidR="00BE6CA5" w:rsidRPr="009124E6">
        <w:t>T</w:t>
      </w:r>
      <w:r w:rsidR="00B40585" w:rsidRPr="009124E6">
        <w:t>he</w:t>
      </w:r>
      <w:r w:rsidR="001C06E8" w:rsidRPr="009124E6">
        <w:t xml:space="preserve"> pre</w:t>
      </w:r>
      <w:r w:rsidR="009861D0" w:rsidRPr="009124E6">
        <w:t xml:space="preserve">ventive </w:t>
      </w:r>
      <w:r w:rsidR="00B40585" w:rsidRPr="009124E6">
        <w:t>measures more than doubled compared to</w:t>
      </w:r>
      <w:r w:rsidR="00B40585" w:rsidRPr="006D3C55">
        <w:t xml:space="preserve"> 2024.</w:t>
      </w:r>
      <w:r w:rsidR="00DE0E97" w:rsidRPr="006D3C55">
        <w:t xml:space="preserve"> </w:t>
      </w:r>
      <w:r w:rsidR="006B7FD2" w:rsidRPr="006D3C55">
        <w:t>This increase reflects the further advancement in the implementation of programmes under the 2021</w:t>
      </w:r>
      <w:r w:rsidR="00DE7962" w:rsidRPr="006D3C55">
        <w:t>-</w:t>
      </w:r>
      <w:r w:rsidR="006B7FD2" w:rsidRPr="006D3C55">
        <w:t xml:space="preserve">2027 </w:t>
      </w:r>
      <w:r w:rsidR="008401B7" w:rsidRPr="006D3C55">
        <w:t>multiannual financial framework</w:t>
      </w:r>
      <w:r w:rsidR="006B7FD2" w:rsidRPr="006D3C55">
        <w:t xml:space="preserve">, as </w:t>
      </w:r>
      <w:r w:rsidR="00D8029A" w:rsidRPr="006D3C55">
        <w:t>such preventive measures</w:t>
      </w:r>
      <w:r w:rsidR="006B7FD2" w:rsidRPr="006D3C55">
        <w:t xml:space="preserve"> were implemented by 25 Member States in 2025</w:t>
      </w:r>
      <w:r w:rsidR="002417A4" w:rsidRPr="006D3C55">
        <w:t>,</w:t>
      </w:r>
      <w:r w:rsidR="006B7FD2" w:rsidRPr="006D3C55">
        <w:t xml:space="preserve"> compared to </w:t>
      </w:r>
      <w:r w:rsidR="00B2246A" w:rsidRPr="006D3C55">
        <w:t>13</w:t>
      </w:r>
      <w:r w:rsidR="006B7FD2" w:rsidRPr="006D3C55">
        <w:t xml:space="preserve"> in 2024.</w:t>
      </w:r>
    </w:p>
    <w:p w14:paraId="0E9C02BC" w14:textId="2140F1C8" w:rsidR="00430281" w:rsidRPr="006D3C55" w:rsidRDefault="00430281" w:rsidP="00430281">
      <w:r w:rsidRPr="00D763F1">
        <w:rPr>
          <w:rStyle w:val="Bold"/>
        </w:rPr>
        <w:t xml:space="preserve">This policy area consisted mostly of low-risk segments of expenditure </w:t>
      </w:r>
      <w:r w:rsidR="002417A4" w:rsidRPr="006D3C55">
        <w:t xml:space="preserve">relating </w:t>
      </w:r>
      <w:r w:rsidRPr="006D3C55">
        <w:t>to the implementation of the Internal Security Fund, the Asylum, Migration and Integration Fund and the Border Management and Visa Policy Instrument under the shared management mode (46% of the expenditure)</w:t>
      </w:r>
      <w:r w:rsidR="002417A4" w:rsidRPr="006D3C55">
        <w:t>,</w:t>
      </w:r>
      <w:r w:rsidRPr="006D3C55">
        <w:t xml:space="preserve"> which are considered overall not </w:t>
      </w:r>
      <w:r w:rsidR="002417A4" w:rsidRPr="006D3C55">
        <w:t xml:space="preserve">to be </w:t>
      </w:r>
      <w:r w:rsidRPr="006D3C55">
        <w:t>error</w:t>
      </w:r>
      <w:r w:rsidR="002417A4" w:rsidRPr="006D3C55">
        <w:t>-</w:t>
      </w:r>
      <w:r w:rsidRPr="006D3C55">
        <w:t>prone programmes, and to subsidies to decentralised agencies voted by the budgetary authority</w:t>
      </w:r>
      <w:r w:rsidR="00BF45FF" w:rsidRPr="006D3C55">
        <w:t xml:space="preserve"> (40% of the expenditure)</w:t>
      </w:r>
      <w:r w:rsidRPr="006D3C55">
        <w:t>, which are considered an error-free type of expenditure</w:t>
      </w:r>
      <w:r w:rsidR="00F55C0E" w:rsidRPr="006D3C55">
        <w:t>.</w:t>
      </w:r>
    </w:p>
    <w:p w14:paraId="12219581" w14:textId="75D6B623" w:rsidR="00430281" w:rsidRPr="006D3C55" w:rsidRDefault="00430281" w:rsidP="00430281">
      <w:r w:rsidRPr="006D3C55">
        <w:t>The high</w:t>
      </w:r>
      <w:r w:rsidR="00857CAE" w:rsidRPr="006D3C55">
        <w:t>-</w:t>
      </w:r>
      <w:r w:rsidRPr="006D3C55">
        <w:t xml:space="preserve">risk expenditure corresponds to expenditure under shared management </w:t>
      </w:r>
      <w:r w:rsidRPr="0019715A">
        <w:t xml:space="preserve">for </w:t>
      </w:r>
      <w:r w:rsidR="00625809" w:rsidRPr="0019715A">
        <w:t>25</w:t>
      </w:r>
      <w:r w:rsidR="00857CAE" w:rsidRPr="0019715A">
        <w:rPr>
          <w:rFonts w:ascii="Calibri" w:hAnsi="Calibri" w:cs="Calibri"/>
        </w:rPr>
        <w:t xml:space="preserve"> </w:t>
      </w:r>
      <w:r w:rsidRPr="0019715A">
        <w:t>programmes (</w:t>
      </w:r>
      <w:r w:rsidRPr="006D3C55">
        <w:t xml:space="preserve">out of a total of </w:t>
      </w:r>
      <w:r w:rsidR="00625809" w:rsidRPr="006D3C55">
        <w:t>1</w:t>
      </w:r>
      <w:r w:rsidR="00F74FE3" w:rsidRPr="006D3C55">
        <w:t>39</w:t>
      </w:r>
      <w:r w:rsidRPr="006D3C55">
        <w:t xml:space="preserve">) </w:t>
      </w:r>
      <w:r w:rsidR="00857CAE" w:rsidRPr="006D3C55">
        <w:t xml:space="preserve">for </w:t>
      </w:r>
      <w:r w:rsidR="00747BF5" w:rsidRPr="006D3C55">
        <w:t>which</w:t>
      </w:r>
      <w:r w:rsidRPr="006D3C55">
        <w:t xml:space="preserve"> management </w:t>
      </w:r>
      <w:r w:rsidR="00747BF5" w:rsidRPr="006D3C55">
        <w:t xml:space="preserve">and </w:t>
      </w:r>
      <w:r w:rsidRPr="006D3C55">
        <w:t xml:space="preserve">control systems are not functioning </w:t>
      </w:r>
      <w:r w:rsidR="00281C66" w:rsidRPr="006D3C55">
        <w:t>effectively</w:t>
      </w:r>
      <w:r w:rsidRPr="006D3C55">
        <w:t>, even if the risk at payment i</w:t>
      </w:r>
      <w:r w:rsidR="00747BF5" w:rsidRPr="006D3C55">
        <w:t>s</w:t>
      </w:r>
      <w:r w:rsidRPr="006D3C55">
        <w:t xml:space="preserve"> below 2%, </w:t>
      </w:r>
      <w:r w:rsidR="00857CAE" w:rsidRPr="006D3C55">
        <w:t>and</w:t>
      </w:r>
      <w:r w:rsidRPr="006D3C55">
        <w:t xml:space="preserve"> to EU action and emergency assistance grants to support Member States in the fields of migration and border management</w:t>
      </w:r>
      <w:r w:rsidR="00803897" w:rsidRPr="006D3C55">
        <w:t>,</w:t>
      </w:r>
      <w:r w:rsidRPr="006D3C55">
        <w:t xml:space="preserve"> where the risk at payment is above</w:t>
      </w:r>
      <w:r w:rsidR="00803897" w:rsidRPr="006D3C55">
        <w:rPr>
          <w:rFonts w:ascii="Calibri" w:hAnsi="Calibri" w:cs="Calibri"/>
        </w:rPr>
        <w:t xml:space="preserve"> </w:t>
      </w:r>
      <w:r w:rsidRPr="006D3C55">
        <w:t>2%.</w:t>
      </w:r>
    </w:p>
    <w:p w14:paraId="5819E54C" w14:textId="77777777" w:rsidR="0060016D" w:rsidRPr="006D3C55" w:rsidRDefault="0060016D">
      <w:pPr>
        <w:suppressAutoHyphens w:val="0"/>
      </w:pPr>
      <w:r w:rsidRPr="006D3C55">
        <w:br w:type="page"/>
      </w:r>
    </w:p>
    <w:p w14:paraId="2D7139F9" w14:textId="77777777" w:rsidR="00430281" w:rsidRPr="006D3C55" w:rsidRDefault="00430281" w:rsidP="00430281">
      <w:r w:rsidRPr="006D3C55">
        <w:t>At the end of 2025, two reservations were identified:</w:t>
      </w:r>
    </w:p>
    <w:p w14:paraId="6BC9E391" w14:textId="7AD4CB15" w:rsidR="00430281" w:rsidRPr="006D3C55" w:rsidRDefault="00430281" w:rsidP="00AF7786">
      <w:pPr>
        <w:pStyle w:val="ListBulletorangeLevel1"/>
      </w:pPr>
      <w:r w:rsidRPr="006D3C55">
        <w:t xml:space="preserve">one reservation concerning the Border Management and Visa Policy Instrument, </w:t>
      </w:r>
      <w:r w:rsidR="00803897" w:rsidRPr="006D3C55">
        <w:t xml:space="preserve">the </w:t>
      </w:r>
      <w:r w:rsidRPr="006D3C55">
        <w:t>Asylum, Migration and Integration Fund and the Internal Security Fund for the 2021-2027 programming period, for two Member States</w:t>
      </w:r>
      <w:r w:rsidR="000F5C9A" w:rsidRPr="006D3C55">
        <w:t>;</w:t>
      </w:r>
    </w:p>
    <w:p w14:paraId="0F3E57AF" w14:textId="36072C9D" w:rsidR="00E3430B" w:rsidRPr="006D3C55" w:rsidRDefault="00E3430B" w:rsidP="00AF7786">
      <w:pPr>
        <w:pStyle w:val="ListBulletorangeLevel1"/>
      </w:pPr>
      <w:r w:rsidRPr="006D3C55">
        <w:t xml:space="preserve">one reservation concerning the Asylum, Migration and Integration Fund and the Internal Security Fund for the 2014-2020 programming period, for </w:t>
      </w:r>
      <w:r w:rsidR="00446514" w:rsidRPr="006D3C55">
        <w:t xml:space="preserve">seven </w:t>
      </w:r>
      <w:r w:rsidRPr="006D3C55">
        <w:t>Member States</w:t>
      </w:r>
      <w:r w:rsidR="00446514" w:rsidRPr="006D3C55">
        <w:t xml:space="preserve"> and </w:t>
      </w:r>
      <w:r w:rsidR="008900AB" w:rsidRPr="006D3C55">
        <w:t>two Schengen-associated countries</w:t>
      </w:r>
      <w:r w:rsidRPr="006D3C55">
        <w:t>.</w:t>
      </w:r>
    </w:p>
    <w:p w14:paraId="3DAECE61" w14:textId="740EBE12" w:rsidR="001301C1" w:rsidRPr="006D3C55" w:rsidRDefault="001301C1" w:rsidP="001301C1">
      <w:pPr>
        <w:pStyle w:val="ImageTitle"/>
      </w:pPr>
      <w:r w:rsidRPr="006D3C55">
        <w:t>Multiannual financial framework heading 4</w:t>
      </w:r>
      <w:r w:rsidRPr="006D3C55">
        <w:rPr>
          <w:rFonts w:ascii="Calibri" w:hAnsi="Calibri" w:cs="Calibri"/>
        </w:rPr>
        <w:t> </w:t>
      </w:r>
      <w:r w:rsidRPr="006D3C55">
        <w:t>– migration and border management</w:t>
      </w:r>
      <w:r w:rsidRPr="006D3C55">
        <w:rPr>
          <w:rFonts w:ascii="Calibri" w:hAnsi="Calibri" w:cs="Calibri"/>
        </w:rPr>
        <w:t> </w:t>
      </w:r>
      <w:r w:rsidRPr="006D3C55">
        <w:t>–</w:t>
      </w:r>
      <w:r w:rsidR="00A137E2" w:rsidRPr="006D3C55">
        <w:br/>
      </w:r>
      <w:r w:rsidRPr="006D3C55">
        <w:t xml:space="preserve">overview of risk segmentation for </w:t>
      </w:r>
      <w:r w:rsidR="000F4802" w:rsidRPr="006D3C55">
        <w:t>2023</w:t>
      </w:r>
      <w:r w:rsidRPr="006D3C55">
        <w:t>-</w:t>
      </w:r>
      <w:r w:rsidR="000F4802" w:rsidRPr="006D3C55">
        <w:t>2025</w:t>
      </w:r>
    </w:p>
    <w:p w14:paraId="76304211" w14:textId="68C3EE75" w:rsidR="001301C1" w:rsidRPr="006D3C55" w:rsidRDefault="002C012F" w:rsidP="001301C1">
      <w:pPr>
        <w:pStyle w:val="ImagePlaceholder"/>
        <w:rPr>
          <w:noProof w:val="0"/>
        </w:rPr>
      </w:pPr>
      <w:r w:rsidRPr="002C012F">
        <w:drawing>
          <wp:inline distT="0" distB="0" distL="0" distR="0" wp14:anchorId="3F9FF437" wp14:editId="141C79A0">
            <wp:extent cx="5759450" cy="2428269"/>
            <wp:effectExtent l="0" t="0" r="0" b="0"/>
            <wp:docPr id="38" name="Picture 37" descr="The graph represents the expenditure per risk category (Low risk, medium risk and high risk) in percentage for the years 2023, 2024 and 2025 for heading 4 of the Multiannual financial framework – migration and border management.&#10;For 2025:  Low risk 87.6%, Medium risk 2.1%, High risk 10.2%.&#10;For 2024 Low risk 73.2%, Medium risk 5.6%, High risk 21.1%.&#10;For 2023: Low risk 75.9, Medium risk 1.4% and High risk 22.7%.">
              <a:extLst xmlns:a="http://schemas.openxmlformats.org/drawingml/2006/main">
                <a:ext uri="{FF2B5EF4-FFF2-40B4-BE49-F238E27FC236}">
                  <a16:creationId xmlns:a16="http://schemas.microsoft.com/office/drawing/2014/main" id="{3E394DE5-F802-25EE-18E6-FA402FE1C0B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37" descr="The graph represents the expenditure per risk category (Low risk, medium risk and high risk) in percentage for the years 2023, 2024 and 2025 for heading 4 of the Multiannual financial framework – migration and border management.&#10;For 2025:  Low risk 87.6%, Medium risk 2.1%, High risk 10.2%.&#10;For 2024 Low risk 73.2%, Medium risk 5.6%, High risk 21.1%.&#10;For 2023: Low risk 75.9, Medium risk 1.4% and High risk 22.7%.">
                      <a:extLst>
                        <a:ext uri="{FF2B5EF4-FFF2-40B4-BE49-F238E27FC236}">
                          <a16:creationId xmlns:a16="http://schemas.microsoft.com/office/drawing/2014/main" id="{3E394DE5-F802-25EE-18E6-FA402FE1C0BF}"/>
                        </a:ext>
                      </a:extLst>
                    </pic:cNvPr>
                    <pic:cNvPicPr>
                      <a:picLocks noChangeAspect="1"/>
                    </pic:cNvPicPr>
                  </pic:nvPicPr>
                  <pic:blipFill rotWithShape="1">
                    <a:blip r:embed="rId78"/>
                    <a:srcRect l="6899" t="2981" r="8657" b="8623"/>
                    <a:stretch>
                      <a:fillRect/>
                    </a:stretch>
                  </pic:blipFill>
                  <pic:spPr bwMode="auto">
                    <a:xfrm>
                      <a:off x="0" y="0"/>
                      <a:ext cx="5759450" cy="2428269"/>
                    </a:xfrm>
                    <a:prstGeom prst="rect">
                      <a:avLst/>
                    </a:prstGeom>
                    <a:ln>
                      <a:noFill/>
                    </a:ln>
                    <a:extLst>
                      <a:ext uri="{53640926-AAD7-44D8-BBD7-CCE9431645EC}">
                        <a14:shadowObscured xmlns:a14="http://schemas.microsoft.com/office/drawing/2010/main"/>
                      </a:ext>
                    </a:extLst>
                  </pic:spPr>
                </pic:pic>
              </a:graphicData>
            </a:graphic>
          </wp:inline>
        </w:drawing>
      </w:r>
    </w:p>
    <w:p w14:paraId="3463766B" w14:textId="573B5460" w:rsidR="001301C1" w:rsidRPr="006D3C55" w:rsidRDefault="001301C1" w:rsidP="001301C1">
      <w:pPr>
        <w:pStyle w:val="ImageSource"/>
        <w:spacing w:before="120" w:after="600"/>
      </w:pPr>
      <w:r w:rsidRPr="00241104">
        <w:rPr>
          <w:rStyle w:val="Italic"/>
        </w:rPr>
        <w:t>Source:</w:t>
      </w:r>
      <w:r w:rsidRPr="006D3C55">
        <w:t xml:space="preserve"> European Commission annual activity reports for </w:t>
      </w:r>
      <w:r w:rsidR="000F4802" w:rsidRPr="006D3C55">
        <w:t>2025</w:t>
      </w:r>
      <w:r w:rsidRPr="006D3C55">
        <w:t>.</w:t>
      </w:r>
    </w:p>
    <w:p w14:paraId="66C2C49B" w14:textId="77777777" w:rsidR="001301C1" w:rsidRPr="006D3C55" w:rsidRDefault="001301C1" w:rsidP="001301C1">
      <w:pPr>
        <w:rPr>
          <w:highlight w:val="lightGray"/>
        </w:rPr>
      </w:pPr>
      <w:r w:rsidRPr="006D3C55">
        <w:rPr>
          <w:highlight w:val="lightGray"/>
        </w:rPr>
        <w:br w:type="page"/>
      </w:r>
    </w:p>
    <w:p w14:paraId="58FD5110" w14:textId="28AB4D68" w:rsidR="001301C1" w:rsidRPr="006D3C55" w:rsidRDefault="001301C1" w:rsidP="00241104">
      <w:pPr>
        <w:pStyle w:val="Heading5"/>
        <w:numPr>
          <w:ilvl w:val="3"/>
          <w:numId w:val="0"/>
        </w:numPr>
        <w:spacing w:after="120"/>
        <w:rPr>
          <w:rFonts w:ascii="EC Square Sans Pro" w:hAnsi="EC Square Sans Pro"/>
        </w:rPr>
      </w:pPr>
      <w:r w:rsidRPr="006D3C55">
        <w:rPr>
          <w:rFonts w:ascii="EC Square Sans Pro" w:hAnsi="EC Square Sans Pro"/>
        </w:rPr>
        <w:t>Heading</w:t>
      </w:r>
      <w:r w:rsidRPr="006D3C55">
        <w:rPr>
          <w:rFonts w:ascii="Calibri" w:hAnsi="Calibri" w:cs="Calibri"/>
        </w:rPr>
        <w:t> </w:t>
      </w:r>
      <w:r w:rsidRPr="006D3C55">
        <w:rPr>
          <w:rFonts w:ascii="EC Square Sans Pro" w:hAnsi="EC Square Sans Pro"/>
        </w:rPr>
        <w:t>5</w:t>
      </w:r>
      <w:r w:rsidRPr="006D3C55">
        <w:rPr>
          <w:rFonts w:ascii="Calibri" w:hAnsi="Calibri" w:cs="Calibri"/>
        </w:rPr>
        <w:t> </w:t>
      </w:r>
      <w:r w:rsidRPr="006D3C55">
        <w:rPr>
          <w:rFonts w:ascii="EC Square Sans Pro" w:hAnsi="EC Square Sans Pro"/>
        </w:rPr>
        <w:t>– security and defence</w:t>
      </w:r>
    </w:p>
    <w:p w14:paraId="49263E98" w14:textId="1FDBF2C7" w:rsidR="002208FF" w:rsidRPr="006D3C55" w:rsidRDefault="002208FF" w:rsidP="002208FF">
      <w:pPr>
        <w:pStyle w:val="amprboxtext"/>
        <w:spacing w:before="0" w:after="0"/>
      </w:pPr>
      <w:r w:rsidRPr="006D3C55">
        <w:rPr>
          <w:rStyle w:val="Bold"/>
        </w:rPr>
        <w:t>Total amount of relevant expenditure</w:t>
      </w:r>
      <w:r w:rsidRPr="00D763F1">
        <w:rPr>
          <w:rStyle w:val="Bold"/>
        </w:rPr>
        <w:t>:</w:t>
      </w:r>
      <w:r w:rsidRPr="006D3C55">
        <w:t xml:space="preserve"> EUR</w:t>
      </w:r>
      <w:r w:rsidRPr="006D3C55">
        <w:rPr>
          <w:rFonts w:ascii="Calibri" w:hAnsi="Calibri" w:cs="Calibri"/>
        </w:rPr>
        <w:t> </w:t>
      </w:r>
      <w:r w:rsidRPr="006D3C55">
        <w:t>615.6</w:t>
      </w:r>
      <w:r w:rsidRPr="006D3C55">
        <w:rPr>
          <w:rFonts w:ascii="Calibri" w:hAnsi="Calibri" w:cs="Calibri"/>
        </w:rPr>
        <w:t> </w:t>
      </w:r>
      <w:r w:rsidRPr="006D3C55">
        <w:t>million (2024: EUR</w:t>
      </w:r>
      <w:r w:rsidRPr="006D3C55">
        <w:rPr>
          <w:rFonts w:ascii="Calibri" w:hAnsi="Calibri" w:cs="Calibri"/>
        </w:rPr>
        <w:t> </w:t>
      </w:r>
      <w:r w:rsidRPr="006D3C55">
        <w:t>318.7</w:t>
      </w:r>
      <w:r w:rsidRPr="006D3C55">
        <w:rPr>
          <w:rFonts w:ascii="Calibri" w:hAnsi="Calibri" w:cs="Calibri"/>
        </w:rPr>
        <w:t> </w:t>
      </w:r>
      <w:r w:rsidRPr="006D3C55">
        <w:t>million).</w:t>
      </w:r>
    </w:p>
    <w:p w14:paraId="5B3C28C8" w14:textId="4EDFE7B5" w:rsidR="002208FF" w:rsidRPr="006D3C55" w:rsidRDefault="002208FF" w:rsidP="002208FF">
      <w:pPr>
        <w:pStyle w:val="amprboxtext"/>
        <w:spacing w:before="0" w:after="0"/>
      </w:pPr>
      <w:r w:rsidRPr="006D3C55">
        <w:rPr>
          <w:rStyle w:val="Bold"/>
        </w:rPr>
        <w:t>Risk at payment</w:t>
      </w:r>
      <w:r w:rsidRPr="00D763F1">
        <w:rPr>
          <w:rStyle w:val="Bold"/>
        </w:rPr>
        <w:t>:</w:t>
      </w:r>
      <w:r w:rsidRPr="006D3C55">
        <w:t xml:space="preserve"> 1.7% (2024: 0.5%).</w:t>
      </w:r>
    </w:p>
    <w:p w14:paraId="2DF55926" w14:textId="77777777" w:rsidR="002208FF" w:rsidRPr="006D3C55" w:rsidRDefault="002208FF" w:rsidP="002208FF">
      <w:pPr>
        <w:pStyle w:val="amprboxtext"/>
        <w:spacing w:before="0" w:after="0"/>
      </w:pPr>
      <w:r w:rsidRPr="006D3C55">
        <w:rPr>
          <w:rStyle w:val="Bold"/>
        </w:rPr>
        <w:t>Risk at closure</w:t>
      </w:r>
      <w:r w:rsidRPr="00D763F1">
        <w:rPr>
          <w:rStyle w:val="Bold"/>
        </w:rPr>
        <w:t>:</w:t>
      </w:r>
      <w:r w:rsidRPr="006D3C55">
        <w:t xml:space="preserve"> 1.7% (2024: 0.5%).</w:t>
      </w:r>
    </w:p>
    <w:p w14:paraId="3869CE23" w14:textId="3CB7F2AF" w:rsidR="002208FF" w:rsidRPr="006D3C55" w:rsidRDefault="002208FF" w:rsidP="002208FF">
      <w:pPr>
        <w:pStyle w:val="amprboxtext"/>
        <w:spacing w:before="0" w:after="0"/>
      </w:pPr>
      <w:r w:rsidRPr="006D3C55">
        <w:rPr>
          <w:rStyle w:val="Bold"/>
        </w:rPr>
        <w:t xml:space="preserve">Total </w:t>
      </w:r>
      <w:r w:rsidR="002211D0" w:rsidRPr="006D3C55">
        <w:rPr>
          <w:rStyle w:val="Bold"/>
        </w:rPr>
        <w:t xml:space="preserve">preventive </w:t>
      </w:r>
      <w:r w:rsidR="002211D0">
        <w:rPr>
          <w:rStyle w:val="Bold"/>
        </w:rPr>
        <w:t>and</w:t>
      </w:r>
      <w:r w:rsidRPr="006D3C55">
        <w:rPr>
          <w:rStyle w:val="Bold"/>
        </w:rPr>
        <w:t xml:space="preserve"> corrective m</w:t>
      </w:r>
      <w:r w:rsidRPr="00B540DE">
        <w:rPr>
          <w:rStyle w:val="Bold"/>
        </w:rPr>
        <w:t>easures:</w:t>
      </w:r>
      <w:r w:rsidRPr="00B540DE">
        <w:t xml:space="preserve"> </w:t>
      </w:r>
      <w:r w:rsidRPr="00B540DE">
        <w:rPr>
          <w:rFonts w:asciiTheme="minorHAnsi" w:hAnsiTheme="minorHAnsi"/>
        </w:rPr>
        <w:t>EUR</w:t>
      </w:r>
      <w:r w:rsidRPr="00B540DE">
        <w:rPr>
          <w:rFonts w:ascii="Calibri" w:hAnsi="Calibri" w:cs="Calibri"/>
        </w:rPr>
        <w:t> </w:t>
      </w:r>
      <w:r w:rsidR="00B44486" w:rsidRPr="00B540DE">
        <w:rPr>
          <w:rFonts w:asciiTheme="minorHAnsi" w:hAnsiTheme="minorHAnsi" w:cs="Calibri"/>
        </w:rPr>
        <w:t>9</w:t>
      </w:r>
      <w:r w:rsidR="002C4D9A" w:rsidRPr="00B540DE">
        <w:rPr>
          <w:rFonts w:ascii="Calibri" w:hAnsi="Calibri" w:cs="Calibri"/>
        </w:rPr>
        <w:t> </w:t>
      </w:r>
      <w:r w:rsidRPr="00B540DE">
        <w:rPr>
          <w:rFonts w:asciiTheme="minorHAnsi" w:hAnsiTheme="minorHAnsi"/>
        </w:rPr>
        <w:t>million</w:t>
      </w:r>
      <w:r w:rsidRPr="00B540DE">
        <w:t xml:space="preserve"> (2024</w:t>
      </w:r>
      <w:r w:rsidRPr="006D3C55">
        <w:t>: EUR</w:t>
      </w:r>
      <w:r w:rsidRPr="006D3C55">
        <w:rPr>
          <w:rFonts w:ascii="Calibri" w:hAnsi="Calibri" w:cs="Calibri"/>
        </w:rPr>
        <w:t> </w:t>
      </w:r>
      <w:r w:rsidRPr="006D3C55">
        <w:t>7.5</w:t>
      </w:r>
      <w:r w:rsidRPr="006D3C55">
        <w:rPr>
          <w:rFonts w:ascii="Calibri" w:hAnsi="Calibri" w:cs="Calibri"/>
        </w:rPr>
        <w:t> </w:t>
      </w:r>
      <w:r w:rsidRPr="006D3C55">
        <w:t>million):</w:t>
      </w:r>
    </w:p>
    <w:p w14:paraId="4E15EB8E" w14:textId="59EAEAD5" w:rsidR="002208FF" w:rsidRPr="00EB7720" w:rsidRDefault="002208FF" w:rsidP="00215B29">
      <w:pPr>
        <w:pStyle w:val="amprboxbulletlistorange"/>
        <w:rPr>
          <w:rStyle w:val="Italic"/>
        </w:rPr>
      </w:pPr>
      <w:r w:rsidRPr="00EB7720">
        <w:rPr>
          <w:rStyle w:val="Italic"/>
        </w:rPr>
        <w:t xml:space="preserve">preventive </w:t>
      </w:r>
      <w:r w:rsidRPr="009C3955">
        <w:rPr>
          <w:rStyle w:val="Italic"/>
        </w:rPr>
        <w:t>measures: EUR</w:t>
      </w:r>
      <w:r w:rsidRPr="009C3955">
        <w:rPr>
          <w:rStyle w:val="Italic"/>
          <w:rFonts w:ascii="Calibri" w:hAnsi="Calibri" w:cs="Calibri"/>
        </w:rPr>
        <w:t> </w:t>
      </w:r>
      <w:r w:rsidR="007B3FEB" w:rsidRPr="009C3955">
        <w:rPr>
          <w:rStyle w:val="Italic"/>
        </w:rPr>
        <w:t>9.0</w:t>
      </w:r>
      <w:r w:rsidR="00B44486" w:rsidRPr="009C3955">
        <w:rPr>
          <w:rStyle w:val="Italic"/>
          <w:rFonts w:ascii="Calibri" w:hAnsi="Calibri" w:cs="Calibri"/>
        </w:rPr>
        <w:t> </w:t>
      </w:r>
      <w:r w:rsidRPr="009C3955">
        <w:rPr>
          <w:rStyle w:val="Italic"/>
        </w:rPr>
        <w:t>million</w:t>
      </w:r>
      <w:r w:rsidRPr="00EB7720">
        <w:rPr>
          <w:rStyle w:val="Italic"/>
        </w:rPr>
        <w:t xml:space="preserve"> (2024: EUR</w:t>
      </w:r>
      <w:r w:rsidRPr="00EB7720">
        <w:rPr>
          <w:rStyle w:val="Italic"/>
          <w:rFonts w:ascii="Calibri" w:hAnsi="Calibri" w:cs="Calibri"/>
        </w:rPr>
        <w:t> </w:t>
      </w:r>
      <w:r w:rsidRPr="00EB7720">
        <w:rPr>
          <w:rStyle w:val="Italic"/>
        </w:rPr>
        <w:t>7.2</w:t>
      </w:r>
      <w:r w:rsidRPr="00EB7720">
        <w:rPr>
          <w:rStyle w:val="Italic"/>
          <w:rFonts w:ascii="Calibri" w:hAnsi="Calibri" w:cs="Calibri"/>
        </w:rPr>
        <w:t> </w:t>
      </w:r>
      <w:r w:rsidRPr="00EB7720">
        <w:rPr>
          <w:rStyle w:val="Italic"/>
        </w:rPr>
        <w:t>million);</w:t>
      </w:r>
    </w:p>
    <w:p w14:paraId="39FA946E" w14:textId="70D9AE18" w:rsidR="002208FF" w:rsidRPr="00EB7720" w:rsidRDefault="002208FF" w:rsidP="00215B29">
      <w:pPr>
        <w:pStyle w:val="amprboxbulletlistorange"/>
        <w:rPr>
          <w:rStyle w:val="Italic"/>
        </w:rPr>
      </w:pPr>
      <w:r w:rsidRPr="00EB7720">
        <w:rPr>
          <w:rStyle w:val="Italic"/>
        </w:rPr>
        <w:t xml:space="preserve">corrective measures: </w:t>
      </w:r>
      <w:r w:rsidR="002C4D9A">
        <w:rPr>
          <w:rStyle w:val="Italic"/>
        </w:rPr>
        <w:t>none</w:t>
      </w:r>
      <w:r w:rsidRPr="00EB7720">
        <w:rPr>
          <w:rStyle w:val="Italic"/>
        </w:rPr>
        <w:t xml:space="preserve"> (2024: EUR</w:t>
      </w:r>
      <w:r w:rsidRPr="00EB7720">
        <w:rPr>
          <w:rStyle w:val="Italic"/>
          <w:rFonts w:ascii="Calibri" w:hAnsi="Calibri" w:cs="Calibri"/>
        </w:rPr>
        <w:t> </w:t>
      </w:r>
      <w:r w:rsidRPr="00EB7720">
        <w:rPr>
          <w:rStyle w:val="Italic"/>
        </w:rPr>
        <w:t>0.3</w:t>
      </w:r>
      <w:r w:rsidRPr="00EB7720">
        <w:rPr>
          <w:rStyle w:val="Italic"/>
          <w:rFonts w:ascii="Calibri" w:hAnsi="Calibri" w:cs="Calibri"/>
        </w:rPr>
        <w:t> </w:t>
      </w:r>
      <w:r w:rsidRPr="00EB7720">
        <w:rPr>
          <w:rStyle w:val="Italic"/>
        </w:rPr>
        <w:t>million).</w:t>
      </w:r>
    </w:p>
    <w:p w14:paraId="5D1D24BD" w14:textId="277D0503" w:rsidR="002208FF" w:rsidRPr="006D3C55" w:rsidRDefault="002208FF" w:rsidP="00EB7720">
      <w:pPr>
        <w:pStyle w:val="amprboxtext"/>
        <w:spacing w:before="0" w:after="0"/>
      </w:pPr>
      <w:r w:rsidRPr="006D3C55">
        <w:rPr>
          <w:rStyle w:val="Bold"/>
        </w:rPr>
        <w:t>Reservations</w:t>
      </w:r>
      <w:r w:rsidRPr="00D763F1">
        <w:rPr>
          <w:rStyle w:val="Bold"/>
        </w:rPr>
        <w:t>:</w:t>
      </w:r>
      <w:r w:rsidRPr="006D3C55">
        <w:t xml:space="preserve"> none (2024: none).</w:t>
      </w:r>
    </w:p>
    <w:p w14:paraId="7EA5129C" w14:textId="06212DB9" w:rsidR="000E054A" w:rsidRPr="006D3C55" w:rsidRDefault="005D7BD0" w:rsidP="00E61F87">
      <w:pPr>
        <w:spacing w:before="120" w:after="120"/>
        <w:ind w:left="4535"/>
      </w:pPr>
      <w:r w:rsidRPr="005D7BD0">
        <w:rPr>
          <w:noProof/>
        </w:rPr>
        <w:drawing>
          <wp:anchor distT="0" distB="0" distL="114300" distR="114300" simplePos="0" relativeHeight="251658244" behindDoc="0" locked="0" layoutInCell="1" allowOverlap="1" wp14:anchorId="7AD07D3E" wp14:editId="448BCAA4">
            <wp:simplePos x="0" y="0"/>
            <wp:positionH relativeFrom="column">
              <wp:posOffset>28635</wp:posOffset>
            </wp:positionH>
            <wp:positionV relativeFrom="paragraph">
              <wp:posOffset>73660</wp:posOffset>
            </wp:positionV>
            <wp:extent cx="2609215" cy="3766820"/>
            <wp:effectExtent l="0" t="0" r="635" b="5080"/>
            <wp:wrapSquare wrapText="bothSides"/>
            <wp:docPr id="12" name="Picture 11" descr="Graph showing the evolution of risk at payment and risk at closure for Heading 5- security and defense between 2023 and 2025. The graph shows the materiality represented by a line at 2%.&#10;Both risk at payment and Risk at closure were all stable at 0.5% for 2023 and 2024, and both increased to 1.7% in 2025.">
              <a:extLst xmlns:a="http://schemas.openxmlformats.org/drawingml/2006/main">
                <a:ext uri="{FF2B5EF4-FFF2-40B4-BE49-F238E27FC236}">
                  <a16:creationId xmlns:a16="http://schemas.microsoft.com/office/drawing/2014/main" id="{9723AB50-C836-C226-30B4-5BE074DD9E7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1" descr="Graph showing the evolution of risk at payment and risk at closure for Heading 5- security and defense between 2023 and 2025. The graph shows the materiality represented by a line at 2%.&#10;Both risk at payment and Risk at closure were all stable at 0.5% for 2023 and 2024, and both increased to 1.7% in 2025.">
                      <a:extLst>
                        <a:ext uri="{FF2B5EF4-FFF2-40B4-BE49-F238E27FC236}">
                          <a16:creationId xmlns:a16="http://schemas.microsoft.com/office/drawing/2014/main" id="{9723AB50-C836-C226-30B4-5BE074DD9E72}"/>
                        </a:ext>
                      </a:extLst>
                    </pic:cNvPr>
                    <pic:cNvPicPr>
                      <a:picLocks noChangeAspect="1"/>
                    </pic:cNvPicPr>
                  </pic:nvPicPr>
                  <pic:blipFill rotWithShape="1">
                    <a:blip r:embed="rId79"/>
                    <a:srcRect l="2862" t="1010" r="6809" b="1133"/>
                    <a:stretch>
                      <a:fillRect/>
                    </a:stretch>
                  </pic:blipFill>
                  <pic:spPr bwMode="auto">
                    <a:xfrm>
                      <a:off x="0" y="0"/>
                      <a:ext cx="2609215" cy="376682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anchor>
        </w:drawing>
      </w:r>
      <w:r w:rsidR="00B76C0B" w:rsidRPr="006D3C55">
        <w:t>I</w:t>
      </w:r>
      <w:r w:rsidR="000E054A" w:rsidRPr="006D3C55">
        <w:t>n 2025, the risk at payment, 1.7%,</w:t>
      </w:r>
      <w:r w:rsidR="000E054A" w:rsidRPr="00AD4275">
        <w:t xml:space="preserve"> </w:t>
      </w:r>
      <w:r w:rsidR="000E054A" w:rsidRPr="00D763F1">
        <w:rPr>
          <w:rStyle w:val="Bold"/>
        </w:rPr>
        <w:t xml:space="preserve">increased </w:t>
      </w:r>
      <w:r w:rsidR="00DE5112" w:rsidRPr="00D763F1">
        <w:rPr>
          <w:rStyle w:val="Bold"/>
        </w:rPr>
        <w:t xml:space="preserve">significantly </w:t>
      </w:r>
      <w:r w:rsidR="000E054A" w:rsidRPr="00D763F1">
        <w:rPr>
          <w:rStyle w:val="Bold"/>
        </w:rPr>
        <w:t>compared to 2024</w:t>
      </w:r>
      <w:r w:rsidR="000E054A" w:rsidRPr="00AD4275">
        <w:t xml:space="preserve">. </w:t>
      </w:r>
      <w:r w:rsidR="000E054A" w:rsidRPr="006D3C55">
        <w:t xml:space="preserve">This is due to </w:t>
      </w:r>
      <w:r w:rsidR="00DE5112" w:rsidRPr="006D3C55">
        <w:t xml:space="preserve">a </w:t>
      </w:r>
      <w:r w:rsidR="000E054A" w:rsidRPr="006D3C55">
        <w:t>combination of</w:t>
      </w:r>
      <w:r w:rsidR="000A4950" w:rsidRPr="006D3C55">
        <w:t xml:space="preserve"> the following.</w:t>
      </w:r>
    </w:p>
    <w:p w14:paraId="1DC7F1C5" w14:textId="4811198B" w:rsidR="000E054A" w:rsidRPr="00D763F1" w:rsidRDefault="000A4950" w:rsidP="00E61F87">
      <w:pPr>
        <w:pStyle w:val="ListBullet"/>
        <w:ind w:left="4535"/>
      </w:pPr>
      <w:r w:rsidRPr="006D3C55">
        <w:t>T</w:t>
      </w:r>
      <w:r w:rsidR="000E054A" w:rsidRPr="006D3C55">
        <w:t xml:space="preserve">he use of a </w:t>
      </w:r>
      <w:r w:rsidR="000E054A" w:rsidRPr="00D763F1">
        <w:rPr>
          <w:rStyle w:val="Bold"/>
        </w:rPr>
        <w:t xml:space="preserve">conservative flat error rate of 2% </w:t>
      </w:r>
      <w:r w:rsidR="000E054A" w:rsidRPr="006D3C55">
        <w:t xml:space="preserve">for the payment of grants </w:t>
      </w:r>
      <w:r w:rsidR="001E08F3" w:rsidRPr="006D3C55">
        <w:t xml:space="preserve">under </w:t>
      </w:r>
      <w:r w:rsidR="000E054A" w:rsidRPr="006D3C55">
        <w:t xml:space="preserve">direct management. This prudent approach has been retained pending the results of a new audit </w:t>
      </w:r>
      <w:r w:rsidR="002A33B4" w:rsidRPr="006D3C55">
        <w:t>campaign</w:t>
      </w:r>
      <w:r w:rsidR="000E054A" w:rsidRPr="006D3C55">
        <w:t xml:space="preserve"> that will start once a sufficient number of payments have been made.</w:t>
      </w:r>
    </w:p>
    <w:p w14:paraId="1A92D93A" w14:textId="22936240" w:rsidR="000E054A" w:rsidRPr="00D763F1" w:rsidRDefault="000E054A" w:rsidP="00E61F87">
      <w:pPr>
        <w:pStyle w:val="ListBullet"/>
        <w:ind w:left="4535"/>
      </w:pPr>
      <w:r w:rsidRPr="006D3C55">
        <w:t xml:space="preserve">The significant increase </w:t>
      </w:r>
      <w:r w:rsidR="00327B0D" w:rsidRPr="006D3C55">
        <w:t xml:space="preserve">in </w:t>
      </w:r>
      <w:r w:rsidRPr="00D763F1">
        <w:rPr>
          <w:rStyle w:val="Bold"/>
        </w:rPr>
        <w:t xml:space="preserve">payments of grants </w:t>
      </w:r>
      <w:r w:rsidR="001E08F3" w:rsidRPr="00D763F1">
        <w:rPr>
          <w:rStyle w:val="Bold"/>
        </w:rPr>
        <w:t xml:space="preserve">under </w:t>
      </w:r>
      <w:r w:rsidRPr="00D763F1">
        <w:rPr>
          <w:rStyle w:val="Bold"/>
        </w:rPr>
        <w:t xml:space="preserve">direct management, </w:t>
      </w:r>
      <w:r w:rsidR="00327B0D" w:rsidRPr="00D763F1">
        <w:rPr>
          <w:rStyle w:val="Bold"/>
        </w:rPr>
        <w:t xml:space="preserve">which </w:t>
      </w:r>
      <w:r w:rsidRPr="00D763F1">
        <w:rPr>
          <w:rStyle w:val="Bold"/>
        </w:rPr>
        <w:t>almost doubled</w:t>
      </w:r>
      <w:r w:rsidR="00327B0D" w:rsidRPr="00D763F1">
        <w:rPr>
          <w:rStyle w:val="Bold"/>
        </w:rPr>
        <w:t xml:space="preserve"> in 2025</w:t>
      </w:r>
      <w:r w:rsidRPr="006D3C55">
        <w:t xml:space="preserve"> compared to 2024, </w:t>
      </w:r>
      <w:r w:rsidR="00327B0D" w:rsidRPr="006D3C55">
        <w:t>to EUR</w:t>
      </w:r>
      <w:r w:rsidR="00327B0D" w:rsidRPr="006D3C55">
        <w:rPr>
          <w:rFonts w:ascii="Calibri" w:hAnsi="Calibri" w:cs="Calibri"/>
        </w:rPr>
        <w:t> </w:t>
      </w:r>
      <w:r w:rsidR="00327B0D" w:rsidRPr="006D3C55">
        <w:t>466</w:t>
      </w:r>
      <w:r w:rsidR="00327B0D" w:rsidRPr="006D3C55">
        <w:rPr>
          <w:rFonts w:ascii="Calibri" w:hAnsi="Calibri" w:cs="Calibri"/>
        </w:rPr>
        <w:t> </w:t>
      </w:r>
      <w:r w:rsidR="00327B0D" w:rsidRPr="006D3C55">
        <w:t xml:space="preserve">million, </w:t>
      </w:r>
      <w:r w:rsidRPr="006D3C55">
        <w:t>and represent</w:t>
      </w:r>
      <w:r w:rsidR="00FE2CF5" w:rsidRPr="006D3C55">
        <w:t>s</w:t>
      </w:r>
      <w:r w:rsidRPr="006D3C55">
        <w:t xml:space="preserve"> the bulk of the expenditure under this heading. This increase is due to the progress in the life cycle of projects, with an increasing number for which interim and final payments are made.</w:t>
      </w:r>
    </w:p>
    <w:p w14:paraId="6AD5BBEF" w14:textId="764A3B9B" w:rsidR="004F53A4" w:rsidRPr="006D3C55" w:rsidRDefault="000E054A" w:rsidP="00E61F87">
      <w:pPr>
        <w:spacing w:after="120"/>
        <w:ind w:left="4535"/>
      </w:pPr>
      <w:r w:rsidRPr="006D3C55">
        <w:t>Together, these two factors explain that</w:t>
      </w:r>
      <w:r w:rsidR="001A0CB3" w:rsidRPr="006D3C55">
        <w:t>,</w:t>
      </w:r>
      <w:r w:rsidRPr="006D3C55">
        <w:t xml:space="preserve"> </w:t>
      </w:r>
      <w:r w:rsidR="00C461AA" w:rsidRPr="006D3C55">
        <w:t xml:space="preserve">in 2025, </w:t>
      </w:r>
      <w:r w:rsidRPr="006D3C55">
        <w:t xml:space="preserve">most of the expenditure </w:t>
      </w:r>
      <w:r w:rsidR="001A0CB3" w:rsidRPr="006D3C55">
        <w:t>wa</w:t>
      </w:r>
      <w:r w:rsidR="00CE044A" w:rsidRPr="006D3C55">
        <w:t xml:space="preserve">s </w:t>
      </w:r>
      <w:r w:rsidRPr="006D3C55">
        <w:t>medium risk (</w:t>
      </w:r>
      <w:r w:rsidR="001A0CB3" w:rsidRPr="006D3C55">
        <w:t xml:space="preserve">with an </w:t>
      </w:r>
      <w:r w:rsidRPr="006D3C55">
        <w:t>error rate between 2% and 2</w:t>
      </w:r>
      <w:r w:rsidR="00CB50DF" w:rsidRPr="006D3C55">
        <w:t>.</w:t>
      </w:r>
      <w:r w:rsidRPr="006D3C55">
        <w:t>5%)</w:t>
      </w:r>
      <w:r w:rsidR="006C3EC7" w:rsidRPr="006D3C55">
        <w:t>.</w:t>
      </w:r>
      <w:r w:rsidR="00B31452" w:rsidRPr="006D3C55">
        <w:t xml:space="preserve"> T</w:t>
      </w:r>
      <w:r w:rsidRPr="006D3C55">
        <w:t xml:space="preserve">he remaining expenditure, </w:t>
      </w:r>
      <w:r w:rsidR="00B31452" w:rsidRPr="006D3C55">
        <w:t xml:space="preserve">mainly </w:t>
      </w:r>
      <w:r w:rsidR="001A0CB3" w:rsidRPr="006D3C55">
        <w:t xml:space="preserve">for </w:t>
      </w:r>
      <w:r w:rsidR="00B31452" w:rsidRPr="006D3C55">
        <w:t xml:space="preserve">experts and </w:t>
      </w:r>
      <w:r w:rsidRPr="006D3C55">
        <w:t xml:space="preserve">procurements, </w:t>
      </w:r>
      <w:r w:rsidR="001A0CB3" w:rsidRPr="006D3C55">
        <w:t xml:space="preserve">is </w:t>
      </w:r>
      <w:r w:rsidR="00B31452" w:rsidRPr="006D3C55">
        <w:t>by definition</w:t>
      </w:r>
      <w:r w:rsidRPr="006D3C55">
        <w:t xml:space="preserve"> low risk</w:t>
      </w:r>
      <w:r w:rsidR="001A0CB3" w:rsidRPr="006D3C55">
        <w:t>,</w:t>
      </w:r>
      <w:r w:rsidRPr="006D3C55">
        <w:t xml:space="preserve"> at 0.5%.</w:t>
      </w:r>
    </w:p>
    <w:p w14:paraId="15BF8282" w14:textId="315337BD" w:rsidR="001301C1" w:rsidRPr="006D3C55" w:rsidRDefault="001301C1" w:rsidP="0036149C">
      <w:pPr>
        <w:pStyle w:val="ImageTitle"/>
        <w:spacing w:before="240"/>
      </w:pPr>
      <w:r w:rsidRPr="006D3C55">
        <w:t>Multiannual financial framework heading 5</w:t>
      </w:r>
      <w:r w:rsidRPr="006D3C55">
        <w:rPr>
          <w:rFonts w:ascii="Calibri" w:hAnsi="Calibri" w:cs="Calibri"/>
        </w:rPr>
        <w:t> </w:t>
      </w:r>
      <w:r w:rsidRPr="006D3C55">
        <w:t>– security and defence</w:t>
      </w:r>
      <w:r w:rsidRPr="006D3C55">
        <w:rPr>
          <w:rFonts w:ascii="Calibri" w:hAnsi="Calibri" w:cs="Calibri"/>
        </w:rPr>
        <w:t> </w:t>
      </w:r>
      <w:r w:rsidRPr="006D3C55">
        <w:t xml:space="preserve">– </w:t>
      </w:r>
      <w:r w:rsidR="00A137E2" w:rsidRPr="006D3C55">
        <w:br/>
      </w:r>
      <w:r w:rsidRPr="006D3C55">
        <w:t>overview of risk segmentation for 202</w:t>
      </w:r>
      <w:r w:rsidR="00804062" w:rsidRPr="006D3C55">
        <w:t>3</w:t>
      </w:r>
      <w:r w:rsidRPr="006D3C55">
        <w:t>-202</w:t>
      </w:r>
      <w:r w:rsidR="004F53A4" w:rsidRPr="006D3C55">
        <w:t>5</w:t>
      </w:r>
    </w:p>
    <w:p w14:paraId="6EFE6BFF" w14:textId="0113A02C" w:rsidR="001301C1" w:rsidRPr="006D3C55" w:rsidRDefault="009B2874" w:rsidP="001301C1">
      <w:pPr>
        <w:pStyle w:val="ImagePlaceholder"/>
        <w:rPr>
          <w:noProof w:val="0"/>
          <w:highlight w:val="lightGray"/>
        </w:rPr>
      </w:pPr>
      <w:r w:rsidRPr="009B2874">
        <w:rPr>
          <w:highlight w:val="lightGray"/>
        </w:rPr>
        <w:drawing>
          <wp:inline distT="0" distB="0" distL="0" distR="0" wp14:anchorId="68F4658A" wp14:editId="0A0D1D96">
            <wp:extent cx="5759450" cy="2562045"/>
            <wp:effectExtent l="0" t="0" r="0" b="0"/>
            <wp:docPr id="1537307407" name="Picture 38" descr="The graph represents the expenditure per risk category (Low risk, medium risk and high risk) in percentage for the years 2023, 2024 and 2025 for heading 5 of the Multiannual financial framework – security and defence.&#10;In 2023 and 2024 the low risk is 100%, in 2025 the low risk is 20.3% and medium risk is 79.7%.">
              <a:extLst xmlns:a="http://schemas.openxmlformats.org/drawingml/2006/main">
                <a:ext uri="{FF2B5EF4-FFF2-40B4-BE49-F238E27FC236}">
                  <a16:creationId xmlns:a16="http://schemas.microsoft.com/office/drawing/2014/main" id="{2A8CAEE5-C40A-80B1-5D18-C1C0CBF206B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7307407" name="Picture 38" descr="The graph represents the expenditure per risk category (Low risk, medium risk and high risk) in percentage for the years 2023, 2024 and 2025 for heading 5 of the Multiannual financial framework – security and defence.&#10;In 2023 and 2024 the low risk is 100%, in 2025 the low risk is 20.3% and medium risk is 79.7%.">
                      <a:extLst>
                        <a:ext uri="{FF2B5EF4-FFF2-40B4-BE49-F238E27FC236}">
                          <a16:creationId xmlns:a16="http://schemas.microsoft.com/office/drawing/2014/main" id="{2A8CAEE5-C40A-80B1-5D18-C1C0CBF206B0}"/>
                        </a:ext>
                      </a:extLst>
                    </pic:cNvPr>
                    <pic:cNvPicPr>
                      <a:picLocks noChangeAspect="1"/>
                    </pic:cNvPicPr>
                  </pic:nvPicPr>
                  <pic:blipFill rotWithShape="1">
                    <a:blip r:embed="rId80"/>
                    <a:srcRect l="9736" t="7443" r="6244" b="6413"/>
                    <a:stretch>
                      <a:fillRect/>
                    </a:stretch>
                  </pic:blipFill>
                  <pic:spPr bwMode="auto">
                    <a:xfrm>
                      <a:off x="0" y="0"/>
                      <a:ext cx="5759450" cy="2562045"/>
                    </a:xfrm>
                    <a:prstGeom prst="rect">
                      <a:avLst/>
                    </a:prstGeom>
                    <a:ln>
                      <a:noFill/>
                    </a:ln>
                    <a:extLst>
                      <a:ext uri="{53640926-AAD7-44D8-BBD7-CCE9431645EC}">
                        <a14:shadowObscured xmlns:a14="http://schemas.microsoft.com/office/drawing/2010/main"/>
                      </a:ext>
                    </a:extLst>
                  </pic:spPr>
                </pic:pic>
              </a:graphicData>
            </a:graphic>
          </wp:inline>
        </w:drawing>
      </w:r>
    </w:p>
    <w:p w14:paraId="6547D98A" w14:textId="25FE3040" w:rsidR="001301C1" w:rsidRPr="006D3C55" w:rsidRDefault="001301C1" w:rsidP="00B21C40">
      <w:pPr>
        <w:pStyle w:val="ImageSource"/>
        <w:rPr>
          <w:highlight w:val="lightGray"/>
        </w:rPr>
      </w:pPr>
      <w:r w:rsidRPr="00EB7720">
        <w:rPr>
          <w:rStyle w:val="Italic"/>
        </w:rPr>
        <w:t>Source:</w:t>
      </w:r>
      <w:r w:rsidRPr="006D3C55">
        <w:t xml:space="preserve"> European Commission annual activity reports for 202</w:t>
      </w:r>
      <w:r w:rsidR="008355F5" w:rsidRPr="006D3C55">
        <w:t>5</w:t>
      </w:r>
      <w:r w:rsidRPr="006D3C55">
        <w:t>.</w:t>
      </w:r>
      <w:r w:rsidRPr="006D3C55">
        <w:rPr>
          <w:highlight w:val="lightGray"/>
        </w:rPr>
        <w:br w:type="page"/>
      </w:r>
    </w:p>
    <w:p w14:paraId="10716FC8" w14:textId="00331D38" w:rsidR="001301C1" w:rsidRPr="006D3C55" w:rsidRDefault="001301C1" w:rsidP="001301C1">
      <w:pPr>
        <w:pStyle w:val="Heading5"/>
        <w:keepLines w:val="0"/>
        <w:numPr>
          <w:ilvl w:val="3"/>
          <w:numId w:val="0"/>
        </w:numPr>
        <w:rPr>
          <w:rFonts w:ascii="EC Square Sans Pro" w:hAnsi="EC Square Sans Pro"/>
        </w:rPr>
      </w:pPr>
      <w:r w:rsidRPr="006D3C55">
        <w:rPr>
          <w:rFonts w:ascii="EC Square Sans Pro" w:hAnsi="EC Square Sans Pro"/>
        </w:rPr>
        <w:t>Heading</w:t>
      </w:r>
      <w:r w:rsidRPr="006D3C55">
        <w:rPr>
          <w:rFonts w:ascii="Calibri" w:hAnsi="Calibri" w:cs="Calibri"/>
        </w:rPr>
        <w:t> </w:t>
      </w:r>
      <w:r w:rsidRPr="006D3C55">
        <w:rPr>
          <w:rFonts w:ascii="EC Square Sans Pro" w:hAnsi="EC Square Sans Pro"/>
        </w:rPr>
        <w:t>6</w:t>
      </w:r>
      <w:r w:rsidRPr="006D3C55">
        <w:rPr>
          <w:rFonts w:ascii="Calibri" w:hAnsi="Calibri" w:cs="Calibri"/>
        </w:rPr>
        <w:t> </w:t>
      </w:r>
      <w:r w:rsidRPr="006D3C55">
        <w:rPr>
          <w:rFonts w:ascii="EC Square Sans Pro" w:hAnsi="EC Square Sans Pro"/>
        </w:rPr>
        <w:t>– neighbourhood and the world</w:t>
      </w:r>
    </w:p>
    <w:p w14:paraId="6ADA0DAA" w14:textId="6853C1C9" w:rsidR="001301C1" w:rsidRPr="006D3C55" w:rsidRDefault="001301C1" w:rsidP="00CD7BC6">
      <w:pPr>
        <w:pStyle w:val="amprboxtext"/>
        <w:spacing w:before="0" w:after="0"/>
      </w:pPr>
      <w:r w:rsidRPr="006D3C55">
        <w:rPr>
          <w:rStyle w:val="Bold"/>
        </w:rPr>
        <w:t>Total</w:t>
      </w:r>
      <w:r w:rsidRPr="00D763F1">
        <w:rPr>
          <w:rStyle w:val="Bold"/>
        </w:rPr>
        <w:t xml:space="preserve"> </w:t>
      </w:r>
      <w:r w:rsidRPr="006D3C55">
        <w:rPr>
          <w:rStyle w:val="Bold"/>
        </w:rPr>
        <w:t>amount</w:t>
      </w:r>
      <w:r w:rsidRPr="00D763F1">
        <w:rPr>
          <w:rStyle w:val="Bold"/>
        </w:rPr>
        <w:t xml:space="preserve"> </w:t>
      </w:r>
      <w:r w:rsidRPr="006D3C55">
        <w:rPr>
          <w:rStyle w:val="Bold"/>
        </w:rPr>
        <w:t>of</w:t>
      </w:r>
      <w:r w:rsidRPr="00D763F1">
        <w:rPr>
          <w:rStyle w:val="Bold"/>
        </w:rPr>
        <w:t xml:space="preserve"> </w:t>
      </w:r>
      <w:r w:rsidRPr="006D3C55">
        <w:rPr>
          <w:rStyle w:val="Bold"/>
        </w:rPr>
        <w:t>relevant</w:t>
      </w:r>
      <w:r w:rsidRPr="00D763F1">
        <w:rPr>
          <w:rStyle w:val="Bold"/>
        </w:rPr>
        <w:t xml:space="preserve"> </w:t>
      </w:r>
      <w:r w:rsidRPr="006D3C55">
        <w:rPr>
          <w:rStyle w:val="Bold"/>
        </w:rPr>
        <w:t>expenditure</w:t>
      </w:r>
      <w:r w:rsidRPr="00D763F1">
        <w:rPr>
          <w:rStyle w:val="Bold"/>
        </w:rPr>
        <w:t>:</w:t>
      </w:r>
      <w:r w:rsidRPr="006D3C55">
        <w:t xml:space="preserve"> </w:t>
      </w:r>
      <w:r w:rsidR="00672DED" w:rsidRPr="006D3C55">
        <w:t>EUR</w:t>
      </w:r>
      <w:r w:rsidR="00672DED" w:rsidRPr="006D3C55">
        <w:rPr>
          <w:rFonts w:ascii="Calibri" w:hAnsi="Calibri" w:cs="Calibri"/>
        </w:rPr>
        <w:t> </w:t>
      </w:r>
      <w:r w:rsidR="00672DED" w:rsidRPr="006D3C55">
        <w:t>16.4</w:t>
      </w:r>
      <w:r w:rsidR="00672DED" w:rsidRPr="006D3C55">
        <w:rPr>
          <w:rFonts w:ascii="Calibri" w:hAnsi="Calibri" w:cs="Calibri"/>
        </w:rPr>
        <w:t> </w:t>
      </w:r>
      <w:r w:rsidR="00672DED" w:rsidRPr="006D3C55">
        <w:t>billion (2024: EUR</w:t>
      </w:r>
      <w:r w:rsidR="00672DED" w:rsidRPr="006D3C55">
        <w:rPr>
          <w:rFonts w:ascii="Calibri" w:hAnsi="Calibri" w:cs="Calibri"/>
        </w:rPr>
        <w:t> </w:t>
      </w:r>
      <w:r w:rsidR="00672DED" w:rsidRPr="006D3C55">
        <w:t>20.</w:t>
      </w:r>
      <w:r w:rsidR="009873AE">
        <w:t>4</w:t>
      </w:r>
      <w:r w:rsidR="009873AE" w:rsidRPr="006D3C55">
        <w:rPr>
          <w:rFonts w:ascii="Calibri" w:hAnsi="Calibri" w:cs="Calibri"/>
        </w:rPr>
        <w:t> </w:t>
      </w:r>
      <w:r w:rsidR="00672DED" w:rsidRPr="006D3C55">
        <w:t>billion)</w:t>
      </w:r>
      <w:r w:rsidR="009004D7">
        <w:rPr>
          <w:rFonts w:ascii="Calibri" w:hAnsi="Calibri" w:cs="Calibri"/>
        </w:rPr>
        <w:t> </w:t>
      </w:r>
      <w:r w:rsidR="009004D7" w:rsidRPr="002D6782">
        <w:t>(</w:t>
      </w:r>
      <w:r w:rsidR="009004D7" w:rsidRPr="00352191">
        <w:rPr>
          <w:rStyle w:val="FootnoteReference"/>
        </w:rPr>
        <w:footnoteReference w:id="41"/>
      </w:r>
      <w:r w:rsidR="00672DED" w:rsidRPr="006D3C55">
        <w:t>)</w:t>
      </w:r>
      <w:r w:rsidR="00447D4C" w:rsidRPr="006D3C55">
        <w:t>.</w:t>
      </w:r>
    </w:p>
    <w:p w14:paraId="4A08750F" w14:textId="0DE4988E" w:rsidR="00672DED" w:rsidRPr="006D3C55" w:rsidRDefault="00672DED" w:rsidP="00CD7BC6">
      <w:pPr>
        <w:pStyle w:val="amprboxtext"/>
        <w:spacing w:before="0" w:after="0"/>
      </w:pPr>
      <w:r w:rsidRPr="00D763F1">
        <w:rPr>
          <w:rStyle w:val="Bold"/>
        </w:rPr>
        <w:t>Share of low-risk expenditure</w:t>
      </w:r>
      <w:r w:rsidRPr="00E93747">
        <w:rPr>
          <w:rStyle w:val="Bold"/>
        </w:rPr>
        <w:t>:</w:t>
      </w:r>
      <w:r w:rsidRPr="00E93747">
        <w:t xml:space="preserve"> 89.6% </w:t>
      </w:r>
      <w:r w:rsidR="007551BE" w:rsidRPr="00E93747">
        <w:t>(2024</w:t>
      </w:r>
      <w:r w:rsidR="007551BE" w:rsidRPr="00AD4275">
        <w:t xml:space="preserve">: </w:t>
      </w:r>
      <w:r w:rsidRPr="00AD4275">
        <w:t>92.4%)</w:t>
      </w:r>
      <w:r w:rsidR="00447D4C" w:rsidRPr="006D3C55">
        <w:t>.</w:t>
      </w:r>
    </w:p>
    <w:p w14:paraId="1C9C8E9A" w14:textId="3D4FB940" w:rsidR="001301C1" w:rsidRPr="006D3C55" w:rsidRDefault="001301C1" w:rsidP="001301C1">
      <w:pPr>
        <w:pStyle w:val="amprboxtext"/>
        <w:spacing w:before="0" w:after="0"/>
      </w:pPr>
      <w:r w:rsidRPr="006D3C55">
        <w:rPr>
          <w:rStyle w:val="Bold"/>
        </w:rPr>
        <w:t xml:space="preserve">Total </w:t>
      </w:r>
      <w:r w:rsidR="002211D0" w:rsidRPr="006D3C55">
        <w:rPr>
          <w:rStyle w:val="Bold"/>
        </w:rPr>
        <w:t xml:space="preserve">preventive </w:t>
      </w:r>
      <w:r w:rsidR="002211D0">
        <w:rPr>
          <w:rStyle w:val="Bold"/>
        </w:rPr>
        <w:t>and</w:t>
      </w:r>
      <w:r w:rsidRPr="006D3C55">
        <w:rPr>
          <w:rStyle w:val="Bold"/>
        </w:rPr>
        <w:t xml:space="preserve"> corrective measures</w:t>
      </w:r>
      <w:r w:rsidRPr="00D763F1">
        <w:rPr>
          <w:rStyle w:val="Bold"/>
        </w:rPr>
        <w:t>:</w:t>
      </w:r>
      <w:r w:rsidRPr="006D3C55">
        <w:t xml:space="preserve"> </w:t>
      </w:r>
      <w:r w:rsidR="009C119A" w:rsidRPr="006D3C55">
        <w:t>EUR</w:t>
      </w:r>
      <w:r w:rsidR="009C119A" w:rsidRPr="006D3C55">
        <w:rPr>
          <w:rFonts w:ascii="Calibri" w:hAnsi="Calibri" w:cs="Calibri"/>
        </w:rPr>
        <w:t> </w:t>
      </w:r>
      <w:r w:rsidRPr="006D3C55">
        <w:t>7</w:t>
      </w:r>
      <w:r w:rsidR="009C119A" w:rsidRPr="006D3C55">
        <w:t>4.1</w:t>
      </w:r>
      <w:r w:rsidR="009C119A" w:rsidRPr="006D3C55">
        <w:rPr>
          <w:rFonts w:ascii="Calibri" w:hAnsi="Calibri" w:cs="Calibri"/>
        </w:rPr>
        <w:t> </w:t>
      </w:r>
      <w:r w:rsidR="009C119A" w:rsidRPr="006D3C55">
        <w:t>million (2024: EUR</w:t>
      </w:r>
      <w:r w:rsidR="009C119A" w:rsidRPr="006D3C55">
        <w:rPr>
          <w:rFonts w:ascii="Calibri" w:hAnsi="Calibri" w:cs="Calibri"/>
        </w:rPr>
        <w:t> </w:t>
      </w:r>
      <w:r w:rsidR="009C119A" w:rsidRPr="006D3C55">
        <w:t>153.1</w:t>
      </w:r>
      <w:r w:rsidR="009C119A" w:rsidRPr="006D3C55">
        <w:rPr>
          <w:rFonts w:ascii="Calibri" w:hAnsi="Calibri" w:cs="Calibri"/>
        </w:rPr>
        <w:t> </w:t>
      </w:r>
      <w:r w:rsidR="009C119A" w:rsidRPr="006D3C55">
        <w:t>million):</w:t>
      </w:r>
    </w:p>
    <w:p w14:paraId="40BBD0D0" w14:textId="62C76648" w:rsidR="00D21797" w:rsidRPr="00AB51E8" w:rsidRDefault="001301C1" w:rsidP="00215B29">
      <w:pPr>
        <w:pStyle w:val="amprboxbulletlistorange"/>
        <w:rPr>
          <w:rStyle w:val="Italic"/>
        </w:rPr>
      </w:pPr>
      <w:r w:rsidRPr="00AB51E8">
        <w:rPr>
          <w:rStyle w:val="Italic"/>
        </w:rPr>
        <w:t xml:space="preserve">preventive measures: </w:t>
      </w:r>
      <w:r w:rsidR="009C119A" w:rsidRPr="00AB51E8">
        <w:rPr>
          <w:rStyle w:val="Italic"/>
        </w:rPr>
        <w:t>EUR</w:t>
      </w:r>
      <w:r w:rsidR="009C119A" w:rsidRPr="00AB51E8">
        <w:rPr>
          <w:rStyle w:val="Italic"/>
          <w:rFonts w:ascii="Calibri" w:hAnsi="Calibri" w:cs="Calibri"/>
        </w:rPr>
        <w:t> </w:t>
      </w:r>
      <w:r w:rsidR="5A65B023" w:rsidRPr="00AB51E8">
        <w:rPr>
          <w:rStyle w:val="Italic"/>
        </w:rPr>
        <w:t>67.</w:t>
      </w:r>
      <w:r w:rsidR="25C6F1C1" w:rsidRPr="00AB51E8">
        <w:rPr>
          <w:rStyle w:val="Italic"/>
        </w:rPr>
        <w:t>3</w:t>
      </w:r>
      <w:r w:rsidR="009C119A" w:rsidRPr="00AB51E8">
        <w:rPr>
          <w:rStyle w:val="Italic"/>
          <w:rFonts w:ascii="Calibri" w:hAnsi="Calibri" w:cs="Calibri"/>
        </w:rPr>
        <w:t> </w:t>
      </w:r>
      <w:r w:rsidR="009C119A" w:rsidRPr="00AB51E8">
        <w:rPr>
          <w:rStyle w:val="Italic"/>
        </w:rPr>
        <w:t>million (2024: EUR</w:t>
      </w:r>
      <w:r w:rsidR="009C119A" w:rsidRPr="00AB51E8">
        <w:rPr>
          <w:rStyle w:val="Italic"/>
          <w:rFonts w:ascii="Calibri" w:hAnsi="Calibri" w:cs="Calibri"/>
        </w:rPr>
        <w:t> </w:t>
      </w:r>
      <w:r w:rsidR="009C119A" w:rsidRPr="00AB51E8">
        <w:rPr>
          <w:rStyle w:val="Italic"/>
        </w:rPr>
        <w:t>125.5 million);</w:t>
      </w:r>
    </w:p>
    <w:p w14:paraId="4924D355" w14:textId="7E946993" w:rsidR="001301C1" w:rsidRPr="00AB51E8" w:rsidRDefault="001301C1" w:rsidP="00215B29">
      <w:pPr>
        <w:pStyle w:val="amprboxbulletlistorange"/>
        <w:rPr>
          <w:rStyle w:val="Italic"/>
        </w:rPr>
      </w:pPr>
      <w:r w:rsidRPr="00AB51E8">
        <w:rPr>
          <w:rStyle w:val="Italic"/>
        </w:rPr>
        <w:t xml:space="preserve">corrective measures: </w:t>
      </w:r>
      <w:r w:rsidR="00D21797" w:rsidRPr="00AB51E8">
        <w:rPr>
          <w:rStyle w:val="Italic"/>
        </w:rPr>
        <w:t>EUR</w:t>
      </w:r>
      <w:r w:rsidR="00D21797" w:rsidRPr="00AB51E8">
        <w:rPr>
          <w:rStyle w:val="Italic"/>
          <w:rFonts w:ascii="Calibri" w:hAnsi="Calibri" w:cs="Calibri"/>
        </w:rPr>
        <w:t> </w:t>
      </w:r>
      <w:r w:rsidR="558FFB65" w:rsidRPr="00AB51E8">
        <w:rPr>
          <w:rStyle w:val="Italic"/>
        </w:rPr>
        <w:t>6</w:t>
      </w:r>
      <w:r w:rsidR="00D21797" w:rsidRPr="00AB51E8">
        <w:rPr>
          <w:rStyle w:val="Italic"/>
        </w:rPr>
        <w:t>.</w:t>
      </w:r>
      <w:r w:rsidR="5B93023F" w:rsidRPr="00AB51E8">
        <w:rPr>
          <w:rStyle w:val="Italic"/>
        </w:rPr>
        <w:t>8</w:t>
      </w:r>
      <w:r w:rsidR="00D21797" w:rsidRPr="00AB51E8">
        <w:rPr>
          <w:rStyle w:val="Italic"/>
          <w:rFonts w:ascii="Calibri" w:hAnsi="Calibri" w:cs="Calibri"/>
        </w:rPr>
        <w:t> </w:t>
      </w:r>
      <w:r w:rsidR="00D21797" w:rsidRPr="00AB51E8">
        <w:rPr>
          <w:rStyle w:val="Italic"/>
        </w:rPr>
        <w:t>million (2024: EUR</w:t>
      </w:r>
      <w:r w:rsidR="00D21797" w:rsidRPr="00AB51E8">
        <w:rPr>
          <w:rStyle w:val="Italic"/>
          <w:rFonts w:ascii="Calibri" w:hAnsi="Calibri" w:cs="Calibri"/>
        </w:rPr>
        <w:t> </w:t>
      </w:r>
      <w:r w:rsidR="00D21797" w:rsidRPr="00AB51E8">
        <w:rPr>
          <w:rStyle w:val="Italic"/>
        </w:rPr>
        <w:t>27.6</w:t>
      </w:r>
      <w:r w:rsidR="00D21797" w:rsidRPr="00AB51E8">
        <w:rPr>
          <w:rStyle w:val="Italic"/>
          <w:rFonts w:ascii="Calibri" w:hAnsi="Calibri" w:cs="Calibri"/>
        </w:rPr>
        <w:t> </w:t>
      </w:r>
      <w:r w:rsidR="00D21797" w:rsidRPr="00AB51E8">
        <w:rPr>
          <w:rStyle w:val="Italic"/>
        </w:rPr>
        <w:t>million).</w:t>
      </w:r>
    </w:p>
    <w:p w14:paraId="24CC3088" w14:textId="689DEA78" w:rsidR="001301C1" w:rsidRPr="006D3C55" w:rsidRDefault="001301C1" w:rsidP="009C119A">
      <w:pPr>
        <w:pStyle w:val="amprboxtext"/>
      </w:pPr>
      <w:r w:rsidRPr="006D3C55" w:rsidDel="008D7252">
        <w:rPr>
          <w:rStyle w:val="Bold"/>
        </w:rPr>
        <w:t>Reservations</w:t>
      </w:r>
      <w:r w:rsidRPr="00D763F1">
        <w:rPr>
          <w:rStyle w:val="Bold"/>
        </w:rPr>
        <w:t>:</w:t>
      </w:r>
      <w:r w:rsidRPr="006D3C55">
        <w:t xml:space="preserve"> </w:t>
      </w:r>
      <w:r w:rsidR="009C119A" w:rsidRPr="006D3C55">
        <w:t>two reservations without financial impact (2024: one reservation).</w:t>
      </w:r>
    </w:p>
    <w:p w14:paraId="4652A7BF" w14:textId="1489B566" w:rsidR="000D53F2" w:rsidRPr="006D3C55" w:rsidRDefault="000D53F2" w:rsidP="000D53F2">
      <w:pPr>
        <w:pStyle w:val="ImageTitle"/>
      </w:pPr>
      <w:r w:rsidRPr="006D3C55">
        <w:t>Multiannual financial framework heading 6</w:t>
      </w:r>
      <w:r w:rsidRPr="006D3C55">
        <w:rPr>
          <w:rFonts w:ascii="Calibri" w:hAnsi="Calibri" w:cs="Calibri"/>
        </w:rPr>
        <w:t> </w:t>
      </w:r>
      <w:r w:rsidRPr="006D3C55">
        <w:t>– neighbourhood and the world</w:t>
      </w:r>
      <w:r w:rsidRPr="006D3C55">
        <w:rPr>
          <w:rFonts w:ascii="Calibri" w:hAnsi="Calibri" w:cs="Calibri"/>
        </w:rPr>
        <w:t> </w:t>
      </w:r>
      <w:r w:rsidRPr="006D3C55">
        <w:t xml:space="preserve">– </w:t>
      </w:r>
      <w:r w:rsidR="00A137E2" w:rsidRPr="006D3C55">
        <w:br/>
      </w:r>
      <w:r w:rsidRPr="006D3C55">
        <w:t>overview of risk segmentation for 202</w:t>
      </w:r>
      <w:r w:rsidR="00566117" w:rsidRPr="006D3C55">
        <w:t>3</w:t>
      </w:r>
      <w:r w:rsidRPr="006D3C55">
        <w:t>-202</w:t>
      </w:r>
      <w:r w:rsidR="00566117" w:rsidRPr="006D3C55">
        <w:t>5</w:t>
      </w:r>
    </w:p>
    <w:p w14:paraId="6BFA359B" w14:textId="6BEFB0B4" w:rsidR="000D53F2" w:rsidRPr="006D3C55" w:rsidRDefault="001B62A0" w:rsidP="000D53F2">
      <w:pPr>
        <w:pStyle w:val="ImagePlaceholder"/>
        <w:rPr>
          <w:noProof w:val="0"/>
        </w:rPr>
      </w:pPr>
      <w:r w:rsidRPr="001B62A0">
        <w:drawing>
          <wp:inline distT="0" distB="0" distL="0" distR="0" wp14:anchorId="1B217AEC" wp14:editId="7DB012DF">
            <wp:extent cx="5759450" cy="2472055"/>
            <wp:effectExtent l="0" t="0" r="0" b="4445"/>
            <wp:docPr id="1248020242" name="Picture 19" descr="The graph represents the expenditure per risk category (Low risk, medium risk and high risk) in percentage for the years 2023, 2024 and 2025 for heading 6 of the Multiannual financial framework – neighbourhood and the world.&#10;For 2025: Low risk 89.6%, Medium risk 10.4%&#10;For 2024:  Low risk 92.5%, Medium risk 7.5%.&#10;For 2023 Low risk 100%.&#10;">
              <a:extLst xmlns:a="http://schemas.openxmlformats.org/drawingml/2006/main">
                <a:ext uri="{FF2B5EF4-FFF2-40B4-BE49-F238E27FC236}">
                  <a16:creationId xmlns:a16="http://schemas.microsoft.com/office/drawing/2014/main" id="{A5B453FC-B83E-ADF6-4E77-E4338A7EAAA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8020242" name="Picture 19" descr="The graph represents the expenditure per risk category (Low risk, medium risk and high risk) in percentage for the years 2023, 2024 and 2025 for heading 6 of the Multiannual financial framework – neighbourhood and the world.&#10;For 2025: Low risk 89.6%, Medium risk 10.4%&#10;For 2024:  Low risk 92.5%, Medium risk 7.5%.&#10;For 2023 Low risk 100%.&#10;">
                      <a:extLst>
                        <a:ext uri="{FF2B5EF4-FFF2-40B4-BE49-F238E27FC236}">
                          <a16:creationId xmlns:a16="http://schemas.microsoft.com/office/drawing/2014/main" id="{A5B453FC-B83E-ADF6-4E77-E4338A7EAAA0}"/>
                        </a:ext>
                      </a:extLst>
                    </pic:cNvPr>
                    <pic:cNvPicPr>
                      <a:picLocks noChangeAspect="1"/>
                    </pic:cNvPicPr>
                  </pic:nvPicPr>
                  <pic:blipFill>
                    <a:blip r:embed="rId81"/>
                    <a:stretch>
                      <a:fillRect/>
                    </a:stretch>
                  </pic:blipFill>
                  <pic:spPr>
                    <a:xfrm>
                      <a:off x="0" y="0"/>
                      <a:ext cx="5759450" cy="2472055"/>
                    </a:xfrm>
                    <a:prstGeom prst="rect">
                      <a:avLst/>
                    </a:prstGeom>
                  </pic:spPr>
                </pic:pic>
              </a:graphicData>
            </a:graphic>
          </wp:inline>
        </w:drawing>
      </w:r>
    </w:p>
    <w:p w14:paraId="78E778BC" w14:textId="00447A6D" w:rsidR="000D53F2" w:rsidRPr="006D3C55" w:rsidRDefault="000D53F2" w:rsidP="000D53F2">
      <w:pPr>
        <w:pStyle w:val="ImageSource"/>
      </w:pPr>
      <w:r w:rsidRPr="009004D7">
        <w:rPr>
          <w:rStyle w:val="Italic"/>
        </w:rPr>
        <w:t>Source:</w:t>
      </w:r>
      <w:r w:rsidRPr="006D3C55">
        <w:t xml:space="preserve"> European Commission annual activity reports for 2025.</w:t>
      </w:r>
    </w:p>
    <w:p w14:paraId="34273FC7" w14:textId="638FFC8D" w:rsidR="0061068A" w:rsidRPr="006D3C55" w:rsidRDefault="006D4C8A" w:rsidP="001301C1">
      <w:pPr>
        <w:rPr>
          <w:highlight w:val="lightGray"/>
        </w:rPr>
      </w:pPr>
      <w:r w:rsidRPr="00AB51E8">
        <w:rPr>
          <w:rStyle w:val="Bold"/>
        </w:rPr>
        <w:t xml:space="preserve">From 2025 onwards, there is no risk at </w:t>
      </w:r>
      <w:r w:rsidRPr="00D763F1">
        <w:rPr>
          <w:rStyle w:val="Bold"/>
        </w:rPr>
        <w:t>payment determined for the heading</w:t>
      </w:r>
      <w:r w:rsidR="007A367E" w:rsidRPr="00D763F1">
        <w:rPr>
          <w:rStyle w:val="Bold"/>
        </w:rPr>
        <w:t xml:space="preserve"> ‘neighbourhood and the world’</w:t>
      </w:r>
      <w:r w:rsidRPr="00D763F1">
        <w:rPr>
          <w:rStyle w:val="Bold"/>
        </w:rPr>
        <w:t>.</w:t>
      </w:r>
      <w:r w:rsidRPr="006D3C55">
        <w:t xml:space="preserve"> </w:t>
      </w:r>
      <w:r w:rsidRPr="006D3C55">
        <w:rPr>
          <w:rFonts w:asciiTheme="minorHAnsi" w:hAnsiTheme="minorHAnsi"/>
        </w:rPr>
        <w:t xml:space="preserve">This is </w:t>
      </w:r>
      <w:r w:rsidR="007A367E" w:rsidRPr="006D3C55">
        <w:rPr>
          <w:rFonts w:asciiTheme="minorHAnsi" w:hAnsiTheme="minorHAnsi"/>
        </w:rPr>
        <w:t>because</w:t>
      </w:r>
      <w:r w:rsidRPr="006D3C55">
        <w:rPr>
          <w:rFonts w:asciiTheme="minorHAnsi" w:hAnsiTheme="minorHAnsi"/>
        </w:rPr>
        <w:t xml:space="preserve"> part of the expenditure </w:t>
      </w:r>
      <w:r w:rsidR="00241F46" w:rsidRPr="006D3C55">
        <w:rPr>
          <w:rFonts w:asciiTheme="minorHAnsi" w:hAnsiTheme="minorHAnsi"/>
        </w:rPr>
        <w:t>is</w:t>
      </w:r>
      <w:r w:rsidRPr="006D3C55">
        <w:rPr>
          <w:rFonts w:asciiTheme="minorHAnsi" w:hAnsiTheme="minorHAnsi"/>
        </w:rPr>
        <w:t xml:space="preserve"> performance</w:t>
      </w:r>
      <w:r w:rsidR="00B32786">
        <w:rPr>
          <w:rFonts w:asciiTheme="minorHAnsi" w:hAnsiTheme="minorHAnsi"/>
        </w:rPr>
        <w:t>-</w:t>
      </w:r>
      <w:r w:rsidRPr="006D3C55">
        <w:rPr>
          <w:rFonts w:asciiTheme="minorHAnsi" w:hAnsiTheme="minorHAnsi"/>
        </w:rPr>
        <w:t xml:space="preserve">based and no quantified error rate </w:t>
      </w:r>
      <w:r w:rsidR="00A77369" w:rsidRPr="006D3C55">
        <w:rPr>
          <w:rFonts w:asciiTheme="minorHAnsi" w:hAnsiTheme="minorHAnsi"/>
        </w:rPr>
        <w:t>can</w:t>
      </w:r>
      <w:r w:rsidRPr="006D3C55">
        <w:rPr>
          <w:rFonts w:asciiTheme="minorHAnsi" w:hAnsiTheme="minorHAnsi"/>
        </w:rPr>
        <w:t xml:space="preserve"> be determined. As a result, it is no</w:t>
      </w:r>
      <w:r w:rsidR="00F07CEC" w:rsidRPr="006D3C55">
        <w:rPr>
          <w:rFonts w:asciiTheme="minorHAnsi" w:hAnsiTheme="minorHAnsi"/>
        </w:rPr>
        <w:t xml:space="preserve"> longer</w:t>
      </w:r>
      <w:r w:rsidRPr="006D3C55">
        <w:rPr>
          <w:rFonts w:asciiTheme="minorHAnsi" w:hAnsiTheme="minorHAnsi"/>
        </w:rPr>
        <w:t xml:space="preserve"> possible to determine a risk at payment for the entire heading</w:t>
      </w:r>
      <w:r w:rsidR="00F07CEC" w:rsidRPr="006D3C55">
        <w:rPr>
          <w:rFonts w:asciiTheme="minorHAnsi" w:hAnsiTheme="minorHAnsi"/>
        </w:rPr>
        <w:t>,</w:t>
      </w:r>
      <w:r w:rsidRPr="006D3C55">
        <w:rPr>
          <w:rFonts w:asciiTheme="minorHAnsi" w:hAnsiTheme="minorHAnsi"/>
        </w:rPr>
        <w:t xml:space="preserve"> and the new indicator about control results and the legality and regularity of the expenditure is the share of low</w:t>
      </w:r>
      <w:r w:rsidR="00A03124" w:rsidRPr="006D3C55">
        <w:rPr>
          <w:rFonts w:asciiTheme="minorHAnsi" w:hAnsiTheme="minorHAnsi"/>
        </w:rPr>
        <w:t>-</w:t>
      </w:r>
      <w:r w:rsidRPr="006D3C55">
        <w:rPr>
          <w:rFonts w:asciiTheme="minorHAnsi" w:hAnsiTheme="minorHAnsi"/>
        </w:rPr>
        <w:t>risk expenditure.</w:t>
      </w:r>
    </w:p>
    <w:p w14:paraId="3ED363F5" w14:textId="0DA0AB84" w:rsidR="00554C31" w:rsidRPr="006D3C55" w:rsidRDefault="002B42FB" w:rsidP="002B42FB">
      <w:r w:rsidRPr="00D763F1">
        <w:rPr>
          <w:rStyle w:val="Bold"/>
        </w:rPr>
        <w:t>In 2025, for neighbourhood and the world, almost 90% of the expenditure was considered low risk.</w:t>
      </w:r>
      <w:r w:rsidRPr="006D3C55">
        <w:t xml:space="preserve"> This is in line with the share of low-risk expenditure for the heading in 2024,</w:t>
      </w:r>
      <w:r w:rsidR="00D35694" w:rsidRPr="006D3C55">
        <w:t xml:space="preserve"> at</w:t>
      </w:r>
      <w:r w:rsidRPr="006D3C55">
        <w:t xml:space="preserve"> 92</w:t>
      </w:r>
      <w:r w:rsidR="00CB50DF" w:rsidRPr="006D3C55">
        <w:t>.</w:t>
      </w:r>
      <w:r w:rsidRPr="006D3C55">
        <w:t xml:space="preserve">4%, and slightly lower compared to 2023, </w:t>
      </w:r>
      <w:r w:rsidR="00D35694" w:rsidRPr="006D3C55">
        <w:t xml:space="preserve">at </w:t>
      </w:r>
      <w:r w:rsidRPr="006D3C55">
        <w:t xml:space="preserve">100%. </w:t>
      </w:r>
      <w:r w:rsidR="00DE0417" w:rsidRPr="006D3C55">
        <w:t xml:space="preserve">In 2025, most of the compliance-based expenditure, still the bulk of all the payments under this heading </w:t>
      </w:r>
      <w:r w:rsidR="00000C5F">
        <w:t>at</w:t>
      </w:r>
      <w:r w:rsidR="00000C5F" w:rsidRPr="006D3C55">
        <w:t xml:space="preserve"> </w:t>
      </w:r>
      <w:r w:rsidR="00DE0417" w:rsidRPr="006D3C55">
        <w:t>EUR</w:t>
      </w:r>
      <w:r w:rsidR="00D35694" w:rsidRPr="006D3C55">
        <w:rPr>
          <w:rFonts w:ascii="Calibri" w:hAnsi="Calibri" w:cs="Calibri"/>
        </w:rPr>
        <w:t> </w:t>
      </w:r>
      <w:r w:rsidR="00DE0417" w:rsidRPr="006D3C55">
        <w:t>15</w:t>
      </w:r>
      <w:r w:rsidR="00CB50DF" w:rsidRPr="006D3C55">
        <w:t>.</w:t>
      </w:r>
      <w:r w:rsidR="00DE0417" w:rsidRPr="006D3C55">
        <w:t>8</w:t>
      </w:r>
      <w:r w:rsidR="00D35694" w:rsidRPr="006D3C55">
        <w:rPr>
          <w:rFonts w:ascii="Calibri" w:hAnsi="Calibri" w:cs="Calibri"/>
        </w:rPr>
        <w:t> </w:t>
      </w:r>
      <w:r w:rsidR="00DE0417" w:rsidRPr="006D3C55">
        <w:t xml:space="preserve">billion, </w:t>
      </w:r>
      <w:r w:rsidR="00D35694" w:rsidRPr="006D3C55">
        <w:t xml:space="preserve">has </w:t>
      </w:r>
      <w:r w:rsidR="00DE0417" w:rsidRPr="006D3C55">
        <w:t xml:space="preserve">a risk at payment below 2%. In addition, performance-based payments, </w:t>
      </w:r>
      <w:r w:rsidR="000A6790" w:rsidRPr="006D3C55">
        <w:t xml:space="preserve">amounting to </w:t>
      </w:r>
      <w:r w:rsidR="00DE0417" w:rsidRPr="006D3C55">
        <w:t>EUR</w:t>
      </w:r>
      <w:r w:rsidR="00DE0417" w:rsidRPr="006D3C55">
        <w:rPr>
          <w:rFonts w:ascii="Calibri" w:hAnsi="Calibri" w:cs="Calibri"/>
        </w:rPr>
        <w:t> </w:t>
      </w:r>
      <w:r w:rsidR="002737F3" w:rsidRPr="006D3C55">
        <w:t>60</w:t>
      </w:r>
      <w:r w:rsidR="002737F3">
        <w:t>1.3</w:t>
      </w:r>
      <w:r w:rsidR="002737F3" w:rsidRPr="006D3C55">
        <w:rPr>
          <w:rFonts w:ascii="Calibri" w:hAnsi="Calibri" w:cs="Calibri"/>
        </w:rPr>
        <w:t> </w:t>
      </w:r>
      <w:r w:rsidR="00DE0417" w:rsidRPr="006D3C55">
        <w:t>million in 2025 under the Ukraine Facility, have been assessed as low risk</w:t>
      </w:r>
      <w:r w:rsidR="00C97114" w:rsidRPr="006D3C55">
        <w:t>,</w:t>
      </w:r>
      <w:r w:rsidR="00DE0417" w:rsidRPr="006D3C55">
        <w:t xml:space="preserve"> based on a qualitative assessment of the milestones and targets that triggered the payments (see box below for a more detailed description of the approach).</w:t>
      </w:r>
      <w:r w:rsidR="00554C31" w:rsidRPr="006D3C55">
        <w:t xml:space="preserve"> Regarding the expenditure considered medium or high risk, </w:t>
      </w:r>
      <w:r w:rsidR="000A6790" w:rsidRPr="006D3C55">
        <w:t xml:space="preserve">it mostly </w:t>
      </w:r>
      <w:r w:rsidR="00554C31" w:rsidRPr="006D3C55">
        <w:t>correspond</w:t>
      </w:r>
      <w:r w:rsidR="000A6790" w:rsidRPr="006D3C55">
        <w:t>s</w:t>
      </w:r>
      <w:r w:rsidR="00554C31" w:rsidRPr="006D3C55">
        <w:t xml:space="preserve"> to grants </w:t>
      </w:r>
      <w:r w:rsidR="000A6790" w:rsidRPr="006D3C55">
        <w:t xml:space="preserve">under </w:t>
      </w:r>
      <w:r w:rsidR="00554C31" w:rsidRPr="006D3C55">
        <w:t>direct management with a risk at payment respectively above 2% and 2</w:t>
      </w:r>
      <w:r w:rsidR="00CB50DF" w:rsidRPr="006D3C55">
        <w:t>.</w:t>
      </w:r>
      <w:r w:rsidR="00554C31" w:rsidRPr="006D3C55">
        <w:t>5%.</w:t>
      </w:r>
    </w:p>
    <w:p w14:paraId="1DBE03E5" w14:textId="2C25EAD5" w:rsidR="00C53647" w:rsidRPr="006D3C55" w:rsidRDefault="00203ADD" w:rsidP="002B42FB">
      <w:r w:rsidRPr="006D3C55">
        <w:t>After a significant increase in 2024</w:t>
      </w:r>
      <w:r w:rsidR="00E62B12" w:rsidRPr="006D3C55">
        <w:t xml:space="preserve"> due to </w:t>
      </w:r>
      <w:r w:rsidR="00195FF3" w:rsidRPr="006D3C55">
        <w:t>high</w:t>
      </w:r>
      <w:r w:rsidR="00546978" w:rsidRPr="006D3C55">
        <w:t>-</w:t>
      </w:r>
      <w:r w:rsidR="00195FF3" w:rsidRPr="006D3C55">
        <w:t xml:space="preserve">value </w:t>
      </w:r>
      <w:r w:rsidR="6FFFA915" w:rsidRPr="006D3C55">
        <w:t>payments</w:t>
      </w:r>
      <w:r w:rsidR="00E62B12" w:rsidRPr="006D3C55">
        <w:t>,</w:t>
      </w:r>
      <w:r w:rsidRPr="006D3C55">
        <w:t xml:space="preserve"> </w:t>
      </w:r>
      <w:r w:rsidR="006B1A43" w:rsidRPr="006D3C55">
        <w:t xml:space="preserve">the </w:t>
      </w:r>
      <w:r w:rsidR="002A6745" w:rsidRPr="006D3C55">
        <w:t xml:space="preserve">total </w:t>
      </w:r>
      <w:r w:rsidR="00D917C6" w:rsidRPr="006D3C55">
        <w:t xml:space="preserve">amount of </w:t>
      </w:r>
      <w:r w:rsidR="002A6745" w:rsidRPr="006D3C55">
        <w:t xml:space="preserve">relevant expenditure under this heading </w:t>
      </w:r>
      <w:r w:rsidR="00546978" w:rsidRPr="006D3C55">
        <w:t xml:space="preserve">in 2025 was </w:t>
      </w:r>
      <w:r w:rsidR="002A6745" w:rsidRPr="006D3C55">
        <w:t xml:space="preserve">broadly in line with the amounts in 2023. The </w:t>
      </w:r>
      <w:r w:rsidR="006B1A43" w:rsidRPr="006D3C55">
        <w:t>difference</w:t>
      </w:r>
      <w:r w:rsidR="002A6745" w:rsidRPr="006D3C55">
        <w:t xml:space="preserve"> compared to 2023 is mainly </w:t>
      </w:r>
      <w:r w:rsidR="006B1A43" w:rsidRPr="006D3C55">
        <w:t xml:space="preserve">explained by the </w:t>
      </w:r>
      <w:r w:rsidR="002A6745" w:rsidRPr="006D3C55">
        <w:t xml:space="preserve">support </w:t>
      </w:r>
      <w:r w:rsidR="00546978" w:rsidRPr="006D3C55">
        <w:t xml:space="preserve">provided </w:t>
      </w:r>
      <w:r w:rsidR="002A6745" w:rsidRPr="006D3C55">
        <w:t>to Ukraine</w:t>
      </w:r>
      <w:r w:rsidR="006B1A43" w:rsidRPr="006D3C55">
        <w:t xml:space="preserve"> (non-repayable support under the </w:t>
      </w:r>
      <w:r w:rsidR="00546978" w:rsidRPr="006D3C55">
        <w:t xml:space="preserve">Ukraine </w:t>
      </w:r>
      <w:r w:rsidR="006B1A43" w:rsidRPr="006D3C55">
        <w:t xml:space="preserve">Facility, the Ukraine Loan Cooperation </w:t>
      </w:r>
      <w:r w:rsidR="006B1A43" w:rsidRPr="0019715A">
        <w:t>Mechanism and the interest rate subsidy for macrofinancial assistance)</w:t>
      </w:r>
      <w:r w:rsidR="002A6745" w:rsidRPr="0019715A">
        <w:t>.</w:t>
      </w:r>
    </w:p>
    <w:p w14:paraId="1CEF0F76" w14:textId="05188E30" w:rsidR="004A595B" w:rsidRPr="006D3C55" w:rsidRDefault="28CF5162" w:rsidP="002B42FB">
      <w:pPr>
        <w:rPr>
          <w:highlight w:val="yellow"/>
        </w:rPr>
      </w:pPr>
      <w:r w:rsidRPr="00CA7DC1">
        <w:rPr>
          <w:rStyle w:val="Bold"/>
        </w:rPr>
        <w:t>T</w:t>
      </w:r>
      <w:r w:rsidR="2AE952C3" w:rsidRPr="00CA7DC1">
        <w:rPr>
          <w:rStyle w:val="Bold"/>
        </w:rPr>
        <w:t>he main</w:t>
      </w:r>
      <w:r w:rsidR="002B42FB" w:rsidRPr="00CA7DC1" w:rsidDel="00E558AF">
        <w:rPr>
          <w:rStyle w:val="Bold"/>
        </w:rPr>
        <w:t xml:space="preserve"> </w:t>
      </w:r>
      <w:r w:rsidR="00984435" w:rsidRPr="00CA7DC1">
        <w:rPr>
          <w:rStyle w:val="Bold"/>
        </w:rPr>
        <w:t xml:space="preserve">errors </w:t>
      </w:r>
      <w:r w:rsidR="00554C31" w:rsidRPr="00CA7DC1">
        <w:rPr>
          <w:rStyle w:val="Bold"/>
        </w:rPr>
        <w:t xml:space="preserve">identified </w:t>
      </w:r>
      <w:r w:rsidR="00A70850" w:rsidRPr="00CA7DC1">
        <w:rPr>
          <w:rStyle w:val="Bold"/>
        </w:rPr>
        <w:t>(</w:t>
      </w:r>
      <w:r w:rsidR="002B42FB" w:rsidRPr="00CA7DC1">
        <w:rPr>
          <w:rStyle w:val="Bold"/>
        </w:rPr>
        <w:t>missing supporting documents, procurement issues and excess clearing</w:t>
      </w:r>
      <w:r w:rsidR="00A70850" w:rsidRPr="00CA7DC1">
        <w:rPr>
          <w:rStyle w:val="Bold"/>
        </w:rPr>
        <w:t>)</w:t>
      </w:r>
      <w:r w:rsidR="00984435" w:rsidRPr="00CA7DC1">
        <w:rPr>
          <w:rStyle w:val="Bold"/>
        </w:rPr>
        <w:t xml:space="preserve"> </w:t>
      </w:r>
      <w:r w:rsidR="00554C31" w:rsidRPr="00CA7DC1">
        <w:rPr>
          <w:rStyle w:val="Bold"/>
        </w:rPr>
        <w:t>are in line with the Court of Auditors’ findings.</w:t>
      </w:r>
      <w:r w:rsidR="00554C31" w:rsidRPr="006D3C55">
        <w:t xml:space="preserve"> They are</w:t>
      </w:r>
      <w:r w:rsidR="002B42FB" w:rsidRPr="006D3C55">
        <w:t xml:space="preserve"> mainly due to </w:t>
      </w:r>
      <w:r w:rsidR="00612C62" w:rsidRPr="006D3C55">
        <w:t xml:space="preserve">the </w:t>
      </w:r>
      <w:r w:rsidR="002B42FB" w:rsidRPr="006D3C55">
        <w:t>misunderstanding or misinterpretation of the relatively complex contractual conditions</w:t>
      </w:r>
      <w:r w:rsidR="00554C31" w:rsidRPr="006D3C55">
        <w:t xml:space="preserve">, </w:t>
      </w:r>
      <w:r w:rsidR="007958CC" w:rsidRPr="006D3C55">
        <w:t>a</w:t>
      </w:r>
      <w:r w:rsidR="00612C62" w:rsidRPr="006D3C55">
        <w:t xml:space="preserve"> </w:t>
      </w:r>
      <w:r w:rsidR="00554C31" w:rsidRPr="006D3C55">
        <w:t xml:space="preserve">lack of capacity in some countries, </w:t>
      </w:r>
      <w:r w:rsidR="007958CC" w:rsidRPr="006D3C55">
        <w:t>a</w:t>
      </w:r>
      <w:r w:rsidR="00612C62" w:rsidRPr="006D3C55">
        <w:t xml:space="preserve"> </w:t>
      </w:r>
      <w:r w:rsidR="00554C31" w:rsidRPr="006D3C55">
        <w:t xml:space="preserve">lack of safeguarding of the financial documentary evidence after project completion or </w:t>
      </w:r>
      <w:r w:rsidR="007958CC" w:rsidRPr="006D3C55">
        <w:t xml:space="preserve">a </w:t>
      </w:r>
      <w:r w:rsidR="00554C31" w:rsidRPr="006D3C55">
        <w:t>lack of response to the auditors</w:t>
      </w:r>
      <w:r w:rsidR="00D6667E" w:rsidRPr="006D3C55">
        <w:t>. This is</w:t>
      </w:r>
      <w:r w:rsidR="006D34FD" w:rsidRPr="006D3C55">
        <w:t xml:space="preserve"> further exacerbated by </w:t>
      </w:r>
      <w:r w:rsidR="00554C31" w:rsidRPr="006D3C55">
        <w:t xml:space="preserve">a </w:t>
      </w:r>
      <w:r w:rsidR="00D6667E" w:rsidRPr="006D3C55">
        <w:t>complex operational environment, characterised by unpredictability, volatility and insecurity</w:t>
      </w:r>
      <w:r w:rsidR="004A595B" w:rsidRPr="006D3C55">
        <w:t xml:space="preserve">. </w:t>
      </w:r>
      <w:r w:rsidR="00E558AF" w:rsidRPr="006D3C55">
        <w:t>The difference between the Court</w:t>
      </w:r>
      <w:r w:rsidR="002D6558">
        <w:t xml:space="preserve"> of Auditors’</w:t>
      </w:r>
      <w:r w:rsidR="00E558AF" w:rsidRPr="006D3C55">
        <w:t xml:space="preserve"> estimated level of error (</w:t>
      </w:r>
      <w:r w:rsidR="1CE025EB" w:rsidRPr="006D3C55">
        <w:t>4.9</w:t>
      </w:r>
      <w:r w:rsidR="00E558AF" w:rsidRPr="006D3C55">
        <w:t>% in 2024)</w:t>
      </w:r>
      <w:r w:rsidR="008D12D0">
        <w:rPr>
          <w:rFonts w:ascii="Calibri" w:hAnsi="Calibri" w:cs="Calibri"/>
        </w:rPr>
        <w:t> </w:t>
      </w:r>
      <w:r w:rsidR="008D12D0">
        <w:t>–</w:t>
      </w:r>
      <w:r w:rsidR="00E558AF" w:rsidRPr="006D3C55">
        <w:t xml:space="preserve"> and its conclusion that all expenditure under this heading </w:t>
      </w:r>
      <w:r w:rsidR="00CE044A" w:rsidRPr="006D3C55">
        <w:t xml:space="preserve">is </w:t>
      </w:r>
      <w:r w:rsidR="00E558AF" w:rsidRPr="006D3C55">
        <w:t>high risk</w:t>
      </w:r>
      <w:r w:rsidR="008D12D0">
        <w:rPr>
          <w:rFonts w:ascii="Calibri" w:hAnsi="Calibri" w:cs="Calibri"/>
        </w:rPr>
        <w:t> </w:t>
      </w:r>
      <w:r w:rsidR="008D12D0">
        <w:t>–</w:t>
      </w:r>
      <w:r w:rsidR="00E558AF" w:rsidRPr="006D3C55">
        <w:t xml:space="preserve"> and the Commission’s </w:t>
      </w:r>
      <w:r w:rsidR="007F330B" w:rsidRPr="006D3C55">
        <w:t>residual error rates and</w:t>
      </w:r>
      <w:r w:rsidR="00E558AF" w:rsidRPr="006D3C55">
        <w:t xml:space="preserve"> assessment that most of the expenditure </w:t>
      </w:r>
      <w:r w:rsidR="00CE044A" w:rsidRPr="006D3C55">
        <w:t xml:space="preserve">is </w:t>
      </w:r>
      <w:r w:rsidR="00E558AF" w:rsidRPr="006D3C55">
        <w:t xml:space="preserve">low risk is mostly </w:t>
      </w:r>
      <w:r w:rsidR="00D00227" w:rsidRPr="006D3C55">
        <w:t>due to</w:t>
      </w:r>
      <w:r w:rsidR="00E558AF" w:rsidRPr="006D3C55">
        <w:t xml:space="preserve"> the different approaches: the Court </w:t>
      </w:r>
      <w:r w:rsidR="002D6558">
        <w:t>of Auditors</w:t>
      </w:r>
      <w:r w:rsidR="00E558AF" w:rsidRPr="006D3C55">
        <w:t xml:space="preserve"> audit</w:t>
      </w:r>
      <w:r w:rsidR="00406DAA" w:rsidRPr="006D3C55">
        <w:t>s</w:t>
      </w:r>
      <w:r w:rsidR="00E558AF" w:rsidRPr="006D3C55">
        <w:t xml:space="preserve"> payments </w:t>
      </w:r>
      <w:r w:rsidR="00121550" w:rsidRPr="006D3C55">
        <w:t>on ongoing contracts</w:t>
      </w:r>
      <w:r w:rsidR="00E558AF" w:rsidRPr="006D3C55">
        <w:t xml:space="preserve"> whereas the Commission audit</w:t>
      </w:r>
      <w:r w:rsidR="00406DAA" w:rsidRPr="006D3C55">
        <w:t>s</w:t>
      </w:r>
      <w:r w:rsidR="00E558AF" w:rsidRPr="006D3C55">
        <w:t xml:space="preserve"> closed contracts to identify only the remaining (residual) errors after all controls</w:t>
      </w:r>
      <w:r w:rsidR="00D00227" w:rsidRPr="006D3C55">
        <w:t xml:space="preserve"> and ensuing corrections </w:t>
      </w:r>
      <w:r w:rsidR="00E558AF" w:rsidRPr="006D3C55">
        <w:t>have taken place.</w:t>
      </w:r>
    </w:p>
    <w:p w14:paraId="7DF44AD9" w14:textId="4B65D830" w:rsidR="31A6A500" w:rsidRDefault="00D6667E" w:rsidP="2203EEF3">
      <w:pPr>
        <w:rPr>
          <w:rFonts w:asciiTheme="minorHAnsi" w:hAnsiTheme="minorHAnsi"/>
        </w:rPr>
      </w:pPr>
      <w:r w:rsidRPr="00CA7DC1">
        <w:rPr>
          <w:rStyle w:val="Bold"/>
        </w:rPr>
        <w:t>T</w:t>
      </w:r>
      <w:r w:rsidR="004A595B" w:rsidRPr="00CA7DC1">
        <w:rPr>
          <w:rStyle w:val="Bold"/>
        </w:rPr>
        <w:t>he Commission continued to look into possibilities to improve its financial management of programmes</w:t>
      </w:r>
      <w:r w:rsidRPr="00CA7DC1">
        <w:rPr>
          <w:rStyle w:val="Bold"/>
        </w:rPr>
        <w:t xml:space="preserve">, in particular for those areas </w:t>
      </w:r>
      <w:r w:rsidR="00CE044A" w:rsidRPr="00CA7DC1">
        <w:rPr>
          <w:rStyle w:val="Bold"/>
        </w:rPr>
        <w:t xml:space="preserve">for </w:t>
      </w:r>
      <w:r w:rsidRPr="00CA7DC1">
        <w:rPr>
          <w:rStyle w:val="Bold"/>
        </w:rPr>
        <w:t xml:space="preserve">which expenditure </w:t>
      </w:r>
      <w:r w:rsidR="00CE044A" w:rsidRPr="00CA7DC1">
        <w:rPr>
          <w:rStyle w:val="Bold"/>
        </w:rPr>
        <w:t xml:space="preserve">is </w:t>
      </w:r>
      <w:r w:rsidRPr="00CA7DC1">
        <w:rPr>
          <w:rStyle w:val="Bold"/>
        </w:rPr>
        <w:t>categorised as medium or high risk.</w:t>
      </w:r>
      <w:r w:rsidR="004A595B" w:rsidRPr="006D3C55">
        <w:t xml:space="preserve"> </w:t>
      </w:r>
      <w:r w:rsidRPr="006D3C55">
        <w:t>For instance</w:t>
      </w:r>
      <w:r w:rsidR="17149B84" w:rsidRPr="006D3C55">
        <w:t>, Commission services have taken mitigatin</w:t>
      </w:r>
      <w:r w:rsidRPr="006D3C55">
        <w:t>g</w:t>
      </w:r>
      <w:r w:rsidR="17149B84" w:rsidRPr="006D3C55">
        <w:t xml:space="preserve"> measures, such as strengthening the dialogue and verification processes to increase transparency in cooperation with international organisations.</w:t>
      </w:r>
      <w:r w:rsidR="7B5159B7" w:rsidRPr="006D3C55">
        <w:t xml:space="preserve"> </w:t>
      </w:r>
      <w:r w:rsidR="00945BD7" w:rsidRPr="006D3C55">
        <w:t>In 2025</w:t>
      </w:r>
      <w:r w:rsidR="7B5159B7" w:rsidRPr="006D3C55">
        <w:t xml:space="preserve">, DG International Partnerships </w:t>
      </w:r>
      <w:r w:rsidR="7315B9A6" w:rsidRPr="006D3C55">
        <w:t xml:space="preserve">finalised </w:t>
      </w:r>
      <w:r w:rsidR="7B5159B7" w:rsidRPr="006D3C55">
        <w:t>the review of its control strategy</w:t>
      </w:r>
      <w:r w:rsidR="005C1AEB">
        <w:t xml:space="preserve"> </w:t>
      </w:r>
      <w:r w:rsidR="005625C5">
        <w:t xml:space="preserve">in view of </w:t>
      </w:r>
      <w:r w:rsidR="00C70BE3" w:rsidRPr="00C70BE3">
        <w:t>improv</w:t>
      </w:r>
      <w:r w:rsidR="005625C5">
        <w:t>ing</w:t>
      </w:r>
      <w:r w:rsidR="00C70BE3" w:rsidRPr="00C70BE3">
        <w:t xml:space="preserve"> the efficiency and effectiveness of its internal control framework. </w:t>
      </w:r>
      <w:r w:rsidR="00D206AC">
        <w:t>A</w:t>
      </w:r>
      <w:r w:rsidR="00C70BE3" w:rsidRPr="00C70BE3">
        <w:t xml:space="preserve"> first outcome already </w:t>
      </w:r>
      <w:r w:rsidR="00D206AC">
        <w:t xml:space="preserve">achieved at the </w:t>
      </w:r>
      <w:r w:rsidR="00C70BE3" w:rsidRPr="00C70BE3">
        <w:t xml:space="preserve">beginning of 2026 </w:t>
      </w:r>
      <w:r w:rsidR="00DD1480">
        <w:t xml:space="preserve">is </w:t>
      </w:r>
      <w:r w:rsidR="00C70BE3" w:rsidRPr="00C70BE3">
        <w:t>the reduction of the sample</w:t>
      </w:r>
      <w:r w:rsidR="5D1171D4" w:rsidRPr="006D3C55">
        <w:rPr>
          <w:rFonts w:asciiTheme="minorHAnsi" w:hAnsiTheme="minorHAnsi"/>
        </w:rPr>
        <w:t xml:space="preserve"> </w:t>
      </w:r>
      <w:r w:rsidR="001C5339" w:rsidRPr="006D3C55">
        <w:rPr>
          <w:rFonts w:asciiTheme="minorHAnsi" w:hAnsiTheme="minorHAnsi"/>
        </w:rPr>
        <w:t xml:space="preserve">size used to determine the </w:t>
      </w:r>
      <w:r w:rsidR="00DD1480">
        <w:rPr>
          <w:rFonts w:asciiTheme="minorHAnsi" w:hAnsiTheme="minorHAnsi"/>
        </w:rPr>
        <w:t xml:space="preserve">yearly </w:t>
      </w:r>
      <w:r w:rsidR="001C5339" w:rsidRPr="006D3C55">
        <w:rPr>
          <w:rFonts w:asciiTheme="minorHAnsi" w:hAnsiTheme="minorHAnsi"/>
        </w:rPr>
        <w:t xml:space="preserve">error rate, </w:t>
      </w:r>
      <w:r w:rsidR="00CB61E2" w:rsidRPr="00CB61E2">
        <w:rPr>
          <w:rFonts w:asciiTheme="minorHAnsi" w:hAnsiTheme="minorHAnsi"/>
        </w:rPr>
        <w:t>leading to a considerable improvement of the cost efficiency of controls. Other important measures are in the course of finalisation</w:t>
      </w:r>
      <w:r w:rsidR="00F46ECD">
        <w:rPr>
          <w:rFonts w:asciiTheme="minorHAnsi" w:hAnsiTheme="minorHAnsi"/>
        </w:rPr>
        <w:t>,</w:t>
      </w:r>
      <w:r w:rsidR="00CB61E2" w:rsidRPr="00CB61E2">
        <w:rPr>
          <w:rFonts w:asciiTheme="minorHAnsi" w:hAnsiTheme="minorHAnsi"/>
        </w:rPr>
        <w:t xml:space="preserve"> </w:t>
      </w:r>
      <w:r w:rsidR="1DF55FB3" w:rsidRPr="006D3C55">
        <w:rPr>
          <w:rFonts w:asciiTheme="minorHAnsi" w:hAnsiTheme="minorHAnsi"/>
        </w:rPr>
        <w:t>such as the risk profiling dashboard</w:t>
      </w:r>
      <w:r w:rsidR="009D6F3D" w:rsidRPr="006D3C55">
        <w:rPr>
          <w:rFonts w:asciiTheme="minorHAnsi" w:hAnsiTheme="minorHAnsi"/>
        </w:rPr>
        <w:t>,</w:t>
      </w:r>
      <w:r w:rsidR="06608DCD" w:rsidRPr="006D3C55">
        <w:rPr>
          <w:rFonts w:asciiTheme="minorHAnsi" w:hAnsiTheme="minorHAnsi"/>
        </w:rPr>
        <w:t xml:space="preserve"> w</w:t>
      </w:r>
      <w:r w:rsidR="28744FE1" w:rsidRPr="006D3C55">
        <w:rPr>
          <w:rFonts w:asciiTheme="minorHAnsi" w:hAnsiTheme="minorHAnsi"/>
        </w:rPr>
        <w:t>h</w:t>
      </w:r>
      <w:r w:rsidR="06608DCD" w:rsidRPr="006D3C55">
        <w:rPr>
          <w:rFonts w:asciiTheme="minorHAnsi" w:hAnsiTheme="minorHAnsi"/>
        </w:rPr>
        <w:t>ich will lead to more informed decision-making on mitigating measures for high-risk contracts and high-risk implementing partners.</w:t>
      </w:r>
    </w:p>
    <w:p w14:paraId="28BDA55E" w14:textId="77777777" w:rsidR="002B4C51" w:rsidRDefault="002B4C51">
      <w:pPr>
        <w:suppressAutoHyphens w:val="0"/>
        <w:rPr>
          <w:rFonts w:asciiTheme="minorHAnsi" w:hAnsiTheme="minorHAnsi"/>
        </w:rPr>
      </w:pPr>
      <w:r>
        <w:rPr>
          <w:rFonts w:asciiTheme="minorHAnsi" w:hAnsiTheme="minorHAnsi"/>
        </w:rPr>
        <w:br w:type="page"/>
      </w:r>
    </w:p>
    <w:p w14:paraId="063D6605" w14:textId="4FFAD682" w:rsidR="00820EBF" w:rsidRDefault="002B42FB" w:rsidP="00820EBF">
      <w:pPr>
        <w:rPr>
          <w:noProof/>
        </w:rPr>
      </w:pPr>
      <w:r w:rsidRPr="00CA7DC1">
        <w:rPr>
          <w:rStyle w:val="Bold"/>
        </w:rPr>
        <w:t>The Ukraine Facility</w:t>
      </w:r>
      <w:r w:rsidR="00616786" w:rsidRPr="00CA7DC1">
        <w:rPr>
          <w:rStyle w:val="Bold"/>
        </w:rPr>
        <w:t xml:space="preserve"> and</w:t>
      </w:r>
      <w:r w:rsidRPr="00CA7DC1">
        <w:rPr>
          <w:rStyle w:val="Bold"/>
        </w:rPr>
        <w:t xml:space="preserve"> the Westen Balkan</w:t>
      </w:r>
      <w:r w:rsidR="00511473" w:rsidRPr="00CA7DC1">
        <w:rPr>
          <w:rStyle w:val="Bold"/>
        </w:rPr>
        <w:t>s</w:t>
      </w:r>
      <w:r w:rsidRPr="00CA7DC1">
        <w:rPr>
          <w:rStyle w:val="Bold"/>
        </w:rPr>
        <w:t xml:space="preserve"> and Moldova </w:t>
      </w:r>
      <w:r w:rsidR="00616786" w:rsidRPr="00CA7DC1">
        <w:rPr>
          <w:rStyle w:val="Bold"/>
        </w:rPr>
        <w:t>f</w:t>
      </w:r>
      <w:r w:rsidRPr="00CA7DC1">
        <w:rPr>
          <w:rStyle w:val="Bold"/>
        </w:rPr>
        <w:t>acilities are new types of instrument</w:t>
      </w:r>
      <w:r w:rsidR="009839A4" w:rsidRPr="00AD4275">
        <w:rPr>
          <w:rFonts w:cs="Calibri"/>
        </w:rPr>
        <w:t> </w:t>
      </w:r>
      <w:r w:rsidR="009839A4" w:rsidRPr="00AD4275">
        <w:t>(</w:t>
      </w:r>
      <w:r w:rsidR="009839A4" w:rsidRPr="00352191">
        <w:rPr>
          <w:rStyle w:val="FootnoteReference"/>
        </w:rPr>
        <w:footnoteReference w:id="42"/>
      </w:r>
      <w:r w:rsidR="009839A4" w:rsidRPr="00AD4275">
        <w:t>)</w:t>
      </w:r>
      <w:r w:rsidRPr="00CA7DC1">
        <w:rPr>
          <w:rStyle w:val="Bold"/>
        </w:rPr>
        <w:t>.</w:t>
      </w:r>
      <w:r w:rsidRPr="006D3C55">
        <w:t xml:space="preserve"> Similar</w:t>
      </w:r>
      <w:r w:rsidR="009D6F3D" w:rsidRPr="006D3C55">
        <w:t>ly</w:t>
      </w:r>
      <w:r w:rsidRPr="006D3C55">
        <w:t xml:space="preserve"> to the R</w:t>
      </w:r>
      <w:r w:rsidR="002657D0" w:rsidRPr="006D3C55">
        <w:t xml:space="preserve">esilience and </w:t>
      </w:r>
      <w:r w:rsidRPr="006D3C55">
        <w:t>R</w:t>
      </w:r>
      <w:r w:rsidR="002657D0" w:rsidRPr="006D3C55">
        <w:t xml:space="preserve">ecovery </w:t>
      </w:r>
      <w:r w:rsidRPr="006D3C55">
        <w:t>F</w:t>
      </w:r>
      <w:r w:rsidR="002657D0" w:rsidRPr="006D3C55">
        <w:t>acility</w:t>
      </w:r>
      <w:r w:rsidRPr="006D3C55">
        <w:t xml:space="preserve"> (see</w:t>
      </w:r>
      <w:r w:rsidR="009D6F3D" w:rsidRPr="006D3C55">
        <w:rPr>
          <w:rFonts w:ascii="Calibri" w:hAnsi="Calibri" w:cs="Calibri"/>
        </w:rPr>
        <w:t xml:space="preserve"> </w:t>
      </w:r>
      <w:r w:rsidRPr="006D3C55">
        <w:t>Annex</w:t>
      </w:r>
      <w:r w:rsidR="002657D0" w:rsidRPr="006D3C55">
        <w:rPr>
          <w:rFonts w:ascii="Calibri" w:hAnsi="Calibri" w:cs="Calibri"/>
        </w:rPr>
        <w:t> </w:t>
      </w:r>
      <w:r w:rsidRPr="006D3C55">
        <w:t xml:space="preserve">3), funds are disbursed </w:t>
      </w:r>
      <w:r w:rsidR="009D6F3D" w:rsidRPr="006D3C55">
        <w:t xml:space="preserve">following </w:t>
      </w:r>
      <w:r w:rsidR="00B37D74" w:rsidRPr="006D3C55">
        <w:t>a qualitative assessment of the satisfactory</w:t>
      </w:r>
      <w:r w:rsidRPr="006D3C55">
        <w:t xml:space="preserve"> </w:t>
      </w:r>
      <w:r w:rsidR="00B37D74" w:rsidRPr="006D3C55">
        <w:t xml:space="preserve">fulfilment </w:t>
      </w:r>
      <w:r w:rsidRPr="006D3C55">
        <w:t xml:space="preserve">of </w:t>
      </w:r>
      <w:r w:rsidR="00B37D74" w:rsidRPr="006D3C55">
        <w:t>predefined/agreed</w:t>
      </w:r>
      <w:r w:rsidRPr="006D3C55">
        <w:t xml:space="preserve"> milestones and targets</w:t>
      </w:r>
      <w:r w:rsidR="00B37D74" w:rsidRPr="006D3C55">
        <w:t xml:space="preserve"> </w:t>
      </w:r>
      <w:r w:rsidR="007C24FD" w:rsidRPr="006D3C55">
        <w:t>(</w:t>
      </w:r>
      <w:r w:rsidR="00B37D74" w:rsidRPr="006D3C55">
        <w:t xml:space="preserve">named </w:t>
      </w:r>
      <w:r w:rsidR="008C6109">
        <w:t>‘</w:t>
      </w:r>
      <w:r w:rsidR="00B37D74" w:rsidRPr="006D3C55">
        <w:t>steps</w:t>
      </w:r>
      <w:r w:rsidR="008C6109">
        <w:t>’</w:t>
      </w:r>
      <w:r w:rsidR="00B37D74" w:rsidRPr="006D3C55">
        <w:t xml:space="preserve"> in the case of the </w:t>
      </w:r>
      <w:r w:rsidR="00616786" w:rsidRPr="006D3C55">
        <w:t>f</w:t>
      </w:r>
      <w:r w:rsidR="00B37D74" w:rsidRPr="006D3C55">
        <w:t>acilities</w:t>
      </w:r>
      <w:r w:rsidR="007C24FD" w:rsidRPr="006D3C55">
        <w:t>)</w:t>
      </w:r>
      <w:r w:rsidRPr="006D3C55">
        <w:t xml:space="preserve"> measuring the implementation of reforms and investment designed to respond to the challenges faced by these countries and to boost their progress </w:t>
      </w:r>
      <w:r w:rsidR="007F5758" w:rsidRPr="006D3C55">
        <w:t xml:space="preserve">with a </w:t>
      </w:r>
      <w:r w:rsidRPr="006D3C55">
        <w:t xml:space="preserve">view </w:t>
      </w:r>
      <w:r w:rsidR="007F5758" w:rsidRPr="006D3C55">
        <w:t xml:space="preserve">to </w:t>
      </w:r>
      <w:r w:rsidRPr="006D3C55">
        <w:t>their accession to the EU</w:t>
      </w:r>
      <w:r w:rsidR="00F824D2" w:rsidRPr="006D3C55">
        <w:t xml:space="preserve">. </w:t>
      </w:r>
      <w:r w:rsidRPr="006D3C55">
        <w:t>Th</w:t>
      </w:r>
      <w:r w:rsidR="005C1E80" w:rsidRPr="006D3C55">
        <w:t xml:space="preserve">ese funds are </w:t>
      </w:r>
      <w:r w:rsidR="00F47204" w:rsidRPr="006D3C55">
        <w:t>paid</w:t>
      </w:r>
      <w:r w:rsidR="005C1E80" w:rsidRPr="006D3C55">
        <w:t xml:space="preserve"> by the Commission</w:t>
      </w:r>
      <w:r w:rsidR="00813BE1" w:rsidRPr="006D3C55">
        <w:t xml:space="preserve"> </w:t>
      </w:r>
      <w:r w:rsidR="005530F0" w:rsidRPr="006D3C55">
        <w:t>to</w:t>
      </w:r>
      <w:r w:rsidR="00813BE1" w:rsidRPr="006D3C55">
        <w:t xml:space="preserve"> the beneficiary country</w:t>
      </w:r>
      <w:r w:rsidR="00B85AAD" w:rsidRPr="006D3C55">
        <w:t xml:space="preserve">, </w:t>
      </w:r>
      <w:r w:rsidR="00F105A1" w:rsidRPr="00542D1D">
        <w:t xml:space="preserve">and in the case </w:t>
      </w:r>
      <w:r w:rsidR="00F74C9F" w:rsidRPr="00542D1D">
        <w:t xml:space="preserve">of the Western Balkans </w:t>
      </w:r>
      <w:r w:rsidR="008C2B25" w:rsidRPr="00542D1D">
        <w:t xml:space="preserve">Facility </w:t>
      </w:r>
      <w:r w:rsidR="00EA3E54" w:rsidRPr="00542D1D">
        <w:t>also partially to the Western Balkans In</w:t>
      </w:r>
      <w:r w:rsidR="00FF6592" w:rsidRPr="00542D1D">
        <w:t>v</w:t>
      </w:r>
      <w:r w:rsidR="00EA3E54" w:rsidRPr="00542D1D">
        <w:t xml:space="preserve">estment Framework </w:t>
      </w:r>
      <w:r w:rsidR="00EF2D29" w:rsidRPr="00542D1D">
        <w:t xml:space="preserve">and </w:t>
      </w:r>
      <w:r w:rsidR="00FF6592" w:rsidRPr="00542D1D">
        <w:t xml:space="preserve">the </w:t>
      </w:r>
      <w:r w:rsidR="00CB6ADA" w:rsidRPr="00542D1D">
        <w:t xml:space="preserve">Neighbourhood Investment Platform </w:t>
      </w:r>
      <w:r w:rsidR="00D05F9B" w:rsidRPr="00542D1D">
        <w:t xml:space="preserve">for </w:t>
      </w:r>
      <w:r w:rsidR="007F5758" w:rsidRPr="00542D1D">
        <w:t xml:space="preserve">the </w:t>
      </w:r>
      <w:r w:rsidR="00D05F9B" w:rsidRPr="00542D1D">
        <w:t>Moldova Facility</w:t>
      </w:r>
      <w:r w:rsidR="002D3E73" w:rsidRPr="00542D1D">
        <w:t>.</w:t>
      </w:r>
      <w:r w:rsidR="002D3E73" w:rsidRPr="006D3C55">
        <w:t xml:space="preserve"> H</w:t>
      </w:r>
      <w:r w:rsidR="00B85AAD" w:rsidRPr="006D3C55">
        <w:t>ence</w:t>
      </w:r>
      <w:r w:rsidR="00813BE1" w:rsidRPr="006D3C55">
        <w:t xml:space="preserve"> th</w:t>
      </w:r>
      <w:r w:rsidRPr="006D3C55">
        <w:t xml:space="preserve">e Commission does not </w:t>
      </w:r>
      <w:r w:rsidR="00813BE1" w:rsidRPr="006D3C55">
        <w:t>check</w:t>
      </w:r>
      <w:r w:rsidRPr="006D3C55">
        <w:t xml:space="preserve"> transactions </w:t>
      </w:r>
      <w:r w:rsidR="00813BE1" w:rsidRPr="006D3C55">
        <w:t>between the country and</w:t>
      </w:r>
      <w:r w:rsidRPr="006D3C55">
        <w:t xml:space="preserve"> </w:t>
      </w:r>
      <w:r w:rsidR="00E72842" w:rsidRPr="006D3C55">
        <w:t xml:space="preserve">the </w:t>
      </w:r>
      <w:r w:rsidRPr="006D3C55">
        <w:t xml:space="preserve">individual final recipients. This is why these payments are </w:t>
      </w:r>
      <w:r w:rsidR="00563B02" w:rsidRPr="006D3C55">
        <w:t xml:space="preserve">considered </w:t>
      </w:r>
      <w:r w:rsidR="00E72842" w:rsidRPr="006D3C55">
        <w:t xml:space="preserve">to be </w:t>
      </w:r>
      <w:r w:rsidRPr="006D3C55">
        <w:t>performance</w:t>
      </w:r>
      <w:r w:rsidR="00E72842" w:rsidRPr="006D3C55">
        <w:t xml:space="preserve"> </w:t>
      </w:r>
      <w:r w:rsidRPr="006D3C55">
        <w:t xml:space="preserve">based, as opposed to the compliance-based payments, </w:t>
      </w:r>
      <w:r w:rsidR="00E72842" w:rsidRPr="006D3C55">
        <w:t xml:space="preserve">for which the </w:t>
      </w:r>
      <w:r w:rsidR="005C1E80" w:rsidRPr="006D3C55">
        <w:t xml:space="preserve">amounts disbursed correspond to </w:t>
      </w:r>
      <w:r w:rsidRPr="006D3C55">
        <w:t xml:space="preserve">invoices </w:t>
      </w:r>
      <w:r w:rsidR="00192270" w:rsidRPr="006D3C55">
        <w:t>and expenditure incurred by the beneficiaries</w:t>
      </w:r>
      <w:r w:rsidR="00E72842" w:rsidRPr="006D3C55">
        <w:rPr>
          <w:rFonts w:ascii="Calibri" w:hAnsi="Calibri" w:cs="Calibri"/>
        </w:rPr>
        <w:t> </w:t>
      </w:r>
      <w:r w:rsidR="00192270" w:rsidRPr="006D3C55">
        <w:t xml:space="preserve">/ final recipients. </w:t>
      </w:r>
      <w:r w:rsidR="00E72842" w:rsidRPr="006D3C55">
        <w:t>The s</w:t>
      </w:r>
      <w:r w:rsidR="00192270" w:rsidRPr="006D3C55">
        <w:t xml:space="preserve">ituation regarding </w:t>
      </w:r>
      <w:r w:rsidR="006418A4" w:rsidRPr="006D3C55">
        <w:t xml:space="preserve">payments and </w:t>
      </w:r>
      <w:r w:rsidR="00F74B8E" w:rsidRPr="006D3C55">
        <w:t>disbursements</w:t>
      </w:r>
      <w:r w:rsidR="00192270" w:rsidRPr="006D3C55">
        <w:t xml:space="preserve"> is presented in the graph below.</w:t>
      </w:r>
    </w:p>
    <w:p w14:paraId="19EFD9AA" w14:textId="28D07AE7" w:rsidR="00192270" w:rsidRPr="006D3C55" w:rsidRDefault="00A65F61" w:rsidP="00820EBF">
      <w:pPr>
        <w:spacing w:after="120"/>
        <w:jc w:val="center"/>
      </w:pPr>
      <w:r w:rsidRPr="00A65F61">
        <w:rPr>
          <w:noProof/>
        </w:rPr>
        <w:drawing>
          <wp:inline distT="0" distB="0" distL="0" distR="0" wp14:anchorId="5158258E" wp14:editId="035C4300">
            <wp:extent cx="5329238" cy="4307205"/>
            <wp:effectExtent l="0" t="0" r="5080" b="0"/>
            <wp:docPr id="578092883" name="Picture 35" descr="Two donut pies present the comparison between 2024 and 2025 concerning the types of payments a done by the Ukraine facility and the western Balkans and Moldova facility to the beneficiary countries. &#10;In 2024 from a total of 16.1 billion euros, 13.1 billion were Ukraine Facility (loans) from borrowings, and 3 billion were Ukraine Facility - non-repayable support (grants) from EU budget.&#10;In 2024 10 billion were e Ukraine Facility (loans), from borrowings, 0.6 billion were Ukraine Facility - Non-repayable support (grants) – from EU budget and 0.47 billion were other(loans) from borrowings.">
              <a:extLst xmlns:a="http://schemas.openxmlformats.org/drawingml/2006/main">
                <a:ext uri="{FF2B5EF4-FFF2-40B4-BE49-F238E27FC236}">
                  <a16:creationId xmlns:a16="http://schemas.microsoft.com/office/drawing/2014/main" id="{FAB99509-A609-CA1E-36CD-494183F8A5C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8092883" name="Picture 35" descr="Two donut pies present the comparison between 2024 and 2025 concerning the types of payments a done by the Ukraine facility and the western Balkans and Moldova facility to the beneficiary countries. &#10;In 2024 from a total of 16.1 billion euros, 13.1 billion were Ukraine Facility (loans) from borrowings, and 3 billion were Ukraine Facility - non-repayable support (grants) from EU budget.&#10;In 2024 10 billion were e Ukraine Facility (loans), from borrowings, 0.6 billion were Ukraine Facility - Non-repayable support (grants) – from EU budget and 0.47 billion were other(loans) from borrowings.">
                      <a:extLst>
                        <a:ext uri="{FF2B5EF4-FFF2-40B4-BE49-F238E27FC236}">
                          <a16:creationId xmlns:a16="http://schemas.microsoft.com/office/drawing/2014/main" id="{FAB99509-A609-CA1E-36CD-494183F8A5C7}"/>
                        </a:ext>
                      </a:extLst>
                    </pic:cNvPr>
                    <pic:cNvPicPr>
                      <a:picLocks noChangeAspect="1"/>
                    </pic:cNvPicPr>
                  </pic:nvPicPr>
                  <pic:blipFill rotWithShape="1">
                    <a:blip r:embed="rId82"/>
                    <a:srcRect l="4465" r="3005"/>
                    <a:stretch>
                      <a:fillRect/>
                    </a:stretch>
                  </pic:blipFill>
                  <pic:spPr bwMode="auto">
                    <a:xfrm>
                      <a:off x="0" y="0"/>
                      <a:ext cx="5329238" cy="4307205"/>
                    </a:xfrm>
                    <a:prstGeom prst="rect">
                      <a:avLst/>
                    </a:prstGeom>
                    <a:ln>
                      <a:noFill/>
                    </a:ln>
                    <a:extLst>
                      <a:ext uri="{53640926-AAD7-44D8-BBD7-CCE9431645EC}">
                        <a14:shadowObscured xmlns:a14="http://schemas.microsoft.com/office/drawing/2010/main"/>
                      </a:ext>
                    </a:extLst>
                  </pic:spPr>
                </pic:pic>
              </a:graphicData>
            </a:graphic>
          </wp:inline>
        </w:drawing>
      </w:r>
    </w:p>
    <w:p w14:paraId="6FF1113B" w14:textId="790D46B2" w:rsidR="002B42FB" w:rsidRPr="006D3C55" w:rsidRDefault="00CE11CE" w:rsidP="002B42FB">
      <w:r w:rsidRPr="00672F00">
        <w:rPr>
          <w:rStyle w:val="Bold"/>
        </w:rPr>
        <w:t>For the assurance, s</w:t>
      </w:r>
      <w:r w:rsidR="002B42FB" w:rsidRPr="00672F00">
        <w:rPr>
          <w:rStyle w:val="Bold"/>
        </w:rPr>
        <w:t>imilar</w:t>
      </w:r>
      <w:r w:rsidR="00DC294C" w:rsidRPr="00672F00">
        <w:rPr>
          <w:rStyle w:val="Bold"/>
        </w:rPr>
        <w:t>ly</w:t>
      </w:r>
      <w:r w:rsidR="002B42FB" w:rsidRPr="00672F00">
        <w:rPr>
          <w:rStyle w:val="Bold"/>
        </w:rPr>
        <w:t xml:space="preserve"> to the </w:t>
      </w:r>
      <w:r w:rsidR="005D4729" w:rsidRPr="00672F00">
        <w:rPr>
          <w:rStyle w:val="Bold"/>
        </w:rPr>
        <w:t>Resilience and Recovery Facility</w:t>
      </w:r>
      <w:r w:rsidR="002B42FB" w:rsidRPr="00672F00">
        <w:rPr>
          <w:rStyle w:val="Bold"/>
        </w:rPr>
        <w:t xml:space="preserve">, the Commission makes a qualitative assessment of the level of risk associated with the </w:t>
      </w:r>
      <w:r w:rsidRPr="00672F00">
        <w:rPr>
          <w:rStyle w:val="Bold"/>
        </w:rPr>
        <w:t>payments made</w:t>
      </w:r>
      <w:r w:rsidR="002B42FB" w:rsidRPr="00672F00">
        <w:rPr>
          <w:rStyle w:val="Bold"/>
        </w:rPr>
        <w:t>.</w:t>
      </w:r>
      <w:r w:rsidR="005C1E80" w:rsidRPr="006D3C55">
        <w:t xml:space="preserve"> </w:t>
      </w:r>
      <w:r w:rsidRPr="006D3C55">
        <w:t>T</w:t>
      </w:r>
      <w:r w:rsidR="005C1E80" w:rsidRPr="006D3C55">
        <w:t>he Commission focuses on evaluating the progress towards achiev</w:t>
      </w:r>
      <w:r w:rsidR="00281CEC" w:rsidRPr="006D3C55">
        <w:t>ing</w:t>
      </w:r>
      <w:r w:rsidR="005C1E80" w:rsidRPr="006D3C55">
        <w:t xml:space="preserve"> the </w:t>
      </w:r>
      <w:r w:rsidR="00F9496F" w:rsidRPr="006D3C55">
        <w:t>steps</w:t>
      </w:r>
      <w:r w:rsidR="005C1E80" w:rsidRPr="006D3C55">
        <w:t xml:space="preserve"> and on the functioning of the systems put in place by the </w:t>
      </w:r>
      <w:r w:rsidR="00C35A93" w:rsidRPr="006D3C55">
        <w:t xml:space="preserve">beneficiary </w:t>
      </w:r>
      <w:r w:rsidR="005C1E80" w:rsidRPr="006D3C55">
        <w:t xml:space="preserve">countries to manage the funds thus received and their compliance with the </w:t>
      </w:r>
      <w:r w:rsidR="00A61558" w:rsidRPr="006D3C55">
        <w:t xml:space="preserve">applicable </w:t>
      </w:r>
      <w:r w:rsidR="005C1E80" w:rsidRPr="006D3C55">
        <w:t xml:space="preserve">rules </w:t>
      </w:r>
      <w:r w:rsidR="00251979" w:rsidRPr="006D3C55">
        <w:t>and</w:t>
      </w:r>
      <w:r w:rsidR="005C1E80" w:rsidRPr="006D3C55">
        <w:t xml:space="preserve"> regulations. </w:t>
      </w:r>
      <w:r w:rsidR="002B42FB" w:rsidRPr="006D3C55">
        <w:t xml:space="preserve">This </w:t>
      </w:r>
      <w:r w:rsidR="00B37D74" w:rsidRPr="006D3C55">
        <w:t xml:space="preserve">qualitative </w:t>
      </w:r>
      <w:r w:rsidR="002B42FB" w:rsidRPr="006D3C55">
        <w:t xml:space="preserve">assessment </w:t>
      </w:r>
      <w:r w:rsidR="00B37D74" w:rsidRPr="006D3C55">
        <w:t xml:space="preserve">is difficult to translate into quantitative terms </w:t>
      </w:r>
      <w:r w:rsidR="002B42FB" w:rsidRPr="006D3C55">
        <w:t>with an error rate</w:t>
      </w:r>
      <w:r w:rsidR="00281CEC" w:rsidRPr="006D3C55">
        <w:t>,</w:t>
      </w:r>
      <w:r w:rsidR="002B42FB" w:rsidRPr="006D3C55">
        <w:t xml:space="preserve"> as the latter </w:t>
      </w:r>
      <w:r w:rsidR="002D2685" w:rsidRPr="006D3C55">
        <w:t xml:space="preserve">is </w:t>
      </w:r>
      <w:r w:rsidR="002B42FB" w:rsidRPr="006D3C55">
        <w:t xml:space="preserve">a quantitative assessment, which is pertinent when the expenditure can be directly attributed to a quantitative criterion. In addition, the investments and reforms included in the countries’ plans are very diverse, which </w:t>
      </w:r>
      <w:r w:rsidR="0021198D" w:rsidRPr="006D3C55">
        <w:t>hinders</w:t>
      </w:r>
      <w:r w:rsidR="002B42FB" w:rsidRPr="006D3C55">
        <w:t xml:space="preserve"> any statistical extrapolation. In this context, a meaningful error rate cannot be determined.</w:t>
      </w:r>
    </w:p>
    <w:tbl>
      <w:tblPr>
        <w:tblStyle w:val="TableBoxRedBorder"/>
        <w:tblW w:w="9060" w:type="dxa"/>
        <w:tblLook w:val="0480" w:firstRow="0" w:lastRow="0" w:firstColumn="1" w:lastColumn="0" w:noHBand="0" w:noVBand="1"/>
      </w:tblPr>
      <w:tblGrid>
        <w:gridCol w:w="9060"/>
      </w:tblGrid>
      <w:tr w:rsidR="003D0C10" w:rsidRPr="006D3C55" w14:paraId="65A0A7EA" w14:textId="77777777">
        <w:trPr>
          <w:cantSplit/>
        </w:trPr>
        <w:tc>
          <w:tcPr>
            <w:tcW w:w="9060" w:type="dxa"/>
          </w:tcPr>
          <w:p w14:paraId="0762B401" w14:textId="7DE8D020" w:rsidR="003D0C10" w:rsidRPr="006D3C55" w:rsidRDefault="003D0C10" w:rsidP="003D0C10">
            <w:r w:rsidRPr="00672F00">
              <w:rPr>
                <w:rStyle w:val="Bold"/>
              </w:rPr>
              <w:t xml:space="preserve">Assurance </w:t>
            </w:r>
            <w:r w:rsidR="009E6063" w:rsidRPr="00672F00">
              <w:rPr>
                <w:rStyle w:val="Bold"/>
              </w:rPr>
              <w:t xml:space="preserve">for </w:t>
            </w:r>
            <w:r w:rsidRPr="00672F00">
              <w:rPr>
                <w:rStyle w:val="Bold"/>
              </w:rPr>
              <w:t xml:space="preserve">the </w:t>
            </w:r>
            <w:r w:rsidR="003B229E" w:rsidRPr="00672F00">
              <w:rPr>
                <w:rStyle w:val="Bold"/>
              </w:rPr>
              <w:t>f</w:t>
            </w:r>
            <w:r w:rsidRPr="00672F00">
              <w:rPr>
                <w:rStyle w:val="Bold"/>
              </w:rPr>
              <w:t xml:space="preserve">acilities </w:t>
            </w:r>
            <w:r w:rsidR="009E6063" w:rsidRPr="00672F00">
              <w:rPr>
                <w:rStyle w:val="Bold"/>
              </w:rPr>
              <w:t>is</w:t>
            </w:r>
            <w:r w:rsidRPr="00672F00">
              <w:rPr>
                <w:rStyle w:val="Bold"/>
              </w:rPr>
              <w:t xml:space="preserve"> obtained through a risk-based model combining three complementary layers of control</w:t>
            </w:r>
            <w:r w:rsidRPr="006D3C55">
              <w:t xml:space="preserve"> and, where relevant, taking into account the work of the European Court of Auditors. Where a high level of risk is identified for a payment, the </w:t>
            </w:r>
            <w:r w:rsidR="003B229E" w:rsidRPr="006D3C55">
              <w:t>a</w:t>
            </w:r>
            <w:r w:rsidRPr="006D3C55">
              <w:t xml:space="preserve">uthorising </w:t>
            </w:r>
            <w:r w:rsidR="003B229E" w:rsidRPr="006D3C55">
              <w:t>o</w:t>
            </w:r>
            <w:r w:rsidRPr="006D3C55">
              <w:t xml:space="preserve">fficer by </w:t>
            </w:r>
            <w:r w:rsidR="003B229E" w:rsidRPr="006D3C55">
              <w:t>d</w:t>
            </w:r>
            <w:r w:rsidRPr="006D3C55">
              <w:t xml:space="preserve">elegation may </w:t>
            </w:r>
            <w:r w:rsidR="009E6063" w:rsidRPr="006D3C55">
              <w:t xml:space="preserve">issue </w:t>
            </w:r>
            <w:r w:rsidRPr="006D3C55">
              <w:t xml:space="preserve">a reservation limited to a </w:t>
            </w:r>
            <w:r w:rsidR="00636CCE" w:rsidRPr="006D3C55">
              <w:t>b</w:t>
            </w:r>
            <w:r w:rsidRPr="006D3C55">
              <w:t xml:space="preserve">eneficiary </w:t>
            </w:r>
            <w:r w:rsidR="00636CCE" w:rsidRPr="006D3C55">
              <w:t>c</w:t>
            </w:r>
            <w:r w:rsidRPr="006D3C55">
              <w:t>ountry, a specific payment request and/or an implementing entity.</w:t>
            </w:r>
            <w:r w:rsidR="009E6063" w:rsidRPr="006D3C55">
              <w:t xml:space="preserve"> More specifically</w:t>
            </w:r>
            <w:r w:rsidR="00AD34C0" w:rsidRPr="006D3C55">
              <w:t>,</w:t>
            </w:r>
            <w:r w:rsidR="009E6063" w:rsidRPr="006D3C55">
              <w:t xml:space="preserve"> for the Ukraine Facility, the </w:t>
            </w:r>
            <w:r w:rsidR="00E65400" w:rsidRPr="006D3C55">
              <w:t xml:space="preserve">payments </w:t>
            </w:r>
            <w:r w:rsidR="00AD34C0" w:rsidRPr="006D3C55">
              <w:t xml:space="preserve">made </w:t>
            </w:r>
            <w:r w:rsidR="0065715D" w:rsidRPr="006D3C55">
              <w:t>in 2025</w:t>
            </w:r>
            <w:r w:rsidR="00E65400" w:rsidRPr="006D3C55">
              <w:t xml:space="preserve"> are considered low risk</w:t>
            </w:r>
            <w:r w:rsidR="004D657C" w:rsidRPr="006D3C55">
              <w:t>, fol</w:t>
            </w:r>
            <w:r w:rsidR="00884533" w:rsidRPr="006D3C55">
              <w:t>l</w:t>
            </w:r>
            <w:r w:rsidR="004D657C" w:rsidRPr="006D3C55">
              <w:t>owing the three-layer assurance model</w:t>
            </w:r>
            <w:r w:rsidR="00E65400" w:rsidRPr="006D3C55">
              <w:t xml:space="preserve"> </w:t>
            </w:r>
            <w:r w:rsidR="00E92B98" w:rsidRPr="006D3C55">
              <w:t>below</w:t>
            </w:r>
            <w:r w:rsidR="00AD34C0" w:rsidRPr="006D3C55">
              <w:t>.</w:t>
            </w:r>
          </w:p>
          <w:p w14:paraId="2D6F0FFD" w14:textId="036A7462" w:rsidR="004C6880" w:rsidRPr="006D3C55" w:rsidRDefault="003D0C10" w:rsidP="00495AE4">
            <w:pPr>
              <w:pStyle w:val="ListBullet"/>
              <w:ind w:left="397"/>
            </w:pPr>
            <w:r w:rsidRPr="00672F00">
              <w:rPr>
                <w:rStyle w:val="Bold"/>
              </w:rPr>
              <w:t xml:space="preserve">Primary layer </w:t>
            </w:r>
            <w:r w:rsidR="00E65400" w:rsidRPr="00672F00">
              <w:rPr>
                <w:rStyle w:val="Bold"/>
              </w:rPr>
              <w:t xml:space="preserve">of control </w:t>
            </w:r>
            <w:r w:rsidR="0018187C" w:rsidRPr="00672F00">
              <w:rPr>
                <w:rStyle w:val="Bold"/>
              </w:rPr>
              <w:t>–</w:t>
            </w:r>
            <w:r w:rsidR="00E65400" w:rsidRPr="00672F00">
              <w:rPr>
                <w:rStyle w:val="Bold"/>
              </w:rPr>
              <w:t xml:space="preserve"> </w:t>
            </w:r>
            <w:r w:rsidR="00E65400" w:rsidRPr="000D5E4E">
              <w:rPr>
                <w:rStyle w:val="BoldItalic"/>
                <w:i w:val="0"/>
                <w:iCs w:val="0"/>
              </w:rPr>
              <w:t>Commission</w:t>
            </w:r>
            <w:r w:rsidR="00E65400" w:rsidRPr="00672F00">
              <w:rPr>
                <w:rStyle w:val="Bold"/>
              </w:rPr>
              <w:t xml:space="preserve"> </w:t>
            </w:r>
            <w:r w:rsidR="006810F9" w:rsidRPr="00672F00">
              <w:rPr>
                <w:rStyle w:val="BoldItalic"/>
              </w:rPr>
              <w:t>ex ante</w:t>
            </w:r>
            <w:r w:rsidR="00E65400" w:rsidRPr="00AD4275">
              <w:t xml:space="preserve"> </w:t>
            </w:r>
            <w:r w:rsidR="00E65400" w:rsidRPr="00672F00">
              <w:rPr>
                <w:rStyle w:val="Bold"/>
              </w:rPr>
              <w:t>audit</w:t>
            </w:r>
            <w:r w:rsidR="00AD34C0" w:rsidRPr="00672F00">
              <w:rPr>
                <w:rStyle w:val="Bold"/>
              </w:rPr>
              <w:t>.</w:t>
            </w:r>
          </w:p>
          <w:p w14:paraId="7D2A4224" w14:textId="63BE6156" w:rsidR="007D5C62" w:rsidRPr="006D3C55" w:rsidRDefault="0087586A" w:rsidP="00BE5984">
            <w:pPr>
              <w:pStyle w:val="ListBulletLevel2"/>
              <w:ind w:left="964"/>
            </w:pPr>
            <w:r w:rsidRPr="006D3C55">
              <w:t>The b</w:t>
            </w:r>
            <w:r w:rsidR="007D5C62" w:rsidRPr="006D3C55">
              <w:t>eneficiary country’s</w:t>
            </w:r>
            <w:r w:rsidR="003D0C10" w:rsidRPr="006D3C55">
              <w:t xml:space="preserve"> authorities operate a </w:t>
            </w:r>
            <w:r w:rsidRPr="006D3C55">
              <w:t>m</w:t>
            </w:r>
            <w:r w:rsidR="003D0C10" w:rsidRPr="006D3C55">
              <w:t xml:space="preserve">anagement and </w:t>
            </w:r>
            <w:r w:rsidRPr="006D3C55">
              <w:t>c</w:t>
            </w:r>
            <w:r w:rsidR="003D0C10" w:rsidRPr="006D3C55">
              <w:t xml:space="preserve">ontrol </w:t>
            </w:r>
            <w:r w:rsidRPr="006D3C55">
              <w:t>s</w:t>
            </w:r>
            <w:r w:rsidR="003D0C10" w:rsidRPr="006D3C55">
              <w:t>ystem in line with</w:t>
            </w:r>
            <w:r w:rsidR="005B166E" w:rsidRPr="006D3C55">
              <w:t xml:space="preserve"> </w:t>
            </w:r>
            <w:r w:rsidR="003D0C10" w:rsidRPr="006D3C55">
              <w:t xml:space="preserve">the </w:t>
            </w:r>
            <w:r w:rsidRPr="006D3C55">
              <w:t>f</w:t>
            </w:r>
            <w:r w:rsidR="003D0C10" w:rsidRPr="006D3C55">
              <w:t xml:space="preserve">ramework </w:t>
            </w:r>
            <w:r w:rsidRPr="006D3C55">
              <w:t>a</w:t>
            </w:r>
            <w:r w:rsidR="003D0C10" w:rsidRPr="006D3C55">
              <w:t xml:space="preserve">greement between the EU and </w:t>
            </w:r>
            <w:r w:rsidR="007D5C62" w:rsidRPr="006D3C55">
              <w:t>the country</w:t>
            </w:r>
            <w:r w:rsidR="003D0C10" w:rsidRPr="006D3C55">
              <w:t xml:space="preserve">. </w:t>
            </w:r>
            <w:r w:rsidR="00E65400" w:rsidRPr="006D3C55">
              <w:t xml:space="preserve">No </w:t>
            </w:r>
            <w:r w:rsidR="00D9557F" w:rsidRPr="006D3C55">
              <w:t>blo</w:t>
            </w:r>
            <w:r w:rsidR="004F7A3D" w:rsidRPr="006D3C55">
              <w:t>cking</w:t>
            </w:r>
            <w:r w:rsidR="00E65400" w:rsidRPr="006D3C55">
              <w:t xml:space="preserve"> issues </w:t>
            </w:r>
            <w:r w:rsidR="004F7A3D" w:rsidRPr="006D3C55">
              <w:t>we</w:t>
            </w:r>
            <w:r w:rsidR="00E65400" w:rsidRPr="006D3C55">
              <w:t xml:space="preserve">re identified through the </w:t>
            </w:r>
            <w:r w:rsidR="003D0C10" w:rsidRPr="006D3C55">
              <w:t xml:space="preserve">full-scale system audit </w:t>
            </w:r>
            <w:r w:rsidR="007D5C62" w:rsidRPr="006D3C55">
              <w:t xml:space="preserve">carried out in the first years of the </w:t>
            </w:r>
            <w:r w:rsidRPr="006D3C55">
              <w:t>f</w:t>
            </w:r>
            <w:r w:rsidR="007D5C62" w:rsidRPr="006D3C55">
              <w:t>acilities.</w:t>
            </w:r>
          </w:p>
          <w:p w14:paraId="0E4B887A" w14:textId="45D92F23" w:rsidR="00E65400" w:rsidRPr="00672F00" w:rsidRDefault="003D0C10" w:rsidP="00495AE4">
            <w:pPr>
              <w:pStyle w:val="ListBullet"/>
              <w:ind w:left="397"/>
            </w:pPr>
            <w:r w:rsidRPr="00672F00">
              <w:rPr>
                <w:rStyle w:val="Bold"/>
              </w:rPr>
              <w:t xml:space="preserve">Secondary layer </w:t>
            </w:r>
            <w:r w:rsidR="0018187C" w:rsidRPr="00672F00">
              <w:rPr>
                <w:rStyle w:val="Bold"/>
              </w:rPr>
              <w:t>–</w:t>
            </w:r>
            <w:r w:rsidRPr="00672F00">
              <w:rPr>
                <w:rStyle w:val="Bold"/>
              </w:rPr>
              <w:t xml:space="preserve"> Commission </w:t>
            </w:r>
            <w:r w:rsidR="006810F9" w:rsidRPr="00672F00">
              <w:rPr>
                <w:rStyle w:val="BoldItalic"/>
              </w:rPr>
              <w:t>ex ante</w:t>
            </w:r>
            <w:r w:rsidRPr="00672F00">
              <w:rPr>
                <w:rStyle w:val="Bold"/>
              </w:rPr>
              <w:t xml:space="preserve"> checks</w:t>
            </w:r>
            <w:r w:rsidR="00A73DF4" w:rsidRPr="00672F00">
              <w:rPr>
                <w:rStyle w:val="Bold"/>
              </w:rPr>
              <w:t>.</w:t>
            </w:r>
          </w:p>
          <w:p w14:paraId="6BE71B67" w14:textId="37F219F2" w:rsidR="00E621FC" w:rsidRPr="009810E6" w:rsidRDefault="00E65400" w:rsidP="00BE5984">
            <w:pPr>
              <w:pStyle w:val="ListBulletLevel2"/>
              <w:ind w:left="964"/>
            </w:pPr>
            <w:r w:rsidRPr="006D3C55">
              <w:t xml:space="preserve">The </w:t>
            </w:r>
            <w:r w:rsidR="0011365D" w:rsidRPr="006D3C55">
              <w:t>Commis</w:t>
            </w:r>
            <w:r w:rsidR="006D3C55">
              <w:t>s</w:t>
            </w:r>
            <w:r w:rsidR="0011365D" w:rsidRPr="006D3C55">
              <w:t xml:space="preserve">ion carries out a risk assessment of the </w:t>
            </w:r>
            <w:r w:rsidRPr="006D3C55">
              <w:t xml:space="preserve">steps </w:t>
            </w:r>
            <w:r w:rsidR="0011365D" w:rsidRPr="006D3C55">
              <w:t xml:space="preserve">submitted </w:t>
            </w:r>
            <w:r w:rsidRPr="006D3C55">
              <w:t xml:space="preserve">for </w:t>
            </w:r>
            <w:r w:rsidR="0011365D" w:rsidRPr="006D3C55">
              <w:t>payment in the payment request. Some of these steps</w:t>
            </w:r>
            <w:r w:rsidRPr="006D3C55">
              <w:t xml:space="preserve"> are considered low risk given their nature, for instance </w:t>
            </w:r>
            <w:r w:rsidR="00464A33" w:rsidRPr="006D3C55">
              <w:t xml:space="preserve">corresponding to legislative </w:t>
            </w:r>
            <w:r w:rsidR="00464A33" w:rsidRPr="009810E6">
              <w:t>reforms</w:t>
            </w:r>
            <w:r w:rsidR="00813145" w:rsidRPr="009810E6">
              <w:t>.</w:t>
            </w:r>
          </w:p>
          <w:p w14:paraId="62D870A3" w14:textId="5BFD45C5" w:rsidR="00E621FC" w:rsidRPr="006D3C55" w:rsidRDefault="00813145" w:rsidP="00BE5984">
            <w:pPr>
              <w:pStyle w:val="ListBulletLevel2"/>
              <w:ind w:left="964"/>
            </w:pPr>
            <w:bookmarkStart w:id="45" w:name="_Hlk229495335"/>
            <w:r w:rsidRPr="009810E6">
              <w:t>The Commission</w:t>
            </w:r>
            <w:r w:rsidR="0011365D" w:rsidRPr="009810E6">
              <w:t xml:space="preserve"> makes an</w:t>
            </w:r>
            <w:r w:rsidRPr="009810E6">
              <w:t xml:space="preserve"> </w:t>
            </w:r>
            <w:r w:rsidR="003D0C10" w:rsidRPr="009810E6">
              <w:t>assess</w:t>
            </w:r>
            <w:r w:rsidRPr="009810E6">
              <w:t>ment of</w:t>
            </w:r>
            <w:r w:rsidR="003D0C10" w:rsidRPr="009810E6">
              <w:t xml:space="preserve"> each payment request, </w:t>
            </w:r>
            <w:r w:rsidR="00094A28" w:rsidRPr="009810E6">
              <w:t xml:space="preserve">along with </w:t>
            </w:r>
            <w:r w:rsidRPr="009810E6">
              <w:t xml:space="preserve">the accompanying </w:t>
            </w:r>
            <w:r w:rsidR="003D0C10" w:rsidRPr="009810E6">
              <w:t>supporting evidence, management declarations and audit summaries</w:t>
            </w:r>
            <w:r w:rsidR="009810E6" w:rsidRPr="009810E6">
              <w:t>, and</w:t>
            </w:r>
            <w:r w:rsidRPr="009810E6">
              <w:t xml:space="preserve"> confirms the satisfactory fulfilment of the steps and </w:t>
            </w:r>
            <w:r w:rsidR="009810E6" w:rsidRPr="009810E6">
              <w:t xml:space="preserve">that </w:t>
            </w:r>
            <w:r w:rsidRPr="009810E6">
              <w:t>no issues are identified.</w:t>
            </w:r>
            <w:bookmarkEnd w:id="45"/>
          </w:p>
          <w:p w14:paraId="30A1EEA6" w14:textId="1A165AA3" w:rsidR="00893AAA" w:rsidRPr="006D3C55" w:rsidRDefault="0018187C" w:rsidP="00495AE4">
            <w:pPr>
              <w:pStyle w:val="ListBullet"/>
              <w:ind w:left="397"/>
            </w:pPr>
            <w:r w:rsidRPr="00672F00">
              <w:rPr>
                <w:rStyle w:val="Bold"/>
              </w:rPr>
              <w:t xml:space="preserve">Tertiary </w:t>
            </w:r>
            <w:r w:rsidR="003D0C10" w:rsidRPr="00672F00">
              <w:rPr>
                <w:rStyle w:val="Bold"/>
              </w:rPr>
              <w:t xml:space="preserve">layer </w:t>
            </w:r>
            <w:r w:rsidRPr="00672F00">
              <w:rPr>
                <w:rStyle w:val="Bold"/>
              </w:rPr>
              <w:t>–</w:t>
            </w:r>
            <w:r w:rsidR="00A57A9F" w:rsidRPr="00672F00">
              <w:rPr>
                <w:rStyle w:val="Bold"/>
              </w:rPr>
              <w:t xml:space="preserve"> </w:t>
            </w:r>
            <w:r w:rsidR="003D0C10" w:rsidRPr="00672F00">
              <w:rPr>
                <w:rStyle w:val="Bold"/>
              </w:rPr>
              <w:t xml:space="preserve">Commission </w:t>
            </w:r>
            <w:r w:rsidR="006810F9" w:rsidRPr="00672F00">
              <w:rPr>
                <w:rStyle w:val="BoldItalic"/>
              </w:rPr>
              <w:t>ex post</w:t>
            </w:r>
            <w:r w:rsidR="003D0C10" w:rsidRPr="00672F00">
              <w:rPr>
                <w:rStyle w:val="Bold"/>
              </w:rPr>
              <w:t xml:space="preserve"> audits</w:t>
            </w:r>
            <w:r w:rsidR="00A73DF4" w:rsidRPr="00672F00">
              <w:rPr>
                <w:rStyle w:val="Bold"/>
              </w:rPr>
              <w:t>.</w:t>
            </w:r>
            <w:r w:rsidR="003D0C10" w:rsidRPr="006D3C55">
              <w:t xml:space="preserve"> </w:t>
            </w:r>
            <w:r w:rsidR="00395BF9" w:rsidRPr="006D3C55">
              <w:t>The Commission</w:t>
            </w:r>
            <w:r w:rsidR="003D0C10" w:rsidRPr="006D3C55">
              <w:t xml:space="preserve"> plans targeted audits on higher-risk steps (notably </w:t>
            </w:r>
            <w:r w:rsidR="005D797E">
              <w:t>information-technology</w:t>
            </w:r>
            <w:r w:rsidR="003D0C10" w:rsidRPr="006D3C55">
              <w:t>-related measures, recruitment</w:t>
            </w:r>
            <w:r w:rsidR="00C53883">
              <w:t xml:space="preserve"> and</w:t>
            </w:r>
            <w:r w:rsidR="00B76581" w:rsidRPr="006D3C55">
              <w:t xml:space="preserve"> </w:t>
            </w:r>
            <w:r w:rsidR="003D0C10" w:rsidRPr="006D3C55">
              <w:t xml:space="preserve">investment/procurement-related steps) once a sufficient number </w:t>
            </w:r>
            <w:r w:rsidR="00261337" w:rsidRPr="006D3C55">
              <w:t>of such steps</w:t>
            </w:r>
            <w:r w:rsidR="003D0C10" w:rsidRPr="006D3C55">
              <w:t xml:space="preserve"> are reported for payment.</w:t>
            </w:r>
          </w:p>
          <w:p w14:paraId="034E15A2" w14:textId="5E6F4C06" w:rsidR="003D0C10" w:rsidRPr="006D3C55" w:rsidRDefault="00575A2C" w:rsidP="00BE5984">
            <w:pPr>
              <w:pStyle w:val="ListBulletLevel2"/>
              <w:ind w:left="964"/>
            </w:pPr>
            <w:r w:rsidRPr="006D3C55">
              <w:t>For th</w:t>
            </w:r>
            <w:r w:rsidR="00C53883">
              <w:t>e</w:t>
            </w:r>
            <w:r w:rsidRPr="006D3C55">
              <w:t xml:space="preserve">se riskier steps, ad hoc </w:t>
            </w:r>
            <w:r w:rsidR="006810F9" w:rsidRPr="00AB51E8">
              <w:rPr>
                <w:rStyle w:val="Italic"/>
              </w:rPr>
              <w:t>ex post</w:t>
            </w:r>
            <w:r w:rsidRPr="006D3C55">
              <w:t xml:space="preserve"> audits on their continuous fulfilment will take place as from the second half of 2026, i.e. when a sufficient number of medium</w:t>
            </w:r>
            <w:r w:rsidR="00C53883">
              <w:t>-</w:t>
            </w:r>
            <w:r w:rsidRPr="006D3C55">
              <w:t xml:space="preserve"> and high-risk steps </w:t>
            </w:r>
            <w:r w:rsidR="00C53883">
              <w:t>are</w:t>
            </w:r>
            <w:r w:rsidRPr="006D3C55">
              <w:t xml:space="preserve"> declared for payment.</w:t>
            </w:r>
          </w:p>
        </w:tc>
      </w:tr>
    </w:tbl>
    <w:p w14:paraId="6B37523C" w14:textId="1766763F" w:rsidR="0011365D" w:rsidRPr="006D3C55" w:rsidRDefault="0011365D" w:rsidP="2C8A1396">
      <w:pPr>
        <w:rPr>
          <w:rFonts w:asciiTheme="minorHAnsi" w:hAnsiTheme="minorHAnsi"/>
        </w:rPr>
      </w:pPr>
      <w:r w:rsidRPr="00672F00">
        <w:rPr>
          <w:rStyle w:val="Bold"/>
        </w:rPr>
        <w:t>For Ukraine, all the payments made in 2025 were considered low risk.</w:t>
      </w:r>
      <w:r w:rsidRPr="006D3C55">
        <w:rPr>
          <w:rFonts w:asciiTheme="minorHAnsi" w:hAnsiTheme="minorHAnsi"/>
        </w:rPr>
        <w:t xml:space="preserve"> </w:t>
      </w:r>
      <w:r w:rsidRPr="006D3C55">
        <w:t xml:space="preserve">Regarding the </w:t>
      </w:r>
      <w:r w:rsidR="006810F9" w:rsidRPr="00AB51E8">
        <w:rPr>
          <w:rStyle w:val="Italic"/>
        </w:rPr>
        <w:t>ex ante</w:t>
      </w:r>
      <w:r w:rsidRPr="006D3C55">
        <w:t xml:space="preserve"> audit, the auditors issued a qualified opinion with recommendations to strengthen the system</w:t>
      </w:r>
      <w:r w:rsidR="00143114">
        <w:t>,</w:t>
      </w:r>
      <w:r w:rsidRPr="006D3C55">
        <w:t xml:space="preserve"> but no blocking issues were identified. The Ukrainian authorities fully accepted three of </w:t>
      </w:r>
      <w:r w:rsidR="007B139B">
        <w:t xml:space="preserve">the </w:t>
      </w:r>
      <w:r w:rsidRPr="006D3C55">
        <w:t xml:space="preserve">23 findings, and partially accepted two. All the steps in the payment requests submitted were assessed as low risk and no other issues were identified by </w:t>
      </w:r>
      <w:r w:rsidR="006810F9" w:rsidRPr="00AB51E8">
        <w:rPr>
          <w:rStyle w:val="Italic"/>
        </w:rPr>
        <w:t>ex ante</w:t>
      </w:r>
      <w:r w:rsidRPr="006D3C55">
        <w:t xml:space="preserve"> controls in the payment requests submitted. Since no high-risk steps were declared </w:t>
      </w:r>
      <w:r w:rsidR="00602556">
        <w:t>to be</w:t>
      </w:r>
      <w:r w:rsidR="00602556" w:rsidRPr="006D3C55">
        <w:t xml:space="preserve"> </w:t>
      </w:r>
      <w:r w:rsidRPr="006D3C55">
        <w:t xml:space="preserve">fulfilled in 2025, no </w:t>
      </w:r>
      <w:r w:rsidR="006810F9" w:rsidRPr="00AB51E8">
        <w:rPr>
          <w:rStyle w:val="Italic"/>
        </w:rPr>
        <w:t>ex post</w:t>
      </w:r>
      <w:r w:rsidRPr="006D3C55">
        <w:t xml:space="preserve"> audits were carried out.</w:t>
      </w:r>
    </w:p>
    <w:p w14:paraId="77E637D5" w14:textId="43A46A8D" w:rsidR="002F4B9D" w:rsidRPr="00AB51E8" w:rsidRDefault="00D10080" w:rsidP="2C8A1396">
      <w:r w:rsidRPr="00672F00">
        <w:rPr>
          <w:rStyle w:val="Bold"/>
        </w:rPr>
        <w:t>T</w:t>
      </w:r>
      <w:r w:rsidR="4AB019B8" w:rsidRPr="00672F00">
        <w:rPr>
          <w:rStyle w:val="Bold"/>
        </w:rPr>
        <w:t xml:space="preserve">he total </w:t>
      </w:r>
      <w:r w:rsidR="00602556" w:rsidRPr="00672F00">
        <w:rPr>
          <w:rStyle w:val="Bold"/>
        </w:rPr>
        <w:t xml:space="preserve">amount </w:t>
      </w:r>
      <w:r w:rsidR="4AB019B8" w:rsidRPr="00672F00">
        <w:rPr>
          <w:rStyle w:val="Bold"/>
        </w:rPr>
        <w:t>of preventive and corrective measures decreased from EUR</w:t>
      </w:r>
      <w:r w:rsidR="4AB019B8" w:rsidRPr="00672F00">
        <w:rPr>
          <w:rStyle w:val="Bold"/>
          <w:rFonts w:ascii="Calibri" w:hAnsi="Calibri" w:cs="Calibri"/>
        </w:rPr>
        <w:t> </w:t>
      </w:r>
      <w:r w:rsidR="7ED07E00" w:rsidRPr="00672F00">
        <w:rPr>
          <w:rStyle w:val="Bold"/>
        </w:rPr>
        <w:t>153.1</w:t>
      </w:r>
      <w:r w:rsidR="4AB019B8" w:rsidRPr="00672F00">
        <w:rPr>
          <w:rStyle w:val="Bold"/>
          <w:rFonts w:ascii="Calibri" w:hAnsi="Calibri" w:cs="Calibri"/>
        </w:rPr>
        <w:t> </w:t>
      </w:r>
      <w:r w:rsidR="4AB019B8" w:rsidRPr="00672F00">
        <w:rPr>
          <w:rStyle w:val="Bold"/>
        </w:rPr>
        <w:t xml:space="preserve">million </w:t>
      </w:r>
      <w:r w:rsidRPr="00672F00">
        <w:rPr>
          <w:rStyle w:val="Bold"/>
        </w:rPr>
        <w:t xml:space="preserve">in 2024 </w:t>
      </w:r>
      <w:r w:rsidR="4AB019B8" w:rsidRPr="00672F00">
        <w:rPr>
          <w:rStyle w:val="Bold"/>
        </w:rPr>
        <w:t>to EUR</w:t>
      </w:r>
      <w:r w:rsidR="4AB019B8" w:rsidRPr="00672F00">
        <w:rPr>
          <w:rStyle w:val="Bold"/>
          <w:rFonts w:ascii="Calibri" w:hAnsi="Calibri" w:cs="Calibri"/>
        </w:rPr>
        <w:t> </w:t>
      </w:r>
      <w:r w:rsidR="40F32822" w:rsidRPr="00672F00">
        <w:rPr>
          <w:rStyle w:val="Bold"/>
        </w:rPr>
        <w:t>74.1</w:t>
      </w:r>
      <w:r w:rsidRPr="00AB51E8">
        <w:rPr>
          <w:rStyle w:val="Bold"/>
          <w:rFonts w:ascii="Calibri" w:hAnsi="Calibri" w:cs="Calibri"/>
        </w:rPr>
        <w:t> </w:t>
      </w:r>
      <w:r w:rsidR="4AB019B8" w:rsidRPr="00672F00">
        <w:rPr>
          <w:rStyle w:val="Bold"/>
        </w:rPr>
        <w:t>million</w:t>
      </w:r>
      <w:r w:rsidRPr="00672F00">
        <w:rPr>
          <w:rStyle w:val="Bold"/>
        </w:rPr>
        <w:t xml:space="preserve"> in 2025</w:t>
      </w:r>
      <w:r w:rsidR="6E7D5453" w:rsidRPr="00672F00">
        <w:rPr>
          <w:rStyle w:val="Bold"/>
        </w:rPr>
        <w:t>.</w:t>
      </w:r>
      <w:r w:rsidR="4AB019B8" w:rsidRPr="006D3C55">
        <w:t xml:space="preserve"> Th</w:t>
      </w:r>
      <w:r w:rsidR="002F4B9D" w:rsidRPr="006D3C55">
        <w:t xml:space="preserve">is evolution </w:t>
      </w:r>
      <w:r w:rsidR="4AB019B8" w:rsidRPr="006D3C55">
        <w:t xml:space="preserve">is </w:t>
      </w:r>
      <w:r w:rsidR="26ADA08B" w:rsidRPr="00AB51E8">
        <w:t>due to the transition to the Commission’s new accounting system, SUMMA, where only preventive measures exceeding EUR</w:t>
      </w:r>
      <w:r w:rsidR="00CB50DF" w:rsidRPr="006D3C55">
        <w:rPr>
          <w:rFonts w:ascii="Calibri" w:hAnsi="Calibri" w:cs="Calibri"/>
        </w:rPr>
        <w:t> </w:t>
      </w:r>
      <w:r w:rsidR="26ADA08B" w:rsidRPr="00AB51E8">
        <w:t>500</w:t>
      </w:r>
      <w:r w:rsidR="00CB50DF" w:rsidRPr="006D3C55">
        <w:rPr>
          <w:rFonts w:ascii="Calibri" w:hAnsi="Calibri" w:cs="Calibri"/>
        </w:rPr>
        <w:t> </w:t>
      </w:r>
      <w:r w:rsidR="26ADA08B" w:rsidRPr="00AB51E8">
        <w:t xml:space="preserve">000 are reported. Since all </w:t>
      </w:r>
      <w:r w:rsidR="00602556" w:rsidRPr="00AB51E8">
        <w:t xml:space="preserve">of the </w:t>
      </w:r>
      <w:r w:rsidR="26ADA08B" w:rsidRPr="00AB51E8">
        <w:t>preventive measures taken under this heading fall below this threshold, they are outside the reporting scope.</w:t>
      </w:r>
      <w:r w:rsidR="3ECADF4A" w:rsidRPr="00AB51E8">
        <w:t xml:space="preserve"> </w:t>
      </w:r>
      <w:r w:rsidR="1F32F9BA" w:rsidRPr="00AB51E8">
        <w:t xml:space="preserve">As far as corrective measures are concerned, the difference is attributed to major recoveries that increased the </w:t>
      </w:r>
      <w:r w:rsidR="006810F9" w:rsidRPr="00AB51E8">
        <w:rPr>
          <w:rStyle w:val="Italic"/>
        </w:rPr>
        <w:t>ex post</w:t>
      </w:r>
      <w:r w:rsidR="1F32F9BA" w:rsidRPr="00AB51E8">
        <w:t xml:space="preserve"> total amount in 2024.</w:t>
      </w:r>
    </w:p>
    <w:p w14:paraId="48736409" w14:textId="26B188AE" w:rsidR="002B42FB" w:rsidRPr="006D3C55" w:rsidRDefault="002B42FB" w:rsidP="002B42FB">
      <w:r w:rsidRPr="00672F00">
        <w:rPr>
          <w:rStyle w:val="Bold"/>
        </w:rPr>
        <w:t>The reservation concerning projects in Libya, Syria and Ukraine in 2025 has been maintained in 2025</w:t>
      </w:r>
      <w:r w:rsidR="00B560AF" w:rsidRPr="00672F00">
        <w:rPr>
          <w:rStyle w:val="Bold"/>
        </w:rPr>
        <w:t>,</w:t>
      </w:r>
      <w:r w:rsidRPr="00AD4275">
        <w:t xml:space="preserve"> </w:t>
      </w:r>
      <w:r w:rsidRPr="006D3C55">
        <w:t xml:space="preserve">but </w:t>
      </w:r>
      <w:r w:rsidR="00074939" w:rsidRPr="006D3C55">
        <w:t xml:space="preserve">is now </w:t>
      </w:r>
      <w:r w:rsidR="00B964B0" w:rsidRPr="006D3C55">
        <w:t>issued by</w:t>
      </w:r>
      <w:r w:rsidR="00074939" w:rsidRPr="006D3C55">
        <w:t xml:space="preserve"> two departments </w:t>
      </w:r>
      <w:r w:rsidR="00782639" w:rsidRPr="006D3C55">
        <w:t>following</w:t>
      </w:r>
      <w:r w:rsidR="00074939" w:rsidRPr="006D3C55">
        <w:t xml:space="preserve"> the creation of a new department in the Commission dealing with the Mediterranean and North</w:t>
      </w:r>
      <w:r w:rsidR="00B560AF">
        <w:t xml:space="preserve"> </w:t>
      </w:r>
      <w:r w:rsidR="00074939" w:rsidRPr="006D3C55">
        <w:t>African regions. O</w:t>
      </w:r>
      <w:r w:rsidRPr="006D3C55">
        <w:t xml:space="preserve">ne reservation </w:t>
      </w:r>
      <w:r w:rsidR="00074939" w:rsidRPr="006D3C55">
        <w:t>corresponds to</w:t>
      </w:r>
      <w:r w:rsidRPr="006D3C55">
        <w:t xml:space="preserve"> programmes </w:t>
      </w:r>
      <w:r w:rsidR="00074939" w:rsidRPr="006D3C55">
        <w:t>in</w:t>
      </w:r>
      <w:r w:rsidRPr="006D3C55">
        <w:t xml:space="preserve"> Libya</w:t>
      </w:r>
      <w:r w:rsidR="00E127F2">
        <w:t>,</w:t>
      </w:r>
      <w:r w:rsidRPr="006D3C55">
        <w:t xml:space="preserve"> Palestine </w:t>
      </w:r>
      <w:r w:rsidR="00E127F2">
        <w:t xml:space="preserve">and </w:t>
      </w:r>
      <w:r w:rsidR="00E127F2" w:rsidRPr="006D3C55">
        <w:t xml:space="preserve">Syria, </w:t>
      </w:r>
      <w:r w:rsidRPr="006D3C55">
        <w:t xml:space="preserve">and </w:t>
      </w:r>
      <w:r w:rsidR="00074939" w:rsidRPr="006D3C55">
        <w:t>the other corresponds</w:t>
      </w:r>
      <w:r w:rsidRPr="006D3C55">
        <w:t xml:space="preserve"> </w:t>
      </w:r>
      <w:r w:rsidR="00074939" w:rsidRPr="006D3C55">
        <w:t xml:space="preserve">to </w:t>
      </w:r>
      <w:r w:rsidRPr="006D3C55">
        <w:t>programmes in Ukraine. In these countries, the EU delegations cannot implement standard monitoring and control activities due to security and political constraints on the ground. Mitigating measures have been put in place, including remote monitoring and cross-checking information from various sources. Still, they do not allow the impact on the assurance of the corresponding expenditure</w:t>
      </w:r>
      <w:r w:rsidR="00E127F2" w:rsidRPr="00E127F2">
        <w:t xml:space="preserve"> </w:t>
      </w:r>
      <w:r w:rsidR="00E127F2" w:rsidRPr="006D3C55">
        <w:t xml:space="preserve">to </w:t>
      </w:r>
      <w:r w:rsidR="00E127F2">
        <w:t xml:space="preserve">be </w:t>
      </w:r>
      <w:r w:rsidR="00E127F2" w:rsidRPr="006D3C55">
        <w:t>fully address</w:t>
      </w:r>
      <w:r w:rsidR="00E127F2">
        <w:t>ed</w:t>
      </w:r>
      <w:r w:rsidRPr="006D3C55">
        <w:t>.</w:t>
      </w:r>
    </w:p>
    <w:p w14:paraId="2C4923D9" w14:textId="77777777" w:rsidR="001301C1" w:rsidRPr="006D3C55" w:rsidRDefault="001301C1" w:rsidP="001301C1">
      <w:pPr>
        <w:rPr>
          <w:highlight w:val="lightGray"/>
        </w:rPr>
      </w:pPr>
      <w:r w:rsidRPr="006D3C55">
        <w:rPr>
          <w:highlight w:val="lightGray"/>
        </w:rPr>
        <w:br w:type="page"/>
      </w:r>
    </w:p>
    <w:p w14:paraId="0CF1123A" w14:textId="45C8A686" w:rsidR="001301C1" w:rsidRPr="006D3C55" w:rsidRDefault="001301C1" w:rsidP="001301C1">
      <w:pPr>
        <w:pStyle w:val="Heading5"/>
        <w:numPr>
          <w:ilvl w:val="3"/>
          <w:numId w:val="0"/>
        </w:numPr>
        <w:rPr>
          <w:rFonts w:ascii="EC Square Sans Pro" w:hAnsi="EC Square Sans Pro"/>
        </w:rPr>
      </w:pPr>
      <w:r w:rsidRPr="006D3C55">
        <w:rPr>
          <w:rFonts w:ascii="EC Square Sans Pro" w:hAnsi="EC Square Sans Pro"/>
        </w:rPr>
        <w:t>Heading</w:t>
      </w:r>
      <w:r w:rsidRPr="006D3C55">
        <w:rPr>
          <w:rFonts w:ascii="Calibri" w:hAnsi="Calibri" w:cs="Calibri"/>
        </w:rPr>
        <w:t> </w:t>
      </w:r>
      <w:r w:rsidRPr="006D3C55">
        <w:rPr>
          <w:rFonts w:ascii="EC Square Sans Pro" w:hAnsi="EC Square Sans Pro"/>
        </w:rPr>
        <w:t>7</w:t>
      </w:r>
      <w:r w:rsidRPr="006D3C55">
        <w:rPr>
          <w:rFonts w:ascii="Calibri" w:hAnsi="Calibri" w:cs="Calibri"/>
        </w:rPr>
        <w:t> </w:t>
      </w:r>
      <w:r w:rsidRPr="006D3C55">
        <w:rPr>
          <w:rFonts w:ascii="EC Square Sans Pro" w:hAnsi="EC Square Sans Pro"/>
        </w:rPr>
        <w:t>– European public administration</w:t>
      </w:r>
    </w:p>
    <w:p w14:paraId="697CF069" w14:textId="7909ACAE" w:rsidR="009B3A17" w:rsidRPr="006D3C55" w:rsidRDefault="001301C1" w:rsidP="004505E5">
      <w:pPr>
        <w:pStyle w:val="amprboxtext"/>
        <w:spacing w:before="0" w:after="0"/>
      </w:pPr>
      <w:r w:rsidRPr="006D3C55">
        <w:rPr>
          <w:rStyle w:val="Bold"/>
        </w:rPr>
        <w:t>Total amount of relevant expenditure:</w:t>
      </w:r>
      <w:r w:rsidRPr="006D3C55">
        <w:t xml:space="preserve"> EUR</w:t>
      </w:r>
      <w:r w:rsidRPr="006D3C55">
        <w:rPr>
          <w:rFonts w:ascii="Calibri" w:hAnsi="Calibri" w:cs="Calibri"/>
        </w:rPr>
        <w:t> </w:t>
      </w:r>
      <w:r w:rsidR="009B3A17" w:rsidRPr="006D3C55">
        <w:t>8.</w:t>
      </w:r>
      <w:r w:rsidR="6095AB16" w:rsidRPr="006D3C55">
        <w:t>9</w:t>
      </w:r>
      <w:r w:rsidR="009B3A17" w:rsidRPr="006D3C55">
        <w:rPr>
          <w:rFonts w:ascii="Calibri" w:hAnsi="Calibri" w:cs="Calibri"/>
        </w:rPr>
        <w:t> </w:t>
      </w:r>
      <w:r w:rsidR="009B3A17" w:rsidRPr="006D3C55">
        <w:t>billion (2024: EUR</w:t>
      </w:r>
      <w:r w:rsidR="009B3A17" w:rsidRPr="006D3C55">
        <w:rPr>
          <w:rFonts w:ascii="Calibri" w:hAnsi="Calibri" w:cs="Calibri"/>
        </w:rPr>
        <w:t> </w:t>
      </w:r>
      <w:r w:rsidR="00BF0A7B" w:rsidRPr="006D3C55">
        <w:t>9.1</w:t>
      </w:r>
      <w:r w:rsidR="009B3A17" w:rsidRPr="006D3C55">
        <w:rPr>
          <w:rFonts w:ascii="Calibri" w:hAnsi="Calibri" w:cs="Calibri"/>
        </w:rPr>
        <w:t> </w:t>
      </w:r>
      <w:r w:rsidR="009B3A17" w:rsidRPr="006D3C55">
        <w:t>billion</w:t>
      </w:r>
      <w:r w:rsidR="00FD6C6A" w:rsidRPr="00FD6C6A">
        <w:rPr>
          <w:rFonts w:cs="Calibri"/>
        </w:rPr>
        <w:t> </w:t>
      </w:r>
      <w:r w:rsidR="00FD6C6A" w:rsidRPr="00FD6C6A">
        <w:t>(</w:t>
      </w:r>
      <w:r w:rsidR="00FD6C6A" w:rsidRPr="00352191">
        <w:rPr>
          <w:rStyle w:val="FootnoteReference"/>
        </w:rPr>
        <w:footnoteReference w:id="43"/>
      </w:r>
      <w:r w:rsidR="00FD6C6A">
        <w:t>)</w:t>
      </w:r>
      <w:r w:rsidR="009B3A17" w:rsidRPr="006D3C55">
        <w:t>).</w:t>
      </w:r>
    </w:p>
    <w:p w14:paraId="32CB85F4" w14:textId="4206D17E" w:rsidR="001301C1" w:rsidRPr="006D3C55" w:rsidRDefault="001301C1" w:rsidP="001301C1">
      <w:pPr>
        <w:pStyle w:val="amprboxtext"/>
        <w:spacing w:before="0" w:after="0"/>
      </w:pPr>
      <w:r w:rsidRPr="006D3C55">
        <w:rPr>
          <w:rStyle w:val="Bold"/>
        </w:rPr>
        <w:t>Risk at payment:</w:t>
      </w:r>
      <w:r w:rsidRPr="006D3C55">
        <w:t xml:space="preserve"> 0.5% (202</w:t>
      </w:r>
      <w:r w:rsidR="009B3A17" w:rsidRPr="006D3C55">
        <w:t>4</w:t>
      </w:r>
      <w:r w:rsidRPr="006D3C55">
        <w:t>: 0.5%).</w:t>
      </w:r>
    </w:p>
    <w:p w14:paraId="44DE9EA2" w14:textId="267910B1" w:rsidR="001301C1" w:rsidRPr="006D3C55" w:rsidRDefault="001301C1" w:rsidP="001301C1">
      <w:pPr>
        <w:pStyle w:val="amprboxtext"/>
        <w:spacing w:before="0" w:after="0"/>
      </w:pPr>
      <w:r w:rsidRPr="006D3C55">
        <w:rPr>
          <w:rStyle w:val="Bold"/>
        </w:rPr>
        <w:t>Risk at closure</w:t>
      </w:r>
      <w:r w:rsidRPr="00672F00">
        <w:rPr>
          <w:rStyle w:val="Bold"/>
        </w:rPr>
        <w:t>:</w:t>
      </w:r>
      <w:r w:rsidRPr="006D3C55">
        <w:t xml:space="preserve"> 0.5% (202</w:t>
      </w:r>
      <w:r w:rsidR="009B3A17" w:rsidRPr="006D3C55">
        <w:t>4</w:t>
      </w:r>
      <w:r w:rsidRPr="006D3C55">
        <w:t>: 0.5%).</w:t>
      </w:r>
    </w:p>
    <w:p w14:paraId="2B788126" w14:textId="76C99135" w:rsidR="001301C1" w:rsidRPr="006D3C55" w:rsidRDefault="001301C1" w:rsidP="001301C1">
      <w:pPr>
        <w:pStyle w:val="amprboxtext"/>
        <w:spacing w:before="0" w:after="0"/>
      </w:pPr>
      <w:r w:rsidRPr="006D3C55">
        <w:rPr>
          <w:rStyle w:val="Bold"/>
        </w:rPr>
        <w:t xml:space="preserve">Total </w:t>
      </w:r>
      <w:r w:rsidR="002211D0" w:rsidRPr="006D3C55">
        <w:rPr>
          <w:rStyle w:val="Bold"/>
        </w:rPr>
        <w:t xml:space="preserve">preventive </w:t>
      </w:r>
      <w:r w:rsidR="002211D0">
        <w:rPr>
          <w:rStyle w:val="Bold"/>
        </w:rPr>
        <w:t>and</w:t>
      </w:r>
      <w:r w:rsidRPr="006D3C55">
        <w:rPr>
          <w:rStyle w:val="Bold"/>
        </w:rPr>
        <w:t xml:space="preserve"> corrective measures</w:t>
      </w:r>
      <w:r w:rsidRPr="00672F00">
        <w:rPr>
          <w:rStyle w:val="Bold"/>
        </w:rPr>
        <w:t>:</w:t>
      </w:r>
      <w:r w:rsidRPr="006D3C55">
        <w:t xml:space="preserve"> EUR</w:t>
      </w:r>
      <w:r w:rsidRPr="0053179B">
        <w:rPr>
          <w:rFonts w:ascii="Calibri" w:hAnsi="Calibri" w:cs="Calibri"/>
        </w:rPr>
        <w:t> </w:t>
      </w:r>
      <w:r w:rsidR="6BE427A1" w:rsidRPr="00AD4275">
        <w:t>0.1</w:t>
      </w:r>
      <w:r w:rsidRPr="0053179B">
        <w:rPr>
          <w:rFonts w:ascii="Calibri" w:hAnsi="Calibri" w:cs="Calibri"/>
        </w:rPr>
        <w:t> </w:t>
      </w:r>
      <w:r w:rsidRPr="006D3C55">
        <w:t>million (202</w:t>
      </w:r>
      <w:r w:rsidR="1A9A9E81" w:rsidRPr="006D3C55">
        <w:t>4</w:t>
      </w:r>
      <w:r w:rsidRPr="006D3C55">
        <w:t xml:space="preserve">: </w:t>
      </w:r>
      <w:r w:rsidRPr="006D3C55">
        <w:rPr>
          <w:rFonts w:asciiTheme="minorHAnsi" w:hAnsiTheme="minorHAnsi"/>
        </w:rPr>
        <w:t>EUR</w:t>
      </w:r>
      <w:r w:rsidRPr="006D3C55">
        <w:rPr>
          <w:rFonts w:ascii="Calibri" w:hAnsi="Calibri" w:cs="Calibri"/>
        </w:rPr>
        <w:t> </w:t>
      </w:r>
      <w:r w:rsidR="299B2AB1" w:rsidRPr="006D3C55">
        <w:rPr>
          <w:rFonts w:asciiTheme="minorHAnsi" w:hAnsiTheme="minorHAnsi" w:cs="Calibri"/>
        </w:rPr>
        <w:t>5.9</w:t>
      </w:r>
      <w:r w:rsidRPr="006D3C55">
        <w:rPr>
          <w:rFonts w:ascii="Calibri" w:hAnsi="Calibri" w:cs="Calibri"/>
        </w:rPr>
        <w:t> </w:t>
      </w:r>
      <w:r w:rsidRPr="006D3C55">
        <w:rPr>
          <w:rFonts w:asciiTheme="minorHAnsi" w:hAnsiTheme="minorHAnsi"/>
        </w:rPr>
        <w:t>million</w:t>
      </w:r>
      <w:r w:rsidRPr="006D3C55">
        <w:t>):</w:t>
      </w:r>
    </w:p>
    <w:p w14:paraId="48FF4F8B" w14:textId="14CDBCB9" w:rsidR="001301C1" w:rsidRPr="00AB51E8" w:rsidRDefault="001301C1" w:rsidP="00AB51E8">
      <w:pPr>
        <w:pStyle w:val="amprboxbulletlistorange"/>
        <w:rPr>
          <w:rStyle w:val="Italic"/>
        </w:rPr>
      </w:pPr>
      <w:r w:rsidRPr="00AB51E8">
        <w:rPr>
          <w:rStyle w:val="Italic"/>
        </w:rPr>
        <w:t xml:space="preserve">preventive measures: </w:t>
      </w:r>
      <w:r w:rsidR="00D636AD" w:rsidRPr="00AB51E8">
        <w:rPr>
          <w:rStyle w:val="Italic"/>
        </w:rPr>
        <w:t>n</w:t>
      </w:r>
      <w:r w:rsidR="009B15A4" w:rsidRPr="00AB51E8">
        <w:rPr>
          <w:rStyle w:val="Italic"/>
        </w:rPr>
        <w:t>one</w:t>
      </w:r>
      <w:r w:rsidRPr="00AB51E8">
        <w:rPr>
          <w:rStyle w:val="Italic"/>
        </w:rPr>
        <w:t xml:space="preserve"> (202</w:t>
      </w:r>
      <w:r w:rsidR="00CD36F9" w:rsidRPr="00AB51E8">
        <w:rPr>
          <w:rStyle w:val="Italic"/>
        </w:rPr>
        <w:t>4</w:t>
      </w:r>
      <w:r w:rsidRPr="00AB51E8">
        <w:rPr>
          <w:rStyle w:val="Italic"/>
        </w:rPr>
        <w:t>: EUR</w:t>
      </w:r>
      <w:r w:rsidRPr="00AB51E8">
        <w:rPr>
          <w:rStyle w:val="Italic"/>
          <w:rFonts w:ascii="Calibri" w:hAnsi="Calibri" w:cs="Calibri"/>
        </w:rPr>
        <w:t> </w:t>
      </w:r>
      <w:r w:rsidRPr="00AB51E8">
        <w:rPr>
          <w:rStyle w:val="Italic"/>
        </w:rPr>
        <w:t>4.3</w:t>
      </w:r>
      <w:r w:rsidRPr="00AB51E8">
        <w:rPr>
          <w:rStyle w:val="Italic"/>
          <w:rFonts w:ascii="Calibri" w:hAnsi="Calibri" w:cs="Calibri"/>
        </w:rPr>
        <w:t> </w:t>
      </w:r>
      <w:r w:rsidRPr="00AB51E8">
        <w:rPr>
          <w:rStyle w:val="Italic"/>
        </w:rPr>
        <w:t>million);</w:t>
      </w:r>
    </w:p>
    <w:p w14:paraId="25A263D9" w14:textId="47F1A4B2" w:rsidR="00703FD0" w:rsidRPr="00AB51E8" w:rsidRDefault="00703FD0" w:rsidP="00215B29">
      <w:pPr>
        <w:pStyle w:val="amprboxbulletlistorange"/>
      </w:pPr>
      <w:r w:rsidRPr="00AB51E8">
        <w:rPr>
          <w:rStyle w:val="Italic"/>
        </w:rPr>
        <w:t>corrective measures: EUR</w:t>
      </w:r>
      <w:r w:rsidRPr="00AB51E8">
        <w:rPr>
          <w:rStyle w:val="Italic"/>
          <w:rFonts w:ascii="Calibri" w:hAnsi="Calibri" w:cs="Calibri"/>
        </w:rPr>
        <w:t> </w:t>
      </w:r>
      <w:r w:rsidRPr="00AB51E8">
        <w:rPr>
          <w:rStyle w:val="Italic"/>
        </w:rPr>
        <w:t>0.</w:t>
      </w:r>
      <w:r w:rsidRPr="00AB51E8" w:rsidDel="00416F73">
        <w:rPr>
          <w:rStyle w:val="Italic"/>
        </w:rPr>
        <w:t>1</w:t>
      </w:r>
      <w:r w:rsidRPr="00AB51E8">
        <w:rPr>
          <w:rStyle w:val="Italic"/>
          <w:rFonts w:ascii="Calibri" w:hAnsi="Calibri" w:cs="Calibri"/>
        </w:rPr>
        <w:t> </w:t>
      </w:r>
      <w:r w:rsidRPr="00AB51E8">
        <w:rPr>
          <w:rStyle w:val="Italic"/>
        </w:rPr>
        <w:t>million (2024: 1.6</w:t>
      </w:r>
      <w:r w:rsidRPr="00AB51E8">
        <w:rPr>
          <w:rStyle w:val="Italic"/>
          <w:rFonts w:ascii="Calibri" w:hAnsi="Calibri" w:cs="Calibri"/>
        </w:rPr>
        <w:t> </w:t>
      </w:r>
      <w:r w:rsidRPr="00AB51E8">
        <w:rPr>
          <w:rStyle w:val="Italic"/>
        </w:rPr>
        <w:t>EUR</w:t>
      </w:r>
      <w:r w:rsidRPr="00AB51E8" w:rsidDel="000B7DB0">
        <w:rPr>
          <w:rStyle w:val="Italic"/>
          <w:rFonts w:ascii="Calibri" w:hAnsi="Calibri" w:cs="Calibri"/>
        </w:rPr>
        <w:t> </w:t>
      </w:r>
      <w:r w:rsidRPr="00AB51E8">
        <w:rPr>
          <w:rStyle w:val="Italic"/>
        </w:rPr>
        <w:t>million).</w:t>
      </w:r>
    </w:p>
    <w:p w14:paraId="3495F60E" w14:textId="44DCEB99" w:rsidR="001301C1" w:rsidRPr="006D3C55" w:rsidRDefault="0026125D" w:rsidP="001301C1">
      <w:pPr>
        <w:pStyle w:val="amprboxtext"/>
        <w:spacing w:before="0"/>
      </w:pPr>
      <w:r w:rsidRPr="0026125D">
        <w:rPr>
          <w:b/>
          <w:noProof/>
          <w:spacing w:val="1"/>
        </w:rPr>
        <w:drawing>
          <wp:anchor distT="0" distB="0" distL="114300" distR="114300" simplePos="0" relativeHeight="251658245" behindDoc="0" locked="0" layoutInCell="1" allowOverlap="1" wp14:anchorId="0672E2F1" wp14:editId="45BB2810">
            <wp:simplePos x="0" y="0"/>
            <wp:positionH relativeFrom="column">
              <wp:posOffset>-55245</wp:posOffset>
            </wp:positionH>
            <wp:positionV relativeFrom="paragraph">
              <wp:posOffset>525780</wp:posOffset>
            </wp:positionV>
            <wp:extent cx="2509520" cy="3364230"/>
            <wp:effectExtent l="0" t="0" r="5080" b="7620"/>
            <wp:wrapSquare wrapText="bothSides"/>
            <wp:docPr id="21" name="Picture 20" descr="Graph showing the evolution of risk at payment and risk at closure for Heading 7- European public administration, between 2023 and 2025. The graph shows the materiality represented by a line at 2%.&#10;Both risk at payment and risk at closure were all stable at 0.5% for all the years.">
              <a:extLst xmlns:a="http://schemas.openxmlformats.org/drawingml/2006/main">
                <a:ext uri="{FF2B5EF4-FFF2-40B4-BE49-F238E27FC236}">
                  <a16:creationId xmlns:a16="http://schemas.microsoft.com/office/drawing/2014/main" id="{E885D192-07B4-742B-EABA-017CB66F360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0" descr="Graph showing the evolution of risk at payment and risk at closure for Heading 7- European public administration, between 2023 and 2025. The graph shows the materiality represented by a line at 2%.&#10;Both risk at payment and risk at closure were all stable at 0.5% for all the years.">
                      <a:extLst>
                        <a:ext uri="{FF2B5EF4-FFF2-40B4-BE49-F238E27FC236}">
                          <a16:creationId xmlns:a16="http://schemas.microsoft.com/office/drawing/2014/main" id="{E885D192-07B4-742B-EABA-017CB66F360A}"/>
                        </a:ext>
                      </a:extLst>
                    </pic:cNvPr>
                    <pic:cNvPicPr>
                      <a:picLocks noChangeAspect="1"/>
                    </pic:cNvPicPr>
                  </pic:nvPicPr>
                  <pic:blipFill rotWithShape="1">
                    <a:blip r:embed="rId83"/>
                    <a:srcRect l="1926" t="3909" r="5385" b="4632"/>
                    <a:stretch>
                      <a:fillRect/>
                    </a:stretch>
                  </pic:blipFill>
                  <pic:spPr bwMode="auto">
                    <a:xfrm>
                      <a:off x="0" y="0"/>
                      <a:ext cx="2509520" cy="336423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1301C1" w:rsidRPr="006D3C55">
        <w:rPr>
          <w:rStyle w:val="Bold"/>
        </w:rPr>
        <w:t>Reservations:</w:t>
      </w:r>
      <w:r w:rsidR="001301C1" w:rsidRPr="006D3C55">
        <w:t xml:space="preserve"> one reputational reservation (202</w:t>
      </w:r>
      <w:r w:rsidR="002C3F9C" w:rsidRPr="006D3C55">
        <w:t>4</w:t>
      </w:r>
      <w:r w:rsidR="001301C1" w:rsidRPr="006D3C55">
        <w:t>: one reputational reservation).</w:t>
      </w:r>
    </w:p>
    <w:p w14:paraId="32DBAE06" w14:textId="2201320E" w:rsidR="00ED47BB" w:rsidRPr="006D3C55" w:rsidRDefault="00667B74" w:rsidP="001301C1">
      <w:r w:rsidRPr="00672F00">
        <w:rPr>
          <w:rStyle w:val="Bold"/>
        </w:rPr>
        <w:t>The risk at payment for this heading remains at 0.5%</w:t>
      </w:r>
      <w:r w:rsidR="00703FD0" w:rsidRPr="00672F00">
        <w:rPr>
          <w:rStyle w:val="Bold"/>
        </w:rPr>
        <w:t>,</w:t>
      </w:r>
      <w:r w:rsidRPr="00AD4275">
        <w:t xml:space="preserve"> </w:t>
      </w:r>
      <w:r w:rsidRPr="006D3C55">
        <w:t>which is consistent with the type</w:t>
      </w:r>
      <w:r w:rsidR="00703FD0">
        <w:t>s</w:t>
      </w:r>
      <w:r w:rsidRPr="006D3C55">
        <w:t xml:space="preserve"> of </w:t>
      </w:r>
      <w:r w:rsidR="00703FD0" w:rsidRPr="006D3C55">
        <w:t>activit</w:t>
      </w:r>
      <w:r w:rsidR="00703FD0">
        <w:t>y</w:t>
      </w:r>
      <w:r w:rsidR="00703FD0" w:rsidRPr="006D3C55">
        <w:t xml:space="preserve"> </w:t>
      </w:r>
      <w:r w:rsidRPr="006D3C55">
        <w:t xml:space="preserve">and expenditure under this heading. </w:t>
      </w:r>
      <w:r w:rsidR="001301C1" w:rsidRPr="006D3C55">
        <w:t>T</w:t>
      </w:r>
      <w:r w:rsidR="00D91930" w:rsidRPr="006D3C55">
        <w:t>his heading groups together all of the Commission services and departments that mostly provide services to other Commission services and departments and have no operational policy objectives. These entities thus mostly manage administrative expend</w:t>
      </w:r>
      <w:r w:rsidR="00957131">
        <w:t>i</w:t>
      </w:r>
      <w:r w:rsidR="00D91930" w:rsidRPr="006D3C55">
        <w:t>ture under the direct management mode, such as the Office for the Administration and Payment of Individual Entitlements, which represents approximately</w:t>
      </w:r>
      <w:r w:rsidR="00481329" w:rsidRPr="006D3C55">
        <w:t xml:space="preserve"> </w:t>
      </w:r>
      <w:r w:rsidR="00D91930" w:rsidRPr="006D3C55">
        <w:t>78% of the expenditure for this heading</w:t>
      </w:r>
      <w:r w:rsidRPr="00AD4275">
        <w:rPr>
          <w:bCs/>
        </w:rPr>
        <w:t>.</w:t>
      </w:r>
    </w:p>
    <w:p w14:paraId="7D477DCA" w14:textId="057BF68F" w:rsidR="001301C1" w:rsidRPr="006D3C55" w:rsidRDefault="00667B74" w:rsidP="001301C1">
      <w:r w:rsidRPr="00672F00">
        <w:rPr>
          <w:rStyle w:val="Bold"/>
        </w:rPr>
        <w:t>The risk at payment was prudently set at 0.5% for this low-risk type of expenditure.</w:t>
      </w:r>
      <w:r w:rsidRPr="006D3C55">
        <w:t xml:space="preserve"> As most of the corresponding control systems involve predominantly </w:t>
      </w:r>
      <w:r w:rsidR="004C1AFC" w:rsidRPr="00AB51E8">
        <w:rPr>
          <w:rStyle w:val="Italic"/>
        </w:rPr>
        <w:t>ex</w:t>
      </w:r>
      <w:r w:rsidR="004C1AFC">
        <w:rPr>
          <w:rStyle w:val="Italic"/>
          <w:rFonts w:ascii="Calibri" w:hAnsi="Calibri" w:cs="Calibri"/>
        </w:rPr>
        <w:t> </w:t>
      </w:r>
      <w:r w:rsidRPr="00AB51E8">
        <w:rPr>
          <w:rStyle w:val="Italic"/>
        </w:rPr>
        <w:t>ante</w:t>
      </w:r>
      <w:r w:rsidRPr="006D3C55">
        <w:t xml:space="preserve"> controls, the estimated future corrections were often set at a prudent 0.0%. Thus, the risk at closure is equal to the risk at payment and remained very low at 0.5%.</w:t>
      </w:r>
    </w:p>
    <w:p w14:paraId="4C1F1246" w14:textId="4B8B91E2" w:rsidR="00D91930" w:rsidRPr="006D3C55" w:rsidRDefault="00D91930" w:rsidP="00D91930">
      <w:r w:rsidRPr="006B098F">
        <w:rPr>
          <w:b/>
        </w:rPr>
        <w:t>In 2025,</w:t>
      </w:r>
      <w:r w:rsidR="00DA7482" w:rsidRPr="006B098F">
        <w:rPr>
          <w:b/>
        </w:rPr>
        <w:t xml:space="preserve"> the total of </w:t>
      </w:r>
      <w:r w:rsidR="0056767E" w:rsidRPr="006B098F">
        <w:rPr>
          <w:b/>
        </w:rPr>
        <w:t xml:space="preserve">amount </w:t>
      </w:r>
      <w:r w:rsidR="00DA7482" w:rsidRPr="006B098F">
        <w:rPr>
          <w:b/>
        </w:rPr>
        <w:t>preventive and corrective measures decreased</w:t>
      </w:r>
      <w:r w:rsidR="00DA7482" w:rsidRPr="006D3C55">
        <w:t xml:space="preserve"> from EUR</w:t>
      </w:r>
      <w:r w:rsidR="00DA7482" w:rsidRPr="006D3C55">
        <w:rPr>
          <w:rFonts w:ascii="Calibri" w:hAnsi="Calibri" w:cs="Calibri"/>
        </w:rPr>
        <w:t> </w:t>
      </w:r>
      <w:r w:rsidR="00DA7482" w:rsidRPr="006D3C55">
        <w:t>5.9</w:t>
      </w:r>
      <w:r w:rsidR="00DA7482" w:rsidRPr="006D3C55">
        <w:rPr>
          <w:rFonts w:ascii="Calibri" w:hAnsi="Calibri" w:cs="Calibri"/>
        </w:rPr>
        <w:t> </w:t>
      </w:r>
      <w:r w:rsidR="00DA7482" w:rsidRPr="006D3C55">
        <w:t>million to EUR</w:t>
      </w:r>
      <w:r w:rsidR="00DA7482" w:rsidRPr="006D3C55">
        <w:rPr>
          <w:rFonts w:ascii="Calibri" w:hAnsi="Calibri" w:cs="Calibri"/>
        </w:rPr>
        <w:t> </w:t>
      </w:r>
      <w:r w:rsidR="34687791" w:rsidRPr="00672F00">
        <w:t>0</w:t>
      </w:r>
      <w:r w:rsidR="00DA7482" w:rsidRPr="006D3C55">
        <w:t>.</w:t>
      </w:r>
      <w:r w:rsidR="29D4109A" w:rsidRPr="006D3C55">
        <w:t>1</w:t>
      </w:r>
      <w:r w:rsidR="00DA7482" w:rsidRPr="006D3C55">
        <w:t>6</w:t>
      </w:r>
      <w:r w:rsidR="00DA7482" w:rsidRPr="006D3C55">
        <w:rPr>
          <w:rFonts w:ascii="Calibri" w:hAnsi="Calibri" w:cs="Calibri"/>
        </w:rPr>
        <w:t> </w:t>
      </w:r>
      <w:r w:rsidR="00DA7482" w:rsidRPr="006D3C55">
        <w:t xml:space="preserve">million because of the decrease in preventive measures. The absence of preventive measures in 2025 is </w:t>
      </w:r>
      <w:r w:rsidRPr="006D3C55">
        <w:t xml:space="preserve">due to the transition to the Commission’s new accounting system, SUMMA, </w:t>
      </w:r>
      <w:r w:rsidR="00DA7482" w:rsidRPr="006D3C55">
        <w:t xml:space="preserve">where </w:t>
      </w:r>
      <w:r w:rsidRPr="006D3C55">
        <w:t>only preventive measures exceeding EUR</w:t>
      </w:r>
      <w:r w:rsidR="00CB50DF" w:rsidRPr="006D3C55">
        <w:rPr>
          <w:rFonts w:ascii="Calibri" w:hAnsi="Calibri" w:cs="Calibri"/>
        </w:rPr>
        <w:t> </w:t>
      </w:r>
      <w:r w:rsidRPr="006D3C55">
        <w:t>500</w:t>
      </w:r>
      <w:r w:rsidR="00CB50DF" w:rsidRPr="006D3C55">
        <w:rPr>
          <w:rFonts w:ascii="Calibri" w:hAnsi="Calibri" w:cs="Calibri"/>
        </w:rPr>
        <w:t> </w:t>
      </w:r>
      <w:r w:rsidRPr="006D3C55">
        <w:t xml:space="preserve">000 are reported. </w:t>
      </w:r>
      <w:r w:rsidR="00DA7482" w:rsidRPr="006D3C55">
        <w:t>Since</w:t>
      </w:r>
      <w:r w:rsidRPr="006D3C55" w:rsidDel="00BE0983">
        <w:t xml:space="preserve"> a</w:t>
      </w:r>
      <w:r w:rsidRPr="006D3C55">
        <w:t>ll preventive measures taken under this heading fall below this threshold, they are outside the reporting scope.</w:t>
      </w:r>
    </w:p>
    <w:p w14:paraId="5F0CF413" w14:textId="47B19D80" w:rsidR="00D91930" w:rsidRPr="006D3C55" w:rsidRDefault="00D91930" w:rsidP="00D91930">
      <w:r w:rsidRPr="006D3C55">
        <w:t>In this policy area, the reputational reservation raised in 2023 and 2024 on the issues encountered in implementing new selection procedures and competitions</w:t>
      </w:r>
      <w:r w:rsidR="006B098F">
        <w:t xml:space="preserve"> was maintained</w:t>
      </w:r>
      <w:r w:rsidRPr="006D3C55">
        <w:t>. It was considered prudent to maintain the reservation until competitions with the new contractor, planned in 2026, have taken place according to plan.</w:t>
      </w:r>
    </w:p>
    <w:p w14:paraId="1B5BDC9E" w14:textId="6CF77893" w:rsidR="001301C1" w:rsidRDefault="001301C1" w:rsidP="001301C1">
      <w:pPr>
        <w:pStyle w:val="ImageTitle"/>
      </w:pPr>
      <w:r w:rsidRPr="006D3C55">
        <w:t>Multiannual financial framework heading 7</w:t>
      </w:r>
      <w:r w:rsidRPr="006D3C55">
        <w:rPr>
          <w:rFonts w:ascii="Calibri" w:hAnsi="Calibri" w:cs="Calibri"/>
        </w:rPr>
        <w:t> </w:t>
      </w:r>
      <w:r w:rsidRPr="006D3C55">
        <w:t>– European public administration</w:t>
      </w:r>
      <w:r w:rsidRPr="006D3C55">
        <w:rPr>
          <w:rFonts w:ascii="Calibri" w:hAnsi="Calibri" w:cs="Calibri"/>
        </w:rPr>
        <w:t> </w:t>
      </w:r>
      <w:r w:rsidRPr="006D3C55">
        <w:t xml:space="preserve">– </w:t>
      </w:r>
      <w:r w:rsidR="0056767E">
        <w:br/>
      </w:r>
      <w:r w:rsidRPr="006D3C55">
        <w:t xml:space="preserve">overview of risk segmentation for </w:t>
      </w:r>
      <w:r w:rsidR="00426041" w:rsidRPr="006D3C55">
        <w:t>2023</w:t>
      </w:r>
      <w:r w:rsidRPr="006D3C55">
        <w:t>-</w:t>
      </w:r>
      <w:r w:rsidR="00426041" w:rsidRPr="006D3C55">
        <w:t>2025</w:t>
      </w:r>
    </w:p>
    <w:p w14:paraId="15D1F73A" w14:textId="0FE8D737" w:rsidR="004D520A" w:rsidRDefault="00062853" w:rsidP="00AB51E8">
      <w:pPr>
        <w:pStyle w:val="ImagePlaceholder"/>
      </w:pPr>
      <w:r w:rsidRPr="00062853">
        <w:drawing>
          <wp:inline distT="0" distB="0" distL="0" distR="0" wp14:anchorId="72951AD7" wp14:editId="36051CE1">
            <wp:extent cx="5759450" cy="2483485"/>
            <wp:effectExtent l="0" t="0" r="0" b="0"/>
            <wp:docPr id="53" name="Picture 52" descr="The graph represents the expenditure per risk category (Low risk, medium risk and high risk) in percentage for the years 2023, 2024 and 2025 for heading 7 of the Multiannual financial framework – European public administration.&#10;For 2023, 2024 and 2025 all the expenditure presents only low risk at 100%.">
              <a:extLst xmlns:a="http://schemas.openxmlformats.org/drawingml/2006/main">
                <a:ext uri="{FF2B5EF4-FFF2-40B4-BE49-F238E27FC236}">
                  <a16:creationId xmlns:a16="http://schemas.microsoft.com/office/drawing/2014/main" id="{7235D7DE-12FB-FF21-71B5-64CF3F34C27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Picture 52" descr="The graph represents the expenditure per risk category (Low risk, medium risk and high risk) in percentage for the years 2023, 2024 and 2025 for heading 7 of the Multiannual financial framework – European public administration.&#10;For 2023, 2024 and 2025 all the expenditure presents only low risk at 100%.">
                      <a:extLst>
                        <a:ext uri="{FF2B5EF4-FFF2-40B4-BE49-F238E27FC236}">
                          <a16:creationId xmlns:a16="http://schemas.microsoft.com/office/drawing/2014/main" id="{7235D7DE-12FB-FF21-71B5-64CF3F34C27F}"/>
                        </a:ext>
                      </a:extLst>
                    </pic:cNvPr>
                    <pic:cNvPicPr>
                      <a:picLocks noChangeAspect="1"/>
                    </pic:cNvPicPr>
                  </pic:nvPicPr>
                  <pic:blipFill>
                    <a:blip r:embed="rId84"/>
                    <a:srcRect l="1826" r="1830"/>
                    <a:stretch>
                      <a:fillRect/>
                    </a:stretch>
                  </pic:blipFill>
                  <pic:spPr>
                    <a:xfrm>
                      <a:off x="0" y="0"/>
                      <a:ext cx="5759450" cy="2483485"/>
                    </a:xfrm>
                    <a:prstGeom prst="rect">
                      <a:avLst/>
                    </a:prstGeom>
                  </pic:spPr>
                </pic:pic>
              </a:graphicData>
            </a:graphic>
          </wp:inline>
        </w:drawing>
      </w:r>
    </w:p>
    <w:p w14:paraId="51C315EC" w14:textId="3124239C" w:rsidR="001301C1" w:rsidRPr="006D3C55" w:rsidRDefault="001301C1" w:rsidP="001301C1">
      <w:pPr>
        <w:pStyle w:val="ImageSource"/>
        <w:spacing w:before="120" w:after="600"/>
      </w:pPr>
      <w:r w:rsidRPr="00AB51E8">
        <w:rPr>
          <w:rStyle w:val="Italic"/>
        </w:rPr>
        <w:t>Source:</w:t>
      </w:r>
      <w:r w:rsidRPr="006D3C55">
        <w:t xml:space="preserve"> European Commission annual activity reports for 202</w:t>
      </w:r>
      <w:r w:rsidR="00426041" w:rsidRPr="006D3C55">
        <w:t>5</w:t>
      </w:r>
      <w:r w:rsidR="001959B7" w:rsidRPr="00AB51E8">
        <w:rPr>
          <w:rFonts w:cs="Calibri"/>
        </w:rPr>
        <w:t> </w:t>
      </w:r>
      <w:r w:rsidR="001959B7" w:rsidRPr="001959B7">
        <w:t>(</w:t>
      </w:r>
      <w:r w:rsidR="001959B7" w:rsidRPr="00352191">
        <w:rPr>
          <w:rStyle w:val="FootnoteReference"/>
        </w:rPr>
        <w:footnoteReference w:id="44"/>
      </w:r>
      <w:r w:rsidR="001959B7">
        <w:t>)</w:t>
      </w:r>
    </w:p>
    <w:p w14:paraId="388D7B25" w14:textId="5276DAF5" w:rsidR="00D835E7" w:rsidRPr="00AB51E8" w:rsidRDefault="004A31F7" w:rsidP="00CF0E0E">
      <w:pPr>
        <w:pStyle w:val="HNum-fromh2Heading4-111"/>
      </w:pPr>
      <w:r w:rsidRPr="004A31F7">
        <w:rPr>
          <w:b/>
          <w:noProof/>
          <w:spacing w:val="1"/>
        </w:rPr>
        <w:drawing>
          <wp:anchor distT="0" distB="0" distL="114300" distR="114300" simplePos="0" relativeHeight="251658246" behindDoc="0" locked="0" layoutInCell="1" allowOverlap="1" wp14:anchorId="3FFE1415" wp14:editId="502F08E1">
            <wp:simplePos x="0" y="0"/>
            <wp:positionH relativeFrom="column">
              <wp:posOffset>39370</wp:posOffset>
            </wp:positionH>
            <wp:positionV relativeFrom="paragraph">
              <wp:posOffset>31115</wp:posOffset>
            </wp:positionV>
            <wp:extent cx="2425700" cy="2590165"/>
            <wp:effectExtent l="0" t="0" r="0" b="635"/>
            <wp:wrapSquare wrapText="bothSides"/>
            <wp:docPr id="200323783" name="Picture 34">
              <a:extLst xmlns:a="http://schemas.openxmlformats.org/drawingml/2006/main">
                <a:ext uri="{FF2B5EF4-FFF2-40B4-BE49-F238E27FC236}">
                  <a16:creationId xmlns:a16="http://schemas.microsoft.com/office/drawing/2014/main" id="{76DAF884-896C-B1BF-7EB9-C070B2E419B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34">
                      <a:extLst>
                        <a:ext uri="{FF2B5EF4-FFF2-40B4-BE49-F238E27FC236}">
                          <a16:creationId xmlns:a16="http://schemas.microsoft.com/office/drawing/2014/main" id="{76DAF884-896C-B1BF-7EB9-C070B2E419B4}"/>
                        </a:ext>
                      </a:extLst>
                    </pic:cNvPr>
                    <pic:cNvPicPr>
                      <a:picLocks noChangeAspect="1"/>
                    </pic:cNvPicPr>
                  </pic:nvPicPr>
                  <pic:blipFill rotWithShape="1">
                    <a:blip r:embed="rId85"/>
                    <a:srcRect l="16375" t="10624" r="6312" b="7817"/>
                    <a:stretch>
                      <a:fillRect/>
                    </a:stretch>
                  </pic:blipFill>
                  <pic:spPr bwMode="auto">
                    <a:xfrm>
                      <a:off x="0" y="0"/>
                      <a:ext cx="2425700" cy="259016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1301C1" w:rsidRPr="003B4D9F">
        <w:t>Efficiency measures have been taken</w:t>
      </w:r>
    </w:p>
    <w:p w14:paraId="01560443" w14:textId="140336E2" w:rsidR="004F7841" w:rsidRPr="006D3C55" w:rsidRDefault="001301C1" w:rsidP="00CF0E0E">
      <w:pPr>
        <w:rPr>
          <w:lang w:eastAsia="zh-CN"/>
        </w:rPr>
      </w:pPr>
      <w:r w:rsidRPr="00AB51E8">
        <w:rPr>
          <w:rStyle w:val="Bold"/>
        </w:rPr>
        <w:t xml:space="preserve">In </w:t>
      </w:r>
      <w:r w:rsidR="005E2086" w:rsidRPr="00AB51E8">
        <w:rPr>
          <w:rStyle w:val="Bold"/>
        </w:rPr>
        <w:t>2025</w:t>
      </w:r>
      <w:r w:rsidRPr="00AB51E8">
        <w:rPr>
          <w:rStyle w:val="Bold"/>
        </w:rPr>
        <w:t xml:space="preserve">, </w:t>
      </w:r>
      <w:r w:rsidR="005E2086" w:rsidRPr="00AB51E8">
        <w:rPr>
          <w:rStyle w:val="Bold"/>
        </w:rPr>
        <w:t>97</w:t>
      </w:r>
      <w:r w:rsidRPr="00AB51E8">
        <w:rPr>
          <w:rStyle w:val="Bold"/>
        </w:rPr>
        <w:t>% of payments (in value) were made within the legal payment deadline</w:t>
      </w:r>
      <w:r w:rsidRPr="006D3C55">
        <w:t xml:space="preserve"> </w:t>
      </w:r>
      <w:r w:rsidR="00434E0C" w:rsidRPr="006D3C55">
        <w:t>versus 99% in 2024.</w:t>
      </w:r>
      <w:r w:rsidR="00FE69D3" w:rsidRPr="006D3C55">
        <w:t xml:space="preserve"> </w:t>
      </w:r>
      <w:r w:rsidR="004F7841" w:rsidRPr="006D3C55">
        <w:t>Th</w:t>
      </w:r>
      <w:r w:rsidR="00434E0C" w:rsidRPr="006D3C55">
        <w:t>e slight decrease in performance for this indicator</w:t>
      </w:r>
      <w:r w:rsidR="004F7841" w:rsidRPr="006D3C55">
        <w:t xml:space="preserve"> is explained by the transition in 2025 to the Commission’s new accounting system</w:t>
      </w:r>
      <w:r w:rsidR="0000416B">
        <w:t>,</w:t>
      </w:r>
      <w:r w:rsidR="004F7841" w:rsidRPr="006D3C55">
        <w:t xml:space="preserve"> SUMMA</w:t>
      </w:r>
      <w:r w:rsidR="00FE69D3" w:rsidRPr="006D3C55">
        <w:t xml:space="preserve">. The </w:t>
      </w:r>
      <w:r w:rsidR="004F7841" w:rsidRPr="006D3C55">
        <w:t>adjustment</w:t>
      </w:r>
      <w:r w:rsidR="00FE69D3" w:rsidRPr="006D3C55">
        <w:t>s</w:t>
      </w:r>
      <w:r w:rsidR="004F7841" w:rsidRPr="006D3C55">
        <w:t xml:space="preserve"> to </w:t>
      </w:r>
      <w:r w:rsidR="00FE69D3" w:rsidRPr="006D3C55">
        <w:t>this</w:t>
      </w:r>
      <w:r w:rsidR="004F7841" w:rsidRPr="006D3C55">
        <w:t xml:space="preserve"> new system </w:t>
      </w:r>
      <w:r w:rsidR="0000416B">
        <w:t xml:space="preserve">had an </w:t>
      </w:r>
      <w:r w:rsidR="004F7841" w:rsidRPr="006D3C55">
        <w:t>impact</w:t>
      </w:r>
      <w:r w:rsidR="0000416B">
        <w:t xml:space="preserve"> on</w:t>
      </w:r>
      <w:r w:rsidR="004F7841" w:rsidRPr="006D3C55">
        <w:t xml:space="preserve"> budget implementation tasks, processes and financial management activities, particularly during the first part of the year. In a limited number of cases, this resulted in lower performance for some standard financial indicators</w:t>
      </w:r>
      <w:r w:rsidR="0000416B">
        <w:t>,</w:t>
      </w:r>
      <w:r w:rsidR="004F7841" w:rsidRPr="006D3C55">
        <w:t xml:space="preserve"> such as timely payment.</w:t>
      </w:r>
    </w:p>
    <w:p w14:paraId="1C032FDE" w14:textId="4299C370" w:rsidR="00FE69D3" w:rsidRPr="006D3C55" w:rsidRDefault="00FE69D3" w:rsidP="00E3249D">
      <w:pPr>
        <w:rPr>
          <w:lang w:eastAsia="zh-CN"/>
        </w:rPr>
      </w:pPr>
      <w:r w:rsidRPr="00672F00">
        <w:rPr>
          <w:rStyle w:val="Bold"/>
        </w:rPr>
        <w:t>Time to pay is the main indicator used to measure the efficiency of procedures and controls in place for making payments</w:t>
      </w:r>
      <w:r w:rsidRPr="006D3C55">
        <w:t xml:space="preserve"> and is of paramount importance, as many beneficiaries rely on these payments to carry out their activities and projects, which, in turn, contribute to the Commission’s objectives</w:t>
      </w:r>
      <w:r w:rsidR="00E10D70">
        <w:t>.</w:t>
      </w:r>
    </w:p>
    <w:p w14:paraId="17A0A5D6" w14:textId="373C945A" w:rsidR="001301C1" w:rsidRPr="006D3C55" w:rsidRDefault="001301C1" w:rsidP="00166041">
      <w:pPr>
        <w:spacing w:after="360"/>
      </w:pPr>
      <w:r w:rsidRPr="00672F00">
        <w:rPr>
          <w:rStyle w:val="Bold"/>
        </w:rPr>
        <w:t>The Commission is</w:t>
      </w:r>
      <w:r w:rsidRPr="00672F00" w:rsidDel="007709DC">
        <w:rPr>
          <w:rStyle w:val="Bold"/>
        </w:rPr>
        <w:t xml:space="preserve"> </w:t>
      </w:r>
      <w:r w:rsidRPr="00672F00">
        <w:rPr>
          <w:rStyle w:val="Bold"/>
        </w:rPr>
        <w:t>continually striving to improve the efficiency of its operations</w:t>
      </w:r>
      <w:r w:rsidRPr="006D3C55">
        <w:t xml:space="preserve"> so as to deliver on its objectives under tight budgetary constraints and to achieve the objectives set in its digital agenda. Processes are being streamlined to ensure the most efficient use of limited resources.</w:t>
      </w:r>
      <w:r w:rsidR="00E3249D" w:rsidRPr="006D3C55">
        <w:t xml:space="preserve"> Some</w:t>
      </w:r>
      <w:r w:rsidRPr="006D3C55">
        <w:t xml:space="preserve"> examples of </w:t>
      </w:r>
      <w:r w:rsidR="00E3249D" w:rsidRPr="006D3C55">
        <w:t xml:space="preserve">initiatives leading to </w:t>
      </w:r>
      <w:r w:rsidR="008A0FE6">
        <w:t xml:space="preserve">improved </w:t>
      </w:r>
      <w:r w:rsidRPr="006D3C55">
        <w:t>economy and efficiency are presented in the box below.</w:t>
      </w:r>
    </w:p>
    <w:p w14:paraId="0906B21A" w14:textId="0BCC6551" w:rsidR="001301C1" w:rsidRPr="006D3C55" w:rsidRDefault="001301C1" w:rsidP="001301C1">
      <w:pPr>
        <w:pStyle w:val="amprboxheading"/>
      </w:pPr>
      <w:r w:rsidRPr="006D3C55">
        <w:t xml:space="preserve">Examples of </w:t>
      </w:r>
      <w:r w:rsidR="005A256C">
        <w:t xml:space="preserve">improved </w:t>
      </w:r>
      <w:r w:rsidRPr="006D3C55">
        <w:t>economy and efficiency</w:t>
      </w:r>
    </w:p>
    <w:p w14:paraId="252306EA" w14:textId="4867F7FA" w:rsidR="00F72935" w:rsidRPr="00AB51E8" w:rsidRDefault="00F72935" w:rsidP="00AB51E8">
      <w:pPr>
        <w:pStyle w:val="amprboxbulletlistorange"/>
      </w:pPr>
      <w:r w:rsidRPr="00AB51E8">
        <w:t xml:space="preserve">One of the measures that continues to have the widest and longest-term effect is the </w:t>
      </w:r>
      <w:r w:rsidRPr="00672F00">
        <w:rPr>
          <w:rStyle w:val="Bold"/>
        </w:rPr>
        <w:t>increased use of simplified cost options, in particular lump sums and unit costs</w:t>
      </w:r>
      <w:r w:rsidRPr="00AB51E8">
        <w:t>. In the area of research, the use of lump sums has grown significantly. In 2025, lump sums accounted for more than 35% of the overall call budget for the main Horizon Europe work programme, and successfully reached the goal of at least 50% for the 2026-2027 work programme adopted in December 2025. The Horizon Europe midterm evaluation (adopted in April 2025) confirmed that lump</w:t>
      </w:r>
      <w:r w:rsidR="005A256C" w:rsidRPr="00AB51E8">
        <w:t>-</w:t>
      </w:r>
      <w:r w:rsidRPr="00AB51E8">
        <w:t>sum grants effectively reduce administrative burdens, help avoid financial errors and shift the focus from financial controls to project content.</w:t>
      </w:r>
    </w:p>
    <w:p w14:paraId="4BCD0152" w14:textId="76B9EE76" w:rsidR="00F72935" w:rsidRPr="006D3C55" w:rsidRDefault="007042AA" w:rsidP="00AB51E8">
      <w:pPr>
        <w:pStyle w:val="amprboxbulletlistorange"/>
        <w:rPr>
          <w:iCs/>
          <w:noProof w:val="0"/>
        </w:rPr>
      </w:pPr>
      <w:r w:rsidRPr="006D3C55">
        <w:rPr>
          <w:iCs/>
          <w:noProof w:val="0"/>
        </w:rPr>
        <w:t>I</w:t>
      </w:r>
      <w:r w:rsidR="00F72935" w:rsidRPr="006D3C55">
        <w:rPr>
          <w:iCs/>
          <w:noProof w:val="0"/>
        </w:rPr>
        <w:t xml:space="preserve">n the same area, the European Research Executive Agency continued its drive for efficiency by </w:t>
      </w:r>
      <w:r w:rsidR="00F72935" w:rsidRPr="00672F00">
        <w:rPr>
          <w:rStyle w:val="Bold"/>
        </w:rPr>
        <w:t xml:space="preserve">piloting </w:t>
      </w:r>
      <w:r w:rsidR="00903A61" w:rsidRPr="00672F00">
        <w:rPr>
          <w:rStyle w:val="Bold"/>
        </w:rPr>
        <w:t>artificial-intelligence</w:t>
      </w:r>
      <w:r w:rsidR="00F72935" w:rsidRPr="00672F00">
        <w:rPr>
          <w:rStyle w:val="Bold"/>
        </w:rPr>
        <w:t>-assisted expert allocation tools to compare the quality and efficiency of pre-allocations produced by different systems</w:t>
      </w:r>
      <w:r w:rsidR="00F72935" w:rsidRPr="006D3C55">
        <w:rPr>
          <w:iCs/>
          <w:noProof w:val="0"/>
        </w:rPr>
        <w:t>. Additionally, a simplification hackathon in 2025 brought together over 70 colleagues to generate ideas for streamlining proposal evaluations and grant management, which directly informed the development of the 2026</w:t>
      </w:r>
      <w:r w:rsidR="00903A61">
        <w:rPr>
          <w:iCs/>
          <w:noProof w:val="0"/>
        </w:rPr>
        <w:t>-</w:t>
      </w:r>
      <w:r w:rsidR="00F72935" w:rsidRPr="006D3C55">
        <w:rPr>
          <w:iCs/>
          <w:noProof w:val="0"/>
        </w:rPr>
        <w:t xml:space="preserve">2027 </w:t>
      </w:r>
      <w:r w:rsidR="00903A61">
        <w:rPr>
          <w:iCs/>
          <w:noProof w:val="0"/>
        </w:rPr>
        <w:t>w</w:t>
      </w:r>
      <w:r w:rsidR="00F72935" w:rsidRPr="006D3C55">
        <w:rPr>
          <w:iCs/>
          <w:noProof w:val="0"/>
        </w:rPr>
        <w:t xml:space="preserve">ork </w:t>
      </w:r>
      <w:r w:rsidR="00903A61">
        <w:rPr>
          <w:iCs/>
          <w:noProof w:val="0"/>
        </w:rPr>
        <w:t>p</w:t>
      </w:r>
      <w:r w:rsidR="00F72935" w:rsidRPr="006D3C55">
        <w:rPr>
          <w:iCs/>
          <w:noProof w:val="0"/>
        </w:rPr>
        <w:t xml:space="preserve">rogramme and the next </w:t>
      </w:r>
      <w:r w:rsidR="00903A61">
        <w:rPr>
          <w:iCs/>
          <w:noProof w:val="0"/>
        </w:rPr>
        <w:t>r</w:t>
      </w:r>
      <w:r w:rsidR="00B36E2B" w:rsidRPr="006D3C55">
        <w:rPr>
          <w:iCs/>
          <w:noProof w:val="0"/>
        </w:rPr>
        <w:t xml:space="preserve">esearch </w:t>
      </w:r>
      <w:r w:rsidR="00903A61">
        <w:rPr>
          <w:iCs/>
          <w:noProof w:val="0"/>
        </w:rPr>
        <w:t>and</w:t>
      </w:r>
      <w:r w:rsidR="00B36E2B" w:rsidRPr="006D3C55">
        <w:rPr>
          <w:iCs/>
          <w:noProof w:val="0"/>
        </w:rPr>
        <w:t xml:space="preserve"> </w:t>
      </w:r>
      <w:r w:rsidR="00903A61">
        <w:rPr>
          <w:iCs/>
          <w:noProof w:val="0"/>
        </w:rPr>
        <w:t>i</w:t>
      </w:r>
      <w:r w:rsidR="00B36E2B" w:rsidRPr="006D3C55">
        <w:rPr>
          <w:iCs/>
          <w:noProof w:val="0"/>
        </w:rPr>
        <w:t>nnovation</w:t>
      </w:r>
      <w:r w:rsidR="00F72935" w:rsidRPr="006D3C55">
        <w:rPr>
          <w:iCs/>
          <w:noProof w:val="0"/>
        </w:rPr>
        <w:t xml:space="preserve"> framework programme.</w:t>
      </w:r>
    </w:p>
    <w:p w14:paraId="5B1239FF" w14:textId="14138770" w:rsidR="0068253D" w:rsidRPr="006D3C55" w:rsidRDefault="000762C8" w:rsidP="00AB51E8">
      <w:pPr>
        <w:pStyle w:val="amprboxbulletlistorange"/>
        <w:rPr>
          <w:iCs/>
          <w:noProof w:val="0"/>
        </w:rPr>
      </w:pPr>
      <w:r w:rsidRPr="00672F00">
        <w:rPr>
          <w:rStyle w:val="Bold"/>
        </w:rPr>
        <w:t>In external action policies,</w:t>
      </w:r>
      <w:r w:rsidRPr="006D3C55">
        <w:rPr>
          <w:iCs/>
          <w:noProof w:val="0"/>
        </w:rPr>
        <w:t xml:space="preserve"> </w:t>
      </w:r>
      <w:r w:rsidR="00B36E2B" w:rsidRPr="006D3C55">
        <w:rPr>
          <w:iCs/>
          <w:noProof w:val="0"/>
        </w:rPr>
        <w:t xml:space="preserve">in </w:t>
      </w:r>
      <w:r w:rsidRPr="006D3C55">
        <w:rPr>
          <w:iCs/>
          <w:noProof w:val="0"/>
        </w:rPr>
        <w:t xml:space="preserve">the </w:t>
      </w:r>
      <w:r w:rsidR="0068253D" w:rsidRPr="006D3C55">
        <w:rPr>
          <w:iCs/>
          <w:noProof w:val="0"/>
        </w:rPr>
        <w:t>D</w:t>
      </w:r>
      <w:r w:rsidRPr="006D3C55">
        <w:rPr>
          <w:iCs/>
          <w:noProof w:val="0"/>
        </w:rPr>
        <w:t>ire</w:t>
      </w:r>
      <w:r w:rsidR="00362683" w:rsidRPr="006D3C55">
        <w:rPr>
          <w:iCs/>
          <w:noProof w:val="0"/>
        </w:rPr>
        <w:t>c</w:t>
      </w:r>
      <w:r w:rsidRPr="006D3C55">
        <w:rPr>
          <w:iCs/>
          <w:noProof w:val="0"/>
        </w:rPr>
        <w:t>torate</w:t>
      </w:r>
      <w:r w:rsidR="00903A61">
        <w:rPr>
          <w:iCs/>
          <w:noProof w:val="0"/>
        </w:rPr>
        <w:t>-</w:t>
      </w:r>
      <w:r w:rsidR="00362683" w:rsidRPr="006D3C55">
        <w:rPr>
          <w:iCs/>
          <w:noProof w:val="0"/>
        </w:rPr>
        <w:t>General for Enlarg</w:t>
      </w:r>
      <w:r w:rsidR="00903A61">
        <w:rPr>
          <w:iCs/>
          <w:noProof w:val="0"/>
        </w:rPr>
        <w:t>e</w:t>
      </w:r>
      <w:r w:rsidR="00362683" w:rsidRPr="006D3C55">
        <w:rPr>
          <w:iCs/>
          <w:noProof w:val="0"/>
        </w:rPr>
        <w:t>ment and Eastern Neighbourhood</w:t>
      </w:r>
      <w:r w:rsidR="00B36E2B" w:rsidRPr="006D3C55">
        <w:rPr>
          <w:iCs/>
          <w:noProof w:val="0"/>
        </w:rPr>
        <w:t>,</w:t>
      </w:r>
      <w:r w:rsidR="00362683" w:rsidRPr="006D3C55">
        <w:rPr>
          <w:iCs/>
          <w:noProof w:val="0"/>
        </w:rPr>
        <w:t xml:space="preserve"> </w:t>
      </w:r>
      <w:r w:rsidR="00B36E2B" w:rsidRPr="00672F00">
        <w:rPr>
          <w:rStyle w:val="Bold"/>
        </w:rPr>
        <w:t>d</w:t>
      </w:r>
      <w:r w:rsidR="0068253D" w:rsidRPr="00672F00">
        <w:rPr>
          <w:rStyle w:val="Bold"/>
        </w:rPr>
        <w:t>ata openness and interoperability have been strengthened through the development of a statistical platform designed to gather quantitative and qualitative data on corruption and organised crime in enlargement countries</w:t>
      </w:r>
      <w:r w:rsidR="0068253D" w:rsidRPr="006D3C55">
        <w:rPr>
          <w:iCs/>
          <w:noProof w:val="0"/>
        </w:rPr>
        <w:t>. This platform supports structured assessments of rule</w:t>
      </w:r>
      <w:r w:rsidR="007E174D">
        <w:rPr>
          <w:iCs/>
          <w:noProof w:val="0"/>
        </w:rPr>
        <w:t>-</w:t>
      </w:r>
      <w:r w:rsidR="0068253D" w:rsidRPr="006D3C55">
        <w:rPr>
          <w:iCs/>
          <w:noProof w:val="0"/>
        </w:rPr>
        <w:t>of</w:t>
      </w:r>
      <w:r w:rsidR="007E174D">
        <w:rPr>
          <w:iCs/>
          <w:noProof w:val="0"/>
        </w:rPr>
        <w:t>-</w:t>
      </w:r>
      <w:r w:rsidR="0068253D" w:rsidRPr="006D3C55">
        <w:rPr>
          <w:iCs/>
          <w:noProof w:val="0"/>
        </w:rPr>
        <w:t>law performance, contributing to evidence-based policymaking.</w:t>
      </w:r>
    </w:p>
    <w:p w14:paraId="27D8E02C" w14:textId="0320F0A8" w:rsidR="00F72935" w:rsidRPr="006D3C55" w:rsidRDefault="00395254" w:rsidP="00AB51E8">
      <w:pPr>
        <w:pStyle w:val="amprboxbulletlistorange"/>
        <w:rPr>
          <w:iCs/>
          <w:noProof w:val="0"/>
        </w:rPr>
      </w:pPr>
      <w:r w:rsidRPr="006D3C55">
        <w:rPr>
          <w:iCs/>
          <w:noProof w:val="0"/>
        </w:rPr>
        <w:t>T</w:t>
      </w:r>
      <w:r w:rsidR="00F72935" w:rsidRPr="006D3C55">
        <w:rPr>
          <w:iCs/>
          <w:noProof w:val="0"/>
        </w:rPr>
        <w:t xml:space="preserve">he </w:t>
      </w:r>
      <w:r w:rsidR="00F72935" w:rsidRPr="00CC6C2F">
        <w:rPr>
          <w:rStyle w:val="Bold"/>
        </w:rPr>
        <w:t>Reusable Solutions Platform</w:t>
      </w:r>
      <w:r w:rsidR="00F72935" w:rsidRPr="006D3C55">
        <w:rPr>
          <w:iCs/>
          <w:noProof w:val="0"/>
        </w:rPr>
        <w:t xml:space="preserve">, a set of software building blocks, </w:t>
      </w:r>
      <w:r w:rsidRPr="006D3C55">
        <w:rPr>
          <w:iCs/>
          <w:noProof w:val="0"/>
        </w:rPr>
        <w:t>saves</w:t>
      </w:r>
      <w:r w:rsidR="00F72935" w:rsidRPr="006D3C55">
        <w:rPr>
          <w:iCs/>
          <w:noProof w:val="0"/>
        </w:rPr>
        <w:t xml:space="preserve"> Commission departments </w:t>
      </w:r>
      <w:r w:rsidR="00EA5F3A">
        <w:rPr>
          <w:iCs/>
          <w:noProof w:val="0"/>
        </w:rPr>
        <w:t>from requiring</w:t>
      </w:r>
      <w:r w:rsidR="00F72935" w:rsidRPr="006D3C55">
        <w:rPr>
          <w:iCs/>
          <w:noProof w:val="0"/>
        </w:rPr>
        <w:t xml:space="preserve"> </w:t>
      </w:r>
      <w:r w:rsidRPr="006D3C55">
        <w:rPr>
          <w:iCs/>
          <w:noProof w:val="0"/>
        </w:rPr>
        <w:t>lengthy</w:t>
      </w:r>
      <w:r w:rsidR="00F72935" w:rsidRPr="006D3C55">
        <w:rPr>
          <w:iCs/>
          <w:noProof w:val="0"/>
        </w:rPr>
        <w:t xml:space="preserve"> procure</w:t>
      </w:r>
      <w:r w:rsidRPr="006D3C55">
        <w:rPr>
          <w:iCs/>
          <w:noProof w:val="0"/>
        </w:rPr>
        <w:t>ment procedures</w:t>
      </w:r>
      <w:r w:rsidR="00F72935" w:rsidRPr="006D3C55">
        <w:rPr>
          <w:iCs/>
          <w:noProof w:val="0"/>
        </w:rPr>
        <w:t xml:space="preserve"> or develop</w:t>
      </w:r>
      <w:r w:rsidRPr="006D3C55">
        <w:rPr>
          <w:iCs/>
          <w:noProof w:val="0"/>
        </w:rPr>
        <w:t>ment periods</w:t>
      </w:r>
      <w:r w:rsidR="00771048">
        <w:rPr>
          <w:iCs/>
          <w:noProof w:val="0"/>
        </w:rPr>
        <w:t>, including through th</w:t>
      </w:r>
      <w:r w:rsidR="00A4501B">
        <w:rPr>
          <w:iCs/>
          <w:noProof w:val="0"/>
        </w:rPr>
        <w:t>e</w:t>
      </w:r>
      <w:r w:rsidR="00771048">
        <w:rPr>
          <w:iCs/>
          <w:noProof w:val="0"/>
        </w:rPr>
        <w:t xml:space="preserve"> reuse of corporate multilingu</w:t>
      </w:r>
      <w:r w:rsidR="00A4501B">
        <w:rPr>
          <w:iCs/>
          <w:noProof w:val="0"/>
        </w:rPr>
        <w:t>al and artificial intelligence-based language services where appropriate</w:t>
      </w:r>
      <w:r w:rsidR="00F72935" w:rsidRPr="006D3C55">
        <w:rPr>
          <w:iCs/>
          <w:noProof w:val="0"/>
        </w:rPr>
        <w:t>. The success of these reuse</w:t>
      </w:r>
      <w:r w:rsidR="007E174D">
        <w:rPr>
          <w:iCs/>
          <w:noProof w:val="0"/>
        </w:rPr>
        <w:t>–</w:t>
      </w:r>
      <w:r w:rsidR="00F72935" w:rsidRPr="006D3C55">
        <w:rPr>
          <w:iCs/>
          <w:noProof w:val="0"/>
        </w:rPr>
        <w:t>buy</w:t>
      </w:r>
      <w:r w:rsidR="007E174D">
        <w:rPr>
          <w:iCs/>
          <w:noProof w:val="0"/>
        </w:rPr>
        <w:t>–</w:t>
      </w:r>
      <w:r w:rsidR="00F72935" w:rsidRPr="006D3C55">
        <w:rPr>
          <w:iCs/>
          <w:noProof w:val="0"/>
        </w:rPr>
        <w:t>build principles was highly visible in 2025, with new digital solutions developed by other departments</w:t>
      </w:r>
      <w:r w:rsidR="00921B46">
        <w:rPr>
          <w:iCs/>
          <w:noProof w:val="0"/>
        </w:rPr>
        <w:t>,</w:t>
      </w:r>
      <w:r w:rsidR="00F72935" w:rsidRPr="006D3C55">
        <w:rPr>
          <w:iCs/>
          <w:noProof w:val="0"/>
        </w:rPr>
        <w:t xml:space="preserve"> such as eAidRegister and eNotifications</w:t>
      </w:r>
      <w:r w:rsidR="002D1505" w:rsidRPr="006D3C55">
        <w:rPr>
          <w:iCs/>
          <w:noProof w:val="0"/>
        </w:rPr>
        <w:t>,</w:t>
      </w:r>
      <w:r w:rsidR="00F72935" w:rsidRPr="006D3C55">
        <w:rPr>
          <w:iCs/>
          <w:noProof w:val="0"/>
        </w:rPr>
        <w:t xml:space="preserve"> </w:t>
      </w:r>
      <w:r w:rsidR="00F72935" w:rsidRPr="00CC6C2F">
        <w:rPr>
          <w:rStyle w:val="Bold"/>
        </w:rPr>
        <w:t>achieving reuse rates of over 70% and 90%</w:t>
      </w:r>
      <w:r w:rsidR="00F72935" w:rsidRPr="006D3C55">
        <w:rPr>
          <w:iCs/>
          <w:noProof w:val="0"/>
        </w:rPr>
        <w:t xml:space="preserve"> by relying on these corporate building blocks. This improves economy, efficiency and </w:t>
      </w:r>
      <w:r w:rsidR="001D0429">
        <w:rPr>
          <w:iCs/>
          <w:noProof w:val="0"/>
        </w:rPr>
        <w:t>information technology</w:t>
      </w:r>
      <w:r w:rsidR="001D0429" w:rsidRPr="006D3C55">
        <w:rPr>
          <w:iCs/>
          <w:noProof w:val="0"/>
        </w:rPr>
        <w:t xml:space="preserve"> </w:t>
      </w:r>
      <w:r w:rsidR="00F72935" w:rsidRPr="006D3C55">
        <w:rPr>
          <w:iCs/>
          <w:noProof w:val="0"/>
        </w:rPr>
        <w:t>security at the corporate level.</w:t>
      </w:r>
    </w:p>
    <w:p w14:paraId="461CBCFE" w14:textId="05AC5436" w:rsidR="00F72935" w:rsidRPr="006D3C55" w:rsidRDefault="00F72935" w:rsidP="00AB51E8">
      <w:pPr>
        <w:pStyle w:val="amprboxbulletlistorange"/>
        <w:rPr>
          <w:iCs/>
          <w:noProof w:val="0"/>
        </w:rPr>
      </w:pPr>
      <w:r w:rsidRPr="006D3C55">
        <w:rPr>
          <w:iCs/>
          <w:noProof w:val="0"/>
        </w:rPr>
        <w:t xml:space="preserve">In </w:t>
      </w:r>
      <w:r w:rsidR="001D0429">
        <w:rPr>
          <w:iCs/>
          <w:noProof w:val="0"/>
        </w:rPr>
        <w:t xml:space="preserve">relation to </w:t>
      </w:r>
      <w:r w:rsidRPr="006D3C55">
        <w:rPr>
          <w:iCs/>
          <w:noProof w:val="0"/>
        </w:rPr>
        <w:t xml:space="preserve">cohesion policy, the push for simplification accelerated in 2025, reflecting a growing awareness among Member States of the importance of streamlining fund delivery. Building on tools like Kohesio, </w:t>
      </w:r>
      <w:r w:rsidR="00FB5D47" w:rsidRPr="00CC6C2F">
        <w:rPr>
          <w:rStyle w:val="Bold"/>
        </w:rPr>
        <w:t>DG</w:t>
      </w:r>
      <w:r w:rsidR="00312373" w:rsidRPr="00CC6C2F">
        <w:rPr>
          <w:rStyle w:val="Bold"/>
        </w:rPr>
        <w:t xml:space="preserve"> Regional and Urban Policy</w:t>
      </w:r>
      <w:r w:rsidRPr="00CC6C2F">
        <w:rPr>
          <w:rStyle w:val="Bold"/>
        </w:rPr>
        <w:t xml:space="preserve"> developed </w:t>
      </w:r>
      <w:r w:rsidR="00FB5D47" w:rsidRPr="00CC6C2F">
        <w:rPr>
          <w:rStyle w:val="Bold"/>
        </w:rPr>
        <w:t>nine</w:t>
      </w:r>
      <w:r w:rsidRPr="00CC6C2F">
        <w:rPr>
          <w:rStyle w:val="Bold"/>
        </w:rPr>
        <w:t xml:space="preserve"> new </w:t>
      </w:r>
      <w:r w:rsidR="00FB5D47" w:rsidRPr="00CC6C2F">
        <w:rPr>
          <w:rStyle w:val="Bold"/>
        </w:rPr>
        <w:t>f</w:t>
      </w:r>
      <w:r w:rsidRPr="00CC6C2F">
        <w:rPr>
          <w:rStyle w:val="Bold"/>
        </w:rPr>
        <w:t xml:space="preserve">inancing </w:t>
      </w:r>
      <w:r w:rsidR="00FB5D47" w:rsidRPr="00CC6C2F">
        <w:rPr>
          <w:rStyle w:val="Bold"/>
        </w:rPr>
        <w:t>n</w:t>
      </w:r>
      <w:r w:rsidRPr="00CC6C2F">
        <w:rPr>
          <w:rStyle w:val="Bold"/>
        </w:rPr>
        <w:t xml:space="preserve">ot </w:t>
      </w:r>
      <w:r w:rsidR="00FB5D47" w:rsidRPr="00CC6C2F">
        <w:rPr>
          <w:rStyle w:val="Bold"/>
        </w:rPr>
        <w:t>l</w:t>
      </w:r>
      <w:r w:rsidRPr="00CC6C2F">
        <w:rPr>
          <w:rStyle w:val="Bold"/>
        </w:rPr>
        <w:t xml:space="preserve">inked to </w:t>
      </w:r>
      <w:r w:rsidR="00FB5D47" w:rsidRPr="00CC6C2F">
        <w:rPr>
          <w:rStyle w:val="Bold"/>
        </w:rPr>
        <w:t>c</w:t>
      </w:r>
      <w:r w:rsidRPr="00CC6C2F">
        <w:rPr>
          <w:rStyle w:val="Bold"/>
        </w:rPr>
        <w:t>osts models to simplify the delivery of midterm review priorities</w:t>
      </w:r>
      <w:r w:rsidRPr="006D3C55">
        <w:rPr>
          <w:iCs/>
          <w:noProof w:val="0"/>
        </w:rPr>
        <w:t xml:space="preserve">. Over the course of the year, 18 Member States and six Interreg programmes developed 197 </w:t>
      </w:r>
      <w:r w:rsidR="00C616CA">
        <w:rPr>
          <w:iCs/>
          <w:noProof w:val="0"/>
        </w:rPr>
        <w:t>s</w:t>
      </w:r>
      <w:r w:rsidRPr="006D3C55">
        <w:rPr>
          <w:iCs/>
          <w:noProof w:val="0"/>
        </w:rPr>
        <w:t xml:space="preserve">implified </w:t>
      </w:r>
      <w:r w:rsidR="00C616CA">
        <w:rPr>
          <w:iCs/>
          <w:noProof w:val="0"/>
        </w:rPr>
        <w:t>c</w:t>
      </w:r>
      <w:r w:rsidRPr="006D3C55">
        <w:rPr>
          <w:iCs/>
          <w:noProof w:val="0"/>
        </w:rPr>
        <w:t xml:space="preserve">ost </w:t>
      </w:r>
      <w:r w:rsidR="00C616CA">
        <w:rPr>
          <w:iCs/>
          <w:noProof w:val="0"/>
        </w:rPr>
        <w:t>o</w:t>
      </w:r>
      <w:r w:rsidRPr="006D3C55">
        <w:rPr>
          <w:iCs/>
          <w:noProof w:val="0"/>
        </w:rPr>
        <w:t>ptions methodologies accounting for EUR</w:t>
      </w:r>
      <w:r w:rsidR="001808C3">
        <w:rPr>
          <w:rFonts w:ascii="Calibri" w:hAnsi="Calibri" w:cs="Calibri"/>
          <w:iCs/>
          <w:noProof w:val="0"/>
        </w:rPr>
        <w:t> </w:t>
      </w:r>
      <w:r w:rsidRPr="006D3C55">
        <w:rPr>
          <w:iCs/>
          <w:noProof w:val="0"/>
        </w:rPr>
        <w:t>8.1</w:t>
      </w:r>
      <w:r w:rsidR="001808C3">
        <w:rPr>
          <w:rFonts w:ascii="Calibri" w:hAnsi="Calibri" w:cs="Calibri"/>
          <w:iCs/>
          <w:noProof w:val="0"/>
        </w:rPr>
        <w:t> </w:t>
      </w:r>
      <w:r w:rsidRPr="006D3C55">
        <w:rPr>
          <w:iCs/>
          <w:noProof w:val="0"/>
        </w:rPr>
        <w:t xml:space="preserve">billion, while 13 Member States developed 28 </w:t>
      </w:r>
      <w:r w:rsidR="001808C3">
        <w:rPr>
          <w:iCs/>
          <w:noProof w:val="0"/>
        </w:rPr>
        <w:t>f</w:t>
      </w:r>
      <w:r w:rsidR="007022C1" w:rsidRPr="006D3C55">
        <w:rPr>
          <w:iCs/>
          <w:noProof w:val="0"/>
        </w:rPr>
        <w:t xml:space="preserve">inancing </w:t>
      </w:r>
      <w:r w:rsidR="001808C3">
        <w:rPr>
          <w:iCs/>
          <w:noProof w:val="0"/>
        </w:rPr>
        <w:t>n</w:t>
      </w:r>
      <w:r w:rsidR="007022C1" w:rsidRPr="006D3C55">
        <w:rPr>
          <w:iCs/>
          <w:noProof w:val="0"/>
        </w:rPr>
        <w:t xml:space="preserve">ot </w:t>
      </w:r>
      <w:r w:rsidR="001808C3">
        <w:rPr>
          <w:iCs/>
          <w:noProof w:val="0"/>
        </w:rPr>
        <w:t>l</w:t>
      </w:r>
      <w:r w:rsidR="007022C1" w:rsidRPr="006D3C55">
        <w:rPr>
          <w:iCs/>
          <w:noProof w:val="0"/>
        </w:rPr>
        <w:t xml:space="preserve">inked to </w:t>
      </w:r>
      <w:r w:rsidR="001808C3">
        <w:rPr>
          <w:iCs/>
          <w:noProof w:val="0"/>
        </w:rPr>
        <w:t>c</w:t>
      </w:r>
      <w:r w:rsidR="007022C1" w:rsidRPr="006D3C55">
        <w:rPr>
          <w:iCs/>
          <w:noProof w:val="0"/>
        </w:rPr>
        <w:t>osts</w:t>
      </w:r>
      <w:r w:rsidRPr="006D3C55">
        <w:rPr>
          <w:iCs/>
          <w:noProof w:val="0"/>
        </w:rPr>
        <w:t xml:space="preserve"> schemes totalling almost EUR</w:t>
      </w:r>
      <w:r w:rsidR="00DB0329">
        <w:rPr>
          <w:rFonts w:ascii="Calibri" w:hAnsi="Calibri" w:cs="Calibri"/>
          <w:iCs/>
          <w:noProof w:val="0"/>
        </w:rPr>
        <w:t> </w:t>
      </w:r>
      <w:r w:rsidRPr="006D3C55">
        <w:rPr>
          <w:iCs/>
          <w:noProof w:val="0"/>
        </w:rPr>
        <w:t>5</w:t>
      </w:r>
      <w:r w:rsidR="00DB0329">
        <w:rPr>
          <w:rFonts w:ascii="Calibri" w:hAnsi="Calibri" w:cs="Calibri"/>
          <w:iCs/>
          <w:noProof w:val="0"/>
        </w:rPr>
        <w:t> </w:t>
      </w:r>
      <w:r w:rsidRPr="006D3C55">
        <w:rPr>
          <w:iCs/>
          <w:noProof w:val="0"/>
        </w:rPr>
        <w:t>billion.</w:t>
      </w:r>
    </w:p>
    <w:p w14:paraId="1D5A413B" w14:textId="77777777" w:rsidR="001301C1" w:rsidRPr="006D3C55" w:rsidRDefault="001301C1" w:rsidP="001301C1">
      <w:pPr>
        <w:rPr>
          <w:highlight w:val="lightGray"/>
        </w:rPr>
      </w:pPr>
      <w:r w:rsidRPr="006D3C55">
        <w:rPr>
          <w:highlight w:val="lightGray"/>
        </w:rPr>
        <w:br w:type="page"/>
      </w:r>
    </w:p>
    <w:p w14:paraId="2A853EC4" w14:textId="79E85EE9" w:rsidR="001301C1" w:rsidRPr="006D3C55" w:rsidRDefault="001301C1" w:rsidP="001301C1">
      <w:pPr>
        <w:pStyle w:val="amprboxheading"/>
      </w:pPr>
      <w:r w:rsidRPr="006D3C55">
        <w:t>The impact of artificial intelligence</w:t>
      </w:r>
    </w:p>
    <w:p w14:paraId="54C59FDF" w14:textId="1030FB98" w:rsidR="001301C1" w:rsidRPr="006D3C55" w:rsidRDefault="00DB0329" w:rsidP="001301C1">
      <w:pPr>
        <w:pStyle w:val="amprboxtext"/>
        <w:rPr>
          <w:color w:val="auto"/>
          <w:highlight w:val="lightGray"/>
        </w:rPr>
      </w:pPr>
      <w:r>
        <w:t>I</w:t>
      </w:r>
      <w:r w:rsidR="001B596F" w:rsidRPr="006D3C55">
        <w:t>n 2025, the Commission</w:t>
      </w:r>
      <w:r>
        <w:t>’</w:t>
      </w:r>
      <w:r w:rsidR="001B596F" w:rsidRPr="006D3C55">
        <w:t xml:space="preserve">s Information Management Steering Board continued to closely monitor the </w:t>
      </w:r>
      <w:r w:rsidR="00D07EF9" w:rsidRPr="006D3C55">
        <w:t xml:space="preserve">implementation </w:t>
      </w:r>
      <w:r w:rsidR="00D07EF9">
        <w:t xml:space="preserve">of the </w:t>
      </w:r>
      <w:r w:rsidR="00196DB1" w:rsidRPr="006D3C55">
        <w:rPr>
          <w:rStyle w:val="Bold"/>
        </w:rPr>
        <w:t>communication on artificial intelligence in the Commission</w:t>
      </w:r>
      <w:r w:rsidR="00196DB1" w:rsidRPr="006D3C55">
        <w:rPr>
          <w:rFonts w:ascii="Calibri" w:hAnsi="Calibri" w:cs="Calibri"/>
        </w:rPr>
        <w:t> </w:t>
      </w:r>
      <w:r w:rsidR="00196DB1" w:rsidRPr="006D3C55">
        <w:t>(</w:t>
      </w:r>
      <w:r w:rsidR="00196DB1" w:rsidRPr="00352191">
        <w:rPr>
          <w:rStyle w:val="FootnoteReference"/>
        </w:rPr>
        <w:footnoteReference w:id="45"/>
      </w:r>
      <w:r w:rsidR="00196DB1" w:rsidRPr="006D3C55">
        <w:t>)</w:t>
      </w:r>
      <w:r w:rsidR="00D07EF9">
        <w:t xml:space="preserve"> </w:t>
      </w:r>
      <w:r w:rsidR="001B596F" w:rsidRPr="006D3C55">
        <w:t xml:space="preserve">to maximise </w:t>
      </w:r>
      <w:r w:rsidR="00D07EF9" w:rsidRPr="00D07EF9">
        <w:t xml:space="preserve">artificial intelligence </w:t>
      </w:r>
      <w:r w:rsidR="001B596F" w:rsidRPr="006D3C55">
        <w:t xml:space="preserve">opportunities while mitigating risks and ensuring compliance with the </w:t>
      </w:r>
      <w:r w:rsidR="00196DB1" w:rsidRPr="006D3C55">
        <w:t xml:space="preserve">EU </w:t>
      </w:r>
      <w:r w:rsidR="00AC350A" w:rsidRPr="006D3C55">
        <w:t xml:space="preserve">Artificial Intelligence </w:t>
      </w:r>
      <w:r w:rsidR="001B596F" w:rsidRPr="006D3C55">
        <w:t>Act</w:t>
      </w:r>
      <w:r w:rsidR="00D07EF9">
        <w:rPr>
          <w:rFonts w:ascii="Calibri" w:hAnsi="Calibri" w:cs="Calibri"/>
        </w:rPr>
        <w:t> </w:t>
      </w:r>
      <w:r w:rsidR="00196DB1" w:rsidRPr="006D3C55">
        <w:t>(</w:t>
      </w:r>
      <w:r w:rsidR="00196DB1" w:rsidRPr="00352191">
        <w:rPr>
          <w:rStyle w:val="FootnoteReference"/>
        </w:rPr>
        <w:footnoteReference w:id="46"/>
      </w:r>
      <w:r w:rsidR="00196DB1" w:rsidRPr="006D3C55">
        <w:t>)</w:t>
      </w:r>
      <w:r w:rsidR="001B596F" w:rsidRPr="006D3C55">
        <w:t xml:space="preserve">. </w:t>
      </w:r>
      <w:r w:rsidR="00B665D1">
        <w:t>T</w:t>
      </w:r>
      <w:r w:rsidR="00A1074E">
        <w:t>h</w:t>
      </w:r>
      <w:r w:rsidR="00B665D1">
        <w:t xml:space="preserve">e existing Corporate AI@EC network continued to facilitate collaboration on </w:t>
      </w:r>
      <w:r w:rsidR="00A1074E">
        <w:t>artificial</w:t>
      </w:r>
      <w:r w:rsidR="00B665D1">
        <w:t xml:space="preserve"> intelligence us</w:t>
      </w:r>
      <w:r w:rsidR="00A1074E">
        <w:t>e</w:t>
      </w:r>
      <w:r w:rsidR="00B665D1">
        <w:t xml:space="preserve"> cases an</w:t>
      </w:r>
      <w:r w:rsidR="00A1074E">
        <w:t>d ex</w:t>
      </w:r>
      <w:r w:rsidR="0088749C">
        <w:t>t</w:t>
      </w:r>
      <w:r w:rsidR="00A1074E">
        <w:t>rapolations among over 6</w:t>
      </w:r>
      <w:r w:rsidR="00A1074E" w:rsidRPr="0088749C">
        <w:rPr>
          <w:rFonts w:ascii="Calibri" w:hAnsi="Calibri" w:cs="Calibri"/>
        </w:rPr>
        <w:t> </w:t>
      </w:r>
      <w:r w:rsidR="00A1074E" w:rsidRPr="0088749C">
        <w:t>000 members from more than 60 C</w:t>
      </w:r>
      <w:r w:rsidR="0088749C" w:rsidRPr="0088749C">
        <w:t>o</w:t>
      </w:r>
      <w:r w:rsidR="00A1074E" w:rsidRPr="0088749C">
        <w:t>mmission departments</w:t>
      </w:r>
      <w:r w:rsidR="0088749C" w:rsidRPr="0088749C">
        <w:t>,</w:t>
      </w:r>
      <w:r w:rsidR="00A1074E" w:rsidRPr="0088749C">
        <w:t xml:space="preserve"> agencies and other EU institutions and bodies.</w:t>
      </w:r>
      <w:r w:rsidR="0088749C">
        <w:rPr>
          <w:rFonts w:ascii="Calibri" w:hAnsi="Calibri" w:cs="Calibri"/>
        </w:rPr>
        <w:t xml:space="preserve"> </w:t>
      </w:r>
      <w:r w:rsidR="001B596F" w:rsidRPr="006D3C55">
        <w:t xml:space="preserve">To foster a digital culture across the institution, an AI Champions network was successfully launched, featuring 105 champions across more than 50 Commission departments and </w:t>
      </w:r>
      <w:r w:rsidR="00AC350A">
        <w:t>e</w:t>
      </w:r>
      <w:r w:rsidR="001B596F" w:rsidRPr="006D3C55">
        <w:t xml:space="preserve">xecutive </w:t>
      </w:r>
      <w:r w:rsidR="00AC350A">
        <w:t>a</w:t>
      </w:r>
      <w:r w:rsidR="001B596F" w:rsidRPr="006D3C55">
        <w:t xml:space="preserve">gencies. Furthermore, the training of the first EU institutional large language model using European supercomputers (Leonardo and MareNostrum 5) </w:t>
      </w:r>
      <w:r w:rsidR="004725FD" w:rsidRPr="006D3C55">
        <w:t>was advanced</w:t>
      </w:r>
      <w:r w:rsidR="00B06671">
        <w:t>,</w:t>
      </w:r>
      <w:r w:rsidR="004725FD" w:rsidRPr="006D3C55">
        <w:t xml:space="preserve"> </w:t>
      </w:r>
      <w:r w:rsidR="001B596F" w:rsidRPr="006D3C55">
        <w:t xml:space="preserve">with the aim of enhancing </w:t>
      </w:r>
      <w:r w:rsidR="00B06671" w:rsidRPr="00D07EF9">
        <w:t xml:space="preserve">artificial intelligence </w:t>
      </w:r>
      <w:r w:rsidR="001B596F" w:rsidRPr="006D3C55">
        <w:t xml:space="preserve">services across all </w:t>
      </w:r>
      <w:r w:rsidR="00B06671">
        <w:t xml:space="preserve">of the </w:t>
      </w:r>
      <w:r w:rsidR="001B596F" w:rsidRPr="006D3C55">
        <w:t>official EU languages.</w:t>
      </w:r>
    </w:p>
    <w:p w14:paraId="05035AE2" w14:textId="08227973" w:rsidR="00AF15F6" w:rsidRPr="006D3C55" w:rsidRDefault="001301C1" w:rsidP="004A4856">
      <w:pPr>
        <w:pStyle w:val="amprboxtext"/>
      </w:pPr>
      <w:r w:rsidRPr="006D3C55">
        <w:rPr>
          <w:rStyle w:val="Bold"/>
        </w:rPr>
        <w:t xml:space="preserve">In </w:t>
      </w:r>
      <w:r w:rsidR="00B06671">
        <w:rPr>
          <w:rStyle w:val="Bold"/>
        </w:rPr>
        <w:t xml:space="preserve">relation to </w:t>
      </w:r>
      <w:r w:rsidRPr="006D3C55">
        <w:rPr>
          <w:rStyle w:val="Bold"/>
        </w:rPr>
        <w:t>research and innovation</w:t>
      </w:r>
      <w:r w:rsidRPr="00142D9D">
        <w:rPr>
          <w:rStyle w:val="Bold"/>
        </w:rPr>
        <w:t>,</w:t>
      </w:r>
      <w:r w:rsidRPr="006D3C55">
        <w:t xml:space="preserve"> a substantial increase in the number of proposals received </w:t>
      </w:r>
      <w:r w:rsidR="0050603A" w:rsidRPr="006D3C55">
        <w:t xml:space="preserve">has been noted </w:t>
      </w:r>
      <w:r w:rsidRPr="006D3C55">
        <w:t xml:space="preserve">for many calls, which is likely due, at least in part, to the rapid adoption of generative </w:t>
      </w:r>
      <w:r w:rsidR="0050603A" w:rsidRPr="00D07EF9">
        <w:t xml:space="preserve">artificial intelligence </w:t>
      </w:r>
      <w:r w:rsidRPr="006D3C55">
        <w:t xml:space="preserve">by applicants. </w:t>
      </w:r>
      <w:r w:rsidR="004A4856" w:rsidRPr="006D3C55">
        <w:t xml:space="preserve">In 2025, this trend escalated significantly across the </w:t>
      </w:r>
      <w:r w:rsidR="0050603A">
        <w:t>e</w:t>
      </w:r>
      <w:r w:rsidR="004A4856" w:rsidRPr="006D3C55">
        <w:t xml:space="preserve">xecutive </w:t>
      </w:r>
      <w:r w:rsidR="0050603A">
        <w:t>a</w:t>
      </w:r>
      <w:r w:rsidR="004A4856" w:rsidRPr="006D3C55">
        <w:t>gencies</w:t>
      </w:r>
      <w:r w:rsidR="0050603A">
        <w:t>,</w:t>
      </w:r>
      <w:r w:rsidR="00AF15F6" w:rsidRPr="006D3C55">
        <w:t xml:space="preserve"> with an increase </w:t>
      </w:r>
      <w:r w:rsidR="0050603A">
        <w:t xml:space="preserve">of </w:t>
      </w:r>
      <w:r w:rsidR="00AF15F6" w:rsidRPr="006D3C55">
        <w:t>between 25% and 49%.</w:t>
      </w:r>
      <w:r w:rsidR="00AF15F6" w:rsidRPr="006D3C55" w:rsidDel="00AF15F6">
        <w:t xml:space="preserve"> </w:t>
      </w:r>
      <w:r w:rsidRPr="006D3C55">
        <w:t xml:space="preserve">This </w:t>
      </w:r>
      <w:r w:rsidR="00AF15F6" w:rsidRPr="006D3C55">
        <w:t xml:space="preserve">in turn </w:t>
      </w:r>
      <w:r w:rsidRPr="006D3C55">
        <w:t>increased the workload and the pressure on resources during the evaluation and selection of proposals</w:t>
      </w:r>
      <w:r w:rsidR="0033089E" w:rsidRPr="006D3C55">
        <w:t xml:space="preserve">, stretching operational capacity and impacting </w:t>
      </w:r>
      <w:r w:rsidR="00AF15F6" w:rsidRPr="006D3C55">
        <w:t xml:space="preserve">indicators </w:t>
      </w:r>
      <w:r w:rsidR="00EE675E">
        <w:t>such as</w:t>
      </w:r>
      <w:r w:rsidR="00EE675E" w:rsidRPr="006D3C55">
        <w:t xml:space="preserve"> </w:t>
      </w:r>
      <w:r w:rsidR="00EE675E">
        <w:t>t</w:t>
      </w:r>
      <w:r w:rsidR="0033089E" w:rsidRPr="006D3C55">
        <w:t>ime-to-</w:t>
      </w:r>
      <w:r w:rsidR="00EE675E">
        <w:t>g</w:t>
      </w:r>
      <w:r w:rsidR="0033089E" w:rsidRPr="006D3C55">
        <w:t>rant.</w:t>
      </w:r>
    </w:p>
    <w:p w14:paraId="0868BD79" w14:textId="28CC521C" w:rsidR="00AF15F6" w:rsidRPr="006D3C55" w:rsidRDefault="001301C1" w:rsidP="004A4856">
      <w:pPr>
        <w:pStyle w:val="amprboxtext"/>
      </w:pPr>
      <w:r w:rsidRPr="006D3C55">
        <w:t xml:space="preserve">There are also risks associated with the use of </w:t>
      </w:r>
      <w:r w:rsidR="00EE675E" w:rsidRPr="00D07EF9">
        <w:t xml:space="preserve">artificial intelligence </w:t>
      </w:r>
      <w:r w:rsidRPr="006D3C55">
        <w:t xml:space="preserve">tools by experts and Commission staff, along with the ethical implications of using </w:t>
      </w:r>
      <w:r w:rsidR="00EE675E">
        <w:t>such</w:t>
      </w:r>
      <w:r w:rsidR="00EE675E" w:rsidRPr="006D3C55">
        <w:t xml:space="preserve"> </w:t>
      </w:r>
      <w:r w:rsidRPr="006D3C55">
        <w:t>tool</w:t>
      </w:r>
      <w:r w:rsidR="00EE675E">
        <w:t>s</w:t>
      </w:r>
      <w:r w:rsidRPr="006D3C55">
        <w:t xml:space="preserve"> within projects. Examples are as follows: a possible positive bias in evaluations towards </w:t>
      </w:r>
      <w:r w:rsidR="000E2C77" w:rsidRPr="00D07EF9">
        <w:t>artificial</w:t>
      </w:r>
      <w:r w:rsidR="000E2C77">
        <w:t>-</w:t>
      </w:r>
      <w:r w:rsidR="000E2C77" w:rsidRPr="00D07EF9">
        <w:t>intelligence</w:t>
      </w:r>
      <w:r w:rsidRPr="006D3C55">
        <w:t xml:space="preserve">-assisted proposals due to better drafting quality, at the cost of overlooking scientific excellence in other proposals; possible manipulation of researchers’ </w:t>
      </w:r>
      <w:r w:rsidR="00E81AF1" w:rsidRPr="00E81AF1">
        <w:t>curricula vitae</w:t>
      </w:r>
      <w:r w:rsidRPr="006D3C55">
        <w:t>, requiring an increase in checks and verifications by evaluation experts; lower quality and success rates of projects</w:t>
      </w:r>
      <w:r w:rsidR="00DE70B1">
        <w:t xml:space="preserve"> drafted by </w:t>
      </w:r>
      <w:r w:rsidR="00DE70B1" w:rsidRPr="00D07EF9">
        <w:t>artificial intelligence</w:t>
      </w:r>
      <w:r w:rsidRPr="006D3C55">
        <w:t>; and project reports and deliverables with unreliable content.</w:t>
      </w:r>
    </w:p>
    <w:p w14:paraId="3C931078" w14:textId="1E94C13A" w:rsidR="001301C1" w:rsidRPr="006D3C55" w:rsidRDefault="001301C1" w:rsidP="001301C1">
      <w:pPr>
        <w:pStyle w:val="amprboxtext"/>
      </w:pPr>
      <w:r w:rsidRPr="006D3C55">
        <w:t>To address both these risks and the increase in applications, an AI Task Force is exploring emerging issues and designing measures to address them.</w:t>
      </w:r>
      <w:r w:rsidR="004A4856" w:rsidRPr="006D3C55">
        <w:t xml:space="preserve"> As a practical adjustment in 2025, </w:t>
      </w:r>
      <w:r w:rsidR="00AF15F6" w:rsidRPr="006D3C55">
        <w:t xml:space="preserve">for </w:t>
      </w:r>
      <w:r w:rsidR="004A4856" w:rsidRPr="006D3C55">
        <w:t xml:space="preserve">the Marie Skłodowska-Curie </w:t>
      </w:r>
      <w:r w:rsidR="00F238C9">
        <w:t>a</w:t>
      </w:r>
      <w:r w:rsidR="004A4856" w:rsidRPr="006D3C55">
        <w:t>ctions</w:t>
      </w:r>
      <w:r w:rsidR="00AF15F6" w:rsidRPr="006D3C55">
        <w:t>,</w:t>
      </w:r>
      <w:r w:rsidR="004A4856" w:rsidRPr="006D3C55">
        <w:t xml:space="preserve"> the requirement for applicants to demonstrate robustness </w:t>
      </w:r>
      <w:r w:rsidR="00F238C9">
        <w:t xml:space="preserve">in relation to </w:t>
      </w:r>
      <w:r w:rsidR="00F238C9" w:rsidRPr="00D07EF9">
        <w:t xml:space="preserve">artificial intelligence </w:t>
      </w:r>
      <w:r w:rsidR="004A4856" w:rsidRPr="006D3C55">
        <w:t>in their main proposals</w:t>
      </w:r>
      <w:r w:rsidR="00AF15F6" w:rsidRPr="006D3C55">
        <w:t xml:space="preserve"> was removed</w:t>
      </w:r>
      <w:r w:rsidR="004A4856" w:rsidRPr="006D3C55">
        <w:t xml:space="preserve">, </w:t>
      </w:r>
      <w:r w:rsidR="00A450DE">
        <w:t xml:space="preserve">with </w:t>
      </w:r>
      <w:r w:rsidR="004A4856" w:rsidRPr="006D3C55">
        <w:t xml:space="preserve">any necessary assessments </w:t>
      </w:r>
      <w:r w:rsidR="00A450DE" w:rsidRPr="006D3C55">
        <w:t>instead address</w:t>
      </w:r>
      <w:r w:rsidR="00A450DE">
        <w:t>ed</w:t>
      </w:r>
      <w:r w:rsidR="00A450DE" w:rsidRPr="006D3C55">
        <w:t xml:space="preserve"> </w:t>
      </w:r>
      <w:r w:rsidR="004A4856" w:rsidRPr="006D3C55">
        <w:t xml:space="preserve">through the ethics screening process. Agencies are also beginning to leverage </w:t>
      </w:r>
      <w:r w:rsidR="00A450DE" w:rsidRPr="00D07EF9">
        <w:t xml:space="preserve">artificial intelligence </w:t>
      </w:r>
      <w:r w:rsidR="004A4856" w:rsidRPr="006D3C55">
        <w:t xml:space="preserve">themselves to manage the workload, such as </w:t>
      </w:r>
      <w:r w:rsidR="001D5D22" w:rsidRPr="006D3C55">
        <w:t xml:space="preserve">the European Research Executive Agency </w:t>
      </w:r>
      <w:r w:rsidR="004A4856" w:rsidRPr="006D3C55">
        <w:t xml:space="preserve">piloting </w:t>
      </w:r>
      <w:r w:rsidR="00A450DE" w:rsidRPr="00D07EF9">
        <w:t>artificial</w:t>
      </w:r>
      <w:r w:rsidR="00A450DE">
        <w:t>-</w:t>
      </w:r>
      <w:r w:rsidR="00A450DE" w:rsidRPr="00D07EF9">
        <w:t>intelligence</w:t>
      </w:r>
      <w:r w:rsidR="004A4856" w:rsidRPr="006D3C55">
        <w:t xml:space="preserve">-assisted expert allocation tools, and corporate systems </w:t>
      </w:r>
      <w:r w:rsidR="00F83424">
        <w:t>such as</w:t>
      </w:r>
      <w:r w:rsidR="00F83424" w:rsidRPr="006D3C55">
        <w:t xml:space="preserve"> </w:t>
      </w:r>
      <w:r w:rsidR="004A4856" w:rsidRPr="006D3C55">
        <w:t xml:space="preserve">Arachne+ integrating </w:t>
      </w:r>
      <w:r w:rsidR="00F83424" w:rsidRPr="00D07EF9">
        <w:t xml:space="preserve">artificial intelligence </w:t>
      </w:r>
      <w:r w:rsidR="004A4856" w:rsidRPr="006D3C55">
        <w:t>and machine</w:t>
      </w:r>
      <w:r w:rsidR="00F83424">
        <w:t>-</w:t>
      </w:r>
      <w:r w:rsidR="004A4856" w:rsidRPr="006D3C55">
        <w:t xml:space="preserve">learning algorithms to forecast risks </w:t>
      </w:r>
      <w:r w:rsidR="00F83424">
        <w:t>such as</w:t>
      </w:r>
      <w:r w:rsidR="00F83424" w:rsidRPr="006D3C55">
        <w:t xml:space="preserve"> </w:t>
      </w:r>
      <w:r w:rsidR="004A4856" w:rsidRPr="006D3C55">
        <w:t>double funding and bankruptcy.</w:t>
      </w:r>
    </w:p>
    <w:p w14:paraId="1FBA2C34" w14:textId="77777777" w:rsidR="00D831AC" w:rsidRDefault="00D831AC">
      <w:pPr>
        <w:suppressAutoHyphens w:val="0"/>
        <w:rPr>
          <w:rFonts w:eastAsia="EC Square Sans Pro"/>
          <w:color w:val="003399" w:themeColor="text2"/>
          <w:sz w:val="28"/>
          <w:szCs w:val="21"/>
          <w:lang w:eastAsia="zh-CN"/>
        </w:rPr>
      </w:pPr>
      <w:r>
        <w:br w:type="page"/>
      </w:r>
    </w:p>
    <w:p w14:paraId="0F24BA2E" w14:textId="77777777" w:rsidR="001301C1" w:rsidRPr="006D3C55" w:rsidRDefault="001301C1" w:rsidP="00CC6C2F">
      <w:pPr>
        <w:pStyle w:val="HNum-fromh2Heading4-111"/>
      </w:pPr>
      <w:r w:rsidRPr="006D3C55">
        <w:t>The costs of controls are proportionate to the associated risks</w:t>
      </w:r>
    </w:p>
    <w:p w14:paraId="0F072D1D" w14:textId="6920F700" w:rsidR="001301C1" w:rsidRPr="006D3C55" w:rsidRDefault="001301C1" w:rsidP="001301C1">
      <w:r w:rsidRPr="006D3C55">
        <w:t xml:space="preserve">In </w:t>
      </w:r>
      <w:r w:rsidR="00F7243E" w:rsidRPr="006D3C55">
        <w:t>2025</w:t>
      </w:r>
      <w:r w:rsidRPr="006D3C55">
        <w:t xml:space="preserve">, </w:t>
      </w:r>
      <w:r w:rsidR="004F28D7" w:rsidRPr="006D3C55">
        <w:t xml:space="preserve">after having assessed </w:t>
      </w:r>
      <w:r w:rsidRPr="006D3C55">
        <w:t>their effectiveness, efficiency and economy, all Commission departments reached a positive conclusion on the cost-effectiveness of their controls. The resources allocated to controls are aligned with the risks relating to the nature of the programmes and/or the context in which they are implemented. The cost of controls</w:t>
      </w:r>
      <w:r w:rsidR="00197269">
        <w:t>,</w:t>
      </w:r>
      <w:r w:rsidR="00AB6FC5" w:rsidRPr="006D3C55">
        <w:t xml:space="preserve"> which for some department</w:t>
      </w:r>
      <w:r w:rsidR="00197269">
        <w:t>s</w:t>
      </w:r>
      <w:r w:rsidR="00AB6FC5" w:rsidRPr="006D3C55">
        <w:t xml:space="preserve"> </w:t>
      </w:r>
      <w:r w:rsidR="00197269" w:rsidRPr="006D3C55">
        <w:t>also include</w:t>
      </w:r>
      <w:r w:rsidR="00C14620">
        <w:t>s</w:t>
      </w:r>
      <w:r w:rsidR="00197269" w:rsidRPr="006D3C55">
        <w:t xml:space="preserve"> </w:t>
      </w:r>
      <w:r w:rsidR="00AB6FC5" w:rsidRPr="006D3C55">
        <w:t>the cost of supervision of executive agencies and j</w:t>
      </w:r>
      <w:r w:rsidR="001B7A45" w:rsidRPr="006D3C55">
        <w:t>o</w:t>
      </w:r>
      <w:r w:rsidR="00AB6FC5" w:rsidRPr="006D3C55">
        <w:t>int undertakings</w:t>
      </w:r>
      <w:r w:rsidR="00197269">
        <w:t>,</w:t>
      </w:r>
      <w:r w:rsidR="00AB6FC5" w:rsidRPr="006D3C55">
        <w:t xml:space="preserve"> </w:t>
      </w:r>
      <w:r w:rsidR="00197269">
        <w:t xml:space="preserve">has </w:t>
      </w:r>
      <w:r w:rsidR="00197269" w:rsidRPr="006D3C55">
        <w:t>remain</w:t>
      </w:r>
      <w:r w:rsidR="00197269">
        <w:t>ed</w:t>
      </w:r>
      <w:r w:rsidR="00197269" w:rsidRPr="006D3C55">
        <w:t xml:space="preserve"> </w:t>
      </w:r>
      <w:r w:rsidRPr="006D3C55">
        <w:t>generally stable over time. The variety of spending programmes and their different features do not allow for a meaningful comparison of their control costs. However, some common cost drivers can be identified, as shown in the following text box.</w:t>
      </w:r>
    </w:p>
    <w:tbl>
      <w:tblPr>
        <w:tblStyle w:val="TableBoxRedBorder"/>
        <w:tblW w:w="9060" w:type="dxa"/>
        <w:tblLook w:val="0480" w:firstRow="0" w:lastRow="0" w:firstColumn="1" w:lastColumn="0" w:noHBand="0" w:noVBand="1"/>
      </w:tblPr>
      <w:tblGrid>
        <w:gridCol w:w="9060"/>
      </w:tblGrid>
      <w:tr w:rsidR="001301C1" w:rsidRPr="006D3C55" w14:paraId="1DFBCEBB" w14:textId="77777777">
        <w:trPr>
          <w:cantSplit/>
        </w:trPr>
        <w:tc>
          <w:tcPr>
            <w:tcW w:w="9060" w:type="dxa"/>
          </w:tcPr>
          <w:p w14:paraId="215A6011" w14:textId="4736702B" w:rsidR="001301C1" w:rsidRPr="006D3C55" w:rsidRDefault="001301C1">
            <w:pPr>
              <w:pStyle w:val="BoxTitle"/>
            </w:pPr>
            <w:r w:rsidRPr="006D3C55">
              <w:t>Examples of common cost drivers</w:t>
            </w:r>
          </w:p>
          <w:p w14:paraId="23243E4D" w14:textId="2A2FE60A" w:rsidR="001301C1" w:rsidRPr="006D3C55" w:rsidRDefault="001301C1">
            <w:r w:rsidRPr="006D3C55">
              <w:rPr>
                <w:rStyle w:val="Bold"/>
              </w:rPr>
              <w:t>The intrinsic complexity of the programmes managed.</w:t>
            </w:r>
            <w:r w:rsidRPr="006D3C55">
              <w:t xml:space="preserve"> Grants based on the reimbursement of real costs imply labour-intensive controls as opposed to financing based on lump sums, simplified cost options or financing not linked to costs, such as performance-based instruments.</w:t>
            </w:r>
            <w:r w:rsidR="00FF4F1C" w:rsidRPr="006D3C55">
              <w:t xml:space="preserve"> It is on this cost driver that the Commission is focusing</w:t>
            </w:r>
            <w:r w:rsidR="00197269">
              <w:t>,</w:t>
            </w:r>
            <w:r w:rsidR="00FF4F1C" w:rsidRPr="006D3C55">
              <w:t xml:space="preserve"> </w:t>
            </w:r>
            <w:r w:rsidR="00E473FE" w:rsidRPr="006D3C55">
              <w:t>most</w:t>
            </w:r>
            <w:r w:rsidR="00CE61AB" w:rsidRPr="006D3C55">
              <w:t>ly</w:t>
            </w:r>
            <w:r w:rsidR="00E473FE" w:rsidRPr="006D3C55">
              <w:t xml:space="preserve"> </w:t>
            </w:r>
            <w:r w:rsidR="00E50195" w:rsidRPr="006D3C55">
              <w:t xml:space="preserve">by introducing </w:t>
            </w:r>
            <w:r w:rsidR="002046E4" w:rsidRPr="006D3C55">
              <w:t xml:space="preserve">options for </w:t>
            </w:r>
            <w:r w:rsidR="00E50195" w:rsidRPr="006D3C55">
              <w:t>simpli</w:t>
            </w:r>
            <w:r w:rsidR="00197269">
              <w:t>fi</w:t>
            </w:r>
            <w:r w:rsidR="00E50195" w:rsidRPr="006D3C55">
              <w:t>cat</w:t>
            </w:r>
            <w:r w:rsidR="00E473FE" w:rsidRPr="006D3C55">
              <w:t>i</w:t>
            </w:r>
            <w:r w:rsidR="00E50195" w:rsidRPr="006D3C55">
              <w:t xml:space="preserve">ons in its programmes </w:t>
            </w:r>
            <w:r w:rsidR="00554829" w:rsidRPr="006D3C55">
              <w:t>(</w:t>
            </w:r>
            <w:r w:rsidR="00197269">
              <w:t>e.g.</w:t>
            </w:r>
            <w:r w:rsidR="00554829" w:rsidRPr="006D3C55">
              <w:t xml:space="preserve"> by develop</w:t>
            </w:r>
            <w:r w:rsidR="00197269">
              <w:t>ing</w:t>
            </w:r>
            <w:r w:rsidR="00554829" w:rsidRPr="006D3C55">
              <w:t xml:space="preserve"> lum</w:t>
            </w:r>
            <w:r w:rsidR="00197269">
              <w:t>p-</w:t>
            </w:r>
            <w:r w:rsidR="00554829" w:rsidRPr="006D3C55">
              <w:t>sum grants in Horizon Europe)</w:t>
            </w:r>
            <w:r w:rsidR="00877340" w:rsidRPr="006D3C55">
              <w:t>.</w:t>
            </w:r>
          </w:p>
          <w:p w14:paraId="4076C672" w14:textId="77777777" w:rsidR="001301C1" w:rsidRPr="006D3C55" w:rsidRDefault="001301C1">
            <w:r w:rsidRPr="006D3C55">
              <w:rPr>
                <w:rStyle w:val="Bold"/>
              </w:rPr>
              <w:t>The complexity of the environment in which programmes are implemented.</w:t>
            </w:r>
            <w:r w:rsidRPr="006D3C55">
              <w:t xml:space="preserve"> The cost of controls is likely to be higher in the case of a multisite organisational structure or when partners and/or beneficiaries are located outside the EU’s jurisdiction.</w:t>
            </w:r>
          </w:p>
          <w:p w14:paraId="27A7DF47" w14:textId="77777777" w:rsidR="001301C1" w:rsidRPr="006D3C55" w:rsidRDefault="001301C1">
            <w:r w:rsidRPr="006D3C55">
              <w:rPr>
                <w:rStyle w:val="Bold"/>
              </w:rPr>
              <w:t>The volumes and amounts to be processed.</w:t>
            </w:r>
            <w:r w:rsidRPr="006D3C55">
              <w:t xml:space="preserve"> A high number of low-value payments will generate higher control costs than recurrent mass payments, while the regulatory framework requires certain incompressible controls. This results in diseconomies of scale.</w:t>
            </w:r>
          </w:p>
          <w:p w14:paraId="6E2D74CA" w14:textId="1C0D0AF4" w:rsidR="001301C1" w:rsidRPr="006D3C55" w:rsidRDefault="001301C1">
            <w:r w:rsidRPr="006D3C55">
              <w:rPr>
                <w:rStyle w:val="Bold"/>
              </w:rPr>
              <w:t>The type of budget implementation mode.</w:t>
            </w:r>
            <w:r w:rsidRPr="006D3C55">
              <w:t xml:space="preserve"> Under </w:t>
            </w:r>
            <w:r w:rsidR="008252DD">
              <w:t xml:space="preserve">the </w:t>
            </w:r>
            <w:r w:rsidRPr="006D3C55">
              <w:t>indirect and shared management mode</w:t>
            </w:r>
            <w:r w:rsidR="008252DD">
              <w:t>s</w:t>
            </w:r>
            <w:r w:rsidRPr="006D3C55">
              <w:t xml:space="preserve">, the cost of controls is shared between the Commission and its implementing partners, while for </w:t>
            </w:r>
            <w:r w:rsidR="00787F65">
              <w:t xml:space="preserve">the </w:t>
            </w:r>
            <w:r w:rsidRPr="006D3C55">
              <w:t>direct management mode the burden is entirely borne by the Commission.</w:t>
            </w:r>
          </w:p>
          <w:p w14:paraId="60E66CF5" w14:textId="0A98E155" w:rsidR="001301C1" w:rsidRPr="006D3C55" w:rsidRDefault="001301C1">
            <w:r w:rsidRPr="00CC6C2F">
              <w:rPr>
                <w:rStyle w:val="Bold"/>
              </w:rPr>
              <w:t>The life cycle of the programme</w:t>
            </w:r>
            <w:r w:rsidR="00787F65" w:rsidRPr="00CC6C2F">
              <w:rPr>
                <w:rStyle w:val="Bold"/>
              </w:rPr>
              <w:t>.</w:t>
            </w:r>
            <w:r w:rsidRPr="006D3C55">
              <w:t xml:space="preserve"> Towards the final stage of programmes (e.g. in </w:t>
            </w:r>
            <w:r w:rsidR="00787F65">
              <w:t xml:space="preserve">the </w:t>
            </w:r>
            <w:r w:rsidRPr="006D3C55">
              <w:t>direct management mode), despite the low level of expenditure, a minimum level of controls still has to be carried out, which results in an increase in the ratio of cost of controls to expenditure controlled.</w:t>
            </w:r>
          </w:p>
          <w:p w14:paraId="02EECB59" w14:textId="77777777" w:rsidR="001301C1" w:rsidRPr="006D3C55" w:rsidRDefault="001301C1">
            <w:r w:rsidRPr="00CC6C2F">
              <w:rPr>
                <w:rStyle w:val="Bold"/>
              </w:rPr>
              <w:t>The increase</w:t>
            </w:r>
            <w:r w:rsidRPr="00CC6C2F" w:rsidDel="00F93AF2">
              <w:rPr>
                <w:rStyle w:val="Bold"/>
              </w:rPr>
              <w:t xml:space="preserve"> </w:t>
            </w:r>
            <w:r w:rsidRPr="00CC6C2F">
              <w:rPr>
                <w:rStyle w:val="Bold"/>
              </w:rPr>
              <w:t>in the average standard staff costs, driven by salary adjustments and fluctuations in currency exchange rates.</w:t>
            </w:r>
            <w:r w:rsidRPr="006D3C55" w:rsidDel="00F93AF2">
              <w:t xml:space="preserve"> </w:t>
            </w:r>
            <w:r w:rsidRPr="006D3C55">
              <w:t>In the last several years, inflation has led to significant increases in staff costs, whereas the overall budget managed and controlled every year has remained stable. In external action, an additional factor relates to currency exchange rates.</w:t>
            </w:r>
          </w:p>
        </w:tc>
      </w:tr>
    </w:tbl>
    <w:p w14:paraId="603694A8" w14:textId="77777777" w:rsidR="001301C1" w:rsidRPr="006D3C55" w:rsidRDefault="001301C1" w:rsidP="001301C1">
      <w:r w:rsidRPr="006D3C55">
        <w:t>For the sake of transparency and completeness, departments dealing with shared and/or indirect management have also reported on the cost of controls in Member States and entrusted entities separately from the Commission’s own cost of controls in their annual activity reports.</w:t>
      </w:r>
    </w:p>
    <w:p w14:paraId="28F1CEC5" w14:textId="77777777" w:rsidR="001301C1" w:rsidRPr="00CC6C2F" w:rsidRDefault="001301C1" w:rsidP="00CC6C2F">
      <w:pPr>
        <w:pStyle w:val="HNum-fromh2Heading2-1"/>
      </w:pPr>
      <w:bookmarkStart w:id="46" w:name="_Toc135637239"/>
      <w:bookmarkStart w:id="47" w:name="_Toc168585659"/>
      <w:bookmarkStart w:id="48" w:name="_Toc196895485"/>
      <w:bookmarkStart w:id="49" w:name="_Toc231927930"/>
      <w:bookmarkStart w:id="50" w:name="_Toc231479586"/>
      <w:r w:rsidRPr="00CC6C2F">
        <w:t>Management assurance</w:t>
      </w:r>
      <w:bookmarkEnd w:id="46"/>
      <w:bookmarkEnd w:id="47"/>
      <w:bookmarkEnd w:id="48"/>
      <w:bookmarkEnd w:id="49"/>
      <w:bookmarkEnd w:id="50"/>
    </w:p>
    <w:p w14:paraId="5F9617F5" w14:textId="3BCB6086" w:rsidR="001301C1" w:rsidRPr="006D3C55" w:rsidRDefault="001301C1" w:rsidP="001301C1">
      <w:r w:rsidRPr="006D3C55">
        <w:t xml:space="preserve">As part of the governance system explained above, overall management assurance is ensured through the assurance given by the Directors-General, the Internal Audit Service and the Audit Progress Committee. It is supplemented by the opinion of the Court of Auditors and points on the </w:t>
      </w:r>
      <w:r w:rsidR="00AC23C7" w:rsidRPr="006D3C55">
        <w:t xml:space="preserve">2024 </w:t>
      </w:r>
      <w:r w:rsidRPr="006D3C55">
        <w:t xml:space="preserve">discharge given by the budgetary authority and </w:t>
      </w:r>
      <w:r w:rsidR="006B3370">
        <w:t xml:space="preserve">by </w:t>
      </w:r>
      <w:r w:rsidRPr="006D3C55">
        <w:t>the follow-up of the discharge and external audit recommendations.</w:t>
      </w:r>
    </w:p>
    <w:p w14:paraId="1C21FB48" w14:textId="4208DB4B" w:rsidR="001301C1" w:rsidRPr="006D3C55" w:rsidRDefault="001301C1" w:rsidP="00E36956">
      <w:pPr>
        <w:pStyle w:val="HNum-fromh2Heading3-11"/>
      </w:pPr>
      <w:r w:rsidRPr="006D3C55">
        <w:t>Assessments, assurance and reservations declared by authorising officers</w:t>
      </w:r>
    </w:p>
    <w:p w14:paraId="5EB1B47F" w14:textId="5760F2A0" w:rsidR="001301C1" w:rsidRPr="006D3C55" w:rsidRDefault="001301C1" w:rsidP="001301C1">
      <w:r w:rsidRPr="006D3C55">
        <w:t xml:space="preserve">For the </w:t>
      </w:r>
      <w:r w:rsidR="0064768B" w:rsidRPr="006D3C55">
        <w:t xml:space="preserve">2025 </w:t>
      </w:r>
      <w:r w:rsidRPr="006D3C55">
        <w:t xml:space="preserve">reporting year, all </w:t>
      </w:r>
      <w:r w:rsidR="0064768B" w:rsidRPr="006D3C55">
        <w:t xml:space="preserve">52 </w:t>
      </w:r>
      <w:r w:rsidRPr="006D3C55">
        <w:t>authorising officers by delegation</w:t>
      </w:r>
      <w:r w:rsidRPr="006909ED">
        <w:rPr>
          <w:rFonts w:ascii="Calibri" w:hAnsi="Calibri" w:cs="Calibri"/>
          <w:vertAlign w:val="superscript"/>
        </w:rPr>
        <w:t> </w:t>
      </w:r>
      <w:r w:rsidRPr="009A0DE1">
        <w:rPr>
          <w:vertAlign w:val="superscript"/>
        </w:rPr>
        <w:t>(</w:t>
      </w:r>
      <w:r w:rsidRPr="00352191">
        <w:rPr>
          <w:rStyle w:val="FootnoteReference"/>
        </w:rPr>
        <w:footnoteReference w:id="47"/>
      </w:r>
      <w:r w:rsidRPr="009A0DE1">
        <w:rPr>
          <w:vertAlign w:val="superscript"/>
        </w:rPr>
        <w:t>)</w:t>
      </w:r>
      <w:r w:rsidRPr="006D3C55">
        <w:t xml:space="preserve"> declared </w:t>
      </w:r>
      <w:r w:rsidR="007F3ADC" w:rsidRPr="006D3C55">
        <w:t>in their respective annual activity reports</w:t>
      </w:r>
      <w:r w:rsidR="007F3ADC" w:rsidRPr="001D1764">
        <w:rPr>
          <w:rFonts w:ascii="Calibri" w:hAnsi="Calibri" w:cs="Calibri"/>
        </w:rPr>
        <w:t> </w:t>
      </w:r>
      <w:r w:rsidR="007F3ADC" w:rsidRPr="0097701A">
        <w:rPr>
          <w:vertAlign w:val="superscript"/>
        </w:rPr>
        <w:t>(</w:t>
      </w:r>
      <w:r w:rsidR="007F3ADC" w:rsidRPr="00352191">
        <w:rPr>
          <w:rStyle w:val="FootnoteReference"/>
        </w:rPr>
        <w:footnoteReference w:id="48"/>
      </w:r>
      <w:r w:rsidR="007F3ADC" w:rsidRPr="0097701A">
        <w:rPr>
          <w:vertAlign w:val="superscript"/>
        </w:rPr>
        <w:t xml:space="preserve">) </w:t>
      </w:r>
      <w:r w:rsidR="007F3ADC" w:rsidRPr="001D1764">
        <w:t xml:space="preserve">that </w:t>
      </w:r>
      <w:r w:rsidRPr="006D3C55">
        <w:t>they had reasonable assurance that (1)</w:t>
      </w:r>
      <w:r w:rsidRPr="006D3C55">
        <w:rPr>
          <w:rFonts w:ascii="Calibri" w:hAnsi="Calibri" w:cs="Calibri"/>
        </w:rPr>
        <w:t> </w:t>
      </w:r>
      <w:r w:rsidRPr="006D3C55">
        <w:t>the information contained in their reports presents a ‘true and fair view’ (i.e. reliable, complete and correct) of the state of affairs in their departments; (2)</w:t>
      </w:r>
      <w:r w:rsidRPr="006D3C55">
        <w:rPr>
          <w:rFonts w:ascii="Calibri" w:hAnsi="Calibri" w:cs="Calibri"/>
        </w:rPr>
        <w:t> </w:t>
      </w:r>
      <w:r w:rsidRPr="006D3C55">
        <w:t>the resources assigned to their activities were used for their intended purpose and in accordance with the principle of sound financial management; and (3)</w:t>
      </w:r>
      <w:r w:rsidRPr="006D3C55">
        <w:rPr>
          <w:rFonts w:ascii="Calibri" w:hAnsi="Calibri" w:cs="Calibri"/>
        </w:rPr>
        <w:t> </w:t>
      </w:r>
      <w:r w:rsidRPr="006D3C55">
        <w:t>the control procedures put in place give the necessary guarantees concerning the legality and regularity of the underlying transactions, taking into account the multiannual character of some programmes and the nature of the payments concerned.</w:t>
      </w:r>
    </w:p>
    <w:p w14:paraId="660E3469" w14:textId="1F8F8090" w:rsidR="001301C1" w:rsidRPr="006D3C55" w:rsidRDefault="001301C1" w:rsidP="001A4938">
      <w:pPr>
        <w:widowControl w:val="0"/>
        <w:suppressAutoHyphens w:val="0"/>
      </w:pPr>
      <w:r w:rsidRPr="006D3C55">
        <w:t>Within their overall assurance-building process, and from their management perspective, the authorising officers by delegation use all</w:t>
      </w:r>
      <w:r w:rsidRPr="006D3C55" w:rsidDel="003605EC">
        <w:t xml:space="preserve"> </w:t>
      </w:r>
      <w:r w:rsidRPr="006D3C55">
        <w:t>information available during the year, especially the results of their controls, to spot any potential significant weakness in quantitative or qualitative terms for each programme or segment of their portfolio. At the end of each financial year, they determine whether the financial impact of such a weakness is likely</w:t>
      </w:r>
      <w:r w:rsidRPr="006D3C55" w:rsidDel="003B6B6A">
        <w:t xml:space="preserve"> </w:t>
      </w:r>
      <w:r w:rsidRPr="006D3C55">
        <w:t>be above the materiality threshold of 2% and/or whether the reputational impact is significant. If so, they qualify their declaration of assurance with a reservation for the specific segment affected.</w:t>
      </w:r>
    </w:p>
    <w:p w14:paraId="3A0626F0" w14:textId="5E6ADFA8" w:rsidR="008E2096" w:rsidRPr="006D3C55" w:rsidRDefault="002E4019" w:rsidP="00207B59">
      <w:pPr>
        <w:pStyle w:val="ImageTitle"/>
        <w:spacing w:before="240"/>
      </w:pPr>
      <w:r w:rsidRPr="006D3C55">
        <w:t>R</w:t>
      </w:r>
      <w:r w:rsidR="008E2096" w:rsidRPr="006D3C55">
        <w:t xml:space="preserve">eservations </w:t>
      </w:r>
      <w:r w:rsidR="00AE7D51">
        <w:t xml:space="preserve">EU budget: </w:t>
      </w:r>
      <w:r w:rsidRPr="006D3C55">
        <w:t xml:space="preserve">number </w:t>
      </w:r>
      <w:r w:rsidR="008E2096" w:rsidRPr="006D3C55">
        <w:t>and financial impact by policy area in 2025</w:t>
      </w:r>
      <w:r w:rsidR="0090740C" w:rsidRPr="006D3C55">
        <w:rPr>
          <w:rFonts w:cs="Calibri"/>
        </w:rPr>
        <w:t> </w:t>
      </w:r>
      <w:r w:rsidR="0090740C" w:rsidRPr="00B876E5">
        <w:rPr>
          <w:vertAlign w:val="superscript"/>
        </w:rPr>
        <w:t>(</w:t>
      </w:r>
      <w:r w:rsidR="0090740C" w:rsidRPr="00352191">
        <w:rPr>
          <w:rStyle w:val="FootnoteReference"/>
        </w:rPr>
        <w:footnoteReference w:id="49"/>
      </w:r>
      <w:r w:rsidR="0090740C" w:rsidRPr="009A0DE1">
        <w:rPr>
          <w:vertAlign w:val="superscript"/>
        </w:rPr>
        <w:t>)</w:t>
      </w:r>
      <w:r w:rsidR="008E2096" w:rsidRPr="006D3C55">
        <w:t xml:space="preserve"> (million</w:t>
      </w:r>
      <w:r w:rsidR="008E2096" w:rsidRPr="006D3C55">
        <w:rPr>
          <w:rFonts w:ascii="Calibri" w:hAnsi="Calibri" w:cs="Calibri"/>
        </w:rPr>
        <w:t> </w:t>
      </w:r>
      <w:r w:rsidR="008E2096" w:rsidRPr="006D3C55">
        <w:rPr>
          <w:rFonts w:cs="Calibri"/>
        </w:rPr>
        <w:t>E</w:t>
      </w:r>
      <w:r w:rsidR="008E2096" w:rsidRPr="006D3C55">
        <w:t>UR)</w:t>
      </w:r>
    </w:p>
    <w:p w14:paraId="7088A2F7" w14:textId="2F3947C4" w:rsidR="0090740C" w:rsidRPr="006D3C55" w:rsidDel="00B0302E" w:rsidRDefault="00101FAB" w:rsidP="00BF2428">
      <w:pPr>
        <w:pStyle w:val="ImagePlaceholder"/>
      </w:pPr>
      <w:r w:rsidRPr="00101FAB">
        <w:drawing>
          <wp:inline distT="0" distB="0" distL="0" distR="0" wp14:anchorId="4382F488" wp14:editId="0EAE62C6">
            <wp:extent cx="5386731" cy="2700338"/>
            <wp:effectExtent l="0" t="0" r="4445" b="5080"/>
            <wp:docPr id="3" name="Picture 2" descr="Donut pie showing a total of 866.5 million euros distributed by policy area and expressed in number of reservations. Single market, innovation and digital 12 reservations (261.5 million euros). Cohesion, resilience and values, 5 reservations (304.3 million euros). Natural resources and environment 8 reservations (300.7 million euro). Migration and border management 2 reservations (non-quantified amount). Neighbourhood and the world 2 reservations (non-quantified amount). European Commission administration 1 reservation (non-quantified amount).">
              <a:extLst xmlns:a="http://schemas.openxmlformats.org/drawingml/2006/main">
                <a:ext uri="{FF2B5EF4-FFF2-40B4-BE49-F238E27FC236}">
                  <a16:creationId xmlns:a16="http://schemas.microsoft.com/office/drawing/2014/main" id="{26835267-81F3-3E57-4433-1EAC4EF3BF5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Donut pie showing a total of 866.5 million euros distributed by policy area and expressed in number of reservations. Single market, innovation and digital 12 reservations (261.5 million euros). Cohesion, resilience and values, 5 reservations (304.3 million euros). Natural resources and environment 8 reservations (300.7 million euro). Migration and border management 2 reservations (non-quantified amount). Neighbourhood and the world 2 reservations (non-quantified amount). European Commission administration 1 reservation (non-quantified amount).">
                      <a:extLst>
                        <a:ext uri="{FF2B5EF4-FFF2-40B4-BE49-F238E27FC236}">
                          <a16:creationId xmlns:a16="http://schemas.microsoft.com/office/drawing/2014/main" id="{26835267-81F3-3E57-4433-1EAC4EF3BF5B}"/>
                        </a:ext>
                      </a:extLst>
                    </pic:cNvPr>
                    <pic:cNvPicPr>
                      <a:picLocks noChangeAspect="1"/>
                    </pic:cNvPicPr>
                  </pic:nvPicPr>
                  <pic:blipFill rotWithShape="1">
                    <a:blip r:embed="rId86"/>
                    <a:srcRect l="6450" t="17617" b="12877"/>
                    <a:stretch>
                      <a:fillRect/>
                    </a:stretch>
                  </pic:blipFill>
                  <pic:spPr bwMode="auto">
                    <a:xfrm>
                      <a:off x="0" y="0"/>
                      <a:ext cx="5387658" cy="2700803"/>
                    </a:xfrm>
                    <a:prstGeom prst="rect">
                      <a:avLst/>
                    </a:prstGeom>
                    <a:ln>
                      <a:noFill/>
                    </a:ln>
                    <a:extLst>
                      <a:ext uri="{53640926-AAD7-44D8-BBD7-CCE9431645EC}">
                        <a14:shadowObscured xmlns:a14="http://schemas.microsoft.com/office/drawing/2010/main"/>
                      </a:ext>
                    </a:extLst>
                  </pic:spPr>
                </pic:pic>
              </a:graphicData>
            </a:graphic>
          </wp:inline>
        </w:drawing>
      </w:r>
    </w:p>
    <w:p w14:paraId="2AB7E37D" w14:textId="77777777" w:rsidR="00E37FCE" w:rsidRPr="00030FFE" w:rsidDel="00827EA5" w:rsidRDefault="00E37FCE" w:rsidP="00207B59">
      <w:pPr>
        <w:pStyle w:val="ImageNotes"/>
        <w:keepNext/>
      </w:pPr>
      <w:r w:rsidRPr="006D3C55" w:rsidDel="00827EA5">
        <w:t>(*) Non-quantified reservation.</w:t>
      </w:r>
    </w:p>
    <w:p w14:paraId="6B9EF758" w14:textId="77777777" w:rsidR="00E37FCE" w:rsidRPr="006D3C55" w:rsidRDefault="00E37FCE" w:rsidP="00E867CF">
      <w:pPr>
        <w:pStyle w:val="ImageSource"/>
      </w:pPr>
      <w:r w:rsidRPr="00AB51E8">
        <w:rPr>
          <w:rStyle w:val="Italic"/>
        </w:rPr>
        <w:t>Source:</w:t>
      </w:r>
      <w:r w:rsidRPr="006D3C55">
        <w:t xml:space="preserve"> European Commission annual activity reports.</w:t>
      </w:r>
    </w:p>
    <w:p w14:paraId="7F5EE023" w14:textId="5D1DDA54" w:rsidR="00194129" w:rsidRPr="001D3264" w:rsidRDefault="00194129" w:rsidP="00194129">
      <w:pPr>
        <w:spacing w:after="120"/>
      </w:pPr>
      <w:r w:rsidRPr="006D3C55">
        <w:t xml:space="preserve">In 2025, </w:t>
      </w:r>
      <w:r w:rsidRPr="001D3264">
        <w:t>1</w:t>
      </w:r>
      <w:r w:rsidR="0089454D" w:rsidRPr="001D3264">
        <w:t>9</w:t>
      </w:r>
      <w:r w:rsidRPr="006D3C55">
        <w:t xml:space="preserve"> </w:t>
      </w:r>
      <w:r w:rsidR="00A40CFF" w:rsidRPr="006D3C55">
        <w:t>a</w:t>
      </w:r>
      <w:r w:rsidRPr="006D3C55">
        <w:t xml:space="preserve">uthorising </w:t>
      </w:r>
      <w:r w:rsidR="00A40CFF" w:rsidRPr="006D3C55">
        <w:t>o</w:t>
      </w:r>
      <w:r w:rsidRPr="006D3C55">
        <w:t xml:space="preserve">fficers by </w:t>
      </w:r>
      <w:r w:rsidR="00A40CFF" w:rsidRPr="006D3C55">
        <w:t>d</w:t>
      </w:r>
      <w:r w:rsidRPr="006D3C55">
        <w:t xml:space="preserve">elegation qualified their </w:t>
      </w:r>
      <w:r w:rsidR="00A40CFF" w:rsidRPr="006D3C55">
        <w:t>d</w:t>
      </w:r>
      <w:r w:rsidRPr="006D3C55">
        <w:t xml:space="preserve">eclaration of </w:t>
      </w:r>
      <w:r w:rsidR="00A40CFF" w:rsidRPr="006D3C55">
        <w:t>a</w:t>
      </w:r>
      <w:r w:rsidRPr="006D3C55">
        <w:t xml:space="preserve">ssurance with one or more reservations. In total, </w:t>
      </w:r>
      <w:r w:rsidRPr="001D3264">
        <w:t>3</w:t>
      </w:r>
      <w:r w:rsidR="00F42381" w:rsidRPr="001D3264">
        <w:t>2</w:t>
      </w:r>
      <w:r w:rsidRPr="006D3C55">
        <w:t xml:space="preserve"> reservations were issued: </w:t>
      </w:r>
      <w:r w:rsidR="00EF1854">
        <w:t>30</w:t>
      </w:r>
      <w:r w:rsidR="00A468AF">
        <w:t xml:space="preserve"> for the EU budget</w:t>
      </w:r>
      <w:r w:rsidR="00464DAA">
        <w:t>,</w:t>
      </w:r>
      <w:r w:rsidR="00A468AF">
        <w:t xml:space="preserve"> </w:t>
      </w:r>
      <w:r w:rsidRPr="006D3C55">
        <w:t>12 new and 1</w:t>
      </w:r>
      <w:r w:rsidR="00122122">
        <w:t>8</w:t>
      </w:r>
      <w:r w:rsidRPr="006D3C55">
        <w:t xml:space="preserve"> recurring</w:t>
      </w:r>
      <w:r w:rsidR="00EC3443">
        <w:rPr>
          <w:rFonts w:ascii="Calibri" w:hAnsi="Calibri" w:cs="Calibri"/>
        </w:rPr>
        <w:t> </w:t>
      </w:r>
      <w:r w:rsidRPr="00AD4275">
        <w:rPr>
          <w:rFonts w:ascii="EC Square Sans Cond Pro" w:hAnsi="EC Square Sans Cond Pro"/>
          <w:sz w:val="24"/>
          <w:szCs w:val="24"/>
          <w:lang w:eastAsia="fr-BE"/>
        </w:rPr>
        <w:t>(</w:t>
      </w:r>
      <w:r w:rsidRPr="00352191">
        <w:rPr>
          <w:rStyle w:val="FootnoteReference"/>
        </w:rPr>
        <w:footnoteReference w:id="50"/>
      </w:r>
      <w:r w:rsidRPr="00AD4275">
        <w:rPr>
          <w:rFonts w:ascii="EC Square Sans Cond Pro" w:hAnsi="EC Square Sans Cond Pro"/>
          <w:sz w:val="24"/>
          <w:szCs w:val="24"/>
          <w:lang w:eastAsia="fr-BE"/>
        </w:rPr>
        <w:t>)</w:t>
      </w:r>
      <w:r w:rsidR="00A468AF" w:rsidRPr="00757847">
        <w:rPr>
          <w:rFonts w:ascii="EC Square Sans Cond Pro" w:hAnsi="EC Square Sans Cond Pro"/>
          <w:lang w:eastAsia="fr-BE"/>
        </w:rPr>
        <w:t>,</w:t>
      </w:r>
      <w:r w:rsidR="000C32FF">
        <w:rPr>
          <w:rFonts w:ascii="EC Square Sans Cond Pro" w:hAnsi="EC Square Sans Cond Pro"/>
          <w:lang w:eastAsia="fr-BE"/>
        </w:rPr>
        <w:br/>
      </w:r>
      <w:r w:rsidR="000F68AE" w:rsidRPr="001D3264">
        <w:t xml:space="preserve">and </w:t>
      </w:r>
      <w:r w:rsidR="00192A68">
        <w:t xml:space="preserve">two </w:t>
      </w:r>
      <w:r w:rsidR="000F68AE" w:rsidRPr="001D3264">
        <w:t xml:space="preserve">for the </w:t>
      </w:r>
      <w:r w:rsidR="00B26C1C" w:rsidRPr="001D3264">
        <w:t>Recovery and Resilience Facility</w:t>
      </w:r>
      <w:r w:rsidR="00757847">
        <w:t>,</w:t>
      </w:r>
      <w:r w:rsidR="00B26C1C">
        <w:t xml:space="preserve"> </w:t>
      </w:r>
      <w:r w:rsidR="00B26C1C" w:rsidRPr="001D3264">
        <w:t>a recurring reservation regarding conflicts of interest in one Member State, and a new reservation concerning the satisfactory fulfilment of two milestones in another Member State</w:t>
      </w:r>
      <w:r w:rsidRPr="001D3264" w:rsidDel="00A468AF">
        <w:t>.</w:t>
      </w:r>
    </w:p>
    <w:p w14:paraId="780B88BC" w14:textId="77777777" w:rsidR="00096133" w:rsidRPr="006D3C55" w:rsidRDefault="004C171B" w:rsidP="00757744">
      <w:pPr>
        <w:spacing w:after="120"/>
      </w:pPr>
      <w:r w:rsidRPr="00640868">
        <w:rPr>
          <w:b/>
        </w:rPr>
        <w:t>W</w:t>
      </w:r>
      <w:r w:rsidR="00096133" w:rsidRPr="00640868">
        <w:rPr>
          <w:b/>
        </w:rPr>
        <w:t>hile the number of</w:t>
      </w:r>
      <w:r w:rsidR="00096133" w:rsidRPr="006D3C55">
        <w:t xml:space="preserve"> </w:t>
      </w:r>
      <w:r w:rsidR="00096133" w:rsidRPr="00CC6C2F">
        <w:rPr>
          <w:rStyle w:val="Bold"/>
        </w:rPr>
        <w:t xml:space="preserve">new reservations </w:t>
      </w:r>
      <w:r w:rsidR="004A7C7B">
        <w:rPr>
          <w:rStyle w:val="Bold"/>
        </w:rPr>
        <w:t xml:space="preserve">for </w:t>
      </w:r>
      <w:r w:rsidR="007D4E69">
        <w:rPr>
          <w:rStyle w:val="Bold"/>
        </w:rPr>
        <w:t>the EU budget</w:t>
      </w:r>
      <w:r w:rsidR="00096133" w:rsidRPr="00CC6C2F">
        <w:rPr>
          <w:rStyle w:val="Bold"/>
        </w:rPr>
        <w:t xml:space="preserve"> amounts to 12, they are linked to three underlying issues</w:t>
      </w:r>
      <w:r w:rsidR="00096133" w:rsidRPr="006D3C55">
        <w:t xml:space="preserve">: residual error rates above 2% for Horizon Europe and </w:t>
      </w:r>
      <w:r w:rsidR="002D6D4C" w:rsidRPr="006D3C55">
        <w:t xml:space="preserve">for </w:t>
      </w:r>
      <w:r w:rsidR="00096133" w:rsidRPr="006D3C55">
        <w:t xml:space="preserve">the </w:t>
      </w:r>
      <w:r w:rsidR="001E1031" w:rsidRPr="006D3C55">
        <w:t>d</w:t>
      </w:r>
      <w:r w:rsidR="00096133" w:rsidRPr="006D3C55">
        <w:t xml:space="preserve">igital Europe </w:t>
      </w:r>
      <w:r w:rsidR="001E1031" w:rsidRPr="006D3C55">
        <w:t>p</w:t>
      </w:r>
      <w:r w:rsidR="00096133" w:rsidRPr="006D3C55">
        <w:t xml:space="preserve">rogramme (affecting the </w:t>
      </w:r>
      <w:r w:rsidR="003F7226" w:rsidRPr="006D3C55">
        <w:t xml:space="preserve">reports </w:t>
      </w:r>
      <w:r w:rsidR="00096133" w:rsidRPr="006D3C55">
        <w:t xml:space="preserve">of eight and two services respectively), and one critical </w:t>
      </w:r>
      <w:r w:rsidR="002D6D4C" w:rsidRPr="006D3C55">
        <w:t xml:space="preserve">Internal Audit </w:t>
      </w:r>
      <w:r w:rsidR="002D6D4C">
        <w:t xml:space="preserve">Service </w:t>
      </w:r>
      <w:r w:rsidR="00096133" w:rsidRPr="006D3C55">
        <w:t xml:space="preserve">recommendation leading to a reservation in two </w:t>
      </w:r>
      <w:r w:rsidR="001A07BF" w:rsidRPr="006D3C55">
        <w:t>reports</w:t>
      </w:r>
      <w:r w:rsidR="00096133" w:rsidRPr="006D3C55">
        <w:t xml:space="preserve">. As these issues relate to programmes implemented across several services, they result in a higher overall number of new reservations than the </w:t>
      </w:r>
      <w:r w:rsidR="00806412" w:rsidRPr="006D3C55">
        <w:t xml:space="preserve">three </w:t>
      </w:r>
      <w:r w:rsidR="00096133" w:rsidRPr="006D3C55">
        <w:t>distinct underlying risks.</w:t>
      </w:r>
      <w:r w:rsidR="00374170">
        <w:t xml:space="preserve"> Additionally, </w:t>
      </w:r>
      <w:r w:rsidR="00A33EAF" w:rsidRPr="00A33EAF">
        <w:t>a new reservation concerning the satisfactory fulfilment of two milestones in another Member State</w:t>
      </w:r>
      <w:r w:rsidR="007D1652">
        <w:t xml:space="preserve"> was issued for the </w:t>
      </w:r>
      <w:r w:rsidR="007D1652" w:rsidRPr="008649C3">
        <w:rPr>
          <w:bCs/>
        </w:rPr>
        <w:t>Recovery and Resilience Facility</w:t>
      </w:r>
      <w:r w:rsidR="007D1652">
        <w:rPr>
          <w:bCs/>
        </w:rPr>
        <w:t>.</w:t>
      </w:r>
    </w:p>
    <w:p w14:paraId="6056B4B4" w14:textId="2E080C5A" w:rsidR="00096133" w:rsidRPr="006D3C55" w:rsidRDefault="00096133" w:rsidP="00074B0A">
      <w:pPr>
        <w:spacing w:after="120"/>
      </w:pPr>
      <w:r w:rsidRPr="00CC6C2F">
        <w:rPr>
          <w:rStyle w:val="Bold"/>
        </w:rPr>
        <w:t xml:space="preserve">A total of </w:t>
      </w:r>
      <w:r w:rsidR="00BF158A" w:rsidRPr="00CC6C2F">
        <w:rPr>
          <w:rStyle w:val="Bold"/>
        </w:rPr>
        <w:t>19</w:t>
      </w:r>
      <w:r w:rsidRPr="00CC6C2F">
        <w:rPr>
          <w:rStyle w:val="Bold"/>
        </w:rPr>
        <w:t xml:space="preserve"> reservations </w:t>
      </w:r>
      <w:r w:rsidR="008D095C" w:rsidRPr="00CC6C2F">
        <w:rPr>
          <w:rStyle w:val="Bold"/>
        </w:rPr>
        <w:t>have</w:t>
      </w:r>
      <w:r w:rsidRPr="00CC6C2F">
        <w:rPr>
          <w:rStyle w:val="Bold"/>
        </w:rPr>
        <w:t xml:space="preserve"> been carried over from previous years</w:t>
      </w:r>
      <w:r w:rsidRPr="006D3C55">
        <w:t>. These reservations have been maintained mainly because the root causes of the material level of error or the lack of assurance can be partially mitigated but not fully eradicated under the current programmes’ legal frameworks. No reservations issued in 2024 were lifted in 2025.</w:t>
      </w:r>
      <w:bookmarkStart w:id="51" w:name="_Hlk230682985"/>
      <w:r w:rsidR="00333525" w:rsidRPr="006D3C55">
        <w:t xml:space="preserve">Most recurrent reservations concern shared management, where each reservation consists in an increased number of paying agencies and operational programmes, for which systems in place do not function or </w:t>
      </w:r>
      <w:r w:rsidR="0021515D">
        <w:t xml:space="preserve">function </w:t>
      </w:r>
      <w:r w:rsidR="00333525" w:rsidRPr="006D3C55">
        <w:t>only partially</w:t>
      </w:r>
      <w:r w:rsidR="0021515D">
        <w:t>,</w:t>
      </w:r>
      <w:r w:rsidR="00333525" w:rsidRPr="006D3C55">
        <w:t xml:space="preserve"> or the error rate is above 2%</w:t>
      </w:r>
      <w:r w:rsidR="00401C70" w:rsidRPr="006D3C55">
        <w:t>,</w:t>
      </w:r>
      <w:r w:rsidR="00333525" w:rsidRPr="006D3C55">
        <w:t xml:space="preserve"> compared to 2024.</w:t>
      </w:r>
    </w:p>
    <w:bookmarkEnd w:id="51"/>
    <w:p w14:paraId="795F4863" w14:textId="0984D23B" w:rsidR="00096133" w:rsidRPr="006D3C55" w:rsidRDefault="00096133" w:rsidP="00074B0A">
      <w:pPr>
        <w:spacing w:after="120"/>
      </w:pPr>
      <w:r w:rsidRPr="00CC6C2F">
        <w:rPr>
          <w:rStyle w:val="Bold"/>
        </w:rPr>
        <w:t>In</w:t>
      </w:r>
      <w:r w:rsidRPr="00CC6C2F" w:rsidDel="00405C58">
        <w:rPr>
          <w:rStyle w:val="Bold"/>
        </w:rPr>
        <w:t xml:space="preserve"> </w:t>
      </w:r>
      <w:r w:rsidR="00405C58">
        <w:rPr>
          <w:rStyle w:val="Bold"/>
        </w:rPr>
        <w:t>eight</w:t>
      </w:r>
      <w:r w:rsidRPr="00CC6C2F">
        <w:rPr>
          <w:rStyle w:val="Bold"/>
        </w:rPr>
        <w:t xml:space="preserve"> cases, no reservation was issued due to the </w:t>
      </w:r>
      <w:r w:rsidRPr="00AB51E8">
        <w:rPr>
          <w:rStyle w:val="BoldItalic"/>
        </w:rPr>
        <w:t xml:space="preserve">de </w:t>
      </w:r>
      <w:r w:rsidRPr="00CC6C2F">
        <w:rPr>
          <w:rStyle w:val="BoldItalic"/>
        </w:rPr>
        <w:t xml:space="preserve">minimis </w:t>
      </w:r>
      <w:r w:rsidRPr="00CC6C2F">
        <w:rPr>
          <w:rStyle w:val="Bold"/>
        </w:rPr>
        <w:t>rule</w:t>
      </w:r>
      <w:r w:rsidRPr="00AD4275">
        <w:rPr>
          <w:b/>
          <w:bCs/>
        </w:rPr>
        <w:t>,</w:t>
      </w:r>
      <w:r w:rsidRPr="006D3C55">
        <w:t xml:space="preserve"> whereby segments with a residual error rate above the 2% materiality threshold are not considered substantial if they represent less than 5% of the department’s total payments and have a financial impact below EUR</w:t>
      </w:r>
      <w:r w:rsidR="0021515D">
        <w:rPr>
          <w:rFonts w:ascii="Calibri" w:hAnsi="Calibri" w:cs="Calibri"/>
        </w:rPr>
        <w:t> </w:t>
      </w:r>
      <w:r w:rsidRPr="006D3C55">
        <w:t>5</w:t>
      </w:r>
      <w:r w:rsidR="0021515D">
        <w:rPr>
          <w:rFonts w:ascii="Calibri" w:hAnsi="Calibri" w:cs="Calibri"/>
        </w:rPr>
        <w:t> </w:t>
      </w:r>
      <w:r w:rsidRPr="006D3C55">
        <w:t>million. The total financial impact of these cases in 2025 was very limited, amounting to EUR</w:t>
      </w:r>
      <w:r w:rsidR="0021515D">
        <w:rPr>
          <w:rFonts w:ascii="Calibri" w:hAnsi="Calibri" w:cs="Calibri"/>
        </w:rPr>
        <w:t> </w:t>
      </w:r>
      <w:r w:rsidRPr="006D3C55">
        <w:t>4.5</w:t>
      </w:r>
      <w:r w:rsidR="0021515D">
        <w:rPr>
          <w:rFonts w:ascii="Calibri" w:hAnsi="Calibri" w:cs="Calibri"/>
        </w:rPr>
        <w:t> </w:t>
      </w:r>
      <w:r w:rsidRPr="006D3C55">
        <w:t>million, almost half the level recorded in 2024.</w:t>
      </w:r>
    </w:p>
    <w:p w14:paraId="6D527AFF" w14:textId="4F18EF77" w:rsidR="00436446" w:rsidRPr="00640868" w:rsidRDefault="00436446" w:rsidP="0063255A">
      <w:pPr>
        <w:rPr>
          <w:rFonts w:ascii="Calibri" w:hAnsi="Calibri" w:cs="Calibri"/>
        </w:rPr>
      </w:pPr>
      <w:r w:rsidRPr="00CC6C2F">
        <w:rPr>
          <w:rStyle w:val="Bold"/>
        </w:rPr>
        <w:t xml:space="preserve">The total financial impact of the </w:t>
      </w:r>
      <w:r w:rsidR="000F17B4" w:rsidRPr="00CC6C2F">
        <w:rPr>
          <w:rStyle w:val="Bold"/>
        </w:rPr>
        <w:t>2025</w:t>
      </w:r>
      <w:r w:rsidRPr="00CC6C2F">
        <w:rPr>
          <w:rStyle w:val="Bold"/>
        </w:rPr>
        <w:t xml:space="preserve"> quantified reservations </w:t>
      </w:r>
      <w:r w:rsidR="00F14EE2">
        <w:rPr>
          <w:rStyle w:val="Bold"/>
        </w:rPr>
        <w:t xml:space="preserve">under the EU budget </w:t>
      </w:r>
      <w:r w:rsidRPr="00CC6C2F">
        <w:rPr>
          <w:rStyle w:val="Bold"/>
        </w:rPr>
        <w:t>amounts to EUR</w:t>
      </w:r>
      <w:r w:rsidR="0021515D" w:rsidRPr="00AB51E8">
        <w:rPr>
          <w:rStyle w:val="Bold"/>
          <w:rFonts w:ascii="Calibri" w:hAnsi="Calibri" w:cs="Calibri"/>
        </w:rPr>
        <w:t> </w:t>
      </w:r>
      <w:r w:rsidRPr="00CC6C2F">
        <w:rPr>
          <w:rStyle w:val="Bold"/>
        </w:rPr>
        <w:t>866.5</w:t>
      </w:r>
      <w:r w:rsidR="0021515D" w:rsidRPr="00AB51E8">
        <w:rPr>
          <w:rStyle w:val="Bold"/>
          <w:rFonts w:ascii="Calibri" w:hAnsi="Calibri" w:cs="Calibri"/>
        </w:rPr>
        <w:t> </w:t>
      </w:r>
      <w:r w:rsidRPr="00CC6C2F">
        <w:rPr>
          <w:rStyle w:val="Bold"/>
        </w:rPr>
        <w:t>million</w:t>
      </w:r>
      <w:r w:rsidR="00D25683" w:rsidRPr="001D3264">
        <w:rPr>
          <w:rStyle w:val="Bold"/>
          <w:rFonts w:cs="Calibri"/>
        </w:rPr>
        <w:t> </w:t>
      </w:r>
      <w:r w:rsidR="00D25683" w:rsidRPr="00D25683">
        <w:rPr>
          <w:rStyle w:val="Bold"/>
        </w:rPr>
        <w:t>(</w:t>
      </w:r>
      <w:r w:rsidR="00D25683" w:rsidRPr="00352191">
        <w:rPr>
          <w:rStyle w:val="FootnoteReference"/>
        </w:rPr>
        <w:footnoteReference w:id="51"/>
      </w:r>
      <w:r w:rsidR="00D25683">
        <w:rPr>
          <w:rStyle w:val="Bold"/>
        </w:rPr>
        <w:t>)</w:t>
      </w:r>
      <w:r w:rsidRPr="00CC6C2F">
        <w:rPr>
          <w:rStyle w:val="Bold"/>
        </w:rPr>
        <w:t>,</w:t>
      </w:r>
      <w:r w:rsidRPr="006D3C55">
        <w:t xml:space="preserve"> representing 0.5% of the total relevant expenditure, which marks an increase compared to 2024 (0.2%). This increase is driven by the new reservations linked to higher error rates in Horizon Europe and the </w:t>
      </w:r>
      <w:r w:rsidR="001E1031" w:rsidRPr="006D3C55">
        <w:t>d</w:t>
      </w:r>
      <w:r w:rsidRPr="006D3C55">
        <w:t xml:space="preserve">igital Europe </w:t>
      </w:r>
      <w:r w:rsidR="001E1031" w:rsidRPr="006D3C55">
        <w:t>p</w:t>
      </w:r>
      <w:r w:rsidRPr="006D3C55">
        <w:t xml:space="preserve">rogramme, </w:t>
      </w:r>
      <w:r w:rsidR="00115DFB">
        <w:t>and</w:t>
      </w:r>
      <w:r w:rsidRPr="006D3C55">
        <w:t xml:space="preserve"> by a higher number and volume of reservations in the cohesion policy area</w:t>
      </w:r>
      <w:r w:rsidR="00624081" w:rsidRPr="006D3C55">
        <w:t xml:space="preserve">. </w:t>
      </w:r>
      <w:r w:rsidRPr="006D3C55">
        <w:t xml:space="preserve">However, the financial impact in 2025 remains </w:t>
      </w:r>
      <w:r w:rsidR="00115DFB">
        <w:t>with</w:t>
      </w:r>
      <w:r w:rsidRPr="006D3C55">
        <w:t xml:space="preserve">in the range of </w:t>
      </w:r>
      <w:r w:rsidR="00115DFB">
        <w:t xml:space="preserve">the </w:t>
      </w:r>
      <w:r w:rsidRPr="006D3C55">
        <w:t>previous year’s values.</w:t>
      </w:r>
      <w:r w:rsidR="004E49F0">
        <w:t xml:space="preserve"> The financial impact of the reservations related to the Recovery and Resilience Facility amount to </w:t>
      </w:r>
      <w:r w:rsidR="005B787A">
        <w:t>EUR</w:t>
      </w:r>
      <w:r w:rsidR="005B787A">
        <w:rPr>
          <w:rFonts w:ascii="Calibri" w:hAnsi="Calibri" w:cs="Calibri"/>
        </w:rPr>
        <w:t> </w:t>
      </w:r>
      <w:r w:rsidR="004E49F0">
        <w:t>326.1</w:t>
      </w:r>
      <w:r w:rsidR="005B787A">
        <w:rPr>
          <w:rFonts w:ascii="Calibri" w:hAnsi="Calibri" w:cs="Calibri"/>
        </w:rPr>
        <w:t> </w:t>
      </w:r>
      <w:r w:rsidR="005B787A" w:rsidRPr="00640868">
        <w:rPr>
          <w:rFonts w:asciiTheme="minorHAnsi" w:hAnsiTheme="minorHAnsi" w:cs="Calibri"/>
        </w:rPr>
        <w:t xml:space="preserve">million in total (see details in Annex 3, section </w:t>
      </w:r>
      <w:r w:rsidR="00D77260" w:rsidRPr="0091063C">
        <w:rPr>
          <w:rFonts w:asciiTheme="minorHAnsi" w:hAnsiTheme="minorHAnsi" w:cs="Calibri"/>
        </w:rPr>
        <w:t>2.2.10</w:t>
      </w:r>
      <w:r w:rsidR="00D77260" w:rsidRPr="00640868">
        <w:rPr>
          <w:rFonts w:asciiTheme="minorHAnsi" w:hAnsiTheme="minorHAnsi" w:cs="Calibri"/>
        </w:rPr>
        <w:t>)</w:t>
      </w:r>
      <w:r w:rsidR="005B787A" w:rsidRPr="00640868">
        <w:rPr>
          <w:rFonts w:asciiTheme="minorHAnsi" w:hAnsiTheme="minorHAnsi" w:cs="Calibri"/>
        </w:rPr>
        <w:t>.</w:t>
      </w:r>
    </w:p>
    <w:p w14:paraId="7F37419E" w14:textId="14FFA244" w:rsidR="001301C1" w:rsidRPr="006D3C55" w:rsidRDefault="001301C1" w:rsidP="001301C1">
      <w:r w:rsidRPr="006D3C55">
        <w:t>Annex</w:t>
      </w:r>
      <w:r w:rsidRPr="006D3C55">
        <w:rPr>
          <w:rFonts w:ascii="Calibri" w:hAnsi="Calibri" w:cs="Calibri"/>
        </w:rPr>
        <w:t> </w:t>
      </w:r>
      <w:r w:rsidRPr="006D3C55">
        <w:t>5 in Volume</w:t>
      </w:r>
      <w:r w:rsidRPr="006D3C55">
        <w:rPr>
          <w:rFonts w:ascii="Calibri" w:hAnsi="Calibri" w:cs="Calibri"/>
        </w:rPr>
        <w:t> </w:t>
      </w:r>
      <w:r w:rsidRPr="006D3C55">
        <w:t>III provides a complete list of the reservations for 202</w:t>
      </w:r>
      <w:r w:rsidR="00634FBE" w:rsidRPr="006D3C55">
        <w:t>5</w:t>
      </w:r>
      <w:r w:rsidRPr="006D3C55">
        <w:t>, along with further explanations and details.</w:t>
      </w:r>
    </w:p>
    <w:p w14:paraId="05DD4715" w14:textId="77777777" w:rsidR="001301C1" w:rsidRPr="00AB51E8" w:rsidRDefault="001301C1" w:rsidP="00DA3E81">
      <w:r w:rsidRPr="00AB51E8">
        <w:br w:type="page"/>
      </w:r>
    </w:p>
    <w:p w14:paraId="14FCADB3" w14:textId="28D347E8" w:rsidR="001301C1" w:rsidRPr="006D3C55" w:rsidRDefault="001301C1" w:rsidP="00CC6C2F">
      <w:pPr>
        <w:pStyle w:val="HNum-fromh2Heading3-11"/>
      </w:pPr>
      <w:r w:rsidRPr="006D3C55">
        <w:t>Work of the Internal Audit Service and overall conclusion</w:t>
      </w:r>
    </w:p>
    <w:p w14:paraId="16D77D7B" w14:textId="594A3EB0" w:rsidR="00170538" w:rsidRDefault="00BB30A1" w:rsidP="001301C1">
      <w:r w:rsidRPr="00BB30A1">
        <w:t>The Commission’s Directorates-General and services also base their assurance on the work done by the Internal Audit Service.</w:t>
      </w:r>
    </w:p>
    <w:p w14:paraId="07641564" w14:textId="35953061" w:rsidR="003D11D0" w:rsidRDefault="003D11D0" w:rsidP="001301C1">
      <w:r w:rsidRPr="003D11D0">
        <w:t>As required by its mission charter, the Internal Audit Service issues an annual overall conclusion on the Commission’s financial management. This is based on the audit work in the area of financial management in the Commission covering the past three years (2023 to 2025). The overall conclusion also takes into account information from other sources, notably the reports of the European Court of Auditors. The overall conclusion is issued at the same time as this report and covers the same year.</w:t>
      </w:r>
    </w:p>
    <w:p w14:paraId="44907947" w14:textId="77777777" w:rsidR="00202ECC" w:rsidRDefault="00202ECC" w:rsidP="00202ECC">
      <w:r>
        <w:t xml:space="preserve">Based on this audit information, the Internal Auditor considered that, in 2025, the Commission had put in place governance, risk management and internal control procedures which, taken as a whole, are adequate to give reasonable assurance over the achievement of its financial objectives, with the exception of those areas of financial management over which authorising officers by delegation have expressed reservations in their declaration of assurance as listed in the annex. </w:t>
      </w:r>
    </w:p>
    <w:p w14:paraId="166C69B0" w14:textId="75897B3F" w:rsidR="00202ECC" w:rsidRDefault="00202ECC" w:rsidP="00202ECC">
      <w:r>
        <w:t>Without further qualifying the overall conclusion for 2025, the Internal Auditor drew the attention to the need to ensure that the control and assurance framework remains robust, proportionate and effective to manage risks to an acceptable level, especially in the context of concurrent priorities and continuous pressure on resources. This is further detailed in Annex 6 to this report.</w:t>
      </w:r>
    </w:p>
    <w:p w14:paraId="39CB223E" w14:textId="0022842F" w:rsidR="00E061BE" w:rsidRDefault="00E061BE" w:rsidP="00E061BE">
      <w:r>
        <w:t xml:space="preserve">The Internal Audit Service performs an independent assessment of the effectiveness of governance, risk management, and control processes for operational and policy activities, financial management and supporting functions within the Commission and its departments, executive agencies and European offices. </w:t>
      </w:r>
      <w:r w:rsidR="007D0FBD">
        <w:br/>
      </w:r>
      <w:r>
        <w:t xml:space="preserve">It issued independent conclusions on the quality of management and control systems and made recommendations for ensuring compliance and improving performance, effectiveness, efficiency and accountability. For all accepted or partially accepted recommendations, the auditees drafted action plans that were submitted to the Internal Audit Service, which subsequently assessed them as being satisfactory or requested a revised action plan. For the recommendations that were partially not accepted, the auditees accepted the residual risk. Finally, the Internal Audit Service pursued its strict follow-up policy and assessed the actual implementation of its recommendations by the Commission’s departments on a regular basis. Overall, the </w:t>
      </w:r>
      <w:r w:rsidR="003F75D6">
        <w:t>Internal Audit Service</w:t>
      </w:r>
      <w:r>
        <w:t xml:space="preserve"> considers the implementation of its recommendations issued between 2021 and 2025 to be satisfactory and comparable to previous reporting periods. This result indicates that the Commission services are diligent in implementing the recommendations and mitigating the risks identified by the Internal Audit Service. </w:t>
      </w:r>
    </w:p>
    <w:p w14:paraId="4BB4626C" w14:textId="47B7BC9E" w:rsidR="007731CE" w:rsidRDefault="00E061BE" w:rsidP="00E061BE">
      <w:pPr>
        <w:rPr>
          <w:highlight w:val="yellow"/>
        </w:rPr>
      </w:pPr>
      <w:r>
        <w:t>Annex</w:t>
      </w:r>
      <w:r w:rsidR="003F75D6">
        <w:rPr>
          <w:rFonts w:ascii="Calibri" w:hAnsi="Calibri" w:cs="Calibri"/>
        </w:rPr>
        <w:t> </w:t>
      </w:r>
      <w:r>
        <w:t>6 includes more information on the assurance provided by the Internal Audit Service. In addition, a report on the internal auditor’s work is forwarded by the Commission to the discharge authority, in accordance with Article</w:t>
      </w:r>
      <w:r w:rsidR="005C285A">
        <w:rPr>
          <w:rFonts w:ascii="Calibri" w:hAnsi="Calibri" w:cs="Calibri"/>
        </w:rPr>
        <w:t> </w:t>
      </w:r>
      <w:r>
        <w:t xml:space="preserve">118(8) of the Financial Regulation, as part of the integrated financial and accountability </w:t>
      </w:r>
      <w:r w:rsidR="007D0FBD">
        <w:br/>
      </w:r>
      <w:r>
        <w:t>reporting package.</w:t>
      </w:r>
    </w:p>
    <w:p w14:paraId="71A46EDA" w14:textId="77777777" w:rsidR="001301C1" w:rsidRPr="006D3C55" w:rsidRDefault="001301C1" w:rsidP="001301C1">
      <w:pPr>
        <w:suppressAutoHyphens w:val="0"/>
        <w:rPr>
          <w:highlight w:val="lightGray"/>
        </w:rPr>
      </w:pPr>
      <w:r w:rsidRPr="006D3C55">
        <w:rPr>
          <w:highlight w:val="lightGray"/>
        </w:rPr>
        <w:br w:type="page"/>
      </w:r>
    </w:p>
    <w:p w14:paraId="4C3D8766" w14:textId="1338F689" w:rsidR="001301C1" w:rsidRPr="006D3C55" w:rsidRDefault="001301C1" w:rsidP="00E36956">
      <w:pPr>
        <w:pStyle w:val="HNum-fromh2Heading3-11"/>
      </w:pPr>
      <w:r w:rsidRPr="006D3C55">
        <w:t xml:space="preserve">Assurance obtained through the work of the Audit </w:t>
      </w:r>
      <w:r w:rsidR="00D14229">
        <w:br/>
      </w:r>
      <w:r w:rsidRPr="006D3C55">
        <w:t>Progress</w:t>
      </w:r>
      <w:r w:rsidRPr="00CC6C2F">
        <w:t xml:space="preserve"> </w:t>
      </w:r>
      <w:r w:rsidRPr="006D3C55">
        <w:t>Committee</w:t>
      </w:r>
    </w:p>
    <w:p w14:paraId="36A8643A" w14:textId="3C5711ED" w:rsidR="000029D7" w:rsidRPr="006D3C55" w:rsidRDefault="000029D7" w:rsidP="000029D7">
      <w:r w:rsidRPr="006D3C55">
        <w:t xml:space="preserve">The Audit Progress Committee oversees audit matters within the Commission and reports annually to the College of Commissioners. It ensures the independence of the Internal Audit Service, monitors the quality of internal audit work and ensures that internal and external (i.e. from the European Court of Auditors) audit recommendations are properly taken into account by the Commission’s </w:t>
      </w:r>
      <w:r w:rsidR="00F50BDC">
        <w:t>d</w:t>
      </w:r>
      <w:r w:rsidRPr="006D3C55">
        <w:t>irectorates-</w:t>
      </w:r>
      <w:r w:rsidR="00F50BDC">
        <w:t>g</w:t>
      </w:r>
      <w:r w:rsidRPr="006D3C55">
        <w:t>eneral and services and that they receive appropriate follow-up.</w:t>
      </w:r>
    </w:p>
    <w:p w14:paraId="7519E739" w14:textId="4939C1D9" w:rsidR="000029D7" w:rsidRPr="006D3C55" w:rsidRDefault="000029D7" w:rsidP="000029D7">
      <w:r w:rsidRPr="006D3C55">
        <w:t xml:space="preserve">During this reporting period, which continued to be shaped by the aftermath of the </w:t>
      </w:r>
      <w:r w:rsidRPr="00AB51E8">
        <w:rPr>
          <w:rStyle w:val="Bold"/>
        </w:rPr>
        <w:t>unprecedented challenges</w:t>
      </w:r>
      <w:r w:rsidRPr="006D3C55">
        <w:t xml:space="preserve"> that have impacted </w:t>
      </w:r>
      <w:r w:rsidR="00745D63">
        <w:t xml:space="preserve">on </w:t>
      </w:r>
      <w:r w:rsidRPr="006D3C55">
        <w:t xml:space="preserve">the </w:t>
      </w:r>
      <w:r w:rsidR="00F50BDC">
        <w:t>EU</w:t>
      </w:r>
      <w:r w:rsidRPr="006D3C55">
        <w:t xml:space="preserve"> since 2020, the </w:t>
      </w:r>
      <w:r w:rsidR="00F50BDC">
        <w:t>c</w:t>
      </w:r>
      <w:r w:rsidRPr="006D3C55">
        <w:t xml:space="preserve">ommittee maintained its important role in enhancing governance, organisational performance and accountability across the entire organisation. </w:t>
      </w:r>
      <w:r w:rsidR="00F50BDC">
        <w:t>It</w:t>
      </w:r>
      <w:r w:rsidRPr="006D3C55">
        <w:t xml:space="preserve"> held four rounds of meetings during the reporting period, focusing on the key objectives set out in the 2025 and 2026 work programmes. The </w:t>
      </w:r>
      <w:r w:rsidR="00C4572B">
        <w:t>c</w:t>
      </w:r>
      <w:r w:rsidRPr="006D3C55">
        <w:t>ommittee took note of the broad convergence between the results of the risk assessments performed by management and the Internal Audit Service, which continued to illustrate the robustness of the institution’s approach.</w:t>
      </w:r>
    </w:p>
    <w:p w14:paraId="7DC873F5" w14:textId="155DFEDF" w:rsidR="000029D7" w:rsidRPr="006D3C55" w:rsidRDefault="000029D7" w:rsidP="000029D7">
      <w:r w:rsidRPr="006D3C55">
        <w:t xml:space="preserve">The </w:t>
      </w:r>
      <w:r w:rsidR="00C4572B">
        <w:t>c</w:t>
      </w:r>
      <w:r w:rsidRPr="006D3C55">
        <w:t xml:space="preserve">ommittee discussed </w:t>
      </w:r>
      <w:r w:rsidR="007A3B49">
        <w:t xml:space="preserve">critical and </w:t>
      </w:r>
      <w:r w:rsidRPr="006D3C55">
        <w:t xml:space="preserve">very important audit findings raised by the Internal Audit Service with relevant auditees and urged the completion of mitigating actions as soon as possible. </w:t>
      </w:r>
      <w:r w:rsidR="00BB513D">
        <w:t>It</w:t>
      </w:r>
      <w:r w:rsidRPr="006D3C55">
        <w:t xml:space="preserve"> held discussions on important topics such as data protection, </w:t>
      </w:r>
      <w:r w:rsidR="00BB513D">
        <w:t>h</w:t>
      </w:r>
      <w:r w:rsidRPr="006D3C55">
        <w:t xml:space="preserve">uman </w:t>
      </w:r>
      <w:r w:rsidR="00BB513D">
        <w:t>r</w:t>
      </w:r>
      <w:r w:rsidRPr="006D3C55">
        <w:t xml:space="preserve">esources and </w:t>
      </w:r>
      <w:r w:rsidR="00BB513D">
        <w:t>information technology</w:t>
      </w:r>
      <w:r w:rsidR="00BB513D" w:rsidRPr="006D3C55">
        <w:t xml:space="preserve"> </w:t>
      </w:r>
      <w:r w:rsidRPr="006D3C55">
        <w:t xml:space="preserve">security, </w:t>
      </w:r>
      <w:r w:rsidR="00DD1EBF">
        <w:t xml:space="preserve">which is </w:t>
      </w:r>
      <w:r w:rsidRPr="006D3C55">
        <w:t xml:space="preserve">especially relevant in the current cybersecurity environment, </w:t>
      </w:r>
      <w:r w:rsidR="00DD1EBF">
        <w:t>and</w:t>
      </w:r>
      <w:r w:rsidRPr="006D3C55">
        <w:t xml:space="preserve"> on financial management and financial instruments.</w:t>
      </w:r>
    </w:p>
    <w:p w14:paraId="0E1580C2" w14:textId="5D4DAE91" w:rsidR="000029D7" w:rsidRPr="006D3C55" w:rsidRDefault="000029D7" w:rsidP="000029D7">
      <w:r w:rsidRPr="006D3C55">
        <w:t xml:space="preserve">The </w:t>
      </w:r>
      <w:r w:rsidR="00DD1EBF">
        <w:t>c</w:t>
      </w:r>
      <w:r w:rsidRPr="006D3C55">
        <w:t xml:space="preserve">ommittee was satisfied with the independence of the </w:t>
      </w:r>
      <w:r w:rsidR="00DD1EBF">
        <w:t>i</w:t>
      </w:r>
      <w:r w:rsidRPr="006D3C55">
        <w:t xml:space="preserve">nternal </w:t>
      </w:r>
      <w:r w:rsidR="00DD1EBF">
        <w:t>a</w:t>
      </w:r>
      <w:r w:rsidRPr="006D3C55">
        <w:t xml:space="preserve">uditor and quality of the internal audit </w:t>
      </w:r>
      <w:r w:rsidR="00196521" w:rsidRPr="006D3C55">
        <w:t>work</w:t>
      </w:r>
      <w:r w:rsidR="00196521">
        <w:t xml:space="preserve"> and</w:t>
      </w:r>
      <w:r w:rsidRPr="006D3C55">
        <w:t xml:space="preserve"> welcomed the </w:t>
      </w:r>
      <w:r w:rsidR="00190E71">
        <w:t>i</w:t>
      </w:r>
      <w:r w:rsidRPr="006D3C55">
        <w:t xml:space="preserve">nternal </w:t>
      </w:r>
      <w:r w:rsidR="00190E71">
        <w:t>a</w:t>
      </w:r>
      <w:r w:rsidRPr="006D3C55">
        <w:t>uditor’s reassurances that the audit plan for 2026 provides coverage of the highest risks and deliver</w:t>
      </w:r>
      <w:r w:rsidR="004B0E44">
        <w:t>y of</w:t>
      </w:r>
      <w:r w:rsidRPr="006D3C55">
        <w:t xml:space="preserve"> the overall conclusion on financial management. The effective implementation rate of the </w:t>
      </w:r>
      <w:r w:rsidR="004B0E44">
        <w:t>i</w:t>
      </w:r>
      <w:r w:rsidRPr="006D3C55">
        <w:t xml:space="preserve">nternal </w:t>
      </w:r>
      <w:r w:rsidR="004B0E44">
        <w:t>a</w:t>
      </w:r>
      <w:r w:rsidRPr="006D3C55">
        <w:t>uditor’s recommendations remained very high (i.e. covering 94% of recommendations issued and followed up during 2021-2025), and only</w:t>
      </w:r>
      <w:r w:rsidR="00E55C5E">
        <w:t xml:space="preserve"> five</w:t>
      </w:r>
      <w:r w:rsidRPr="006D3C55">
        <w:t xml:space="preserve"> very important internal audit recommendations were overdue by more than </w:t>
      </w:r>
      <w:r w:rsidR="004B0E44">
        <w:t>six</w:t>
      </w:r>
      <w:r w:rsidRPr="006D3C55">
        <w:t xml:space="preserve"> months as of December 2025, which the </w:t>
      </w:r>
      <w:r w:rsidR="004B0E44">
        <w:t>c</w:t>
      </w:r>
      <w:r w:rsidRPr="006D3C55">
        <w:t xml:space="preserve">ommittee </w:t>
      </w:r>
      <w:r w:rsidR="004B0E44">
        <w:t>is monitoring</w:t>
      </w:r>
      <w:r w:rsidRPr="006D3C55">
        <w:t xml:space="preserve"> closely.</w:t>
      </w:r>
    </w:p>
    <w:p w14:paraId="69F9449A" w14:textId="1AAFB970" w:rsidR="000029D7" w:rsidRPr="006D3C55" w:rsidRDefault="000029D7" w:rsidP="000029D7">
      <w:r w:rsidRPr="006D3C55">
        <w:t xml:space="preserve">The </w:t>
      </w:r>
      <w:r w:rsidR="004B0E44">
        <w:t>c</w:t>
      </w:r>
      <w:r w:rsidRPr="006D3C55">
        <w:t xml:space="preserve">ommittee continued its exchanges with the European Court of Auditors and held a discussion with the external auditor on its multiannual strategy </w:t>
      </w:r>
      <w:r w:rsidR="004B0E44">
        <w:t xml:space="preserve">for </w:t>
      </w:r>
      <w:r w:rsidRPr="006D3C55">
        <w:t xml:space="preserve">2026-2030 and its annual work programme for 2026. </w:t>
      </w:r>
      <w:r w:rsidR="001C6B1C">
        <w:t>It</w:t>
      </w:r>
      <w:r w:rsidRPr="006D3C55">
        <w:t xml:space="preserve"> also continued to monitor the progress in implementing the Court</w:t>
      </w:r>
      <w:r w:rsidR="004F0FC4">
        <w:t xml:space="preserve"> of Auditors</w:t>
      </w:r>
      <w:r w:rsidRPr="006D3C55">
        <w:t xml:space="preserve">’ recommendations, and was satisfied when, for the 18th time in a row, the Court </w:t>
      </w:r>
      <w:r w:rsidR="004F0FC4">
        <w:t>of Auditors</w:t>
      </w:r>
      <w:r w:rsidR="004F0FC4" w:rsidRPr="006D3C55">
        <w:t xml:space="preserve"> </w:t>
      </w:r>
      <w:r w:rsidRPr="006D3C55">
        <w:t xml:space="preserve">gave a clean opinion on the reliability of the consolidated </w:t>
      </w:r>
      <w:r w:rsidR="001C6B1C">
        <w:t xml:space="preserve">EU </w:t>
      </w:r>
      <w:r w:rsidRPr="006D3C55">
        <w:t>accounts.</w:t>
      </w:r>
    </w:p>
    <w:p w14:paraId="1AC9B5A5" w14:textId="2F99A938" w:rsidR="000029D7" w:rsidRPr="006D3C55" w:rsidRDefault="000029D7" w:rsidP="000029D7">
      <w:r w:rsidRPr="006D3C55">
        <w:t xml:space="preserve">During this period, the </w:t>
      </w:r>
      <w:r w:rsidR="001C6B1C">
        <w:t>c</w:t>
      </w:r>
      <w:r w:rsidRPr="006D3C55">
        <w:t xml:space="preserve">ommittee contributed to the revision of the </w:t>
      </w:r>
      <w:r w:rsidR="007F2291" w:rsidRPr="006D3C55">
        <w:t>Audit Progress Committee</w:t>
      </w:r>
      <w:r w:rsidR="007F2291">
        <w:t>’s</w:t>
      </w:r>
      <w:r w:rsidR="007F2291" w:rsidRPr="006D3C55">
        <w:t xml:space="preserve"> </w:t>
      </w:r>
      <w:r w:rsidRPr="006D3C55">
        <w:t xml:space="preserve">Mission Charter, </w:t>
      </w:r>
      <w:r w:rsidR="007A00DF">
        <w:t xml:space="preserve">with </w:t>
      </w:r>
      <w:r w:rsidRPr="006D3C55">
        <w:t xml:space="preserve">the last version dating from 2020. The aim of this update was mainly to reflect the changes in the revised </w:t>
      </w:r>
      <w:r w:rsidR="002D6D4C" w:rsidRPr="006D3C55">
        <w:t xml:space="preserve">Internal Audit </w:t>
      </w:r>
      <w:r w:rsidR="002D6D4C">
        <w:t xml:space="preserve">Service </w:t>
      </w:r>
      <w:r w:rsidRPr="006D3C55">
        <w:t>Mission Charter prompted by the revision of the Global Internal Audit Standards, in particular clarifying that since the Audit Progress Committee has no management powers, the ‘</w:t>
      </w:r>
      <w:r w:rsidR="00EB0481">
        <w:t>b</w:t>
      </w:r>
      <w:r w:rsidRPr="006D3C55">
        <w:t>oard’ responsibilities</w:t>
      </w:r>
      <w:r w:rsidR="00EB0481">
        <w:t>,</w:t>
      </w:r>
      <w:r w:rsidRPr="006D3C55">
        <w:t xml:space="preserve"> with respect to the governance of the internal audit function as set out in the </w:t>
      </w:r>
      <w:r w:rsidR="002D6D4C" w:rsidRPr="006D3C55">
        <w:t>Global Internal Audit Standards</w:t>
      </w:r>
      <w:r w:rsidR="00EB0481">
        <w:t>,</w:t>
      </w:r>
      <w:r w:rsidR="002D6D4C" w:rsidRPr="006D3C55">
        <w:t xml:space="preserve"> </w:t>
      </w:r>
      <w:r w:rsidRPr="006D3C55">
        <w:t>are assumed by the College of Commissioners.</w:t>
      </w:r>
    </w:p>
    <w:p w14:paraId="77CF2F31" w14:textId="02D05620" w:rsidR="001301C1" w:rsidRPr="006D3C55" w:rsidRDefault="001301C1" w:rsidP="001301C1">
      <w:pPr>
        <w:rPr>
          <w:highlight w:val="lightGray"/>
        </w:rPr>
      </w:pPr>
      <w:r w:rsidRPr="006D3C55">
        <w:t>Annex</w:t>
      </w:r>
      <w:r w:rsidR="00284372">
        <w:rPr>
          <w:rFonts w:ascii="Calibri" w:hAnsi="Calibri" w:cs="Calibri"/>
        </w:rPr>
        <w:t> </w:t>
      </w:r>
      <w:r w:rsidRPr="006D3C55">
        <w:t>7</w:t>
      </w:r>
      <w:r w:rsidRPr="006D3C55" w:rsidDel="00BA0A6B">
        <w:t xml:space="preserve"> </w:t>
      </w:r>
      <w:r w:rsidRPr="006D3C55">
        <w:t>to this annual management and performance report</w:t>
      </w:r>
      <w:r w:rsidR="00481497">
        <w:t>, in Volume</w:t>
      </w:r>
      <w:r w:rsidR="00481497">
        <w:rPr>
          <w:rFonts w:ascii="Calibri" w:hAnsi="Calibri" w:cs="Calibri"/>
        </w:rPr>
        <w:t> </w:t>
      </w:r>
      <w:r w:rsidR="00481497">
        <w:t>III,</w:t>
      </w:r>
      <w:r w:rsidRPr="006D3C55">
        <w:t xml:space="preserve"> includes more information on the work and conclusions of the </w:t>
      </w:r>
      <w:r w:rsidR="00284372">
        <w:t>c</w:t>
      </w:r>
      <w:r w:rsidR="000029D7" w:rsidRPr="006D3C55">
        <w:t>ommittee.</w:t>
      </w:r>
    </w:p>
    <w:p w14:paraId="62525F8A" w14:textId="77777777" w:rsidR="001301C1" w:rsidRPr="006D3C55" w:rsidRDefault="001301C1" w:rsidP="001301C1">
      <w:pPr>
        <w:suppressAutoHyphens w:val="0"/>
        <w:rPr>
          <w:highlight w:val="lightGray"/>
        </w:rPr>
      </w:pPr>
      <w:r w:rsidRPr="006D3C55">
        <w:rPr>
          <w:highlight w:val="lightGray"/>
        </w:rPr>
        <w:br w:type="page"/>
      </w:r>
    </w:p>
    <w:p w14:paraId="0D280AFA" w14:textId="2B261B90" w:rsidR="001301C1" w:rsidRPr="006D3C55" w:rsidRDefault="001301C1" w:rsidP="00BF1AFB">
      <w:pPr>
        <w:pStyle w:val="HNum-fromh2Heading3-11"/>
      </w:pPr>
      <w:r w:rsidRPr="006D3C55">
        <w:t xml:space="preserve">The opinions of the Court of Auditors on the </w:t>
      </w:r>
      <w:r w:rsidR="00D434EA" w:rsidRPr="006D3C55">
        <w:t xml:space="preserve">2024 </w:t>
      </w:r>
      <w:r w:rsidRPr="006D3C55">
        <w:t>accounts and on the legality and regularity of transactions</w:t>
      </w:r>
    </w:p>
    <w:p w14:paraId="5439C421" w14:textId="548CE8A7" w:rsidR="001301C1" w:rsidRPr="006D3C55" w:rsidRDefault="001301C1" w:rsidP="001301C1">
      <w:r w:rsidRPr="006D3C55">
        <w:t xml:space="preserve">The Court of Auditors’ </w:t>
      </w:r>
      <w:r w:rsidRPr="00AB51E8">
        <w:rPr>
          <w:rStyle w:val="Italic"/>
        </w:rPr>
        <w:t xml:space="preserve">Annual reports on the implementation of the EU budget for the </w:t>
      </w:r>
      <w:r w:rsidR="00E27036" w:rsidRPr="00AB51E8">
        <w:rPr>
          <w:rStyle w:val="Italic"/>
        </w:rPr>
        <w:t xml:space="preserve">2024 </w:t>
      </w:r>
      <w:r w:rsidRPr="00AB51E8">
        <w:rPr>
          <w:rStyle w:val="Italic"/>
        </w:rPr>
        <w:t xml:space="preserve">financial year and on the activities funded by the 9th, 10th and 11th European Development Funds (EDFs) for the </w:t>
      </w:r>
      <w:r w:rsidR="00E27036" w:rsidRPr="00AB51E8">
        <w:rPr>
          <w:rStyle w:val="Italic"/>
        </w:rPr>
        <w:t xml:space="preserve">2024 </w:t>
      </w:r>
      <w:r w:rsidRPr="00AB51E8">
        <w:rPr>
          <w:rStyle w:val="Italic"/>
        </w:rPr>
        <w:t xml:space="preserve">financial </w:t>
      </w:r>
      <w:r w:rsidRPr="00AB51E8" w:rsidDel="00401FBC">
        <w:rPr>
          <w:rStyle w:val="Italic"/>
        </w:rPr>
        <w:t>year</w:t>
      </w:r>
      <w:r w:rsidRPr="006D3C55">
        <w:t xml:space="preserve">, published in October </w:t>
      </w:r>
      <w:r w:rsidR="00E27036" w:rsidRPr="006D3C55">
        <w:t>2025</w:t>
      </w:r>
      <w:r w:rsidRPr="006D3C55">
        <w:t>, gave a clean opinion on the EU accounts for the 1</w:t>
      </w:r>
      <w:r w:rsidR="00E41744" w:rsidRPr="006D3C55">
        <w:t>8</w:t>
      </w:r>
      <w:r w:rsidRPr="006D3C55">
        <w:t>th year in a row. Revenue also continued to be free from material error.</w:t>
      </w:r>
    </w:p>
    <w:p w14:paraId="4725FF61" w14:textId="45F8D1D6" w:rsidR="001301C1" w:rsidRPr="006D3C55" w:rsidRDefault="001301C1" w:rsidP="001301C1">
      <w:r w:rsidRPr="006D3C55">
        <w:t>As regards the legality and regularity of expenditure, under the multiannual financial framework, the Court</w:t>
      </w:r>
      <w:r w:rsidRPr="006D3C55" w:rsidDel="00D067F7">
        <w:t xml:space="preserve"> </w:t>
      </w:r>
      <w:r w:rsidR="001C6B49">
        <w:t xml:space="preserve">of Auditors </w:t>
      </w:r>
      <w:r w:rsidRPr="006D3C55">
        <w:t>maintained its adverse opinion</w:t>
      </w:r>
      <w:r w:rsidR="00E5237E">
        <w:t>,</w:t>
      </w:r>
      <w:r w:rsidR="00736CDB" w:rsidRPr="006D3C55">
        <w:t xml:space="preserve"> even if</w:t>
      </w:r>
      <w:r w:rsidRPr="006D3C55">
        <w:t xml:space="preserve"> </w:t>
      </w:r>
      <w:r w:rsidR="0033243B" w:rsidRPr="006D3C55">
        <w:t>its</w:t>
      </w:r>
      <w:r w:rsidRPr="006D3C55">
        <w:t xml:space="preserve"> estimated overall level of error for the EU budget </w:t>
      </w:r>
      <w:r w:rsidR="00736CDB" w:rsidRPr="006D3C55">
        <w:t>de</w:t>
      </w:r>
      <w:r w:rsidRPr="006D3C55">
        <w:t xml:space="preserve">creased </w:t>
      </w:r>
      <w:r w:rsidR="00736CDB" w:rsidRPr="006D3C55">
        <w:t xml:space="preserve">from </w:t>
      </w:r>
      <w:r w:rsidR="00E41744" w:rsidRPr="006D3C55">
        <w:t>5.6</w:t>
      </w:r>
      <w:r w:rsidRPr="006D3C55">
        <w:t xml:space="preserve">% in </w:t>
      </w:r>
      <w:r w:rsidR="00E41744" w:rsidRPr="006D3C55">
        <w:t>2023</w:t>
      </w:r>
      <w:r w:rsidR="00736CDB" w:rsidRPr="006D3C55">
        <w:t xml:space="preserve"> to 3.6% in 202</w:t>
      </w:r>
      <w:r w:rsidR="00B96965" w:rsidRPr="006D3C55">
        <w:t>4</w:t>
      </w:r>
      <w:r w:rsidRPr="006D3C55">
        <w:t>.</w:t>
      </w:r>
    </w:p>
    <w:p w14:paraId="17C2FA77" w14:textId="76E06D0B" w:rsidR="001301C1" w:rsidRPr="006D3C55" w:rsidRDefault="001301C1" w:rsidP="001301C1">
      <w:r w:rsidRPr="006D3C55">
        <w:t>The Court</w:t>
      </w:r>
      <w:r w:rsidR="00380DE1" w:rsidRPr="00380DE1">
        <w:t xml:space="preserve"> </w:t>
      </w:r>
      <w:r w:rsidR="00380DE1">
        <w:t>of Auditors</w:t>
      </w:r>
      <w:r w:rsidRPr="006D3C55" w:rsidDel="00D067F7">
        <w:t xml:space="preserve"> </w:t>
      </w:r>
      <w:r w:rsidRPr="006D3C55">
        <w:t xml:space="preserve">explains its adverse opinion through both the reported level of error and the fact that material </w:t>
      </w:r>
      <w:r w:rsidR="00B1182D" w:rsidRPr="006D3C55">
        <w:t xml:space="preserve">and pervasive </w:t>
      </w:r>
      <w:r w:rsidRPr="006D3C55">
        <w:t>errors remain in what the Court</w:t>
      </w:r>
      <w:r w:rsidRPr="006D3C55" w:rsidDel="008B05FC">
        <w:t xml:space="preserve"> </w:t>
      </w:r>
      <w:r w:rsidR="00042DBD">
        <w:t>of Auditors</w:t>
      </w:r>
      <w:r w:rsidRPr="006D3C55" w:rsidDel="008B05FC">
        <w:t xml:space="preserve"> </w:t>
      </w:r>
      <w:r w:rsidRPr="006D3C55">
        <w:t>considers to be high-risk expenditure. The Court</w:t>
      </w:r>
      <w:r w:rsidR="006B3794" w:rsidRPr="006B3794">
        <w:t xml:space="preserve"> </w:t>
      </w:r>
      <w:r w:rsidR="006B3794">
        <w:t>of Auditors</w:t>
      </w:r>
      <w:r w:rsidRPr="006D3C55">
        <w:t xml:space="preserve"> considers as such expenditure that is often subject to complex rules and is mainly based on reimbursement of costs, in particular in the areas of cohesion,</w:t>
      </w:r>
      <w:r w:rsidR="00EF4C43" w:rsidRPr="006D3C55">
        <w:t xml:space="preserve"> </w:t>
      </w:r>
      <w:r w:rsidRPr="006D3C55">
        <w:t>research</w:t>
      </w:r>
      <w:r w:rsidR="00EF4C43" w:rsidRPr="006D3C55">
        <w:t xml:space="preserve"> and innovation</w:t>
      </w:r>
      <w:r w:rsidRPr="006D3C55">
        <w:t xml:space="preserve">, rural development, </w:t>
      </w:r>
      <w:r w:rsidR="00F561EE" w:rsidRPr="006D3C55">
        <w:t>migration and border management</w:t>
      </w:r>
      <w:r w:rsidR="00C4551F">
        <w:t>, and</w:t>
      </w:r>
      <w:r w:rsidR="00F561EE" w:rsidRPr="006D3C55">
        <w:t xml:space="preserve"> neighbourhood and the world</w:t>
      </w:r>
      <w:r w:rsidRPr="006D3C55">
        <w:t>. It</w:t>
      </w:r>
      <w:r w:rsidRPr="006D3C55" w:rsidDel="00BA0A7A">
        <w:t xml:space="preserve"> </w:t>
      </w:r>
      <w:r w:rsidRPr="006D3C55">
        <w:t xml:space="preserve">concludes that high-risk expenditure represented </w:t>
      </w:r>
      <w:r w:rsidR="0041540F" w:rsidRPr="006D3C55">
        <w:t>68.9</w:t>
      </w:r>
      <w:r w:rsidRPr="006D3C55">
        <w:t>% of the audited population for 202</w:t>
      </w:r>
      <w:r w:rsidR="0041540F" w:rsidRPr="006D3C55">
        <w:t>4</w:t>
      </w:r>
      <w:r w:rsidRPr="006D3C55">
        <w:t xml:space="preserve"> (against </w:t>
      </w:r>
      <w:r w:rsidR="0041540F" w:rsidRPr="006D3C55">
        <w:t>64</w:t>
      </w:r>
      <w:r w:rsidRPr="006D3C55">
        <w:t xml:space="preserve">% in </w:t>
      </w:r>
      <w:r w:rsidR="0041540F" w:rsidRPr="006D3C55">
        <w:t>2023</w:t>
      </w:r>
      <w:r w:rsidRPr="006D3C55">
        <w:t>).</w:t>
      </w:r>
    </w:p>
    <w:p w14:paraId="2E0F72FC" w14:textId="17DC6A41" w:rsidR="001301C1" w:rsidRPr="006D3C55" w:rsidRDefault="001301C1" w:rsidP="001301C1">
      <w:r w:rsidRPr="006D3C55">
        <w:t>On the other hand, the Court</w:t>
      </w:r>
      <w:r w:rsidRPr="006D3C55" w:rsidDel="00377682">
        <w:t xml:space="preserve"> </w:t>
      </w:r>
      <w:r w:rsidR="006B3794">
        <w:t>of Auditors</w:t>
      </w:r>
      <w:r w:rsidRPr="006D3C55" w:rsidDel="00377682">
        <w:t xml:space="preserve"> </w:t>
      </w:r>
      <w:r w:rsidRPr="006D3C55">
        <w:t>confirmed again that the risk of error is lower for expenditure subject to simpler rules, mainly entitlement-based payments (as opposed to reimbursement-based payments). This concerns, for instance, direct payments to farmers, but also administrative expenditure (mostly salaries and pensions in the EU civil service). Both these types of expenditure continue to be free from material error.</w:t>
      </w:r>
    </w:p>
    <w:p w14:paraId="21BAF987" w14:textId="264333A2" w:rsidR="001301C1" w:rsidRPr="006D3C55" w:rsidRDefault="001301C1" w:rsidP="001301C1">
      <w:r w:rsidRPr="006D3C55">
        <w:t>The Court</w:t>
      </w:r>
      <w:r w:rsidRPr="006D3C55" w:rsidDel="00377682">
        <w:t xml:space="preserve"> </w:t>
      </w:r>
      <w:r w:rsidR="006B3794">
        <w:t>of Auditors</w:t>
      </w:r>
      <w:r w:rsidRPr="006D3C55" w:rsidDel="00377682">
        <w:t xml:space="preserve"> </w:t>
      </w:r>
      <w:r w:rsidRPr="006D3C55">
        <w:t xml:space="preserve">also issued an audit opinion on the </w:t>
      </w:r>
      <w:r w:rsidR="0072554B" w:rsidRPr="006D3C55">
        <w:t>Recovery and Resilience Facility</w:t>
      </w:r>
      <w:r w:rsidRPr="006D3C55">
        <w:t xml:space="preserve"> for the </w:t>
      </w:r>
      <w:r w:rsidR="00294C77" w:rsidRPr="006D3C55">
        <w:t xml:space="preserve">fourth </w:t>
      </w:r>
      <w:r w:rsidRPr="006D3C55">
        <w:t>time. It</w:t>
      </w:r>
      <w:r w:rsidRPr="006D3C55" w:rsidDel="002C73CF">
        <w:t xml:space="preserve"> </w:t>
      </w:r>
      <w:r w:rsidRPr="006D3C55">
        <w:t xml:space="preserve">considered that the overall effects of its findings are material but not pervasive to this year’s </w:t>
      </w:r>
      <w:r w:rsidR="0072554B" w:rsidRPr="006D3C55">
        <w:t>Recovery and Resilience Facility</w:t>
      </w:r>
      <w:r w:rsidRPr="006D3C55">
        <w:t xml:space="preserve"> expenditure. Based on these quantitative and other qualitative findings, the Court of Auditors issued a qualified opinion</w:t>
      </w:r>
      <w:r w:rsidRPr="006D3C55">
        <w:rPr>
          <w:rFonts w:ascii="Calibri" w:hAnsi="Calibri" w:cs="Calibri"/>
        </w:rPr>
        <w:t> </w:t>
      </w:r>
      <w:r w:rsidRPr="006D3C55">
        <w:t>(</w:t>
      </w:r>
      <w:r w:rsidRPr="00352191">
        <w:rPr>
          <w:rStyle w:val="FootnoteReference"/>
        </w:rPr>
        <w:footnoteReference w:id="52"/>
      </w:r>
      <w:r w:rsidRPr="006D3C55">
        <w:t>).</w:t>
      </w:r>
    </w:p>
    <w:p w14:paraId="271BEAD5" w14:textId="76D76288" w:rsidR="001301C1" w:rsidRPr="006D3C55" w:rsidRDefault="001301C1" w:rsidP="00CC6C2F">
      <w:pPr>
        <w:pStyle w:val="HNum-fromh2Heading3-11"/>
      </w:pPr>
      <w:r w:rsidRPr="006D3C55">
        <w:t xml:space="preserve">Discharge of the budget for </w:t>
      </w:r>
      <w:r w:rsidR="0099656D" w:rsidRPr="006D3C55">
        <w:t>2024</w:t>
      </w:r>
    </w:p>
    <w:p w14:paraId="750CC305" w14:textId="0CBBDD1E" w:rsidR="001301C1" w:rsidRPr="006D3C55" w:rsidRDefault="001301C1" w:rsidP="001301C1">
      <w:r w:rsidRPr="006D3C55">
        <w:t>The</w:t>
      </w:r>
      <w:r w:rsidRPr="006D3C55" w:rsidDel="003957FE">
        <w:t xml:space="preserve"> </w:t>
      </w:r>
      <w:r w:rsidRPr="006D3C55">
        <w:t xml:space="preserve">Parliament granted the discharge to the Commission for the </w:t>
      </w:r>
      <w:r w:rsidR="0099656D" w:rsidRPr="006D3C55">
        <w:t xml:space="preserve">2024 </w:t>
      </w:r>
      <w:r w:rsidRPr="006D3C55">
        <w:t xml:space="preserve">financial year on </w:t>
      </w:r>
      <w:r w:rsidR="005D45D7" w:rsidRPr="006D3C55">
        <w:t>29</w:t>
      </w:r>
      <w:r w:rsidR="00643A99">
        <w:rPr>
          <w:rFonts w:ascii="Calibri" w:hAnsi="Calibri" w:cs="Calibri"/>
        </w:rPr>
        <w:t> </w:t>
      </w:r>
      <w:r w:rsidR="005D45D7" w:rsidRPr="006D3C55">
        <w:t>April 2026</w:t>
      </w:r>
      <w:r w:rsidRPr="006D3C55">
        <w:t>, after having examined the reports of the Court of Auditors, the Commission’s integrated financial and accountability reporting package and the Council’s discharge recommendation. The</w:t>
      </w:r>
      <w:r w:rsidRPr="006D3C55" w:rsidDel="003957FE">
        <w:t xml:space="preserve"> </w:t>
      </w:r>
      <w:r w:rsidRPr="006D3C55">
        <w:t>Parliament’s Committee on Budgetary Control also invited selected Commissioners and Executive Vice-Presidents for discharge hearings structured according to the headings of the multiannual financial framework, after having held exchanges of views with selected Directors-General (focused on the respective annual activity reports).</w:t>
      </w:r>
    </w:p>
    <w:p w14:paraId="05A28843" w14:textId="1E1E7349" w:rsidR="001301C1" w:rsidRPr="006D3C55" w:rsidRDefault="001301C1" w:rsidP="001301C1">
      <w:r w:rsidRPr="006D3C55">
        <w:t>During the procedure, the key stakeholders</w:t>
      </w:r>
      <w:r w:rsidRPr="006D3C55">
        <w:rPr>
          <w:rFonts w:ascii="Calibri" w:hAnsi="Calibri" w:cs="Calibri"/>
        </w:rPr>
        <w:t> </w:t>
      </w:r>
      <w:r w:rsidRPr="006D3C55">
        <w:t>– the Parliament, the Council and the Court of Auditors</w:t>
      </w:r>
      <w:r w:rsidRPr="006D3C55">
        <w:rPr>
          <w:rFonts w:ascii="Calibri" w:hAnsi="Calibri" w:cs="Calibri"/>
        </w:rPr>
        <w:t> </w:t>
      </w:r>
      <w:r w:rsidRPr="006D3C55">
        <w:t>– focused on how to ensure transparency in the use of the EU budget, how to improve its results and how to further reduce the level of errors. The Recovery and Resilience Facility was again one of the key elements of the discharge discussions due to its financial magnitude and the specific nature of its delivery mode, which is performance based rather than based on costs incurred.</w:t>
      </w:r>
      <w:r w:rsidR="002400EF" w:rsidRPr="006D3C55">
        <w:t xml:space="preserve"> This discussion on the lessons learned from the </w:t>
      </w:r>
      <w:r w:rsidR="00F437A3" w:rsidRPr="006D3C55">
        <w:t xml:space="preserve">implementation of the </w:t>
      </w:r>
      <w:r w:rsidR="002400EF" w:rsidRPr="006D3C55">
        <w:t xml:space="preserve">Recovery and Resilience Facility was often put in </w:t>
      </w:r>
      <w:r w:rsidR="00F437A3" w:rsidRPr="006D3C55">
        <w:t>the context of</w:t>
      </w:r>
      <w:r w:rsidR="002400EF" w:rsidRPr="006D3C55">
        <w:t xml:space="preserve"> the Commission’s proposal for the 2028-2034 multiannual financial framework.</w:t>
      </w:r>
    </w:p>
    <w:p w14:paraId="4752261D" w14:textId="77777777" w:rsidR="001301C1" w:rsidRPr="006D3C55" w:rsidRDefault="001301C1" w:rsidP="001301C1">
      <w:pPr>
        <w:spacing w:after="120"/>
      </w:pPr>
      <w:r w:rsidRPr="006D3C55">
        <w:t>The discussions on discharge also touched upon issues such as:</w:t>
      </w:r>
    </w:p>
    <w:p w14:paraId="0048328A" w14:textId="77777777" w:rsidR="001301C1" w:rsidRPr="006D3C55" w:rsidRDefault="001301C1" w:rsidP="0095387A">
      <w:pPr>
        <w:pStyle w:val="ListBulletorangeLevel1"/>
      </w:pPr>
      <w:r w:rsidRPr="006D3C55">
        <w:t>the rule of law and fundamental rights;</w:t>
      </w:r>
    </w:p>
    <w:p w14:paraId="2E395C40" w14:textId="11397184" w:rsidR="00BC448F" w:rsidRPr="006D3C55" w:rsidRDefault="00BC448F" w:rsidP="0095387A">
      <w:pPr>
        <w:pStyle w:val="ListBulletorangeLevel1"/>
      </w:pPr>
      <w:r w:rsidRPr="006D3C55">
        <w:t xml:space="preserve">the transparency of financing of non-governmental organisations, in particular </w:t>
      </w:r>
      <w:r w:rsidR="00FD04C1">
        <w:t>in</w:t>
      </w:r>
      <w:r w:rsidR="00FD04C1" w:rsidRPr="006D3C55">
        <w:t xml:space="preserve"> </w:t>
      </w:r>
      <w:r w:rsidRPr="006D3C55">
        <w:t>respect of financing for advocacy activities;</w:t>
      </w:r>
    </w:p>
    <w:p w14:paraId="3CBFA2CE" w14:textId="6B5D53A1" w:rsidR="001301C1" w:rsidRPr="006D3C55" w:rsidRDefault="001301C1" w:rsidP="0095387A">
      <w:pPr>
        <w:pStyle w:val="ListBulletorangeLevel1"/>
      </w:pPr>
      <w:r w:rsidRPr="006D3C55">
        <w:t xml:space="preserve">the need for </w:t>
      </w:r>
      <w:r w:rsidR="00421E86">
        <w:t xml:space="preserve">the </w:t>
      </w:r>
      <w:r w:rsidRPr="006D3C55">
        <w:t>smoother implementation and absorption of EU funds and for the simplification of rules and procedures;</w:t>
      </w:r>
    </w:p>
    <w:p w14:paraId="1ED58D95" w14:textId="63C49F0E" w:rsidR="001301C1" w:rsidRPr="006D3C55" w:rsidRDefault="001301C1" w:rsidP="0095387A">
      <w:pPr>
        <w:pStyle w:val="ListBulletorangeLevel1"/>
      </w:pPr>
      <w:r w:rsidRPr="006D3C55">
        <w:t>the growing cost of repayment of the debt under NextGenerationEU</w:t>
      </w:r>
      <w:r w:rsidR="00FD04C1">
        <w:t>;</w:t>
      </w:r>
    </w:p>
    <w:p w14:paraId="7C4001AA" w14:textId="4AFFCC39" w:rsidR="00961558" w:rsidRPr="006D3C55" w:rsidRDefault="00961558" w:rsidP="0095387A">
      <w:pPr>
        <w:pStyle w:val="ListBulletorangeLevel1"/>
      </w:pPr>
      <w:r w:rsidRPr="006D3C55">
        <w:t>revising the guidance on final recipients in national Recovery and Resilience Facility plans;</w:t>
      </w:r>
    </w:p>
    <w:p w14:paraId="01A55151" w14:textId="524A72FC" w:rsidR="001301C1" w:rsidRPr="006D3C55" w:rsidRDefault="001301C1" w:rsidP="0095387A">
      <w:pPr>
        <w:pStyle w:val="ListBulletorangeLevel1"/>
      </w:pPr>
      <w:r w:rsidRPr="006D3C55">
        <w:t>drawing conclusions from the implementation of the Recovery and Resilience Facility in light of the next multiannual financial framework;</w:t>
      </w:r>
    </w:p>
    <w:p w14:paraId="3E2D4F24" w14:textId="77777777" w:rsidR="001301C1" w:rsidRPr="006D3C55" w:rsidRDefault="001301C1" w:rsidP="0095387A">
      <w:pPr>
        <w:pStyle w:val="ListBulletorangeLevel1"/>
      </w:pPr>
      <w:r w:rsidRPr="006D3C55">
        <w:t>cooperation among various stakeholders in the EU anti-fraud architecture;</w:t>
      </w:r>
    </w:p>
    <w:p w14:paraId="6B41F331" w14:textId="77777777" w:rsidR="001301C1" w:rsidRPr="006D3C55" w:rsidRDefault="001301C1" w:rsidP="0095387A">
      <w:pPr>
        <w:pStyle w:val="ListBulletorangeLevel1"/>
      </w:pPr>
      <w:r w:rsidRPr="006D3C55">
        <w:t>the methodologies to estimate the level of error and the level of risk, and cases where the Court of Auditors and the Commission reached different conclusions on the eligibility of expenditure;</w:t>
      </w:r>
    </w:p>
    <w:p w14:paraId="17BA6743" w14:textId="1FE5F897" w:rsidR="006A2537" w:rsidRPr="006D3C55" w:rsidRDefault="006A2537" w:rsidP="0095387A">
      <w:pPr>
        <w:pStyle w:val="ListBulletorangeLevel1"/>
      </w:pPr>
      <w:r w:rsidRPr="006D3C55">
        <w:t xml:space="preserve">the need for a comprehensive </w:t>
      </w:r>
      <w:r w:rsidR="003C1915">
        <w:t>EU</w:t>
      </w:r>
      <w:r w:rsidR="003C1915" w:rsidRPr="006D3C55">
        <w:t xml:space="preserve"> </w:t>
      </w:r>
      <w:r w:rsidRPr="006D3C55">
        <w:t>approach to defence funding</w:t>
      </w:r>
      <w:r w:rsidR="003C1915">
        <w:t>.</w:t>
      </w:r>
    </w:p>
    <w:p w14:paraId="7C4E29E8" w14:textId="77777777" w:rsidR="001301C1" w:rsidRPr="006D3C55" w:rsidRDefault="001301C1" w:rsidP="001301C1">
      <w:r w:rsidRPr="006D3C55">
        <w:t>Within the annual discharge procedure, the Commission informs the Parliament and the Council (as the two arms of the budgetary and discharge authorities) about the implementation of their recommendations through two reports: (1) an overview follow-up report (published in the summer); and (2) a more detailed report with replies to specific requests from the Parliament and the Council (sent in the autumn).</w:t>
      </w:r>
    </w:p>
    <w:p w14:paraId="5DAA98D9" w14:textId="161C243B" w:rsidR="001301C1" w:rsidRPr="006D3C55" w:rsidRDefault="001301C1" w:rsidP="001301C1">
      <w:r w:rsidRPr="006D3C55">
        <w:t>Regarding recommendations issued by the Court of Auditors, the Commission’s replies are published together with the Court</w:t>
      </w:r>
      <w:r w:rsidR="00042DBD">
        <w:t xml:space="preserve"> of Auditor</w:t>
      </w:r>
      <w:r w:rsidRPr="006D3C55">
        <w:t>s</w:t>
      </w:r>
      <w:r w:rsidR="00042DBD">
        <w:t>’</w:t>
      </w:r>
      <w:r w:rsidRPr="006D3C55">
        <w:t xml:space="preserve"> reports, stating which recommendations are accepted, partially accepted or rejected. The follow-up to the accepted recommendations is tracked in an information technology tool, ensuring the traceability of each step of the implementation. Each Commission department reports on the implementation of these recommendations in its annual activity report. Moreover, the state of play of the implementation of these recommendations is presented on a regular basis to the Audit Progress Committee in the context of its mandate.</w:t>
      </w:r>
    </w:p>
    <w:p w14:paraId="1E6B3761" w14:textId="40D3AA4C" w:rsidR="001301C1" w:rsidRPr="00D14229" w:rsidRDefault="001301C1" w:rsidP="001301C1">
      <w:r w:rsidRPr="006D3C55">
        <w:t>The</w:t>
      </w:r>
      <w:r w:rsidRPr="006D3C55" w:rsidDel="005D64A3">
        <w:t xml:space="preserve"> </w:t>
      </w:r>
      <w:r w:rsidRPr="006D3C55">
        <w:t xml:space="preserve">Court of Auditors also monitors the Commission’s implementation of its recommendations and provides feedback, helping the Commission to enhance its follow-up activities. In its </w:t>
      </w:r>
      <w:r w:rsidR="0004044D" w:rsidRPr="006D3C55">
        <w:t xml:space="preserve">2024 </w:t>
      </w:r>
      <w:r w:rsidRPr="006D3C55">
        <w:t>annual report, the</w:t>
      </w:r>
      <w:r w:rsidRPr="006D3C55" w:rsidDel="005D64A3">
        <w:t xml:space="preserve"> </w:t>
      </w:r>
      <w:r w:rsidRPr="006D3C55">
        <w:t xml:space="preserve">Court of Auditors reviewed the extent to which the Commission had pursued the implementation of </w:t>
      </w:r>
      <w:r w:rsidR="0004044D" w:rsidRPr="006D3C55">
        <w:t xml:space="preserve">194 </w:t>
      </w:r>
      <w:r w:rsidRPr="006D3C55">
        <w:t xml:space="preserve">audit recommendations addressed to it in </w:t>
      </w:r>
      <w:r w:rsidR="0004044D" w:rsidRPr="006D3C55">
        <w:t xml:space="preserve">27 </w:t>
      </w:r>
      <w:r w:rsidRPr="006D3C55">
        <w:t xml:space="preserve">special reports published in </w:t>
      </w:r>
      <w:r w:rsidR="00F057F8" w:rsidRPr="006D3C55">
        <w:t>2021</w:t>
      </w:r>
      <w:r w:rsidRPr="006D3C55">
        <w:t>.</w:t>
      </w:r>
      <w:r w:rsidRPr="006D3C55" w:rsidDel="005D64A3">
        <w:t xml:space="preserve"> </w:t>
      </w:r>
      <w:r w:rsidR="00F057F8" w:rsidRPr="006D3C55">
        <w:t xml:space="preserve">Eleven </w:t>
      </w:r>
      <w:r w:rsidRPr="006D3C55">
        <w:t>recommendations were not yet due for implementation at the time of the Court</w:t>
      </w:r>
      <w:r w:rsidR="00042DBD">
        <w:t xml:space="preserve"> of Auditor</w:t>
      </w:r>
      <w:r w:rsidR="009F7E52">
        <w:t>s’</w:t>
      </w:r>
      <w:r w:rsidRPr="006D3C55" w:rsidDel="00854B29">
        <w:t xml:space="preserve"> </w:t>
      </w:r>
      <w:r w:rsidRPr="006D3C55">
        <w:t xml:space="preserve">follow-up review. Of the remaining </w:t>
      </w:r>
      <w:r w:rsidR="00F057F8" w:rsidRPr="006D3C55">
        <w:t xml:space="preserve">183 </w:t>
      </w:r>
      <w:r w:rsidRPr="006D3C55">
        <w:t xml:space="preserve">recommendations, the Commission had implemented </w:t>
      </w:r>
      <w:r w:rsidR="00E36282" w:rsidRPr="006D3C55">
        <w:t>100</w:t>
      </w:r>
      <w:r w:rsidR="00E36282" w:rsidRPr="006D3C55" w:rsidDel="006B0293">
        <w:t xml:space="preserve"> </w:t>
      </w:r>
      <w:r w:rsidRPr="006D3C55">
        <w:t>(</w:t>
      </w:r>
      <w:r w:rsidR="00E36282" w:rsidRPr="006D3C55">
        <w:t>55</w:t>
      </w:r>
      <w:r w:rsidRPr="006D3C55">
        <w:t>%)</w:t>
      </w:r>
      <w:r w:rsidRPr="006D3C55" w:rsidDel="006B0293">
        <w:t xml:space="preserve"> </w:t>
      </w:r>
      <w:r w:rsidRPr="006D3C55">
        <w:t xml:space="preserve">in full, </w:t>
      </w:r>
      <w:r w:rsidR="00E36282" w:rsidRPr="006D3C55">
        <w:t xml:space="preserve">40 </w:t>
      </w:r>
      <w:r w:rsidRPr="006D3C55">
        <w:t>(</w:t>
      </w:r>
      <w:r w:rsidR="00E36282" w:rsidRPr="006D3C55">
        <w:t>22</w:t>
      </w:r>
      <w:r w:rsidRPr="006D3C55">
        <w:t>%)</w:t>
      </w:r>
      <w:r w:rsidRPr="006D3C55" w:rsidDel="006B0293">
        <w:t xml:space="preserve"> </w:t>
      </w:r>
      <w:r w:rsidRPr="006D3C55">
        <w:t xml:space="preserve">in most respects </w:t>
      </w:r>
      <w:r w:rsidR="007D0FBD">
        <w:br/>
      </w:r>
      <w:r w:rsidRPr="006D3C55">
        <w:t>and 34 (</w:t>
      </w:r>
      <w:r w:rsidR="00E36282" w:rsidRPr="006D3C55">
        <w:t>18</w:t>
      </w:r>
      <w:r w:rsidRPr="006D3C55">
        <w:t>%)</w:t>
      </w:r>
      <w:r w:rsidRPr="006D3C55" w:rsidDel="006B0293">
        <w:t xml:space="preserve"> </w:t>
      </w:r>
      <w:r w:rsidRPr="006D3C55">
        <w:t xml:space="preserve">in some respects. In </w:t>
      </w:r>
      <w:r w:rsidR="00641C1C" w:rsidRPr="006D3C55">
        <w:t xml:space="preserve">one </w:t>
      </w:r>
      <w:r w:rsidRPr="006D3C55">
        <w:t xml:space="preserve">case (1%), no assessment of the implementation status was required, </w:t>
      </w:r>
      <w:r w:rsidR="00166041">
        <w:br/>
      </w:r>
      <w:r w:rsidRPr="006D3C55">
        <w:t xml:space="preserve">as the Court of Auditors considered the recommendation </w:t>
      </w:r>
      <w:r w:rsidR="005F2E1A" w:rsidRPr="006D3C55">
        <w:t xml:space="preserve">to be </w:t>
      </w:r>
      <w:r w:rsidRPr="006D3C55">
        <w:t xml:space="preserve">no longer relevant. Of the </w:t>
      </w:r>
      <w:r w:rsidR="00F35648" w:rsidRPr="006D3C55">
        <w:t xml:space="preserve">eight </w:t>
      </w:r>
      <w:r w:rsidRPr="006D3C55">
        <w:t>recommendations (</w:t>
      </w:r>
      <w:r w:rsidR="00F35648" w:rsidRPr="006D3C55">
        <w:t>4</w:t>
      </w:r>
      <w:r w:rsidRPr="006D3C55">
        <w:t>%) that the Court</w:t>
      </w:r>
      <w:r w:rsidRPr="006D3C55" w:rsidDel="00831FF8">
        <w:t xml:space="preserve"> </w:t>
      </w:r>
      <w:r w:rsidR="009F7E52">
        <w:t>of Auditors</w:t>
      </w:r>
      <w:r w:rsidR="009F7E52" w:rsidRPr="006D3C55">
        <w:t xml:space="preserve"> </w:t>
      </w:r>
      <w:r w:rsidRPr="006D3C55">
        <w:t xml:space="preserve">considered not to have been implemented, the Commission had not accepted </w:t>
      </w:r>
      <w:r w:rsidR="00F35648" w:rsidRPr="006D3C55">
        <w:t>five</w:t>
      </w:r>
      <w:r w:rsidR="00EE5903">
        <w:t>.</w:t>
      </w:r>
      <w:r w:rsidR="006957EE" w:rsidRPr="006D3C55">
        <w:t xml:space="preserve"> Compared with the previous year, the total proportion of recommendations fully or mostly implemented increased from 68% to 77%. The proportion of recommendations not implemented decreased from 11% to 4%.</w:t>
      </w:r>
    </w:p>
    <w:p w14:paraId="123847E7" w14:textId="38063779" w:rsidR="001301C1" w:rsidRPr="00CC6C2F" w:rsidRDefault="001301C1" w:rsidP="00CC6C2F">
      <w:pPr>
        <w:pStyle w:val="HNum-fromh2Heading2-1"/>
      </w:pPr>
      <w:bookmarkStart w:id="52" w:name="_Toc196895486"/>
      <w:bookmarkStart w:id="53" w:name="_Toc231927931"/>
      <w:bookmarkStart w:id="54" w:name="_Toc231479587"/>
      <w:r w:rsidRPr="00AB51E8">
        <w:t xml:space="preserve">Outlook </w:t>
      </w:r>
      <w:r w:rsidRPr="00CC6C2F">
        <w:t>for 202</w:t>
      </w:r>
      <w:r w:rsidR="007101C3" w:rsidRPr="00CC6C2F">
        <w:t>6</w:t>
      </w:r>
      <w:r w:rsidRPr="00CC6C2F">
        <w:t xml:space="preserve"> and beyond</w:t>
      </w:r>
      <w:bookmarkEnd w:id="52"/>
      <w:bookmarkEnd w:id="53"/>
      <w:bookmarkEnd w:id="54"/>
    </w:p>
    <w:p w14:paraId="6505F5F8" w14:textId="64CBF162" w:rsidR="001301C1" w:rsidRPr="006D3C55" w:rsidRDefault="001301C1" w:rsidP="00CC6C2F">
      <w:pPr>
        <w:pStyle w:val="HNum-fromh2Heading3-11"/>
      </w:pPr>
      <w:r w:rsidRPr="006D3C55">
        <w:t xml:space="preserve">The preparation of the </w:t>
      </w:r>
      <w:r w:rsidR="0018187C" w:rsidRPr="006D3C55">
        <w:t xml:space="preserve">2028-2034 </w:t>
      </w:r>
      <w:r w:rsidRPr="006D3C55">
        <w:t xml:space="preserve">multiannual </w:t>
      </w:r>
      <w:r w:rsidR="00D71CF5">
        <w:br/>
      </w:r>
      <w:r w:rsidRPr="006D3C55">
        <w:t>financial framework</w:t>
      </w:r>
    </w:p>
    <w:p w14:paraId="7C84CE69" w14:textId="260A33D5" w:rsidR="003C491B" w:rsidRPr="006D3C55" w:rsidRDefault="00684D2D" w:rsidP="001301C1">
      <w:pPr>
        <w:rPr>
          <w:lang w:eastAsia="zh-CN"/>
        </w:rPr>
      </w:pPr>
      <w:r w:rsidRPr="00AB51E8">
        <w:rPr>
          <w:rStyle w:val="Bold"/>
        </w:rPr>
        <w:t>In July 2025</w:t>
      </w:r>
      <w:r w:rsidR="003C491B" w:rsidRPr="00AB51E8">
        <w:rPr>
          <w:rStyle w:val="Bold"/>
        </w:rPr>
        <w:t xml:space="preserve">, the European Commission </w:t>
      </w:r>
      <w:r w:rsidRPr="00AB51E8">
        <w:rPr>
          <w:rStyle w:val="Bold"/>
        </w:rPr>
        <w:t>adopted</w:t>
      </w:r>
      <w:r w:rsidR="00FD2D8D" w:rsidRPr="00AB51E8">
        <w:rPr>
          <w:rStyle w:val="Bold"/>
        </w:rPr>
        <w:t xml:space="preserve"> </w:t>
      </w:r>
      <w:r w:rsidR="003C491B" w:rsidRPr="00AB51E8">
        <w:rPr>
          <w:rStyle w:val="Bold"/>
        </w:rPr>
        <w:t xml:space="preserve">its proposal </w:t>
      </w:r>
      <w:r w:rsidR="00D55E13" w:rsidRPr="00AB51E8">
        <w:rPr>
          <w:rStyle w:val="Bold"/>
        </w:rPr>
        <w:t>for the 2028</w:t>
      </w:r>
      <w:r w:rsidR="00EE5903" w:rsidRPr="00AB51E8">
        <w:rPr>
          <w:rStyle w:val="Bold"/>
        </w:rPr>
        <w:t>-</w:t>
      </w:r>
      <w:r w:rsidR="00D55E13" w:rsidRPr="00AB51E8">
        <w:rPr>
          <w:rStyle w:val="Bold"/>
        </w:rPr>
        <w:t xml:space="preserve">2034 </w:t>
      </w:r>
      <w:r w:rsidR="00EE5903" w:rsidRPr="00AB51E8">
        <w:rPr>
          <w:rStyle w:val="Bold"/>
        </w:rPr>
        <w:t>m</w:t>
      </w:r>
      <w:r w:rsidR="00D55E13" w:rsidRPr="00AB51E8">
        <w:rPr>
          <w:rStyle w:val="Bold"/>
        </w:rPr>
        <w:t xml:space="preserve">ultiannual </w:t>
      </w:r>
      <w:r w:rsidR="00EE5903" w:rsidRPr="00AB51E8">
        <w:rPr>
          <w:rStyle w:val="Bold"/>
        </w:rPr>
        <w:t>f</w:t>
      </w:r>
      <w:r w:rsidR="00D55E13" w:rsidRPr="00AB51E8">
        <w:rPr>
          <w:rStyle w:val="Bold"/>
        </w:rPr>
        <w:t xml:space="preserve">inancial </w:t>
      </w:r>
      <w:r w:rsidR="00EE5903" w:rsidRPr="00AB51E8">
        <w:rPr>
          <w:rStyle w:val="Bold"/>
        </w:rPr>
        <w:t>f</w:t>
      </w:r>
      <w:r w:rsidR="00D55E13" w:rsidRPr="00AB51E8">
        <w:rPr>
          <w:rStyle w:val="Bold"/>
        </w:rPr>
        <w:t>ramework.</w:t>
      </w:r>
      <w:r w:rsidR="00D55E13" w:rsidRPr="006D3C55">
        <w:rPr>
          <w:lang w:eastAsia="zh-CN"/>
        </w:rPr>
        <w:t xml:space="preserve"> </w:t>
      </w:r>
      <w:r w:rsidR="00F277EC" w:rsidRPr="006D3C55">
        <w:rPr>
          <w:lang w:eastAsia="zh-CN"/>
        </w:rPr>
        <w:t>This proposal introduces a fundamentally redesigned EU budget, centred on flexibility, simplification and impact. I</w:t>
      </w:r>
      <w:r w:rsidRPr="006D3C55">
        <w:rPr>
          <w:lang w:eastAsia="zh-CN"/>
        </w:rPr>
        <w:t xml:space="preserve">t is </w:t>
      </w:r>
      <w:r w:rsidR="00D55E13" w:rsidRPr="006D3C55">
        <w:rPr>
          <w:lang w:eastAsia="zh-CN"/>
        </w:rPr>
        <w:t>structured around clearer political priorities, streamlin</w:t>
      </w:r>
      <w:r w:rsidR="004B24BC" w:rsidRPr="006D3C55">
        <w:rPr>
          <w:lang w:eastAsia="zh-CN"/>
        </w:rPr>
        <w:t>ing</w:t>
      </w:r>
      <w:r w:rsidR="00D55E13" w:rsidRPr="006D3C55">
        <w:rPr>
          <w:lang w:eastAsia="zh-CN"/>
        </w:rPr>
        <w:t xml:space="preserve"> financial programmes and </w:t>
      </w:r>
      <w:r w:rsidR="00C30263">
        <w:rPr>
          <w:lang w:eastAsia="zh-CN"/>
        </w:rPr>
        <w:t>n</w:t>
      </w:r>
      <w:r w:rsidR="00D55E13" w:rsidRPr="006D3C55">
        <w:rPr>
          <w:lang w:eastAsia="zh-CN"/>
        </w:rPr>
        <w:t xml:space="preserve">ational and </w:t>
      </w:r>
      <w:r w:rsidR="00C30263">
        <w:rPr>
          <w:lang w:eastAsia="zh-CN"/>
        </w:rPr>
        <w:t>r</w:t>
      </w:r>
      <w:r w:rsidR="00D55E13" w:rsidRPr="006D3C55">
        <w:rPr>
          <w:lang w:eastAsia="zh-CN"/>
        </w:rPr>
        <w:t xml:space="preserve">egional </w:t>
      </w:r>
      <w:r w:rsidR="00C30263">
        <w:rPr>
          <w:lang w:eastAsia="zh-CN"/>
        </w:rPr>
        <w:t>p</w:t>
      </w:r>
      <w:r w:rsidR="00D55E13" w:rsidRPr="006D3C55">
        <w:rPr>
          <w:lang w:eastAsia="zh-CN"/>
        </w:rPr>
        <w:t xml:space="preserve">artnership </w:t>
      </w:r>
      <w:r w:rsidR="00C30263">
        <w:rPr>
          <w:lang w:eastAsia="zh-CN"/>
        </w:rPr>
        <w:t>p</w:t>
      </w:r>
      <w:r w:rsidR="00D55E13" w:rsidRPr="006D3C55">
        <w:rPr>
          <w:lang w:eastAsia="zh-CN"/>
        </w:rPr>
        <w:t xml:space="preserve">lans, ensuring targeted investments and reforms where they are most needed. It also includes a reinforced system of own resources to finance the budget, </w:t>
      </w:r>
      <w:r w:rsidR="00407FC4">
        <w:rPr>
          <w:lang w:eastAsia="zh-CN"/>
        </w:rPr>
        <w:t xml:space="preserve">so as </w:t>
      </w:r>
      <w:r w:rsidR="00D55E13" w:rsidRPr="006D3C55">
        <w:rPr>
          <w:lang w:eastAsia="zh-CN"/>
        </w:rPr>
        <w:t>to support EU priorities while easing pressure on national budgets.</w:t>
      </w:r>
    </w:p>
    <w:p w14:paraId="4621F7E6" w14:textId="1635936A" w:rsidR="00897CA3" w:rsidRPr="006D3C55" w:rsidRDefault="00897CA3" w:rsidP="00897CA3">
      <w:r w:rsidRPr="006D3C55">
        <w:rPr>
          <w:rStyle w:val="Bold"/>
        </w:rPr>
        <w:t>One of the main simplification measure</w:t>
      </w:r>
      <w:r w:rsidR="00407FC4">
        <w:rPr>
          <w:rStyle w:val="Bold"/>
        </w:rPr>
        <w:t>s</w:t>
      </w:r>
      <w:r w:rsidRPr="006D3C55">
        <w:rPr>
          <w:rStyle w:val="Bold"/>
        </w:rPr>
        <w:t xml:space="preserve"> proposed in the Commission proposal </w:t>
      </w:r>
      <w:r w:rsidR="00661A7B" w:rsidRPr="006D3C55">
        <w:rPr>
          <w:rStyle w:val="Bold"/>
        </w:rPr>
        <w:t xml:space="preserve">is </w:t>
      </w:r>
      <w:r w:rsidR="00F9686F">
        <w:rPr>
          <w:rStyle w:val="Bold"/>
        </w:rPr>
        <w:t>the</w:t>
      </w:r>
      <w:r w:rsidR="00F9686F" w:rsidRPr="006D3C55">
        <w:rPr>
          <w:rStyle w:val="Bold"/>
        </w:rPr>
        <w:t xml:space="preserve"> </w:t>
      </w:r>
      <w:r w:rsidRPr="00AB51E8">
        <w:rPr>
          <w:rStyle w:val="Bold"/>
        </w:rPr>
        <w:t>more widespread use of simplified cost options and financing not linked to costs</w:t>
      </w:r>
      <w:r w:rsidR="00407FC4" w:rsidRPr="00AB51E8">
        <w:rPr>
          <w:rStyle w:val="Bold"/>
        </w:rPr>
        <w:t>,</w:t>
      </w:r>
      <w:r w:rsidRPr="006D3C55">
        <w:t xml:space="preserve"> </w:t>
      </w:r>
      <w:r w:rsidR="00661A7B" w:rsidRPr="006D3C55">
        <w:t xml:space="preserve">which should </w:t>
      </w:r>
      <w:r w:rsidR="00A20D2C">
        <w:t xml:space="preserve">both </w:t>
      </w:r>
      <w:r w:rsidRPr="006D3C55">
        <w:t>significantly reduce the reporting obligations on recipients of funds</w:t>
      </w:r>
      <w:r w:rsidR="005160D1">
        <w:t>,</w:t>
      </w:r>
      <w:r w:rsidRPr="006D3C55">
        <w:t xml:space="preserve"> by focusing checks and controls on the deliverables of the projects rather than on the costs</w:t>
      </w:r>
      <w:r w:rsidR="005160D1">
        <w:t>,</w:t>
      </w:r>
      <w:r w:rsidR="00813860" w:rsidRPr="006D3C55">
        <w:t xml:space="preserve"> </w:t>
      </w:r>
      <w:r w:rsidR="00407FC4">
        <w:t>and</w:t>
      </w:r>
      <w:r w:rsidR="00813860" w:rsidRPr="006D3C55">
        <w:t xml:space="preserve"> reduce the complexity of the programmes</w:t>
      </w:r>
      <w:r w:rsidR="005160D1">
        <w:t>,</w:t>
      </w:r>
      <w:r w:rsidR="00295093" w:rsidRPr="006D3C55">
        <w:t xml:space="preserve"> thus reducing the error rates</w:t>
      </w:r>
      <w:r w:rsidR="005160D1">
        <w:t>.</w:t>
      </w:r>
    </w:p>
    <w:p w14:paraId="6BDC7DE9" w14:textId="77777777" w:rsidR="00A14ECB" w:rsidRDefault="003D70F3" w:rsidP="00E96295">
      <w:r w:rsidRPr="006D3C55">
        <w:rPr>
          <w:lang w:eastAsia="zh-CN"/>
        </w:rPr>
        <w:t>The</w:t>
      </w:r>
      <w:r w:rsidR="0073659E" w:rsidRPr="006D3C55">
        <w:rPr>
          <w:lang w:eastAsia="zh-CN"/>
        </w:rPr>
        <w:t xml:space="preserve"> </w:t>
      </w:r>
      <w:r w:rsidRPr="006D3C55">
        <w:rPr>
          <w:lang w:eastAsia="zh-CN"/>
        </w:rPr>
        <w:t xml:space="preserve">proposal </w:t>
      </w:r>
      <w:r w:rsidR="0073659E" w:rsidRPr="006D3C55">
        <w:rPr>
          <w:lang w:eastAsia="zh-CN"/>
        </w:rPr>
        <w:t>for</w:t>
      </w:r>
      <w:r w:rsidRPr="006D3C55">
        <w:rPr>
          <w:lang w:eastAsia="zh-CN"/>
        </w:rPr>
        <w:t xml:space="preserve"> a </w:t>
      </w:r>
      <w:r w:rsidR="00A20D2C" w:rsidRPr="00AB51E8">
        <w:rPr>
          <w:rStyle w:val="Bold"/>
        </w:rPr>
        <w:t>p</w:t>
      </w:r>
      <w:r w:rsidRPr="00AB51E8">
        <w:rPr>
          <w:rStyle w:val="Bold"/>
        </w:rPr>
        <w:t xml:space="preserve">erformance </w:t>
      </w:r>
      <w:r w:rsidR="00A20D2C" w:rsidRPr="00AB51E8">
        <w:rPr>
          <w:rStyle w:val="Bold"/>
        </w:rPr>
        <w:t>r</w:t>
      </w:r>
      <w:r w:rsidRPr="00AB51E8">
        <w:rPr>
          <w:rStyle w:val="Bold"/>
        </w:rPr>
        <w:t>egulation</w:t>
      </w:r>
      <w:r w:rsidR="00A20D2C" w:rsidRPr="00AD4275">
        <w:rPr>
          <w:rFonts w:ascii="Calibri" w:hAnsi="Calibri" w:cs="Calibri"/>
          <w:lang w:eastAsia="zh-CN"/>
        </w:rPr>
        <w:t> </w:t>
      </w:r>
      <w:r w:rsidR="00BD2EBF" w:rsidRPr="006D3C55">
        <w:t>(</w:t>
      </w:r>
      <w:r w:rsidR="00BD2EBF" w:rsidRPr="00352191">
        <w:rPr>
          <w:rStyle w:val="FootnoteReference"/>
        </w:rPr>
        <w:footnoteReference w:id="53"/>
      </w:r>
      <w:r w:rsidR="00BD2EBF" w:rsidRPr="006D3C55">
        <w:t>)</w:t>
      </w:r>
      <w:r w:rsidRPr="006D3C55">
        <w:t xml:space="preserve"> </w:t>
      </w:r>
      <w:r w:rsidRPr="006D3C55">
        <w:rPr>
          <w:lang w:eastAsia="zh-CN"/>
        </w:rPr>
        <w:t>will provide</w:t>
      </w:r>
      <w:r w:rsidR="00C719C6">
        <w:rPr>
          <w:lang w:eastAsia="zh-CN"/>
        </w:rPr>
        <w:t xml:space="preserve"> the following:</w:t>
      </w:r>
      <w:r w:rsidRPr="006D3C55">
        <w:rPr>
          <w:lang w:eastAsia="zh-CN"/>
        </w:rPr>
        <w:t xml:space="preserve"> </w:t>
      </w:r>
      <w:r w:rsidR="00C4740A" w:rsidRPr="006D3C55">
        <w:rPr>
          <w:lang w:eastAsia="zh-CN"/>
        </w:rPr>
        <w:t>(</w:t>
      </w:r>
      <w:r w:rsidR="00A20D2C">
        <w:rPr>
          <w:lang w:eastAsia="zh-CN"/>
        </w:rPr>
        <w:t>1</w:t>
      </w:r>
      <w:r w:rsidR="00C4740A" w:rsidRPr="006D3C55">
        <w:rPr>
          <w:lang w:eastAsia="zh-CN"/>
        </w:rPr>
        <w:t xml:space="preserve">) </w:t>
      </w:r>
      <w:r w:rsidR="00045CCA" w:rsidRPr="006D3C55">
        <w:rPr>
          <w:lang w:eastAsia="zh-CN"/>
        </w:rPr>
        <w:t>a common methodology to track EU budget expenditure</w:t>
      </w:r>
      <w:r w:rsidR="00756FA4" w:rsidRPr="006D3C55">
        <w:rPr>
          <w:lang w:eastAsia="zh-CN"/>
        </w:rPr>
        <w:t xml:space="preserve"> supporting climate mitigation, climate adaptation, environment and social objectives</w:t>
      </w:r>
      <w:r w:rsidR="00A20D2C">
        <w:rPr>
          <w:lang w:eastAsia="zh-CN"/>
        </w:rPr>
        <w:t>;</w:t>
      </w:r>
      <w:r w:rsidR="00C4740A" w:rsidRPr="006D3C55">
        <w:rPr>
          <w:lang w:eastAsia="zh-CN"/>
        </w:rPr>
        <w:t xml:space="preserve"> (</w:t>
      </w:r>
      <w:r w:rsidR="00A20D2C">
        <w:rPr>
          <w:lang w:eastAsia="zh-CN"/>
        </w:rPr>
        <w:t>2</w:t>
      </w:r>
      <w:r w:rsidR="00C4740A" w:rsidRPr="006D3C55">
        <w:rPr>
          <w:lang w:eastAsia="zh-CN"/>
        </w:rPr>
        <w:t>) a common list of performance indicator</w:t>
      </w:r>
      <w:r w:rsidR="008754C7" w:rsidRPr="006D3C55">
        <w:rPr>
          <w:lang w:eastAsia="zh-CN"/>
        </w:rPr>
        <w:t>s</w:t>
      </w:r>
      <w:r w:rsidR="00A20D2C">
        <w:rPr>
          <w:lang w:eastAsia="zh-CN"/>
        </w:rPr>
        <w:t>;</w:t>
      </w:r>
      <w:r w:rsidR="008754C7" w:rsidRPr="006D3C55">
        <w:rPr>
          <w:lang w:eastAsia="zh-CN"/>
        </w:rPr>
        <w:t xml:space="preserve"> (</w:t>
      </w:r>
      <w:r w:rsidR="00A20D2C">
        <w:rPr>
          <w:lang w:eastAsia="zh-CN"/>
        </w:rPr>
        <w:t>3</w:t>
      </w:r>
      <w:r w:rsidR="008754C7" w:rsidRPr="006D3C55">
        <w:rPr>
          <w:lang w:eastAsia="zh-CN"/>
        </w:rPr>
        <w:t>) a single report on performance</w:t>
      </w:r>
      <w:r w:rsidR="00A20D2C">
        <w:rPr>
          <w:lang w:eastAsia="zh-CN"/>
        </w:rPr>
        <w:t>;</w:t>
      </w:r>
      <w:r w:rsidR="008754C7" w:rsidRPr="006D3C55">
        <w:rPr>
          <w:lang w:eastAsia="zh-CN"/>
        </w:rPr>
        <w:t xml:space="preserve"> and (</w:t>
      </w:r>
      <w:r w:rsidR="00A20D2C">
        <w:rPr>
          <w:lang w:eastAsia="zh-CN"/>
        </w:rPr>
        <w:t>4</w:t>
      </w:r>
      <w:r w:rsidR="008754C7" w:rsidRPr="006D3C55">
        <w:rPr>
          <w:lang w:eastAsia="zh-CN"/>
        </w:rPr>
        <w:t>) a sin</w:t>
      </w:r>
      <w:r w:rsidR="00C97531" w:rsidRPr="006D3C55">
        <w:rPr>
          <w:lang w:eastAsia="zh-CN"/>
        </w:rPr>
        <w:t>g</w:t>
      </w:r>
      <w:r w:rsidR="008754C7" w:rsidRPr="006D3C55">
        <w:rPr>
          <w:lang w:eastAsia="zh-CN"/>
        </w:rPr>
        <w:t>le gateway portal.</w:t>
      </w:r>
      <w:r w:rsidR="0073659E" w:rsidRPr="006D3C55">
        <w:t xml:space="preserve"> </w:t>
      </w:r>
    </w:p>
    <w:p w14:paraId="3975173C" w14:textId="21E8F3A3" w:rsidR="009D5D18" w:rsidRPr="006D3C55" w:rsidRDefault="0073659E" w:rsidP="00E96295">
      <w:r w:rsidRPr="006D3C55">
        <w:t>T</w:t>
      </w:r>
      <w:r w:rsidRPr="006D3C55">
        <w:rPr>
          <w:lang w:eastAsia="zh-CN"/>
        </w:rPr>
        <w:t>he harmonisation of expenditure tracking and performance indicators through a single common list of intervention fields and indicators</w:t>
      </w:r>
      <w:r w:rsidR="00DD7597">
        <w:rPr>
          <w:lang w:eastAsia="zh-CN"/>
        </w:rPr>
        <w:t>,</w:t>
      </w:r>
      <w:r w:rsidR="004F65AA">
        <w:rPr>
          <w:lang w:eastAsia="zh-CN"/>
        </w:rPr>
        <w:t xml:space="preserve"> a</w:t>
      </w:r>
      <w:r w:rsidR="00DD7597">
        <w:rPr>
          <w:lang w:eastAsia="zh-CN"/>
        </w:rPr>
        <w:t>s</w:t>
      </w:r>
      <w:r w:rsidR="004F65AA">
        <w:rPr>
          <w:lang w:eastAsia="zh-CN"/>
        </w:rPr>
        <w:t xml:space="preserve"> embedded in the proposal</w:t>
      </w:r>
      <w:r w:rsidR="00DD7597">
        <w:rPr>
          <w:lang w:eastAsia="zh-CN"/>
        </w:rPr>
        <w:t>,</w:t>
      </w:r>
      <w:r w:rsidRPr="006D3C55">
        <w:rPr>
          <w:lang w:eastAsia="zh-CN"/>
        </w:rPr>
        <w:t xml:space="preserve"> </w:t>
      </w:r>
      <w:r w:rsidR="004F229A">
        <w:rPr>
          <w:b/>
        </w:rPr>
        <w:t>is</w:t>
      </w:r>
      <w:r w:rsidR="009D5D18" w:rsidRPr="00AB51E8">
        <w:rPr>
          <w:rStyle w:val="Bold"/>
        </w:rPr>
        <w:t xml:space="preserve"> expected to generate further efficiency gains and administrative savings in the long run</w:t>
      </w:r>
      <w:r w:rsidR="00302FE1" w:rsidRPr="006D5CEC">
        <w:t>.</w:t>
      </w:r>
      <w:r w:rsidR="009D5D18" w:rsidRPr="006D3C55">
        <w:t xml:space="preserve"> These potential savings may arise in particular from the </w:t>
      </w:r>
      <w:r w:rsidR="00990F14">
        <w:t xml:space="preserve">reduction </w:t>
      </w:r>
      <w:r w:rsidR="00F24218">
        <w:t>in</w:t>
      </w:r>
      <w:r w:rsidR="00990F14">
        <w:t xml:space="preserve"> the </w:t>
      </w:r>
      <w:r w:rsidR="009D5D18" w:rsidRPr="006D3C55">
        <w:t>total number of performance indicators from 5</w:t>
      </w:r>
      <w:r w:rsidR="00B20B40">
        <w:rPr>
          <w:rFonts w:ascii="Calibri" w:hAnsi="Calibri" w:cs="Calibri"/>
        </w:rPr>
        <w:t> </w:t>
      </w:r>
      <w:r w:rsidR="009D5D18" w:rsidRPr="006D3C55">
        <w:t xml:space="preserve">000 to </w:t>
      </w:r>
      <w:r w:rsidR="00B20B40" w:rsidRPr="006D3C55">
        <w:t xml:space="preserve">approximately </w:t>
      </w:r>
      <w:r w:rsidR="009D5D18" w:rsidRPr="006D3C55">
        <w:t>700.</w:t>
      </w:r>
    </w:p>
    <w:p w14:paraId="628B6617" w14:textId="7B1EA346" w:rsidR="00E85E3A" w:rsidRPr="006D3C55" w:rsidRDefault="005E1048" w:rsidP="001301C1">
      <w:pPr>
        <w:rPr>
          <w:highlight w:val="lightGray"/>
          <w:lang w:eastAsia="zh-CN"/>
        </w:rPr>
      </w:pPr>
      <w:r w:rsidRPr="006D3C55">
        <w:rPr>
          <w:lang w:eastAsia="zh-CN"/>
        </w:rPr>
        <w:t>Th</w:t>
      </w:r>
      <w:r>
        <w:rPr>
          <w:lang w:eastAsia="zh-CN"/>
        </w:rPr>
        <w:t>e</w:t>
      </w:r>
      <w:r w:rsidR="00FD56AD" w:rsidRPr="006D3C55">
        <w:rPr>
          <w:lang w:eastAsia="zh-CN"/>
        </w:rPr>
        <w:t xml:space="preserve"> </w:t>
      </w:r>
      <w:r w:rsidR="00B0463F" w:rsidRPr="006D3C55">
        <w:rPr>
          <w:lang w:eastAsia="zh-CN"/>
        </w:rPr>
        <w:t xml:space="preserve">proposed </w:t>
      </w:r>
      <w:r w:rsidR="00FD56AD" w:rsidRPr="00AB51E8">
        <w:rPr>
          <w:rStyle w:val="Bold"/>
        </w:rPr>
        <w:t>Single Gateway portal</w:t>
      </w:r>
      <w:r w:rsidR="00C20306">
        <w:rPr>
          <w:rFonts w:ascii="Calibri" w:hAnsi="Calibri" w:cs="Calibri"/>
          <w:lang w:eastAsia="zh-CN"/>
        </w:rPr>
        <w:t> </w:t>
      </w:r>
      <w:r w:rsidR="00566D5F" w:rsidRPr="006D3C55">
        <w:rPr>
          <w:lang w:eastAsia="zh-CN"/>
        </w:rPr>
        <w:t>– merging over 30 portals and dashboards into</w:t>
      </w:r>
      <w:r w:rsidR="00951D8E" w:rsidRPr="006D3C55">
        <w:rPr>
          <w:lang w:eastAsia="zh-CN"/>
        </w:rPr>
        <w:t xml:space="preserve"> </w:t>
      </w:r>
      <w:r w:rsidR="00566D5F" w:rsidRPr="006D3C55">
        <w:rPr>
          <w:lang w:eastAsia="zh-CN"/>
        </w:rPr>
        <w:t>a sin</w:t>
      </w:r>
      <w:r w:rsidR="00951D8E" w:rsidRPr="006D3C55">
        <w:rPr>
          <w:lang w:eastAsia="zh-CN"/>
        </w:rPr>
        <w:t>g</w:t>
      </w:r>
      <w:r w:rsidR="00566D5F" w:rsidRPr="006D3C55">
        <w:rPr>
          <w:lang w:eastAsia="zh-CN"/>
        </w:rPr>
        <w:t>l</w:t>
      </w:r>
      <w:r w:rsidR="00951D8E" w:rsidRPr="006D3C55">
        <w:rPr>
          <w:lang w:eastAsia="zh-CN"/>
        </w:rPr>
        <w:t>e</w:t>
      </w:r>
      <w:r w:rsidR="00566D5F" w:rsidRPr="006D3C55">
        <w:rPr>
          <w:lang w:eastAsia="zh-CN"/>
        </w:rPr>
        <w:t xml:space="preserve"> entry po</w:t>
      </w:r>
      <w:r w:rsidR="00951D8E" w:rsidRPr="006D3C55">
        <w:rPr>
          <w:lang w:eastAsia="zh-CN"/>
        </w:rPr>
        <w:t>i</w:t>
      </w:r>
      <w:r w:rsidR="00566D5F" w:rsidRPr="006D3C55">
        <w:rPr>
          <w:lang w:eastAsia="zh-CN"/>
        </w:rPr>
        <w:t>nt</w:t>
      </w:r>
      <w:r w:rsidR="00C20306">
        <w:rPr>
          <w:rFonts w:ascii="Calibri" w:hAnsi="Calibri" w:cs="Calibri"/>
          <w:lang w:eastAsia="zh-CN"/>
        </w:rPr>
        <w:t> </w:t>
      </w:r>
      <w:r w:rsidR="00825AF2" w:rsidRPr="006D3C55">
        <w:rPr>
          <w:lang w:eastAsia="zh-CN"/>
        </w:rPr>
        <w:t>–</w:t>
      </w:r>
      <w:r w:rsidR="00951D8E" w:rsidRPr="006D3C55">
        <w:rPr>
          <w:lang w:eastAsia="zh-CN"/>
        </w:rPr>
        <w:t xml:space="preserve"> </w:t>
      </w:r>
      <w:r w:rsidR="00825AF2" w:rsidRPr="006D3C55">
        <w:rPr>
          <w:lang w:eastAsia="zh-CN"/>
        </w:rPr>
        <w:t xml:space="preserve">should </w:t>
      </w:r>
      <w:r w:rsidR="00B0463F" w:rsidRPr="006D3C55">
        <w:rPr>
          <w:lang w:eastAsia="zh-CN"/>
        </w:rPr>
        <w:t xml:space="preserve">also </w:t>
      </w:r>
      <w:r w:rsidR="00FD56AD" w:rsidRPr="006D3C55">
        <w:rPr>
          <w:lang w:eastAsia="zh-CN"/>
        </w:rPr>
        <w:t>further enhance transparency and accessibility by providing a single</w:t>
      </w:r>
      <w:r w:rsidR="0074796B">
        <w:rPr>
          <w:lang w:eastAsia="zh-CN"/>
        </w:rPr>
        <w:t xml:space="preserve"> </w:t>
      </w:r>
      <w:r w:rsidR="00FD56AD" w:rsidRPr="006D3C55">
        <w:rPr>
          <w:lang w:eastAsia="zh-CN"/>
        </w:rPr>
        <w:t xml:space="preserve">entry point for information on the EU budget, including funding opportunities, </w:t>
      </w:r>
      <w:r w:rsidR="0074796B">
        <w:rPr>
          <w:lang w:eastAsia="zh-CN"/>
        </w:rPr>
        <w:t>and</w:t>
      </w:r>
      <w:r w:rsidR="00FD56AD" w:rsidRPr="006D3C55">
        <w:rPr>
          <w:lang w:eastAsia="zh-CN"/>
        </w:rPr>
        <w:t xml:space="preserve"> on implementation and results.</w:t>
      </w:r>
    </w:p>
    <w:p w14:paraId="03B2DDEE" w14:textId="648F8C5D" w:rsidR="00B01DA0" w:rsidRPr="006D3C55" w:rsidRDefault="00B01DA0" w:rsidP="006D5CEC">
      <w:pPr>
        <w:pStyle w:val="HNum-fromh2Heading3-11"/>
      </w:pPr>
      <w:r w:rsidRPr="006D3C55">
        <w:t xml:space="preserve">Large-scale review of the Commission’s organisation </w:t>
      </w:r>
      <w:r w:rsidR="007D0FBD">
        <w:br/>
      </w:r>
      <w:r w:rsidRPr="006D3C55">
        <w:t>and operation</w:t>
      </w:r>
      <w:r w:rsidR="00952CF7" w:rsidRPr="006D3C55">
        <w:t>s</w:t>
      </w:r>
    </w:p>
    <w:p w14:paraId="00660CA7" w14:textId="31184EE8" w:rsidR="00952CF7" w:rsidRPr="006D3C55" w:rsidRDefault="00990E64" w:rsidP="00C4340D">
      <w:pPr>
        <w:rPr>
          <w:lang w:eastAsia="zh-CN"/>
        </w:rPr>
      </w:pPr>
      <w:r w:rsidRPr="006D3C55">
        <w:rPr>
          <w:lang w:eastAsia="zh-CN"/>
        </w:rPr>
        <w:t xml:space="preserve">The </w:t>
      </w:r>
      <w:r w:rsidR="007473CA" w:rsidRPr="006D3C55">
        <w:rPr>
          <w:lang w:eastAsia="zh-CN"/>
        </w:rPr>
        <w:t>C</w:t>
      </w:r>
      <w:r w:rsidRPr="006D3C55">
        <w:rPr>
          <w:lang w:eastAsia="zh-CN"/>
        </w:rPr>
        <w:t xml:space="preserve">ommission initiated a </w:t>
      </w:r>
      <w:r w:rsidR="00933CB5" w:rsidRPr="006D3C55">
        <w:rPr>
          <w:lang w:eastAsia="zh-CN"/>
        </w:rPr>
        <w:t xml:space="preserve">discussion on the large-scale review of </w:t>
      </w:r>
      <w:r w:rsidR="007473CA" w:rsidRPr="006D3C55">
        <w:rPr>
          <w:lang w:eastAsia="zh-CN"/>
        </w:rPr>
        <w:t>its</w:t>
      </w:r>
      <w:r w:rsidR="00933CB5" w:rsidRPr="006D3C55">
        <w:rPr>
          <w:lang w:eastAsia="zh-CN"/>
        </w:rPr>
        <w:t xml:space="preserve"> organisation and operations</w:t>
      </w:r>
      <w:r w:rsidR="00E74B54" w:rsidRPr="00E74B54">
        <w:rPr>
          <w:lang w:eastAsia="zh-CN"/>
        </w:rPr>
        <w:t xml:space="preserve"> </w:t>
      </w:r>
      <w:r w:rsidR="00E74B54" w:rsidRPr="006D3C55">
        <w:rPr>
          <w:lang w:eastAsia="zh-CN"/>
        </w:rPr>
        <w:t>in March 2025</w:t>
      </w:r>
      <w:r w:rsidR="007D2B4F" w:rsidRPr="006D3C55">
        <w:rPr>
          <w:lang w:eastAsia="zh-CN"/>
        </w:rPr>
        <w:t>.</w:t>
      </w:r>
      <w:r w:rsidR="00AD216E" w:rsidRPr="006D3C55">
        <w:rPr>
          <w:lang w:eastAsia="zh-CN"/>
        </w:rPr>
        <w:t xml:space="preserve"> </w:t>
      </w:r>
      <w:r w:rsidR="00933CB5" w:rsidRPr="006D3C55">
        <w:rPr>
          <w:lang w:eastAsia="zh-CN"/>
        </w:rPr>
        <w:t>Based on the results of extensive internal consultations</w:t>
      </w:r>
      <w:r w:rsidR="005D3995">
        <w:rPr>
          <w:lang w:eastAsia="zh-CN"/>
        </w:rPr>
        <w:t>,</w:t>
      </w:r>
      <w:r w:rsidR="00933CB5" w:rsidRPr="006D3C55">
        <w:rPr>
          <w:lang w:eastAsia="zh-CN"/>
        </w:rPr>
        <w:t xml:space="preserve"> and considering experiences from previous organisational change exercises, workstreams </w:t>
      </w:r>
      <w:r w:rsidR="000034DB" w:rsidRPr="006D3C55">
        <w:rPr>
          <w:lang w:eastAsia="zh-CN"/>
        </w:rPr>
        <w:t xml:space="preserve">would </w:t>
      </w:r>
      <w:r w:rsidR="00933CB5" w:rsidRPr="006D3C55">
        <w:rPr>
          <w:lang w:eastAsia="zh-CN"/>
        </w:rPr>
        <w:t xml:space="preserve">focus around three main interwoven poles: structures, processes, and people and culture. </w:t>
      </w:r>
      <w:r w:rsidR="005D3995">
        <w:rPr>
          <w:lang w:eastAsia="zh-CN"/>
        </w:rPr>
        <w:t>The f</w:t>
      </w:r>
      <w:r w:rsidR="00933CB5" w:rsidRPr="006D3C55">
        <w:rPr>
          <w:lang w:eastAsia="zh-CN"/>
        </w:rPr>
        <w:t>inal recommendation</w:t>
      </w:r>
      <w:r w:rsidR="007473CA" w:rsidRPr="006D3C55">
        <w:rPr>
          <w:lang w:eastAsia="zh-CN"/>
        </w:rPr>
        <w:t xml:space="preserve">s are expected to be submitted </w:t>
      </w:r>
      <w:r w:rsidR="00933CB5" w:rsidRPr="006D3C55">
        <w:rPr>
          <w:lang w:eastAsia="zh-CN"/>
        </w:rPr>
        <w:t>to the President</w:t>
      </w:r>
      <w:r w:rsidR="005C5518" w:rsidRPr="006D3C55">
        <w:rPr>
          <w:lang w:eastAsia="zh-CN"/>
        </w:rPr>
        <w:t xml:space="preserve"> b</w:t>
      </w:r>
      <w:r w:rsidR="00C4340D" w:rsidRPr="006D3C55">
        <w:rPr>
          <w:lang w:eastAsia="zh-CN"/>
        </w:rPr>
        <w:t>efore the end of 2026</w:t>
      </w:r>
      <w:r w:rsidR="005D3995">
        <w:rPr>
          <w:lang w:eastAsia="zh-CN"/>
        </w:rPr>
        <w:t>, with</w:t>
      </w:r>
      <w:r w:rsidR="007473CA" w:rsidRPr="006D3C55">
        <w:rPr>
          <w:lang w:eastAsia="zh-CN"/>
        </w:rPr>
        <w:t xml:space="preserve"> implementation starting in 2027</w:t>
      </w:r>
      <w:r w:rsidR="00C4340D" w:rsidRPr="006D3C55">
        <w:rPr>
          <w:lang w:eastAsia="zh-CN"/>
        </w:rPr>
        <w:t>.</w:t>
      </w:r>
    </w:p>
    <w:p w14:paraId="31781FE2" w14:textId="77777777" w:rsidR="001301C1" w:rsidRPr="006D3C55" w:rsidRDefault="001301C1" w:rsidP="001301C1">
      <w:pPr>
        <w:rPr>
          <w:highlight w:val="lightGray"/>
          <w:lang w:eastAsia="zh-CN"/>
        </w:rPr>
      </w:pPr>
    </w:p>
    <w:p w14:paraId="686BFAB7" w14:textId="77777777" w:rsidR="001301C1" w:rsidRPr="006D3C55" w:rsidRDefault="001301C1" w:rsidP="001301C1">
      <w:pPr>
        <w:rPr>
          <w:highlight w:val="lightGray"/>
        </w:rPr>
        <w:sectPr w:rsidR="001301C1" w:rsidRPr="006D3C55" w:rsidSect="001301C1">
          <w:headerReference w:type="even" r:id="rId87"/>
          <w:headerReference w:type="default" r:id="rId88"/>
          <w:footerReference w:type="even" r:id="rId89"/>
          <w:footerReference w:type="default" r:id="rId90"/>
          <w:headerReference w:type="first" r:id="rId91"/>
          <w:footerReference w:type="first" r:id="rId92"/>
          <w:type w:val="continuous"/>
          <w:pgSz w:w="11906" w:h="16838" w:code="9"/>
          <w:pgMar w:top="1418" w:right="1418" w:bottom="1418" w:left="1418" w:header="680" w:footer="567" w:gutter="0"/>
          <w:cols w:space="708"/>
          <w:docGrid w:linePitch="360"/>
        </w:sectPr>
      </w:pPr>
    </w:p>
    <w:p w14:paraId="117E219D" w14:textId="77777777" w:rsidR="001301C1" w:rsidRPr="006D3C55" w:rsidRDefault="001301C1" w:rsidP="001301C1">
      <w:pPr>
        <w:suppressAutoHyphens w:val="0"/>
        <w:rPr>
          <w:highlight w:val="lightGray"/>
        </w:rPr>
      </w:pPr>
    </w:p>
    <w:p w14:paraId="2EDC436D" w14:textId="518F1033" w:rsidR="001301C1" w:rsidRPr="006D3C55" w:rsidRDefault="001301C1" w:rsidP="001301C1">
      <w:pPr>
        <w:pStyle w:val="Heading1Sectionheadinginframe2Lines"/>
        <w:framePr w:wrap="around" w:y="10767"/>
        <w:rPr>
          <w:rFonts w:ascii="EC Square Sans Pro" w:hAnsi="EC Square Sans Pro"/>
        </w:rPr>
      </w:pPr>
      <w:bookmarkStart w:id="55" w:name="_Toc130828176"/>
      <w:bookmarkStart w:id="56" w:name="_Toc130829590"/>
      <w:bookmarkStart w:id="57" w:name="_Toc130829992"/>
      <w:bookmarkStart w:id="58" w:name="_Toc130830032"/>
      <w:bookmarkStart w:id="59" w:name="_Toc130830065"/>
      <w:bookmarkStart w:id="60" w:name="_Toc130830168"/>
      <w:bookmarkStart w:id="61" w:name="_Toc130830207"/>
      <w:bookmarkStart w:id="62" w:name="_Toc130830394"/>
      <w:bookmarkStart w:id="63" w:name="_Toc130830454"/>
      <w:bookmarkStart w:id="64" w:name="_Toc130830757"/>
      <w:bookmarkStart w:id="65" w:name="_Toc130830947"/>
      <w:bookmarkStart w:id="66" w:name="_Toc135637240"/>
      <w:bookmarkStart w:id="67" w:name="_Toc168585660"/>
      <w:bookmarkStart w:id="68" w:name="_Toc196895487"/>
      <w:bookmarkStart w:id="69" w:name="_Toc231927932"/>
      <w:bookmarkStart w:id="70" w:name="_Toc231479588"/>
      <w:r w:rsidRPr="006D3C55">
        <w:rPr>
          <w:rFonts w:ascii="EC Square Sans Pro" w:hAnsi="EC Square Sans Pro"/>
        </w:rPr>
        <w:t>Annex</w:t>
      </w:r>
      <w:r w:rsidRPr="006D3C55">
        <w:rPr>
          <w:rFonts w:ascii="Calibri" w:hAnsi="Calibri"/>
        </w:rPr>
        <w:t> </w:t>
      </w:r>
      <w:r w:rsidRPr="006D3C55">
        <w:rPr>
          <w:rFonts w:ascii="EC Square Sans Pro" w:hAnsi="EC Square Sans Pro"/>
        </w:rPr>
        <w:t>3</w:t>
      </w:r>
      <w:r w:rsidRPr="006D3C55">
        <w:rPr>
          <w:rFonts w:ascii="Calibri" w:hAnsi="Calibri"/>
        </w:rPr>
        <w:t> </w:t>
      </w:r>
      <w:r w:rsidRPr="006D3C55">
        <w:rPr>
          <w:rFonts w:ascii="EC Square Sans Pro" w:hAnsi="EC Square Sans Pro"/>
        </w:rPr>
        <w:t>–</w:t>
      </w:r>
      <w:bookmarkEnd w:id="55"/>
      <w:bookmarkEnd w:id="56"/>
      <w:bookmarkEnd w:id="57"/>
      <w:bookmarkEnd w:id="58"/>
      <w:bookmarkEnd w:id="59"/>
      <w:bookmarkEnd w:id="60"/>
      <w:bookmarkEnd w:id="61"/>
      <w:bookmarkEnd w:id="62"/>
      <w:bookmarkEnd w:id="63"/>
      <w:bookmarkEnd w:id="64"/>
      <w:bookmarkEnd w:id="65"/>
      <w:r w:rsidR="0081659D">
        <w:rPr>
          <w:rFonts w:ascii="EC Square Sans Pro" w:hAnsi="EC Square Sans Pro"/>
        </w:rPr>
        <w:t xml:space="preserve"> </w:t>
      </w:r>
      <w:r w:rsidRPr="006D3C55">
        <w:rPr>
          <w:rFonts w:ascii="EC Square Sans Pro" w:hAnsi="EC Square Sans Pro"/>
        </w:rPr>
        <w:t>The Recovery and Resilience Facility</w:t>
      </w:r>
      <w:bookmarkEnd w:id="66"/>
      <w:bookmarkEnd w:id="67"/>
      <w:bookmarkEnd w:id="68"/>
      <w:r w:rsidRPr="006D3C55">
        <w:rPr>
          <w:rFonts w:ascii="EC Square Sans Pro" w:hAnsi="EC Square Sans Pro"/>
        </w:rPr>
        <w:t xml:space="preserve"> under </w:t>
      </w:r>
      <w:r w:rsidRPr="006D3C55">
        <w:t>NextGenerationEU</w:t>
      </w:r>
      <w:bookmarkEnd w:id="69"/>
      <w:bookmarkEnd w:id="70"/>
    </w:p>
    <w:p w14:paraId="531379B3" w14:textId="77777777" w:rsidR="001301C1" w:rsidRPr="006D3C55" w:rsidRDefault="001301C1" w:rsidP="001301C1">
      <w:pPr>
        <w:rPr>
          <w:highlight w:val="lightGray"/>
        </w:rPr>
      </w:pPr>
    </w:p>
    <w:p w14:paraId="2D309E59" w14:textId="77777777" w:rsidR="001301C1" w:rsidRPr="006D3C55" w:rsidRDefault="001301C1" w:rsidP="001301C1">
      <w:pPr>
        <w:rPr>
          <w:highlight w:val="lightGray"/>
        </w:rPr>
        <w:sectPr w:rsidR="001301C1" w:rsidRPr="006D3C55" w:rsidSect="001301C1">
          <w:headerReference w:type="even" r:id="rId93"/>
          <w:headerReference w:type="default" r:id="rId94"/>
          <w:footerReference w:type="even" r:id="rId95"/>
          <w:footerReference w:type="default" r:id="rId96"/>
          <w:headerReference w:type="first" r:id="rId97"/>
          <w:footerReference w:type="first" r:id="rId98"/>
          <w:endnotePr>
            <w:pos w:val="sectEnd"/>
            <w:numFmt w:val="lowerLetter"/>
          </w:endnotePr>
          <w:type w:val="oddPage"/>
          <w:pgSz w:w="11907" w:h="16839" w:code="9"/>
          <w:pgMar w:top="1418" w:right="1418" w:bottom="1418" w:left="1418" w:header="680" w:footer="567" w:gutter="0"/>
          <w:cols w:space="720"/>
          <w:docGrid w:linePitch="272"/>
        </w:sectPr>
      </w:pPr>
    </w:p>
    <w:p w14:paraId="3D377966" w14:textId="77777777" w:rsidR="001301C1" w:rsidRPr="006D3C55" w:rsidRDefault="001301C1" w:rsidP="001301C1">
      <w:pPr>
        <w:rPr>
          <w:highlight w:val="lightGray"/>
        </w:rPr>
      </w:pPr>
    </w:p>
    <w:p w14:paraId="14391952" w14:textId="77777777" w:rsidR="001301C1" w:rsidRPr="006D3C55" w:rsidRDefault="001301C1" w:rsidP="001301C1">
      <w:pPr>
        <w:rPr>
          <w:highlight w:val="lightGray"/>
        </w:rPr>
        <w:sectPr w:rsidR="001301C1" w:rsidRPr="006D3C55" w:rsidSect="001301C1">
          <w:headerReference w:type="even" r:id="rId99"/>
          <w:headerReference w:type="default" r:id="rId100"/>
          <w:footerReference w:type="even" r:id="rId101"/>
          <w:footerReference w:type="default" r:id="rId102"/>
          <w:headerReference w:type="first" r:id="rId103"/>
          <w:footerReference w:type="first" r:id="rId104"/>
          <w:endnotePr>
            <w:pos w:val="sectEnd"/>
            <w:numFmt w:val="lowerLetter"/>
          </w:endnotePr>
          <w:pgSz w:w="11907" w:h="16839" w:code="9"/>
          <w:pgMar w:top="1418" w:right="1418" w:bottom="1418" w:left="1418" w:header="680" w:footer="567" w:gutter="0"/>
          <w:cols w:space="720"/>
          <w:docGrid w:linePitch="272"/>
        </w:sectPr>
      </w:pPr>
    </w:p>
    <w:p w14:paraId="6D8D1B67" w14:textId="4BA68230" w:rsidR="001301C1" w:rsidRPr="00E847B0" w:rsidRDefault="001301C1" w:rsidP="00A40BFB">
      <w:pPr>
        <w:pStyle w:val="HNum-fromh2Heading2-1"/>
        <w:numPr>
          <w:ilvl w:val="0"/>
          <w:numId w:val="20"/>
        </w:numPr>
        <w:ind w:left="926"/>
      </w:pPr>
      <w:bookmarkStart w:id="71" w:name="_Toc196895488"/>
      <w:bookmarkStart w:id="72" w:name="_Toc231927933"/>
      <w:bookmarkStart w:id="73" w:name="_Toc231479589"/>
      <w:r w:rsidRPr="00E847B0" w:rsidDel="00E23127">
        <w:t>The Recovery and Resilience Facility</w:t>
      </w:r>
      <w:r w:rsidRPr="00E847B0">
        <w:t xml:space="preserve">– </w:t>
      </w:r>
      <w:r w:rsidR="005E6364">
        <w:br/>
      </w:r>
      <w:r w:rsidRPr="00E847B0">
        <w:t xml:space="preserve">an innovative and successful crisis </w:t>
      </w:r>
      <w:r w:rsidR="00027C0F" w:rsidRPr="00E847B0">
        <w:t xml:space="preserve">response </w:t>
      </w:r>
      <w:r w:rsidRPr="00E847B0">
        <w:t>tool</w:t>
      </w:r>
      <w:bookmarkEnd w:id="71"/>
      <w:bookmarkEnd w:id="72"/>
      <w:bookmarkEnd w:id="73"/>
    </w:p>
    <w:p w14:paraId="15C7C2E4" w14:textId="082ED9A7" w:rsidR="009E4161" w:rsidRDefault="00024011" w:rsidP="009153D3">
      <w:r w:rsidRPr="006066AD">
        <w:rPr>
          <w:rStyle w:val="Bold"/>
        </w:rPr>
        <w:t xml:space="preserve">The </w:t>
      </w:r>
      <w:r w:rsidR="0072554B" w:rsidRPr="006066AD">
        <w:rPr>
          <w:rStyle w:val="Bold"/>
        </w:rPr>
        <w:t>Recovery</w:t>
      </w:r>
      <w:r w:rsidRPr="006066AD">
        <w:rPr>
          <w:rStyle w:val="Bold"/>
        </w:rPr>
        <w:t xml:space="preserve"> and Resilience Facility</w:t>
      </w:r>
      <w:r w:rsidRPr="00AD4275">
        <w:rPr>
          <w:rFonts w:ascii="Calibri" w:hAnsi="Calibri" w:cs="Calibri"/>
        </w:rPr>
        <w:t> </w:t>
      </w:r>
      <w:r w:rsidRPr="00AD4275">
        <w:t>(</w:t>
      </w:r>
      <w:r w:rsidRPr="00352191">
        <w:rPr>
          <w:rStyle w:val="FootnoteReference"/>
        </w:rPr>
        <w:footnoteReference w:id="54"/>
      </w:r>
      <w:r w:rsidRPr="00AD4275">
        <w:t>)</w:t>
      </w:r>
      <w:r w:rsidRPr="006066AD">
        <w:rPr>
          <w:rStyle w:val="Bold"/>
        </w:rPr>
        <w:t xml:space="preserve"> is the centrepiece of NextGenerationEU</w:t>
      </w:r>
      <w:r w:rsidR="00A14B47" w:rsidRPr="006066AD">
        <w:rPr>
          <w:rStyle w:val="Bold"/>
        </w:rPr>
        <w:t>,</w:t>
      </w:r>
      <w:r w:rsidRPr="006066AD">
        <w:rPr>
          <w:rStyle w:val="Bold"/>
        </w:rPr>
        <w:t xml:space="preserve"> </w:t>
      </w:r>
      <w:r w:rsidR="00AA7CB2" w:rsidRPr="006066AD">
        <w:rPr>
          <w:rStyle w:val="Bold"/>
        </w:rPr>
        <w:t>established</w:t>
      </w:r>
      <w:r w:rsidR="00AA7CB2" w:rsidRPr="006D3C55">
        <w:t xml:space="preserve"> </w:t>
      </w:r>
      <w:r w:rsidRPr="006066AD">
        <w:rPr>
          <w:rStyle w:val="Bold"/>
        </w:rPr>
        <w:t>to help EU Member States recover</w:t>
      </w:r>
      <w:r w:rsidRPr="006D3C55">
        <w:t xml:space="preserve"> </w:t>
      </w:r>
      <w:r w:rsidRPr="004C11AB">
        <w:rPr>
          <w:b/>
        </w:rPr>
        <w:t xml:space="preserve">faster </w:t>
      </w:r>
      <w:r w:rsidR="007F2DEB" w:rsidRPr="004C11AB">
        <w:rPr>
          <w:b/>
        </w:rPr>
        <w:t xml:space="preserve">from the COVID-19 pandemic </w:t>
      </w:r>
      <w:r w:rsidRPr="004C11AB">
        <w:rPr>
          <w:b/>
        </w:rPr>
        <w:t>and become more resilient.</w:t>
      </w:r>
      <w:r w:rsidRPr="006D3C55">
        <w:t xml:space="preserve"> It provides a powerful tool at the EU level to support accelerated and ambitious green and digital transition</w:t>
      </w:r>
      <w:r w:rsidR="00A14B47">
        <w:t>s</w:t>
      </w:r>
      <w:r w:rsidRPr="006D3C55">
        <w:t xml:space="preserve">. In 2022, it was expanded to </w:t>
      </w:r>
      <w:r w:rsidR="00487E14">
        <w:t xml:space="preserve">include </w:t>
      </w:r>
      <w:r w:rsidR="00F63E71">
        <w:t>REP</w:t>
      </w:r>
      <w:r w:rsidR="00A106C0" w:rsidRPr="006D3C55">
        <w:t xml:space="preserve">owerEU </w:t>
      </w:r>
      <w:r w:rsidR="00D768F3">
        <w:rPr>
          <w:noProof/>
        </w:rPr>
        <w:t>chapters in Recovery and Resilience Plans, thus contributing to the REPowerEU</w:t>
      </w:r>
      <w:r w:rsidR="00A106C0" w:rsidRPr="006D3C55">
        <w:t xml:space="preserve"> </w:t>
      </w:r>
      <w:r w:rsidRPr="006D3C55">
        <w:t xml:space="preserve">plan, the European Commission’s response to the economic hardship, high inflation and energy crisis triggered by Russia’s unprovoked full-scale invasion of Ukraine. </w:t>
      </w:r>
    </w:p>
    <w:p w14:paraId="52A87F33" w14:textId="7E20906D" w:rsidR="00024011" w:rsidRPr="006066AD" w:rsidRDefault="009E4161" w:rsidP="009153D3">
      <w:pPr>
        <w:rPr>
          <w:highlight w:val="lightGray"/>
        </w:rPr>
      </w:pPr>
      <w:r w:rsidRPr="009E4161">
        <w:rPr>
          <w:b/>
          <w:bCs/>
        </w:rPr>
        <w:t>T</w:t>
      </w:r>
      <w:r w:rsidR="00024011" w:rsidRPr="009E4161">
        <w:rPr>
          <w:b/>
          <w:bCs/>
        </w:rPr>
        <w:t>he</w:t>
      </w:r>
      <w:r w:rsidR="00024011" w:rsidRPr="009E4161">
        <w:rPr>
          <w:b/>
        </w:rPr>
        <w:t xml:space="preserve"> Commission assessed 34 payment requests, submitted by 24 different Member States</w:t>
      </w:r>
      <w:r w:rsidR="00024011" w:rsidRPr="006066AD">
        <w:t xml:space="preserve"> </w:t>
      </w:r>
      <w:r w:rsidR="008E77B4" w:rsidRPr="006066AD">
        <w:t>(al</w:t>
      </w:r>
      <w:r w:rsidR="00932EC5" w:rsidRPr="006066AD">
        <w:t xml:space="preserve">l </w:t>
      </w:r>
      <w:r w:rsidR="00024011" w:rsidRPr="006066AD">
        <w:t>except Germany</w:t>
      </w:r>
      <w:r w:rsidR="00342357" w:rsidRPr="006066AD">
        <w:t>,</w:t>
      </w:r>
      <w:r w:rsidR="00024011" w:rsidRPr="006066AD">
        <w:t xml:space="preserve"> Lithuania</w:t>
      </w:r>
      <w:r w:rsidR="00342357" w:rsidRPr="006066AD">
        <w:t xml:space="preserve"> and Hungary</w:t>
      </w:r>
      <w:r w:rsidR="00932EC5" w:rsidRPr="006066AD">
        <w:t>)</w:t>
      </w:r>
      <w:r>
        <w:t xml:space="preserve"> covering</w:t>
      </w:r>
      <w:r w:rsidR="00024011" w:rsidRPr="006066AD">
        <w:t xml:space="preserve"> 1</w:t>
      </w:r>
      <w:r w:rsidR="00342357" w:rsidRPr="006066AD">
        <w:rPr>
          <w:rFonts w:ascii="Calibri" w:hAnsi="Calibri" w:cs="Calibri"/>
        </w:rPr>
        <w:t> </w:t>
      </w:r>
      <w:r w:rsidR="00024011" w:rsidRPr="006066AD">
        <w:t>1</w:t>
      </w:r>
      <w:r w:rsidR="007374D9">
        <w:t>74</w:t>
      </w:r>
      <w:r w:rsidR="00024011" w:rsidRPr="006066AD">
        <w:t xml:space="preserve"> milestones and targets in total (7</w:t>
      </w:r>
      <w:r w:rsidR="007374D9">
        <w:t>94</w:t>
      </w:r>
      <w:r w:rsidR="00024011" w:rsidRPr="006066AD">
        <w:t xml:space="preserve"> milestones and 380 targets). </w:t>
      </w:r>
      <w:r w:rsidR="00A95651" w:rsidRPr="009E4161">
        <w:rPr>
          <w:rStyle w:val="Bold"/>
          <w:b w:val="0"/>
        </w:rPr>
        <w:t>By the</w:t>
      </w:r>
      <w:r w:rsidR="00024011" w:rsidRPr="009E4161">
        <w:rPr>
          <w:rStyle w:val="Bold"/>
          <w:b w:val="0"/>
        </w:rPr>
        <w:t xml:space="preserve"> end </w:t>
      </w:r>
      <w:r w:rsidR="00A95651" w:rsidRPr="009E4161">
        <w:rPr>
          <w:rStyle w:val="Bold"/>
          <w:b w:val="0"/>
        </w:rPr>
        <w:t>of</w:t>
      </w:r>
      <w:r w:rsidR="00024011" w:rsidRPr="009E4161">
        <w:rPr>
          <w:rStyle w:val="Bold"/>
          <w:b w:val="0"/>
        </w:rPr>
        <w:t xml:space="preserve"> 2025, </w:t>
      </w:r>
      <w:r w:rsidR="000B1F87" w:rsidRPr="005E7674">
        <w:rPr>
          <w:rFonts w:eastAsia="EC Square Sans Pro" w:cs="EC Square Sans Pro"/>
          <w:color w:val="000000" w:themeColor="text1"/>
        </w:rPr>
        <w:t>5</w:t>
      </w:r>
      <w:r w:rsidR="00AA476F">
        <w:rPr>
          <w:rFonts w:eastAsia="EC Square Sans Pro" w:cs="EC Square Sans Pro"/>
          <w:color w:val="000000" w:themeColor="text1"/>
        </w:rPr>
        <w:t>2</w:t>
      </w:r>
      <w:r w:rsidR="000B1F87" w:rsidRPr="005E7674">
        <w:rPr>
          <w:rFonts w:eastAsia="EC Square Sans Pro" w:cs="EC Square Sans Pro"/>
          <w:color w:val="000000" w:themeColor="text1"/>
        </w:rPr>
        <w:t xml:space="preserve">% of all milestones and targets with an indicative due date up until Q4 2025 had been assessed as fulfilled by the Commission and an additional 26% </w:t>
      </w:r>
      <w:r w:rsidR="000B1F87" w:rsidRPr="164AA652">
        <w:rPr>
          <w:rFonts w:eastAsia="EC Square Sans Pro" w:cs="EC Square Sans Pro"/>
          <w:color w:val="000000" w:themeColor="text1"/>
        </w:rPr>
        <w:t>had been</w:t>
      </w:r>
      <w:r w:rsidR="000B1F87" w:rsidRPr="005E7674">
        <w:rPr>
          <w:rFonts w:eastAsia="EC Square Sans Pro" w:cs="EC Square Sans Pro"/>
          <w:color w:val="000000" w:themeColor="text1"/>
        </w:rPr>
        <w:t xml:space="preserve"> reported by the Member States as completed.</w:t>
      </w:r>
      <w:r w:rsidR="007A33B1" w:rsidRPr="006D3C55">
        <w:rPr>
          <w:rFonts w:ascii="Calibri" w:hAnsi="Calibri" w:cs="Calibri"/>
        </w:rPr>
        <w:t> </w:t>
      </w:r>
      <w:r w:rsidR="00024011" w:rsidRPr="006066AD">
        <w:t>(</w:t>
      </w:r>
      <w:r w:rsidR="00024011" w:rsidRPr="00352191">
        <w:rPr>
          <w:rStyle w:val="FootnoteReference"/>
        </w:rPr>
        <w:footnoteReference w:id="55"/>
      </w:r>
      <w:r w:rsidR="00024011" w:rsidRPr="006066AD">
        <w:t>)</w:t>
      </w:r>
      <w:r w:rsidR="00024011" w:rsidRPr="00150610">
        <w:rPr>
          <w:rStyle w:val="Bold"/>
          <w:b w:val="0"/>
        </w:rPr>
        <w:t>.</w:t>
      </w:r>
      <w:r w:rsidR="00B10E91" w:rsidRPr="00150610">
        <w:rPr>
          <w:rStyle w:val="Bold"/>
          <w:b w:val="0"/>
        </w:rPr>
        <w:t xml:space="preserve"> </w:t>
      </w:r>
      <w:r w:rsidR="00B05F93" w:rsidRPr="006066AD">
        <w:t xml:space="preserve">The milestones and targets </w:t>
      </w:r>
      <w:r w:rsidR="009541B6" w:rsidRPr="006066AD">
        <w:t xml:space="preserve">relating </w:t>
      </w:r>
      <w:r w:rsidR="00B05F93" w:rsidRPr="006066AD">
        <w:t xml:space="preserve">to the disbursements pertain to a large scope of measures covering the six pillars of the </w:t>
      </w:r>
      <w:r w:rsidR="007D2902" w:rsidRPr="006066AD">
        <w:t>Recovery and Resilience Facility</w:t>
      </w:r>
      <w:r w:rsidR="00B05F93" w:rsidRPr="006066AD">
        <w:t xml:space="preserve"> Regulation.</w:t>
      </w:r>
    </w:p>
    <w:p w14:paraId="009DEFAC" w14:textId="0962E3ED" w:rsidR="001301C1" w:rsidRPr="006D3C55" w:rsidRDefault="00B37F1E" w:rsidP="001301C1">
      <w:pPr>
        <w:pStyle w:val="ImageTitle"/>
        <w:rPr>
          <w:b/>
        </w:rPr>
      </w:pPr>
      <w:r w:rsidRPr="006D3C55">
        <w:t xml:space="preserve">Recovery and Resilience Facility </w:t>
      </w:r>
      <w:r w:rsidR="00E22C86" w:rsidRPr="006D3C55">
        <w:t>–</w:t>
      </w:r>
      <w:r w:rsidRPr="006D3C55">
        <w:t xml:space="preserve"> </w:t>
      </w:r>
      <w:r w:rsidR="00E22C86" w:rsidRPr="006D3C55">
        <w:t>i</w:t>
      </w:r>
      <w:r w:rsidR="001301C1" w:rsidRPr="006D3C55">
        <w:t xml:space="preserve">mplementation of </w:t>
      </w:r>
      <w:r w:rsidR="001301C1" w:rsidRPr="006D3C55">
        <w:rPr>
          <w:bCs/>
        </w:rPr>
        <w:t>milestones and targets</w:t>
      </w:r>
    </w:p>
    <w:p w14:paraId="08B9EB8D" w14:textId="19DDCA86" w:rsidR="00024011" w:rsidRPr="003C4A32" w:rsidRDefault="008919A4" w:rsidP="006066AD">
      <w:pPr>
        <w:pStyle w:val="ImagePlaceholder"/>
        <w:rPr>
          <w:highlight w:val="lightGray"/>
        </w:rPr>
      </w:pPr>
      <w:r w:rsidRPr="008919A4">
        <w:rPr>
          <w:highlight w:val="lightGray"/>
        </w:rPr>
        <w:drawing>
          <wp:inline distT="0" distB="0" distL="0" distR="0" wp14:anchorId="6CAF2A14" wp14:editId="094AFCF3">
            <wp:extent cx="5760085" cy="3769743"/>
            <wp:effectExtent l="0" t="0" r="0" b="2540"/>
            <wp:docPr id="43" name="Picture 42" descr="Bar chart showing the progress on the implementation of the milestones and targets, in absolute values, by quarter, between the first quarter of 2020 and the last quarter of 2025. &#10;In the first quarter of 2020, 4 milestones and targets were assessed by the Commission as fulfilled or reported completed by the member states. This figure increased by quarter to 13, 29 reaching 70 in the last quarter of 2020.  In 2021 this represents 126, 202, 311 reaching 641 in the last quarter of 2021. In 2022 this represents 845, 1143, 1275 and 1784 by quarter, respectively, and in 2023 it reaches 1187, 2069, 2140 and finally 2455 in the fourth quarter. In 2024 these numbers increase to 2515, 2620, 2645 and 2768 in the fourth quarter.  Finally in 2025 we start the first quarter with 2790, evolving in quarter two and three to 2791 and reaching 2870 in the last quarter.  Starting in the last quarter of 2021, one milestone and target appear as not completed. This figure evolves in the last quarter of 2022 to 5. These figures increase to 20, 37, 42 and 85 milestones and targets in the four quarters of 2023, respectively. In 2024 these figures represent 109 in the first quarter, 155 in the second and 199 and 344 in the third and fourth quarters respectively. In 2025 non-completed milestones and targets evolve to 382, 498, 566 by quarter, reaching 1227 in the last quarter.">
              <a:extLst xmlns:a="http://schemas.openxmlformats.org/drawingml/2006/main">
                <a:ext uri="{FF2B5EF4-FFF2-40B4-BE49-F238E27FC236}">
                  <a16:creationId xmlns:a16="http://schemas.microsoft.com/office/drawing/2014/main" id="{E842AD7A-5F54-A11A-6977-6F94A18E5AB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Picture 42" descr="Bar chart showing the progress on the implementation of the milestones and targets, in absolute values, by quarter, between the first quarter of 2020 and the last quarter of 2025. &#10;In the first quarter of 2020, 4 milestones and targets were assessed by the Commission as fulfilled or reported completed by the member states. This figure increased by quarter to 13, 29 reaching 70 in the last quarter of 2020.  In 2021 this represents 126, 202, 311 reaching 641 in the last quarter of 2021. In 2022 this represents 845, 1143, 1275 and 1784 by quarter, respectively, and in 2023 it reaches 1187, 2069, 2140 and finally 2455 in the fourth quarter. In 2024 these numbers increase to 2515, 2620, 2645 and 2768 in the fourth quarter.  Finally in 2025 we start the first quarter with 2790, evolving in quarter two and three to 2791 and reaching 2870 in the last quarter.  Starting in the last quarter of 2021, one milestone and target appear as not completed. This figure evolves in the last quarter of 2022 to 5. These figures increase to 20, 37, 42 and 85 milestones and targets in the four quarters of 2023, respectively. In 2024 these figures represent 109 in the first quarter, 155 in the second and 199 and 344 in the third and fourth quarters respectively. In 2025 non-completed milestones and targets evolve to 382, 498, 566 by quarter, reaching 1227 in the last quarter.">
                      <a:extLst>
                        <a:ext uri="{FF2B5EF4-FFF2-40B4-BE49-F238E27FC236}">
                          <a16:creationId xmlns:a16="http://schemas.microsoft.com/office/drawing/2014/main" id="{E842AD7A-5F54-A11A-6977-6F94A18E5ABE}"/>
                        </a:ext>
                      </a:extLst>
                    </pic:cNvPr>
                    <pic:cNvPicPr>
                      <a:picLocks noChangeAspect="1"/>
                    </pic:cNvPicPr>
                  </pic:nvPicPr>
                  <pic:blipFill rotWithShape="1">
                    <a:blip r:embed="rId105"/>
                    <a:srcRect l="5644" r="4898" b="1303"/>
                    <a:stretch>
                      <a:fillRect/>
                    </a:stretch>
                  </pic:blipFill>
                  <pic:spPr bwMode="auto">
                    <a:xfrm>
                      <a:off x="0" y="0"/>
                      <a:ext cx="5760085" cy="3769743"/>
                    </a:xfrm>
                    <a:prstGeom prst="rect">
                      <a:avLst/>
                    </a:prstGeom>
                    <a:ln>
                      <a:noFill/>
                    </a:ln>
                    <a:extLst>
                      <a:ext uri="{53640926-AAD7-44D8-BBD7-CCE9431645EC}">
                        <a14:shadowObscured xmlns:a14="http://schemas.microsoft.com/office/drawing/2010/main"/>
                      </a:ext>
                    </a:extLst>
                  </pic:spPr>
                </pic:pic>
              </a:graphicData>
            </a:graphic>
          </wp:inline>
        </w:drawing>
      </w:r>
    </w:p>
    <w:p w14:paraId="1153C78B" w14:textId="77777777" w:rsidR="001301C1" w:rsidRPr="006D3C55" w:rsidRDefault="001301C1" w:rsidP="006066AD">
      <w:pPr>
        <w:pStyle w:val="ImageSource"/>
      </w:pPr>
      <w:r w:rsidRPr="006066AD">
        <w:rPr>
          <w:rStyle w:val="Italic"/>
        </w:rPr>
        <w:t>Source:</w:t>
      </w:r>
      <w:r w:rsidRPr="006D3C55">
        <w:t xml:space="preserve"> European Commission.</w:t>
      </w:r>
    </w:p>
    <w:p w14:paraId="1E22D1EC" w14:textId="2D384193" w:rsidR="0099568E" w:rsidRPr="006D3C55" w:rsidRDefault="00024011" w:rsidP="00B37F1E">
      <w:pPr>
        <w:rPr>
          <w:rFonts w:eastAsia="EC Square Sans Pro" w:cs="EC Square Sans Pro"/>
        </w:rPr>
      </w:pPr>
      <w:r w:rsidRPr="006066AD">
        <w:rPr>
          <w:rStyle w:val="Bold"/>
        </w:rPr>
        <w:t>In 2025, the Commission disbursed a total of EUR</w:t>
      </w:r>
      <w:r w:rsidR="00C03A0A" w:rsidRPr="006066AD">
        <w:rPr>
          <w:rStyle w:val="Bold"/>
        </w:rPr>
        <w:t> </w:t>
      </w:r>
      <w:r w:rsidRPr="006066AD">
        <w:rPr>
          <w:rStyle w:val="Bold"/>
        </w:rPr>
        <w:t>87.3</w:t>
      </w:r>
      <w:r w:rsidR="00C03A0A" w:rsidRPr="006066AD">
        <w:rPr>
          <w:rStyle w:val="Bold"/>
        </w:rPr>
        <w:t> </w:t>
      </w:r>
      <w:r w:rsidRPr="006066AD">
        <w:rPr>
          <w:rStyle w:val="Bold"/>
        </w:rPr>
        <w:t>billion</w:t>
      </w:r>
      <w:r w:rsidR="00B37F1E" w:rsidRPr="006066AD">
        <w:rPr>
          <w:rStyle w:val="Bold"/>
        </w:rPr>
        <w:t>,</w:t>
      </w:r>
      <w:r w:rsidRPr="006066AD">
        <w:rPr>
          <w:rStyle w:val="Bold"/>
        </w:rPr>
        <w:t xml:space="preserve"> </w:t>
      </w:r>
      <w:r w:rsidR="00391E7E" w:rsidRPr="006066AD">
        <w:rPr>
          <w:rStyle w:val="Bold"/>
        </w:rPr>
        <w:t>including</w:t>
      </w:r>
      <w:r w:rsidRPr="006066AD">
        <w:rPr>
          <w:rStyle w:val="Bold"/>
        </w:rPr>
        <w:t xml:space="preserve"> EUR</w:t>
      </w:r>
      <w:r w:rsidR="00C03A0A" w:rsidRPr="006066AD">
        <w:rPr>
          <w:rStyle w:val="Bold"/>
        </w:rPr>
        <w:t> </w:t>
      </w:r>
      <w:r w:rsidRPr="006066AD">
        <w:rPr>
          <w:rStyle w:val="Bold"/>
        </w:rPr>
        <w:t>40.1</w:t>
      </w:r>
      <w:r w:rsidR="00C03A0A" w:rsidRPr="006066AD">
        <w:rPr>
          <w:rStyle w:val="Bold"/>
        </w:rPr>
        <w:t> </w:t>
      </w:r>
      <w:r w:rsidRPr="006066AD">
        <w:rPr>
          <w:rStyle w:val="Bold"/>
        </w:rPr>
        <w:t xml:space="preserve">billion in </w:t>
      </w:r>
      <w:r w:rsidR="00965A90">
        <w:rPr>
          <w:rStyle w:val="Bold"/>
        </w:rPr>
        <w:br/>
      </w:r>
      <w:r w:rsidR="00095B26">
        <w:rPr>
          <w:rStyle w:val="Bold"/>
        </w:rPr>
        <w:t>non-repayable support</w:t>
      </w:r>
      <w:r w:rsidR="00095B26" w:rsidRPr="006066AD">
        <w:rPr>
          <w:rStyle w:val="Bold"/>
        </w:rPr>
        <w:t xml:space="preserve"> </w:t>
      </w:r>
      <w:r w:rsidRPr="006066AD">
        <w:rPr>
          <w:rStyle w:val="Bold"/>
        </w:rPr>
        <w:t>and EUR</w:t>
      </w:r>
      <w:r w:rsidR="00C03A0A" w:rsidRPr="006066AD">
        <w:rPr>
          <w:rStyle w:val="Bold"/>
        </w:rPr>
        <w:t> </w:t>
      </w:r>
      <w:r w:rsidRPr="006066AD">
        <w:rPr>
          <w:rStyle w:val="Bold"/>
        </w:rPr>
        <w:t>47.2</w:t>
      </w:r>
      <w:r w:rsidR="00C03A0A" w:rsidRPr="006066AD">
        <w:rPr>
          <w:rStyle w:val="Bold"/>
        </w:rPr>
        <w:t> </w:t>
      </w:r>
      <w:r w:rsidRPr="006066AD">
        <w:rPr>
          <w:rStyle w:val="Bold"/>
        </w:rPr>
        <w:t>billion in loans.</w:t>
      </w:r>
      <w:r w:rsidRPr="006D3C55">
        <w:rPr>
          <w:rFonts w:eastAsia="EC Square Sans Pro" w:cs="EC Square Sans Pro"/>
        </w:rPr>
        <w:t xml:space="preserve"> </w:t>
      </w:r>
      <w:r w:rsidR="00BC6FC8" w:rsidRPr="006D3C55">
        <w:rPr>
          <w:rFonts w:eastAsia="EC Square Sans Pro" w:cs="EC Square Sans Pro"/>
        </w:rPr>
        <w:t>The visual below presents the disbursements made in 2025 per Member State.</w:t>
      </w:r>
    </w:p>
    <w:p w14:paraId="0495F09D" w14:textId="31A5CCBB" w:rsidR="009D45DB" w:rsidRDefault="0099568E" w:rsidP="00AD4275">
      <w:pPr>
        <w:pStyle w:val="ImageTitle"/>
      </w:pPr>
      <w:r w:rsidRPr="006D3C55">
        <w:t>Disbursements made in 202</w:t>
      </w:r>
      <w:r w:rsidR="00792D6E" w:rsidRPr="006D3C55">
        <w:t>5</w:t>
      </w:r>
      <w:r w:rsidRPr="006D3C55">
        <w:t xml:space="preserve"> per Member State for </w:t>
      </w:r>
      <w:r w:rsidR="0072687B">
        <w:t>non-repayable support</w:t>
      </w:r>
      <w:r w:rsidR="0072687B" w:rsidRPr="006D3C55">
        <w:t xml:space="preserve"> </w:t>
      </w:r>
      <w:r w:rsidRPr="006D3C55">
        <w:t>and loans, including pre-financing</w:t>
      </w:r>
      <w:r w:rsidR="00267067" w:rsidRPr="006D3C55">
        <w:t xml:space="preserve"> (million</w:t>
      </w:r>
      <w:r w:rsidR="00391E7E" w:rsidRPr="00391E7E">
        <w:t xml:space="preserve"> </w:t>
      </w:r>
      <w:r w:rsidR="00391E7E" w:rsidRPr="006D3C55">
        <w:t>EUR</w:t>
      </w:r>
      <w:r w:rsidR="00267067" w:rsidRPr="006D3C55">
        <w:t>)</w:t>
      </w:r>
    </w:p>
    <w:p w14:paraId="31CD6BCD" w14:textId="5A4268BD" w:rsidR="0099568E" w:rsidRPr="006D3C55" w:rsidRDefault="00BE31EB" w:rsidP="006066AD">
      <w:pPr>
        <w:pStyle w:val="ImagePlaceholder"/>
        <w:rPr>
          <w:highlight w:val="lightGray"/>
        </w:rPr>
      </w:pPr>
      <w:r w:rsidRPr="00BE31EB">
        <w:rPr>
          <w:highlight w:val="lightGray"/>
        </w:rPr>
        <w:drawing>
          <wp:inline distT="0" distB="0" distL="0" distR="0" wp14:anchorId="40BD6985" wp14:editId="4AB29B6A">
            <wp:extent cx="5760085" cy="5986780"/>
            <wp:effectExtent l="0" t="0" r="0" b="0"/>
            <wp:docPr id="1194232277" name="Picture 5" descr="Bar chart presenting the disbursements made in 2025 per Member State for non-repayable support and loans, including pre-financing. &#10;Belgium, disbursements for non-repayable support 1463, for loans 60.&#10;Bulgaria, disbursements for non-repayable support 1904.&#10;Czechia, disbursements for non-repayable support 1751, for loans 41.&#10;Denmark disbursements for non-repayable support 128. &#10;Estonia disbursements for non-repayable support 122.&#10;Ireland disbursements for non-repayable support, 356.&#10;Greece disbursements for non-repayable support 3455 and disbursements for loans 1781.&#10;Spain disbursements for non-repayable support 7129, for loans 15935.&#10;France disbursements for non-repayable support 3262.&#10;Croatia disbursements for non-repayable support 1041, for loans 865.&#10;Italy disbursements for non-repayable support 7638 and disbursements for loans 23403.&#10;Cyprus disbursements for non-repayable support 190.&#10;Latvia disbursements for non-repayable support 293.&#10;Luxembourg disbursements for non-repayable support 58.&#10;Malta disbursements for non-repayable support 49. &#10;The Netherlands disbursements for non-repayable support 1185.&#10;Austria disbursements for non-repayable support 2138.&#10;Poland disbursements for non-repayable support 2216 and disbursements for loans 3950.&#10;Portugal disbursements for non-repayable support 1916 and disbursements for loans 485. &#10;Romania disbursements for non-repayable support 622 and disbursements for loans 657.&#10;Slovenia disbursements for non-repayable support 400 and disbursements for loans 40. &#10;Slovakia disbursements for non-repayable support 492. &#10;Finland disbursements for non-repayable support 623.&#10;Sweden disbursements for non-repayable support 1646.">
              <a:extLst xmlns:a="http://schemas.openxmlformats.org/drawingml/2006/main">
                <a:ext uri="{FF2B5EF4-FFF2-40B4-BE49-F238E27FC236}">
                  <a16:creationId xmlns:a16="http://schemas.microsoft.com/office/drawing/2014/main" id="{BC8DBD9E-3BEB-10EC-5E78-DAB55D0EBAF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4232277" name="Picture 5" descr="Bar chart presenting the disbursements made in 2025 per Member State for non-repayable support and loans, including pre-financing. &#10;Belgium, disbursements for non-repayable support 1463, for loans 60.&#10;Bulgaria, disbursements for non-repayable support 1904.&#10;Czechia, disbursements for non-repayable support 1751, for loans 41.&#10;Denmark disbursements for non-repayable support 128. &#10;Estonia disbursements for non-repayable support 122.&#10;Ireland disbursements for non-repayable support, 356.&#10;Greece disbursements for non-repayable support 3455 and disbursements for loans 1781.&#10;Spain disbursements for non-repayable support 7129, for loans 15935.&#10;France disbursements for non-repayable support 3262.&#10;Croatia disbursements for non-repayable support 1041, for loans 865.&#10;Italy disbursements for non-repayable support 7638 and disbursements for loans 23403.&#10;Cyprus disbursements for non-repayable support 190.&#10;Latvia disbursements for non-repayable support 293.&#10;Luxembourg disbursements for non-repayable support 58.&#10;Malta disbursements for non-repayable support 49. &#10;The Netherlands disbursements for non-repayable support 1185.&#10;Austria disbursements for non-repayable support 2138.&#10;Poland disbursements for non-repayable support 2216 and disbursements for loans 3950.&#10;Portugal disbursements for non-repayable support 1916 and disbursements for loans 485. &#10;Romania disbursements for non-repayable support 622 and disbursements for loans 657.&#10;Slovenia disbursements for non-repayable support 400 and disbursements for loans 40. &#10;Slovakia disbursements for non-repayable support 492. &#10;Finland disbursements for non-repayable support 623.&#10;Sweden disbursements for non-repayable support 1646.">
                      <a:extLst>
                        <a:ext uri="{FF2B5EF4-FFF2-40B4-BE49-F238E27FC236}">
                          <a16:creationId xmlns:a16="http://schemas.microsoft.com/office/drawing/2014/main" id="{BC8DBD9E-3BEB-10EC-5E78-DAB55D0EBAF5}"/>
                        </a:ext>
                      </a:extLst>
                    </pic:cNvPr>
                    <pic:cNvPicPr>
                      <a:picLocks noChangeAspect="1"/>
                    </pic:cNvPicPr>
                  </pic:nvPicPr>
                  <pic:blipFill>
                    <a:blip r:embed="rId106"/>
                    <a:srcRect l="3797" t="7735" r="3241" b="2805"/>
                    <a:stretch>
                      <a:fillRect/>
                    </a:stretch>
                  </pic:blipFill>
                  <pic:spPr>
                    <a:xfrm>
                      <a:off x="0" y="0"/>
                      <a:ext cx="5760085" cy="5986780"/>
                    </a:xfrm>
                    <a:prstGeom prst="rect">
                      <a:avLst/>
                    </a:prstGeom>
                  </pic:spPr>
                </pic:pic>
              </a:graphicData>
            </a:graphic>
          </wp:inline>
        </w:drawing>
      </w:r>
    </w:p>
    <w:p w14:paraId="0496CD24" w14:textId="77777777" w:rsidR="0099568E" w:rsidRPr="006D3C55" w:rsidRDefault="0099568E" w:rsidP="0099568E">
      <w:pPr>
        <w:pStyle w:val="ImageSource"/>
      </w:pPr>
      <w:r w:rsidRPr="006D3C55">
        <w:rPr>
          <w:rStyle w:val="Italic"/>
        </w:rPr>
        <w:t>Source:</w:t>
      </w:r>
      <w:r w:rsidRPr="006D3C55">
        <w:t xml:space="preserve"> European Commission.</w:t>
      </w:r>
    </w:p>
    <w:p w14:paraId="3AB7B6F2" w14:textId="3F3BF17E" w:rsidR="00024011" w:rsidRPr="00935637" w:rsidRDefault="0099568E" w:rsidP="00B37F1E">
      <w:r w:rsidRPr="006D3C55">
        <w:rPr>
          <w:rFonts w:eastAsia="EC Square Sans Pro" w:cs="EC Square Sans Pro"/>
        </w:rPr>
        <w:t xml:space="preserve">For the entire </w:t>
      </w:r>
      <w:r w:rsidR="004A5C4B">
        <w:rPr>
          <w:rFonts w:eastAsia="EC Square Sans Pro" w:cs="EC Square Sans Pro"/>
        </w:rPr>
        <w:t>f</w:t>
      </w:r>
      <w:r w:rsidRPr="006D3C55">
        <w:rPr>
          <w:rFonts w:eastAsia="EC Square Sans Pro" w:cs="EC Square Sans Pro"/>
        </w:rPr>
        <w:t>acility, t</w:t>
      </w:r>
      <w:r w:rsidR="00024011" w:rsidRPr="006D3C55">
        <w:rPr>
          <w:rFonts w:eastAsia="EC Square Sans Pro" w:cs="EC Square Sans Pro"/>
        </w:rPr>
        <w:t>his brought the total disbursements to EUR</w:t>
      </w:r>
      <w:r w:rsidR="005608EE" w:rsidRPr="006D3C55">
        <w:rPr>
          <w:rFonts w:ascii="Calibri" w:eastAsia="EC Square Sans Pro" w:hAnsi="Calibri" w:cs="Calibri"/>
        </w:rPr>
        <w:t> </w:t>
      </w:r>
      <w:r w:rsidR="00024011" w:rsidRPr="006D3C55">
        <w:rPr>
          <w:rFonts w:eastAsia="EC Square Sans Pro" w:cs="EC Square Sans Pro"/>
        </w:rPr>
        <w:t>393.4</w:t>
      </w:r>
      <w:r w:rsidR="005608EE" w:rsidRPr="006D3C55">
        <w:rPr>
          <w:rFonts w:ascii="Calibri" w:eastAsia="EC Square Sans Pro" w:hAnsi="Calibri" w:cs="Calibri"/>
        </w:rPr>
        <w:t> </w:t>
      </w:r>
      <w:r w:rsidR="00024011" w:rsidRPr="006D3C55">
        <w:rPr>
          <w:rFonts w:eastAsia="EC Square Sans Pro" w:cs="EC Square Sans Pro"/>
        </w:rPr>
        <w:t>billion</w:t>
      </w:r>
      <w:r w:rsidR="00C03A0A" w:rsidRPr="006D3C55">
        <w:t xml:space="preserve"> </w:t>
      </w:r>
      <w:r w:rsidR="00C03A0A" w:rsidRPr="006D3C55">
        <w:rPr>
          <w:rFonts w:eastAsia="EC Square Sans Pro" w:cs="EC Square Sans Pro"/>
        </w:rPr>
        <w:t>out of a total envelope of EUR</w:t>
      </w:r>
      <w:r w:rsidR="00C03A0A" w:rsidRPr="006D3C55">
        <w:rPr>
          <w:rFonts w:ascii="Calibri" w:eastAsia="EC Square Sans Pro" w:hAnsi="Calibri" w:cs="Calibri"/>
        </w:rPr>
        <w:t> </w:t>
      </w:r>
      <w:r w:rsidR="00C03A0A" w:rsidRPr="006D3C55">
        <w:rPr>
          <w:rFonts w:eastAsia="EC Square Sans Pro" w:cs="EC Square Sans Pro"/>
        </w:rPr>
        <w:t>637.1</w:t>
      </w:r>
      <w:r w:rsidR="00C03A0A" w:rsidRPr="006D3C55">
        <w:rPr>
          <w:rFonts w:ascii="Calibri" w:eastAsia="EC Square Sans Pro" w:hAnsi="Calibri" w:cs="Calibri"/>
        </w:rPr>
        <w:t> </w:t>
      </w:r>
      <w:r w:rsidR="00C03A0A" w:rsidRPr="006D3C55">
        <w:rPr>
          <w:rFonts w:eastAsia="EC Square Sans Pro" w:cs="EC Square Sans Pro"/>
        </w:rPr>
        <w:t>billion at the end of 2025</w:t>
      </w:r>
      <w:r w:rsidR="00024011" w:rsidRPr="006D3C55">
        <w:rPr>
          <w:rFonts w:eastAsia="EC Square Sans Pro" w:cs="EC Square Sans Pro"/>
        </w:rPr>
        <w:t xml:space="preserve"> </w:t>
      </w:r>
      <w:r w:rsidR="004A5C4B">
        <w:rPr>
          <w:rFonts w:eastAsia="EC Square Sans Pro" w:cs="EC Square Sans Pro"/>
        </w:rPr>
        <w:t>(</w:t>
      </w:r>
      <w:r w:rsidR="003F3E8E" w:rsidRPr="006D3C55">
        <w:rPr>
          <w:rFonts w:eastAsia="EC Square Sans Pro" w:cs="EC Square Sans Pro"/>
        </w:rPr>
        <w:t>see details in visual below</w:t>
      </w:r>
      <w:r w:rsidR="004A5C4B">
        <w:rPr>
          <w:rFonts w:eastAsia="EC Square Sans Pro" w:cs="EC Square Sans Pro"/>
        </w:rPr>
        <w:t>)</w:t>
      </w:r>
      <w:r w:rsidR="00024011" w:rsidRPr="006D3C55">
        <w:rPr>
          <w:rFonts w:eastAsia="EC Square Sans Pro" w:cs="EC Square Sans Pro"/>
        </w:rPr>
        <w:t>.</w:t>
      </w:r>
    </w:p>
    <w:p w14:paraId="002FB84C" w14:textId="77777777" w:rsidR="00377909" w:rsidRDefault="003F4007" w:rsidP="00B37F1E">
      <w:pPr>
        <w:pStyle w:val="ImageTitle"/>
      </w:pPr>
      <w:r w:rsidRPr="006D3C55">
        <w:t>D</w:t>
      </w:r>
      <w:r w:rsidR="00B37F1E" w:rsidRPr="006D3C55">
        <w:t xml:space="preserve">isbursements made and to be </w:t>
      </w:r>
      <w:r w:rsidRPr="006D3C55">
        <w:t>made</w:t>
      </w:r>
      <w:r w:rsidR="00B05F93" w:rsidRPr="006D3C55">
        <w:t>,</w:t>
      </w:r>
      <w:r w:rsidRPr="006D3C55">
        <w:t xml:space="preserve"> at the end of 2025</w:t>
      </w:r>
    </w:p>
    <w:p w14:paraId="1FD4CD16" w14:textId="4D99FBB8" w:rsidR="00024011" w:rsidRPr="006D3C55" w:rsidRDefault="009D2AA6" w:rsidP="00935637">
      <w:pPr>
        <w:pStyle w:val="ImagePlaceholder"/>
      </w:pPr>
      <w:r w:rsidRPr="009D2AA6">
        <w:drawing>
          <wp:inline distT="0" distB="0" distL="0" distR="0" wp14:anchorId="275AAFC4" wp14:editId="7EE235CD">
            <wp:extent cx="5760085" cy="1784350"/>
            <wp:effectExtent l="0" t="0" r="0" b="6350"/>
            <wp:docPr id="32" name="Picture 31" descr="Two horizontal bar charts show the total Recovery and Resilience Facility disbursements made and the amounts to be disbursed for loans and non-repayable support in 2025.&#10;For loans from a total of 277.2 billion euros, 129.7 billion were disbursed and 121.3 billion to be disbursed.&#10;For non-repayable support, from a total of 359.9 billion euros, 196.8  billion were disbursed and 122.4 billion  to be disbursed.">
              <a:extLst xmlns:a="http://schemas.openxmlformats.org/drawingml/2006/main">
                <a:ext uri="{FF2B5EF4-FFF2-40B4-BE49-F238E27FC236}">
                  <a16:creationId xmlns:a16="http://schemas.microsoft.com/office/drawing/2014/main" id="{B98777D5-B0FB-FCDB-42BD-2732B61F943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31" descr="Two horizontal bar charts show the total Recovery and Resilience Facility disbursements made and the amounts to be disbursed for loans and non-repayable support in 2025.&#10;For loans from a total of 277.2 billion euros, 129.7 billion were disbursed and 121.3 billion to be disbursed.&#10;For non-repayable support, from a total of 359.9 billion euros, 196.8  billion were disbursed and 122.4 billion  to be disbursed.">
                      <a:extLst>
                        <a:ext uri="{FF2B5EF4-FFF2-40B4-BE49-F238E27FC236}">
                          <a16:creationId xmlns:a16="http://schemas.microsoft.com/office/drawing/2014/main" id="{B98777D5-B0FB-FCDB-42BD-2732B61F943F}"/>
                        </a:ext>
                      </a:extLst>
                    </pic:cNvPr>
                    <pic:cNvPicPr>
                      <a:picLocks noChangeAspect="1"/>
                    </pic:cNvPicPr>
                  </pic:nvPicPr>
                  <pic:blipFill>
                    <a:blip r:embed="rId107"/>
                    <a:srcRect l="3611" t="16787" b="12511"/>
                    <a:stretch>
                      <a:fillRect/>
                    </a:stretch>
                  </pic:blipFill>
                  <pic:spPr>
                    <a:xfrm>
                      <a:off x="0" y="0"/>
                      <a:ext cx="5760085" cy="1784350"/>
                    </a:xfrm>
                    <a:prstGeom prst="rect">
                      <a:avLst/>
                    </a:prstGeom>
                  </pic:spPr>
                </pic:pic>
              </a:graphicData>
            </a:graphic>
          </wp:inline>
        </w:drawing>
      </w:r>
    </w:p>
    <w:p w14:paraId="38747E11" w14:textId="6DE582D1" w:rsidR="001301C1" w:rsidRPr="006D3C55" w:rsidRDefault="001301C1" w:rsidP="001301C1">
      <w:pPr>
        <w:pStyle w:val="ImageSource"/>
      </w:pPr>
      <w:r w:rsidRPr="00935637">
        <w:rPr>
          <w:rStyle w:val="Italic"/>
        </w:rPr>
        <w:t>Source:</w:t>
      </w:r>
      <w:r w:rsidRPr="006D3C55">
        <w:t xml:space="preserve"> </w:t>
      </w:r>
      <w:hyperlink r:id="rId108" w:history="1">
        <w:r w:rsidRPr="006D3C55">
          <w:rPr>
            <w:rStyle w:val="Hyperlink"/>
          </w:rPr>
          <w:t>Recovery and resilience scoreboard</w:t>
        </w:r>
      </w:hyperlink>
      <w:r w:rsidRPr="006D3C55">
        <w:t>.</w:t>
      </w:r>
    </w:p>
    <w:p w14:paraId="3E284FAF" w14:textId="77777777" w:rsidR="00FB4367" w:rsidRPr="006D3C55" w:rsidRDefault="00FB4367" w:rsidP="009D6F7A">
      <w:pPr>
        <w:pStyle w:val="HNum-fromh2Heading3-11"/>
      </w:pPr>
      <w:r w:rsidRPr="006D3C55">
        <w:t>Progress made in 2025 – ensuring timely implementation</w:t>
      </w:r>
    </w:p>
    <w:p w14:paraId="30435B53" w14:textId="1A3A916C" w:rsidR="00F27A75" w:rsidRPr="006D3C55" w:rsidRDefault="00F27A75" w:rsidP="00155E17">
      <w:pPr>
        <w:rPr>
          <w:rFonts w:eastAsiaTheme="majorEastAsia"/>
        </w:rPr>
      </w:pPr>
      <w:r w:rsidRPr="00935637">
        <w:rPr>
          <w:rStyle w:val="Bold"/>
        </w:rPr>
        <w:t>Ensuring the timely implementation of the Recovery and Resilience Facility remained a central priority for the Commission in 2025.</w:t>
      </w:r>
      <w:r w:rsidRPr="006D3C55">
        <w:rPr>
          <w:rFonts w:eastAsiaTheme="majorEastAsia"/>
        </w:rPr>
        <w:t xml:space="preserve"> Activities in 2025 centred on monitoring the execution of national </w:t>
      </w:r>
      <w:r w:rsidR="006B1F25">
        <w:rPr>
          <w:rFonts w:eastAsiaTheme="majorEastAsia"/>
        </w:rPr>
        <w:t>recovery and resilience plan</w:t>
      </w:r>
      <w:r w:rsidRPr="006D3C55">
        <w:rPr>
          <w:rFonts w:eastAsiaTheme="majorEastAsia"/>
        </w:rPr>
        <w:t xml:space="preserve">s, assessing Member States’ payment requests and streamlining </w:t>
      </w:r>
      <w:r w:rsidR="006B1F25">
        <w:rPr>
          <w:rFonts w:eastAsiaTheme="majorEastAsia"/>
        </w:rPr>
        <w:t>recovery and resilience plan</w:t>
      </w:r>
      <w:r w:rsidR="00D22D7C" w:rsidRPr="006D3C55">
        <w:rPr>
          <w:rFonts w:eastAsiaTheme="majorEastAsia"/>
        </w:rPr>
        <w:t>s</w:t>
      </w:r>
      <w:r w:rsidRPr="006D3C55">
        <w:rPr>
          <w:rFonts w:eastAsiaTheme="majorEastAsia"/>
        </w:rPr>
        <w:t xml:space="preserve"> to facilitate their full implementation by </w:t>
      </w:r>
      <w:r w:rsidR="008539AF">
        <w:rPr>
          <w:rFonts w:eastAsiaTheme="majorEastAsia"/>
        </w:rPr>
        <w:t xml:space="preserve">the </w:t>
      </w:r>
      <w:r w:rsidRPr="006D3C55">
        <w:rPr>
          <w:rFonts w:eastAsiaTheme="majorEastAsia"/>
        </w:rPr>
        <w:t>end</w:t>
      </w:r>
      <w:r w:rsidR="008539AF">
        <w:rPr>
          <w:rFonts w:eastAsiaTheme="majorEastAsia"/>
        </w:rPr>
        <w:t xml:space="preserve"> of </w:t>
      </w:r>
      <w:r w:rsidRPr="006D3C55">
        <w:rPr>
          <w:rFonts w:eastAsiaTheme="majorEastAsia"/>
        </w:rPr>
        <w:t>2026.</w:t>
      </w:r>
    </w:p>
    <w:p w14:paraId="23134D28" w14:textId="5BBC3892" w:rsidR="00F27A75" w:rsidRPr="006D3C55" w:rsidRDefault="00F27A75" w:rsidP="00155E17">
      <w:pPr>
        <w:rPr>
          <w:rFonts w:eastAsiaTheme="majorEastAsia"/>
        </w:rPr>
      </w:pPr>
      <w:r w:rsidRPr="00935637">
        <w:rPr>
          <w:rStyle w:val="Bold"/>
        </w:rPr>
        <w:t>In June 2025</w:t>
      </w:r>
      <w:r w:rsidR="0029393E" w:rsidRPr="00935637">
        <w:rPr>
          <w:rStyle w:val="Bold"/>
        </w:rPr>
        <w:t>,</w:t>
      </w:r>
      <w:r w:rsidRPr="00935637">
        <w:rPr>
          <w:rStyle w:val="Bold"/>
        </w:rPr>
        <w:t xml:space="preserve"> the Commission called on Member States to streamline their </w:t>
      </w:r>
      <w:r w:rsidR="006B1F25" w:rsidRPr="00935637">
        <w:rPr>
          <w:rStyle w:val="Bold"/>
        </w:rPr>
        <w:t>recovery and resilience plan</w:t>
      </w:r>
      <w:r w:rsidR="00D22D7C" w:rsidRPr="00935637">
        <w:rPr>
          <w:rStyle w:val="Bold"/>
        </w:rPr>
        <w:t>s</w:t>
      </w:r>
      <w:r w:rsidR="008539AF" w:rsidRPr="00AD4275">
        <w:rPr>
          <w:rFonts w:eastAsiaTheme="majorEastAsia"/>
          <w:bCs/>
        </w:rPr>
        <w:t xml:space="preserve"> so as</w:t>
      </w:r>
      <w:r w:rsidRPr="006D3C55">
        <w:rPr>
          <w:rFonts w:eastAsiaTheme="majorEastAsia"/>
        </w:rPr>
        <w:t xml:space="preserve"> to maximise impact in light of implementation delays and the approaching end of the </w:t>
      </w:r>
      <w:r w:rsidR="007D2902" w:rsidRPr="006D3C55">
        <w:rPr>
          <w:rFonts w:eastAsiaTheme="majorEastAsia"/>
        </w:rPr>
        <w:t>Recovery and Resilience Facility</w:t>
      </w:r>
      <w:r w:rsidRPr="006D3C55">
        <w:rPr>
          <w:rFonts w:eastAsiaTheme="majorEastAsia"/>
        </w:rPr>
        <w:t xml:space="preserve"> in 2026</w:t>
      </w:r>
      <w:r w:rsidR="008539AF">
        <w:rPr>
          <w:rFonts w:ascii="Calibri" w:eastAsiaTheme="majorEastAsia" w:hAnsi="Calibri" w:cs="Calibri"/>
        </w:rPr>
        <w:t> </w:t>
      </w:r>
      <w:r w:rsidR="0029393E" w:rsidRPr="006D3C55">
        <w:rPr>
          <w:rFonts w:eastAsiaTheme="majorEastAsia" w:cs="Calibri"/>
        </w:rPr>
        <w:t>(</w:t>
      </w:r>
      <w:r w:rsidR="0029393E" w:rsidRPr="00352191">
        <w:rPr>
          <w:rStyle w:val="FootnoteReference"/>
        </w:rPr>
        <w:footnoteReference w:id="56"/>
      </w:r>
      <w:r w:rsidR="0029393E" w:rsidRPr="006D3C55">
        <w:rPr>
          <w:rFonts w:eastAsiaTheme="majorEastAsia"/>
        </w:rPr>
        <w:t>)</w:t>
      </w:r>
      <w:r w:rsidRPr="006D3C55">
        <w:rPr>
          <w:rFonts w:eastAsiaTheme="majorEastAsia"/>
        </w:rPr>
        <w:t>. The Comm</w:t>
      </w:r>
      <w:r w:rsidR="00E81F19" w:rsidRPr="006D3C55">
        <w:rPr>
          <w:rFonts w:eastAsiaTheme="majorEastAsia"/>
        </w:rPr>
        <w:t>ission provided</w:t>
      </w:r>
      <w:r w:rsidRPr="006D3C55">
        <w:rPr>
          <w:rFonts w:eastAsiaTheme="majorEastAsia"/>
        </w:rPr>
        <w:t xml:space="preserve"> guidance on plan revisions, stressing that </w:t>
      </w:r>
      <w:r w:rsidR="006B1F25">
        <w:rPr>
          <w:rFonts w:eastAsiaTheme="majorEastAsia"/>
        </w:rPr>
        <w:t>recovery and resilience plan</w:t>
      </w:r>
      <w:r w:rsidR="00D22D7C" w:rsidRPr="006D3C55">
        <w:rPr>
          <w:rFonts w:eastAsiaTheme="majorEastAsia"/>
        </w:rPr>
        <w:t>s</w:t>
      </w:r>
      <w:r w:rsidRPr="006D3C55">
        <w:rPr>
          <w:rFonts w:eastAsiaTheme="majorEastAsia"/>
        </w:rPr>
        <w:t xml:space="preserve"> should retain only those measures that can be fully implemented by 31</w:t>
      </w:r>
      <w:r w:rsidR="00FE5252">
        <w:rPr>
          <w:rFonts w:ascii="Calibri" w:eastAsiaTheme="majorEastAsia" w:hAnsi="Calibri" w:cs="Calibri"/>
        </w:rPr>
        <w:t> </w:t>
      </w:r>
      <w:r w:rsidRPr="006D3C55">
        <w:rPr>
          <w:rFonts w:eastAsiaTheme="majorEastAsia"/>
        </w:rPr>
        <w:t>August 2026. This approach aims to simplify</w:t>
      </w:r>
      <w:r w:rsidR="008A13BD" w:rsidRPr="006D3C55">
        <w:rPr>
          <w:rFonts w:eastAsiaTheme="majorEastAsia"/>
        </w:rPr>
        <w:t xml:space="preserve"> </w:t>
      </w:r>
      <w:r w:rsidRPr="006D3C55">
        <w:rPr>
          <w:rFonts w:eastAsiaTheme="majorEastAsia"/>
        </w:rPr>
        <w:t>implementation and the assessment of payment requests and to reduce administrative burden</w:t>
      </w:r>
      <w:r w:rsidR="00FE5252">
        <w:rPr>
          <w:rFonts w:eastAsiaTheme="majorEastAsia"/>
        </w:rPr>
        <w:t>s</w:t>
      </w:r>
      <w:r w:rsidRPr="006D3C55">
        <w:rPr>
          <w:rFonts w:eastAsiaTheme="majorEastAsia"/>
        </w:rPr>
        <w:t xml:space="preserve">, while ensuring </w:t>
      </w:r>
      <w:r w:rsidR="006B1F25">
        <w:rPr>
          <w:rFonts w:eastAsiaTheme="majorEastAsia"/>
        </w:rPr>
        <w:t>recovery and resilience plan</w:t>
      </w:r>
      <w:r w:rsidR="00D22D7C" w:rsidRPr="006D3C55">
        <w:rPr>
          <w:rFonts w:eastAsiaTheme="majorEastAsia"/>
        </w:rPr>
        <w:t>s</w:t>
      </w:r>
      <w:r w:rsidRPr="006D3C55">
        <w:rPr>
          <w:rFonts w:eastAsiaTheme="majorEastAsia"/>
        </w:rPr>
        <w:t xml:space="preserve"> remain fully compliant with the </w:t>
      </w:r>
      <w:r w:rsidR="007D2902" w:rsidRPr="006D3C55">
        <w:rPr>
          <w:rFonts w:eastAsiaTheme="majorEastAsia"/>
        </w:rPr>
        <w:t xml:space="preserve">Recovery and Resilience </w:t>
      </w:r>
      <w:r w:rsidR="00F708E0" w:rsidRPr="006D3C55">
        <w:rPr>
          <w:rFonts w:eastAsiaTheme="majorEastAsia"/>
        </w:rPr>
        <w:t>Facility</w:t>
      </w:r>
      <w:r w:rsidRPr="006D3C55">
        <w:rPr>
          <w:rFonts w:eastAsiaTheme="majorEastAsia"/>
        </w:rPr>
        <w:t xml:space="preserve"> Regulation.</w:t>
      </w:r>
    </w:p>
    <w:p w14:paraId="74C59793" w14:textId="17D4EC0E" w:rsidR="00F27A75" w:rsidRPr="006D3C55" w:rsidRDefault="005E067B" w:rsidP="004C4C3C">
      <w:pPr>
        <w:rPr>
          <w:rFonts w:eastAsiaTheme="majorEastAsia"/>
        </w:rPr>
      </w:pPr>
      <w:r w:rsidRPr="00150610">
        <w:rPr>
          <w:rFonts w:eastAsiaTheme="majorEastAsia"/>
          <w:b/>
          <w:bCs/>
        </w:rPr>
        <w:t xml:space="preserve">In </w:t>
      </w:r>
      <w:r w:rsidR="00F27A75" w:rsidRPr="00150610">
        <w:rPr>
          <w:rFonts w:eastAsiaTheme="majorEastAsia"/>
          <w:b/>
          <w:bCs/>
        </w:rPr>
        <w:t>2025</w:t>
      </w:r>
      <w:r w:rsidR="00F772C1" w:rsidRPr="00150610">
        <w:rPr>
          <w:rFonts w:eastAsiaTheme="majorEastAsia"/>
          <w:b/>
          <w:bCs/>
        </w:rPr>
        <w:t>,</w:t>
      </w:r>
      <w:r w:rsidR="00F27A75" w:rsidRPr="00150610">
        <w:rPr>
          <w:rFonts w:eastAsiaTheme="majorEastAsia"/>
          <w:b/>
          <w:bCs/>
        </w:rPr>
        <w:t xml:space="preserve"> </w:t>
      </w:r>
      <w:r w:rsidR="00150610" w:rsidRPr="00150610">
        <w:rPr>
          <w:rStyle w:val="Bold"/>
        </w:rPr>
        <w:t>50</w:t>
      </w:r>
      <w:r w:rsidR="00150610" w:rsidRPr="00935637">
        <w:rPr>
          <w:rStyle w:val="Bold"/>
        </w:rPr>
        <w:t xml:space="preserve"> requests for revision were received and positively assessed by the Commission,</w:t>
      </w:r>
      <w:r w:rsidR="00150610" w:rsidRPr="006D3C55">
        <w:rPr>
          <w:rFonts w:eastAsiaTheme="majorEastAsia"/>
        </w:rPr>
        <w:t xml:space="preserve"> </w:t>
      </w:r>
      <w:r w:rsidR="00150610">
        <w:rPr>
          <w:rFonts w:eastAsiaTheme="majorEastAsia"/>
        </w:rPr>
        <w:t>as</w:t>
      </w:r>
      <w:r w:rsidR="00F27A75" w:rsidRPr="006D3C55">
        <w:rPr>
          <w:rFonts w:eastAsiaTheme="majorEastAsia"/>
        </w:rPr>
        <w:t xml:space="preserve"> Member States continued to revise their </w:t>
      </w:r>
      <w:r w:rsidR="006B1F25">
        <w:rPr>
          <w:rFonts w:eastAsiaTheme="majorEastAsia"/>
        </w:rPr>
        <w:t>recovery and resilience plan</w:t>
      </w:r>
      <w:r w:rsidR="00D22D7C" w:rsidRPr="006D3C55">
        <w:rPr>
          <w:rFonts w:eastAsiaTheme="majorEastAsia"/>
        </w:rPr>
        <w:t>s</w:t>
      </w:r>
      <w:r w:rsidR="00F27A75" w:rsidRPr="006D3C55">
        <w:rPr>
          <w:rFonts w:eastAsiaTheme="majorEastAsia"/>
        </w:rPr>
        <w:t xml:space="preserve"> to address implementation delays</w:t>
      </w:r>
      <w:r w:rsidR="00150610">
        <w:rPr>
          <w:rFonts w:eastAsiaTheme="majorEastAsia"/>
        </w:rPr>
        <w:t>,</w:t>
      </w:r>
      <w:r w:rsidR="00F27A75" w:rsidRPr="006D3C55">
        <w:rPr>
          <w:rFonts w:eastAsiaTheme="majorEastAsia"/>
        </w:rPr>
        <w:t xml:space="preserve"> </w:t>
      </w:r>
      <w:r w:rsidR="00150610">
        <w:rPr>
          <w:rFonts w:eastAsiaTheme="majorEastAsia"/>
        </w:rPr>
        <w:t>to</w:t>
      </w:r>
      <w:r w:rsidR="00F27A75" w:rsidRPr="006D3C55">
        <w:rPr>
          <w:rFonts w:eastAsiaTheme="majorEastAsia"/>
        </w:rPr>
        <w:t xml:space="preserve"> mitigate external constraints and engaged in an effort to simplify milestones and targets. By </w:t>
      </w:r>
      <w:r w:rsidR="00620CEA">
        <w:rPr>
          <w:rFonts w:eastAsiaTheme="majorEastAsia"/>
        </w:rPr>
        <w:t xml:space="preserve">the </w:t>
      </w:r>
      <w:r w:rsidR="00F27A75" w:rsidRPr="006D3C55">
        <w:rPr>
          <w:rFonts w:eastAsiaTheme="majorEastAsia"/>
        </w:rPr>
        <w:t>end</w:t>
      </w:r>
      <w:r w:rsidR="00620CEA">
        <w:rPr>
          <w:rFonts w:eastAsiaTheme="majorEastAsia"/>
        </w:rPr>
        <w:t xml:space="preserve"> of </w:t>
      </w:r>
      <w:r w:rsidR="00F27A75" w:rsidRPr="006D3C55">
        <w:rPr>
          <w:rFonts w:eastAsiaTheme="majorEastAsia"/>
        </w:rPr>
        <w:t xml:space="preserve">2025, 543 milestones and targets </w:t>
      </w:r>
      <w:r w:rsidR="00620CEA">
        <w:rPr>
          <w:rFonts w:eastAsiaTheme="majorEastAsia"/>
        </w:rPr>
        <w:t>had been</w:t>
      </w:r>
      <w:r w:rsidR="00620CEA" w:rsidRPr="006D3C55">
        <w:rPr>
          <w:rFonts w:eastAsiaTheme="majorEastAsia"/>
        </w:rPr>
        <w:t xml:space="preserve"> </w:t>
      </w:r>
      <w:r w:rsidR="00F27A75" w:rsidRPr="006D3C55">
        <w:rPr>
          <w:rFonts w:eastAsiaTheme="majorEastAsia"/>
        </w:rPr>
        <w:t xml:space="preserve">removed, </w:t>
      </w:r>
      <w:r w:rsidR="006E51D3">
        <w:rPr>
          <w:rFonts w:eastAsiaTheme="majorEastAsia"/>
        </w:rPr>
        <w:t>leading to</w:t>
      </w:r>
      <w:r w:rsidR="00F27A75" w:rsidRPr="006D3C55">
        <w:rPr>
          <w:rFonts w:eastAsiaTheme="majorEastAsia"/>
        </w:rPr>
        <w:t xml:space="preserve"> </w:t>
      </w:r>
      <w:r w:rsidR="00620CEA">
        <w:rPr>
          <w:rFonts w:eastAsiaTheme="majorEastAsia"/>
        </w:rPr>
        <w:t xml:space="preserve">a </w:t>
      </w:r>
      <w:r w:rsidR="00620CEA" w:rsidRPr="006D3C55">
        <w:rPr>
          <w:rFonts w:eastAsiaTheme="majorEastAsia"/>
        </w:rPr>
        <w:t xml:space="preserve">reduction </w:t>
      </w:r>
      <w:r w:rsidR="00620CEA">
        <w:rPr>
          <w:rFonts w:eastAsiaTheme="majorEastAsia"/>
        </w:rPr>
        <w:t xml:space="preserve">of </w:t>
      </w:r>
      <w:r w:rsidR="00E93937" w:rsidRPr="006D3C55">
        <w:rPr>
          <w:rFonts w:eastAsiaTheme="majorEastAsia"/>
        </w:rPr>
        <w:t>around</w:t>
      </w:r>
      <w:r w:rsidR="00F27A75" w:rsidRPr="006D3C55">
        <w:rPr>
          <w:rFonts w:eastAsiaTheme="majorEastAsia"/>
        </w:rPr>
        <w:t xml:space="preserve"> 20% in the outstanding number of milestones and targets left to </w:t>
      </w:r>
      <w:r w:rsidR="00620CEA">
        <w:rPr>
          <w:rFonts w:eastAsiaTheme="majorEastAsia"/>
        </w:rPr>
        <w:t xml:space="preserve">be </w:t>
      </w:r>
      <w:r w:rsidR="00F27A75" w:rsidRPr="006D3C55">
        <w:rPr>
          <w:rFonts w:eastAsiaTheme="majorEastAsia"/>
        </w:rPr>
        <w:t>assess</w:t>
      </w:r>
      <w:r w:rsidR="00620CEA">
        <w:rPr>
          <w:rFonts w:eastAsiaTheme="majorEastAsia"/>
        </w:rPr>
        <w:t>ed</w:t>
      </w:r>
      <w:r w:rsidR="00F27A75" w:rsidRPr="006D3C55">
        <w:rPr>
          <w:rFonts w:eastAsiaTheme="majorEastAsia"/>
        </w:rPr>
        <w:t xml:space="preserve"> in the final phase of the </w:t>
      </w:r>
      <w:r w:rsidR="007D2902" w:rsidRPr="006D3C55">
        <w:rPr>
          <w:rFonts w:eastAsiaTheme="majorEastAsia"/>
        </w:rPr>
        <w:t>Recovery and Resilience Facility</w:t>
      </w:r>
      <w:r w:rsidR="00F27A75" w:rsidRPr="006D3C55">
        <w:rPr>
          <w:rFonts w:eastAsiaTheme="majorEastAsia"/>
        </w:rPr>
        <w:t xml:space="preserve">. </w:t>
      </w:r>
      <w:r w:rsidR="0091171E" w:rsidRPr="006D3C55">
        <w:rPr>
          <w:rFonts w:eastAsiaTheme="majorEastAsia"/>
        </w:rPr>
        <w:t xml:space="preserve">Regarding </w:t>
      </w:r>
      <w:r w:rsidR="00F63E71">
        <w:rPr>
          <w:rFonts w:eastAsiaTheme="majorEastAsia"/>
        </w:rPr>
        <w:t>REP</w:t>
      </w:r>
      <w:r w:rsidR="00A106C0" w:rsidRPr="006D3C55">
        <w:rPr>
          <w:rFonts w:eastAsiaTheme="majorEastAsia"/>
        </w:rPr>
        <w:t>owerEU</w:t>
      </w:r>
      <w:r w:rsidR="0091171E" w:rsidRPr="006D3C55">
        <w:rPr>
          <w:rFonts w:eastAsiaTheme="majorEastAsia"/>
        </w:rPr>
        <w:t>, i</w:t>
      </w:r>
      <w:r w:rsidR="00F27A75" w:rsidRPr="006D3C55">
        <w:rPr>
          <w:rFonts w:eastAsiaTheme="majorEastAsia"/>
        </w:rPr>
        <w:t>n July 2025, the Council adopted the last chapter</w:t>
      </w:r>
      <w:r w:rsidR="005215C8">
        <w:rPr>
          <w:rFonts w:eastAsiaTheme="majorEastAsia"/>
        </w:rPr>
        <w:t>,</w:t>
      </w:r>
      <w:r w:rsidR="00F27A75" w:rsidRPr="006D3C55">
        <w:rPr>
          <w:rFonts w:eastAsiaTheme="majorEastAsia"/>
        </w:rPr>
        <w:t xml:space="preserve"> for Bulgaria, which brought the total number of </w:t>
      </w:r>
      <w:r w:rsidR="00F63E71">
        <w:rPr>
          <w:rFonts w:eastAsiaTheme="majorEastAsia"/>
        </w:rPr>
        <w:t>REP</w:t>
      </w:r>
      <w:r w:rsidR="00E21ED7" w:rsidRPr="006D3C55">
        <w:rPr>
          <w:rFonts w:eastAsiaTheme="majorEastAsia"/>
        </w:rPr>
        <w:t>owerEU</w:t>
      </w:r>
      <w:r w:rsidR="00F27A75" w:rsidRPr="006D3C55">
        <w:rPr>
          <w:rFonts w:eastAsiaTheme="majorEastAsia"/>
        </w:rPr>
        <w:t xml:space="preserve"> chapters to 27, accounting for a total of EUR</w:t>
      </w:r>
      <w:r w:rsidR="0091171E" w:rsidRPr="006D3C55">
        <w:rPr>
          <w:rFonts w:ascii="Calibri" w:eastAsiaTheme="majorEastAsia" w:hAnsi="Calibri" w:cs="Calibri"/>
        </w:rPr>
        <w:t> </w:t>
      </w:r>
      <w:r w:rsidR="00F27A75" w:rsidRPr="006D3C55">
        <w:rPr>
          <w:rFonts w:eastAsiaTheme="majorEastAsia"/>
        </w:rPr>
        <w:t>57.6</w:t>
      </w:r>
      <w:r w:rsidR="0091171E" w:rsidRPr="006D3C55">
        <w:rPr>
          <w:rFonts w:ascii="Calibri" w:eastAsiaTheme="majorEastAsia" w:hAnsi="Calibri" w:cs="Calibri"/>
        </w:rPr>
        <w:t> </w:t>
      </w:r>
      <w:r w:rsidR="00F27A75" w:rsidRPr="006D3C55">
        <w:rPr>
          <w:rFonts w:eastAsiaTheme="majorEastAsia"/>
        </w:rPr>
        <w:t>billion</w:t>
      </w:r>
      <w:r w:rsidR="005215C8">
        <w:rPr>
          <w:rFonts w:eastAsiaTheme="majorEastAsia"/>
        </w:rPr>
        <w:t xml:space="preserve"> of </w:t>
      </w:r>
      <w:r w:rsidR="005215C8" w:rsidRPr="006D3C55">
        <w:rPr>
          <w:rFonts w:eastAsiaTheme="majorEastAsia"/>
        </w:rPr>
        <w:t>funding</w:t>
      </w:r>
      <w:r w:rsidR="00F27A75" w:rsidRPr="006D3C55">
        <w:rPr>
          <w:rFonts w:eastAsiaTheme="majorEastAsia"/>
        </w:rPr>
        <w:t xml:space="preserve">. </w:t>
      </w:r>
      <w:r w:rsidR="004D168F" w:rsidRPr="006D3C55">
        <w:rPr>
          <w:rFonts w:eastAsiaTheme="majorEastAsia"/>
        </w:rPr>
        <w:t xml:space="preserve">As a result of the revisions that took place in 2025, the total financial envelope under the Recovery and Resilience Facility </w:t>
      </w:r>
      <w:r w:rsidR="003E2E74" w:rsidRPr="006D3C55">
        <w:rPr>
          <w:rFonts w:eastAsiaTheme="majorEastAsia"/>
        </w:rPr>
        <w:t>amounted to</w:t>
      </w:r>
      <w:r w:rsidR="004D168F" w:rsidRPr="006D3C55">
        <w:rPr>
          <w:rFonts w:eastAsiaTheme="majorEastAsia"/>
        </w:rPr>
        <w:t xml:space="preserve"> EUR</w:t>
      </w:r>
      <w:r w:rsidR="003E2E74" w:rsidRPr="006D3C55">
        <w:rPr>
          <w:rFonts w:ascii="Calibri" w:eastAsiaTheme="majorEastAsia" w:hAnsi="Calibri" w:cs="Calibri"/>
        </w:rPr>
        <w:t> </w:t>
      </w:r>
      <w:r w:rsidR="004D168F" w:rsidRPr="006D3C55">
        <w:rPr>
          <w:rFonts w:eastAsiaTheme="majorEastAsia"/>
        </w:rPr>
        <w:t>637</w:t>
      </w:r>
      <w:r w:rsidR="003E2E74" w:rsidRPr="006D3C55">
        <w:rPr>
          <w:rFonts w:ascii="Calibri" w:eastAsiaTheme="majorEastAsia" w:hAnsi="Calibri" w:cs="Calibri"/>
        </w:rPr>
        <w:t> </w:t>
      </w:r>
      <w:r w:rsidR="004D168F" w:rsidRPr="006D3C55">
        <w:rPr>
          <w:rFonts w:eastAsiaTheme="majorEastAsia"/>
        </w:rPr>
        <w:t>billion, split into EUR</w:t>
      </w:r>
      <w:r w:rsidR="003E2E74" w:rsidRPr="006D3C55">
        <w:rPr>
          <w:rFonts w:ascii="Calibri" w:eastAsiaTheme="majorEastAsia" w:hAnsi="Calibri" w:cs="Calibri"/>
        </w:rPr>
        <w:t> </w:t>
      </w:r>
      <w:r w:rsidR="004D168F" w:rsidRPr="006D3C55">
        <w:rPr>
          <w:rFonts w:eastAsiaTheme="majorEastAsia"/>
        </w:rPr>
        <w:t>360</w:t>
      </w:r>
      <w:r w:rsidR="003E2E74" w:rsidRPr="006D3C55">
        <w:rPr>
          <w:rFonts w:ascii="Calibri" w:eastAsiaTheme="majorEastAsia" w:hAnsi="Calibri" w:cs="Calibri"/>
        </w:rPr>
        <w:t> </w:t>
      </w:r>
      <w:r w:rsidR="004D168F" w:rsidRPr="006D3C55">
        <w:rPr>
          <w:rFonts w:eastAsiaTheme="majorEastAsia"/>
        </w:rPr>
        <w:t xml:space="preserve">billion in </w:t>
      </w:r>
      <w:r w:rsidR="000F4B68">
        <w:rPr>
          <w:rFonts w:eastAsiaTheme="majorEastAsia"/>
        </w:rPr>
        <w:t>non-repayable support</w:t>
      </w:r>
      <w:r w:rsidR="000F4B68" w:rsidRPr="006D3C55">
        <w:rPr>
          <w:rFonts w:eastAsiaTheme="majorEastAsia"/>
        </w:rPr>
        <w:t xml:space="preserve"> </w:t>
      </w:r>
      <w:r w:rsidR="002A7901">
        <w:rPr>
          <w:rFonts w:eastAsiaTheme="majorEastAsia"/>
        </w:rPr>
        <w:t xml:space="preserve">(a </w:t>
      </w:r>
      <w:r w:rsidR="004D168F" w:rsidRPr="006D3C55">
        <w:rPr>
          <w:rFonts w:eastAsiaTheme="majorEastAsia"/>
        </w:rPr>
        <w:t>EUR</w:t>
      </w:r>
      <w:r w:rsidR="003E2E74" w:rsidRPr="006D3C55">
        <w:rPr>
          <w:rFonts w:ascii="Calibri" w:eastAsiaTheme="majorEastAsia" w:hAnsi="Calibri" w:cs="Calibri"/>
        </w:rPr>
        <w:t> </w:t>
      </w:r>
      <w:r w:rsidR="004D168F" w:rsidRPr="006D3C55">
        <w:rPr>
          <w:rFonts w:eastAsiaTheme="majorEastAsia"/>
        </w:rPr>
        <w:t>1</w:t>
      </w:r>
      <w:r w:rsidR="003E2E74" w:rsidRPr="006D3C55">
        <w:rPr>
          <w:rFonts w:ascii="Calibri" w:eastAsiaTheme="majorEastAsia" w:hAnsi="Calibri" w:cs="Calibri"/>
        </w:rPr>
        <w:t> </w:t>
      </w:r>
      <w:r w:rsidR="004D168F" w:rsidRPr="006D3C55">
        <w:rPr>
          <w:rFonts w:eastAsiaTheme="majorEastAsia"/>
        </w:rPr>
        <w:t>billion increase compared to 2024</w:t>
      </w:r>
      <w:r w:rsidR="002A7901">
        <w:rPr>
          <w:rFonts w:eastAsiaTheme="majorEastAsia"/>
        </w:rPr>
        <w:t>)</w:t>
      </w:r>
      <w:r w:rsidR="004D168F" w:rsidRPr="006D3C55">
        <w:rPr>
          <w:rFonts w:eastAsiaTheme="majorEastAsia"/>
        </w:rPr>
        <w:t xml:space="preserve"> and EUR</w:t>
      </w:r>
      <w:r w:rsidR="003E2E74" w:rsidRPr="006D3C55">
        <w:rPr>
          <w:rFonts w:ascii="Calibri" w:eastAsiaTheme="majorEastAsia" w:hAnsi="Calibri" w:cs="Calibri"/>
        </w:rPr>
        <w:t> </w:t>
      </w:r>
      <w:r w:rsidR="004D168F" w:rsidRPr="006D3C55">
        <w:rPr>
          <w:rFonts w:eastAsiaTheme="majorEastAsia"/>
        </w:rPr>
        <w:t>277</w:t>
      </w:r>
      <w:r w:rsidR="003E2E74" w:rsidRPr="006D3C55">
        <w:rPr>
          <w:rFonts w:ascii="Calibri" w:eastAsiaTheme="majorEastAsia" w:hAnsi="Calibri" w:cs="Calibri"/>
        </w:rPr>
        <w:t> </w:t>
      </w:r>
      <w:r w:rsidR="004D168F" w:rsidRPr="006D3C55">
        <w:rPr>
          <w:rFonts w:eastAsiaTheme="majorEastAsia"/>
        </w:rPr>
        <w:t xml:space="preserve">billion in loans </w:t>
      </w:r>
      <w:r w:rsidR="002A7901">
        <w:rPr>
          <w:rFonts w:eastAsiaTheme="majorEastAsia"/>
        </w:rPr>
        <w:t>(</w:t>
      </w:r>
      <w:r w:rsidR="004D168F" w:rsidRPr="006D3C55">
        <w:rPr>
          <w:rFonts w:eastAsiaTheme="majorEastAsia"/>
        </w:rPr>
        <w:t>a decrease of EUR</w:t>
      </w:r>
      <w:r w:rsidR="003E2E74" w:rsidRPr="006D3C55">
        <w:rPr>
          <w:rFonts w:ascii="Calibri" w:eastAsiaTheme="majorEastAsia" w:hAnsi="Calibri" w:cs="Calibri"/>
        </w:rPr>
        <w:t> </w:t>
      </w:r>
      <w:r w:rsidR="004D168F" w:rsidRPr="006D3C55">
        <w:rPr>
          <w:rFonts w:eastAsiaTheme="majorEastAsia"/>
        </w:rPr>
        <w:t>14</w:t>
      </w:r>
      <w:r w:rsidR="003E2E74" w:rsidRPr="006D3C55">
        <w:rPr>
          <w:rFonts w:ascii="Calibri" w:eastAsiaTheme="majorEastAsia" w:hAnsi="Calibri" w:cs="Calibri"/>
        </w:rPr>
        <w:t> </w:t>
      </w:r>
      <w:r w:rsidR="004D168F" w:rsidRPr="006D3C55">
        <w:rPr>
          <w:rFonts w:eastAsiaTheme="majorEastAsia"/>
        </w:rPr>
        <w:t>billion</w:t>
      </w:r>
      <w:r w:rsidR="002A7901">
        <w:rPr>
          <w:rFonts w:eastAsiaTheme="majorEastAsia"/>
        </w:rPr>
        <w:t>)</w:t>
      </w:r>
      <w:r w:rsidR="004D168F" w:rsidRPr="006D3C55">
        <w:rPr>
          <w:rFonts w:eastAsiaTheme="majorEastAsia"/>
        </w:rPr>
        <w:t>.</w:t>
      </w:r>
    </w:p>
    <w:p w14:paraId="60BBFF4D" w14:textId="77777777" w:rsidR="00965A90" w:rsidRDefault="00965A90">
      <w:pPr>
        <w:suppressAutoHyphens w:val="0"/>
        <w:rPr>
          <w:rFonts w:eastAsia="EC Square Sans Pro"/>
          <w:b/>
          <w:color w:val="003399" w:themeColor="text2"/>
          <w:sz w:val="28"/>
          <w:szCs w:val="21"/>
          <w:lang w:eastAsia="zh-CN"/>
        </w:rPr>
      </w:pPr>
      <w:r>
        <w:br w:type="page"/>
      </w:r>
    </w:p>
    <w:p w14:paraId="153C9385" w14:textId="77777777" w:rsidR="001301C1" w:rsidRPr="006D3C55" w:rsidRDefault="001301C1" w:rsidP="009D6F7A">
      <w:pPr>
        <w:pStyle w:val="HNum-fromh2Heading3-11"/>
      </w:pPr>
      <w:r w:rsidRPr="006D3C55">
        <w:t>Achieving performance results</w:t>
      </w:r>
    </w:p>
    <w:p w14:paraId="4FF411A2" w14:textId="488B7B0F" w:rsidR="001301C1" w:rsidRPr="006D3C55" w:rsidRDefault="001301C1" w:rsidP="001301C1">
      <w:pPr>
        <w:rPr>
          <w:rFonts w:eastAsia="EC Square Sans Pro" w:cs="EC Square Sans Pro"/>
        </w:rPr>
      </w:pPr>
      <w:r w:rsidRPr="006D3C55">
        <w:rPr>
          <w:rFonts w:eastAsia="EC Square Sans Pro" w:cs="EC Square Sans Pro"/>
        </w:rPr>
        <w:t>Member States use the funds provided by the Recovery and Resilience Facility to implement ambitious reforms and investment</w:t>
      </w:r>
      <w:r w:rsidR="001141A5" w:rsidRPr="006D3C55">
        <w:rPr>
          <w:rFonts w:eastAsia="EC Square Sans Pro" w:cs="EC Square Sans Pro"/>
        </w:rPr>
        <w:t>s</w:t>
      </w:r>
      <w:r w:rsidRPr="006D3C55">
        <w:rPr>
          <w:rFonts w:eastAsia="EC Square Sans Pro" w:cs="EC Square Sans Pro"/>
        </w:rPr>
        <w:t xml:space="preserve"> that will make their economies and societies more sustainable, resilient and prepared for the green and digital transitions.</w:t>
      </w:r>
    </w:p>
    <w:p w14:paraId="61555628" w14:textId="350AE1B0" w:rsidR="001301C1" w:rsidRPr="006D3C55" w:rsidRDefault="001301C1" w:rsidP="001301C1">
      <w:pPr>
        <w:rPr>
          <w:rFonts w:eastAsia="Aptos" w:cs="Aptos"/>
        </w:rPr>
      </w:pPr>
      <w:r w:rsidRPr="006D3C55">
        <w:rPr>
          <w:rFonts w:eastAsia="EC Square Sans Pro" w:cs="EC Square Sans Pro"/>
        </w:rPr>
        <w:t>The results obtained by the end of 202</w:t>
      </w:r>
      <w:r w:rsidR="00EE4DAA" w:rsidRPr="006D3C55">
        <w:rPr>
          <w:rFonts w:eastAsia="EC Square Sans Pro" w:cs="EC Square Sans Pro"/>
        </w:rPr>
        <w:t>5</w:t>
      </w:r>
      <w:r w:rsidRPr="006D3C55">
        <w:rPr>
          <w:rFonts w:eastAsia="EC Square Sans Pro" w:cs="EC Square Sans Pro"/>
        </w:rPr>
        <w:t xml:space="preserve"> indicate that the facility is making a key difference in the lives of EU citizens. The common indicators demonstrate the progress of the implementation of the recovery and resilience plans towards common objectives and the overall performance of the facility.</w:t>
      </w:r>
    </w:p>
    <w:tbl>
      <w:tblPr>
        <w:tblStyle w:val="BodyTable"/>
        <w:tblW w:w="0" w:type="auto"/>
        <w:tblLook w:val="0620" w:firstRow="1" w:lastRow="0" w:firstColumn="0" w:lastColumn="0" w:noHBand="1" w:noVBand="1"/>
      </w:tblPr>
      <w:tblGrid>
        <w:gridCol w:w="6931"/>
        <w:gridCol w:w="2110"/>
      </w:tblGrid>
      <w:tr w:rsidR="001301C1" w:rsidRPr="006D3C55" w14:paraId="2B1C6EF9" w14:textId="77777777">
        <w:trPr>
          <w:cnfStyle w:val="100000000000" w:firstRow="1" w:lastRow="0" w:firstColumn="0" w:lastColumn="0" w:oddVBand="0" w:evenVBand="0" w:oddHBand="0" w:evenHBand="0" w:firstRowFirstColumn="0" w:firstRowLastColumn="0" w:lastRowFirstColumn="0" w:lastRowLastColumn="0"/>
          <w:tblHeader/>
        </w:trPr>
        <w:tc>
          <w:tcPr>
            <w:tcW w:w="6931" w:type="dxa"/>
          </w:tcPr>
          <w:p w14:paraId="21D7225C" w14:textId="1943D525" w:rsidR="001301C1" w:rsidRPr="006D3C55" w:rsidRDefault="001301C1">
            <w:pPr>
              <w:rPr>
                <w:lang w:val="en-GB"/>
              </w:rPr>
            </w:pPr>
            <w:r w:rsidRPr="006D3C55">
              <w:rPr>
                <w:lang w:val="en-GB"/>
              </w:rPr>
              <w:t>Common indicator</w:t>
            </w:r>
          </w:p>
        </w:tc>
        <w:tc>
          <w:tcPr>
            <w:tcW w:w="2110" w:type="dxa"/>
          </w:tcPr>
          <w:p w14:paraId="554DF77E" w14:textId="33C6F240" w:rsidR="001301C1" w:rsidRPr="006D3C55" w:rsidRDefault="001301C1">
            <w:pPr>
              <w:rPr>
                <w:lang w:val="en-GB"/>
              </w:rPr>
            </w:pPr>
            <w:r w:rsidRPr="006D3C55">
              <w:rPr>
                <w:lang w:val="en-GB"/>
              </w:rPr>
              <w:t xml:space="preserve">Results by </w:t>
            </w:r>
            <w:r w:rsidR="00D76676">
              <w:rPr>
                <w:lang w:val="en-GB"/>
              </w:rPr>
              <w:t xml:space="preserve">the </w:t>
            </w:r>
            <w:r w:rsidRPr="006D3C55">
              <w:rPr>
                <w:lang w:val="en-GB"/>
              </w:rPr>
              <w:t xml:space="preserve">end </w:t>
            </w:r>
            <w:r w:rsidR="00B27FF9">
              <w:rPr>
                <w:lang w:val="en-GB"/>
              </w:rPr>
              <w:br/>
            </w:r>
            <w:r w:rsidR="00D76676">
              <w:rPr>
                <w:lang w:val="en-GB"/>
              </w:rPr>
              <w:t xml:space="preserve">of </w:t>
            </w:r>
            <w:r w:rsidRPr="006D3C55">
              <w:rPr>
                <w:lang w:val="en-GB"/>
              </w:rPr>
              <w:t>202</w:t>
            </w:r>
            <w:r w:rsidR="00D62C55" w:rsidRPr="006D3C55">
              <w:rPr>
                <w:lang w:val="en-GB"/>
              </w:rPr>
              <w:t>5</w:t>
            </w:r>
          </w:p>
        </w:tc>
      </w:tr>
      <w:tr w:rsidR="001301C1" w:rsidRPr="006D3C55" w14:paraId="3965400F" w14:textId="77777777" w:rsidTr="002B08A0">
        <w:tc>
          <w:tcPr>
            <w:tcW w:w="0" w:type="dxa"/>
          </w:tcPr>
          <w:p w14:paraId="7CDA03E5" w14:textId="77777777" w:rsidR="001301C1" w:rsidRPr="006D3C55" w:rsidRDefault="001301C1">
            <w:pPr>
              <w:rPr>
                <w:lang w:val="en-GB"/>
              </w:rPr>
            </w:pPr>
            <w:r w:rsidRPr="006D3C55">
              <w:rPr>
                <w:lang w:val="en-GB"/>
              </w:rPr>
              <w:t>Savings in annual primary energy consumption</w:t>
            </w:r>
          </w:p>
        </w:tc>
        <w:tc>
          <w:tcPr>
            <w:tcW w:w="0" w:type="dxa"/>
          </w:tcPr>
          <w:p w14:paraId="52D4664B" w14:textId="201EFE58" w:rsidR="001301C1" w:rsidRPr="006D3C55" w:rsidRDefault="001301C1" w:rsidP="00AB16DF">
            <w:pPr>
              <w:rPr>
                <w:lang w:val="en-GB"/>
              </w:rPr>
            </w:pPr>
            <w:r w:rsidRPr="006D3C55">
              <w:rPr>
                <w:b/>
                <w:color w:val="003399" w:themeColor="text2"/>
                <w:szCs w:val="22"/>
                <w:lang w:val="en-GB"/>
              </w:rPr>
              <w:t>3</w:t>
            </w:r>
            <w:r w:rsidR="00B61BE8" w:rsidRPr="006D3C55">
              <w:rPr>
                <w:rFonts w:cs="Times New Roman"/>
                <w:b/>
                <w:color w:val="003399" w:themeColor="text2"/>
                <w:szCs w:val="22"/>
                <w:lang w:val="en-GB"/>
              </w:rPr>
              <w:t>7</w:t>
            </w:r>
            <w:r w:rsidR="00D76676">
              <w:rPr>
                <w:rFonts w:ascii="Calibri" w:hAnsi="Calibri" w:cs="Calibri"/>
                <w:b/>
                <w:color w:val="003399" w:themeColor="text2"/>
                <w:szCs w:val="22"/>
                <w:lang w:val="en-GB"/>
              </w:rPr>
              <w:t> </w:t>
            </w:r>
            <w:r w:rsidR="00B61BE8" w:rsidRPr="006D3C55">
              <w:rPr>
                <w:rFonts w:cs="Times New Roman"/>
                <w:b/>
                <w:color w:val="003399" w:themeColor="text2"/>
                <w:szCs w:val="22"/>
                <w:lang w:val="en-GB"/>
              </w:rPr>
              <w:t>568</w:t>
            </w:r>
            <w:r w:rsidR="00D76676">
              <w:rPr>
                <w:rFonts w:ascii="Calibri" w:hAnsi="Calibri" w:cs="Calibri"/>
                <w:b/>
                <w:color w:val="003399" w:themeColor="text2"/>
                <w:szCs w:val="22"/>
                <w:lang w:val="en-GB"/>
              </w:rPr>
              <w:t> </w:t>
            </w:r>
            <w:r w:rsidR="00B61BE8" w:rsidRPr="006D3C55">
              <w:rPr>
                <w:rFonts w:cs="Times New Roman"/>
                <w:b/>
                <w:color w:val="003399" w:themeColor="text2"/>
                <w:szCs w:val="22"/>
                <w:lang w:val="en-GB"/>
              </w:rPr>
              <w:t>052</w:t>
            </w:r>
            <w:r w:rsidRPr="006D3C55">
              <w:rPr>
                <w:rFonts w:ascii="Calibri" w:hAnsi="Calibri" w:cs="Calibri"/>
                <w:b/>
                <w:color w:val="003399" w:themeColor="text2"/>
                <w:szCs w:val="22"/>
                <w:lang w:val="en-GB"/>
              </w:rPr>
              <w:t> </w:t>
            </w:r>
            <w:r w:rsidRPr="006D3C55">
              <w:rPr>
                <w:b/>
                <w:color w:val="003399" w:themeColor="text2"/>
                <w:szCs w:val="22"/>
                <w:lang w:val="en-GB"/>
              </w:rPr>
              <w:t>MWh/year</w:t>
            </w:r>
          </w:p>
        </w:tc>
      </w:tr>
      <w:tr w:rsidR="001301C1" w:rsidRPr="006D3C55" w14:paraId="3692EE1A" w14:textId="77777777" w:rsidTr="002B08A0">
        <w:tc>
          <w:tcPr>
            <w:tcW w:w="0" w:type="dxa"/>
          </w:tcPr>
          <w:p w14:paraId="7C57601A" w14:textId="77777777" w:rsidR="001301C1" w:rsidRPr="006D3C55" w:rsidRDefault="001301C1">
            <w:pPr>
              <w:rPr>
                <w:lang w:val="en-GB"/>
              </w:rPr>
            </w:pPr>
            <w:r w:rsidRPr="006D3C55">
              <w:rPr>
                <w:lang w:val="en-GB"/>
              </w:rPr>
              <w:t>Additional operational capacity installed for renewable energy</w:t>
            </w:r>
          </w:p>
        </w:tc>
        <w:tc>
          <w:tcPr>
            <w:tcW w:w="0" w:type="dxa"/>
          </w:tcPr>
          <w:p w14:paraId="3F0ED1C9" w14:textId="62B7655A" w:rsidR="001301C1" w:rsidRPr="006D3C55" w:rsidRDefault="007E4DAF" w:rsidP="00AB16DF">
            <w:pPr>
              <w:rPr>
                <w:lang w:val="en-GB"/>
              </w:rPr>
            </w:pPr>
            <w:r w:rsidRPr="006D3C55">
              <w:rPr>
                <w:b/>
                <w:color w:val="003399" w:themeColor="text2"/>
                <w:lang w:val="en-GB"/>
              </w:rPr>
              <w:t>62</w:t>
            </w:r>
            <w:r w:rsidR="00D76676">
              <w:rPr>
                <w:rFonts w:ascii="Calibri" w:hAnsi="Calibri" w:cs="Calibri"/>
                <w:b/>
                <w:color w:val="003399" w:themeColor="text2"/>
                <w:lang w:val="en-GB"/>
              </w:rPr>
              <w:t> </w:t>
            </w:r>
            <w:r w:rsidR="00EF623E" w:rsidRPr="006D3C55">
              <w:rPr>
                <w:b/>
                <w:color w:val="003399" w:themeColor="text2"/>
                <w:lang w:val="en-GB"/>
              </w:rPr>
              <w:t>444</w:t>
            </w:r>
            <w:r w:rsidR="001301C1" w:rsidRPr="006D3C55">
              <w:rPr>
                <w:rFonts w:ascii="Calibri" w:hAnsi="Calibri" w:cs="Calibri"/>
                <w:b/>
                <w:color w:val="003399" w:themeColor="text2"/>
                <w:lang w:val="en-GB"/>
              </w:rPr>
              <w:t> </w:t>
            </w:r>
            <w:r w:rsidR="001301C1" w:rsidRPr="006D3C55">
              <w:rPr>
                <w:b/>
                <w:color w:val="003399" w:themeColor="text2"/>
                <w:lang w:val="en-GB"/>
              </w:rPr>
              <w:t xml:space="preserve">MW and </w:t>
            </w:r>
            <w:r w:rsidR="00095528">
              <w:rPr>
                <w:b/>
                <w:color w:val="003399" w:themeColor="text2"/>
                <w:lang w:val="en-GB"/>
              </w:rPr>
              <w:br/>
            </w:r>
            <w:r w:rsidR="001301C1" w:rsidRPr="006D3C55">
              <w:rPr>
                <w:b/>
                <w:color w:val="003399" w:themeColor="text2"/>
                <w:lang w:val="en-GB"/>
              </w:rPr>
              <w:t>18</w:t>
            </w:r>
            <w:r w:rsidR="001301C1" w:rsidRPr="006D3C55">
              <w:rPr>
                <w:rFonts w:ascii="Calibri" w:hAnsi="Calibri" w:cs="Calibri"/>
                <w:b/>
                <w:color w:val="003399" w:themeColor="text2"/>
                <w:lang w:val="en-GB"/>
              </w:rPr>
              <w:t> </w:t>
            </w:r>
            <w:r w:rsidR="001301C1" w:rsidRPr="006D3C55">
              <w:rPr>
                <w:b/>
                <w:color w:val="003399" w:themeColor="text2"/>
                <w:lang w:val="en-GB"/>
              </w:rPr>
              <w:t>MW for hydrogen</w:t>
            </w:r>
          </w:p>
        </w:tc>
      </w:tr>
      <w:tr w:rsidR="001301C1" w:rsidRPr="006D3C55" w14:paraId="59BE0F33" w14:textId="77777777" w:rsidTr="002B08A0">
        <w:tc>
          <w:tcPr>
            <w:tcW w:w="0" w:type="dxa"/>
          </w:tcPr>
          <w:p w14:paraId="3DC52C5E" w14:textId="77777777" w:rsidR="001301C1" w:rsidRPr="006D3C55" w:rsidRDefault="001301C1">
            <w:pPr>
              <w:rPr>
                <w:lang w:val="en-GB"/>
              </w:rPr>
            </w:pPr>
            <w:r w:rsidRPr="006D3C55">
              <w:rPr>
                <w:lang w:val="en-GB"/>
              </w:rPr>
              <w:t>Alternative fuels infrastructure (refuelling/recharging points)</w:t>
            </w:r>
          </w:p>
        </w:tc>
        <w:tc>
          <w:tcPr>
            <w:tcW w:w="0" w:type="dxa"/>
          </w:tcPr>
          <w:p w14:paraId="5043F295" w14:textId="691554EF" w:rsidR="001301C1" w:rsidRPr="006D3C55" w:rsidRDefault="001301C1" w:rsidP="00AB16DF">
            <w:pPr>
              <w:rPr>
                <w:highlight w:val="yellow"/>
                <w:lang w:val="en-GB"/>
              </w:rPr>
            </w:pPr>
            <w:r w:rsidRPr="006D3C55">
              <w:rPr>
                <w:b/>
                <w:color w:val="003399" w:themeColor="text2"/>
                <w:szCs w:val="22"/>
                <w:lang w:val="en-GB"/>
              </w:rPr>
              <w:t>9</w:t>
            </w:r>
            <w:r w:rsidR="002A0EDE" w:rsidRPr="006D3C55">
              <w:rPr>
                <w:b/>
                <w:color w:val="003399" w:themeColor="text2"/>
                <w:szCs w:val="22"/>
                <w:lang w:val="en-GB"/>
              </w:rPr>
              <w:t>40</w:t>
            </w:r>
            <w:r w:rsidR="00D76676">
              <w:rPr>
                <w:rFonts w:ascii="Calibri" w:hAnsi="Calibri" w:cs="Calibri"/>
                <w:b/>
                <w:color w:val="003399" w:themeColor="text2"/>
                <w:szCs w:val="22"/>
                <w:lang w:val="en-GB"/>
              </w:rPr>
              <w:t> </w:t>
            </w:r>
            <w:r w:rsidR="002A0EDE" w:rsidRPr="006D3C55">
              <w:rPr>
                <w:b/>
                <w:color w:val="003399" w:themeColor="text2"/>
                <w:szCs w:val="22"/>
                <w:lang w:val="en-GB"/>
              </w:rPr>
              <w:t>866</w:t>
            </w:r>
          </w:p>
        </w:tc>
      </w:tr>
      <w:tr w:rsidR="001301C1" w:rsidRPr="006D3C55" w14:paraId="7924CBB8" w14:textId="77777777" w:rsidTr="002B08A0">
        <w:tc>
          <w:tcPr>
            <w:tcW w:w="0" w:type="dxa"/>
          </w:tcPr>
          <w:p w14:paraId="6B5A05E5" w14:textId="77777777" w:rsidR="001301C1" w:rsidRPr="006D3C55" w:rsidRDefault="001301C1">
            <w:pPr>
              <w:rPr>
                <w:lang w:val="en-GB"/>
              </w:rPr>
            </w:pPr>
            <w:r w:rsidRPr="006D3C55">
              <w:rPr>
                <w:lang w:val="en-GB"/>
              </w:rPr>
              <w:t>Population benefiting from protection measures against floods, wildfires and other climate-related natural disasters</w:t>
            </w:r>
          </w:p>
        </w:tc>
        <w:tc>
          <w:tcPr>
            <w:tcW w:w="0" w:type="dxa"/>
          </w:tcPr>
          <w:p w14:paraId="77A11162" w14:textId="2649B8A8" w:rsidR="001301C1" w:rsidRPr="006D3C55" w:rsidRDefault="00F37A86" w:rsidP="00AB16DF">
            <w:pPr>
              <w:rPr>
                <w:highlight w:val="yellow"/>
                <w:lang w:val="en-GB"/>
              </w:rPr>
            </w:pPr>
            <w:r w:rsidRPr="006D3C55">
              <w:rPr>
                <w:b/>
                <w:color w:val="003399" w:themeColor="text2"/>
                <w:szCs w:val="22"/>
                <w:lang w:val="en-GB"/>
              </w:rPr>
              <w:t>36.8</w:t>
            </w:r>
            <w:r w:rsidR="001301C1" w:rsidRPr="006D3C55">
              <w:rPr>
                <w:rFonts w:ascii="Calibri" w:hAnsi="Calibri" w:cs="Calibri"/>
                <w:b/>
                <w:color w:val="003399" w:themeColor="text2"/>
                <w:szCs w:val="22"/>
                <w:lang w:val="en-GB"/>
              </w:rPr>
              <w:t> </w:t>
            </w:r>
            <w:r w:rsidR="001301C1" w:rsidRPr="006D3C55">
              <w:rPr>
                <w:b/>
                <w:color w:val="003399" w:themeColor="text2"/>
                <w:szCs w:val="22"/>
                <w:lang w:val="en-GB"/>
              </w:rPr>
              <w:t>million</w:t>
            </w:r>
          </w:p>
        </w:tc>
      </w:tr>
      <w:tr w:rsidR="001301C1" w:rsidRPr="006D3C55" w14:paraId="24825728" w14:textId="77777777" w:rsidTr="002B08A0">
        <w:tc>
          <w:tcPr>
            <w:tcW w:w="0" w:type="dxa"/>
          </w:tcPr>
          <w:p w14:paraId="13A83A12" w14:textId="77777777" w:rsidR="001301C1" w:rsidRPr="006D3C55" w:rsidRDefault="001301C1">
            <w:pPr>
              <w:rPr>
                <w:lang w:val="en-GB"/>
              </w:rPr>
            </w:pPr>
            <w:r w:rsidRPr="006D3C55">
              <w:rPr>
                <w:lang w:val="en-GB"/>
              </w:rPr>
              <w:t>Additional dwellings with internet access provided via very-high-capacity networks</w:t>
            </w:r>
          </w:p>
        </w:tc>
        <w:tc>
          <w:tcPr>
            <w:tcW w:w="0" w:type="dxa"/>
          </w:tcPr>
          <w:p w14:paraId="37C8917E" w14:textId="1B573161" w:rsidR="001301C1" w:rsidRPr="006D3C55" w:rsidRDefault="001301C1" w:rsidP="00AB16DF">
            <w:pPr>
              <w:rPr>
                <w:lang w:val="en-GB"/>
              </w:rPr>
            </w:pPr>
            <w:r w:rsidRPr="006D3C55">
              <w:rPr>
                <w:b/>
                <w:color w:val="003399" w:themeColor="text2"/>
                <w:szCs w:val="22"/>
                <w:lang w:val="en-GB"/>
              </w:rPr>
              <w:t>1</w:t>
            </w:r>
            <w:r w:rsidR="00BF26AF" w:rsidRPr="006D3C55">
              <w:rPr>
                <w:b/>
                <w:color w:val="003399" w:themeColor="text2"/>
                <w:szCs w:val="22"/>
                <w:lang w:val="en-GB"/>
              </w:rPr>
              <w:t>7.6</w:t>
            </w:r>
            <w:r w:rsidRPr="006D3C55">
              <w:rPr>
                <w:rFonts w:ascii="Calibri" w:hAnsi="Calibri" w:cs="Calibri"/>
                <w:b/>
                <w:color w:val="003399" w:themeColor="text2"/>
                <w:szCs w:val="22"/>
                <w:lang w:val="en-GB"/>
              </w:rPr>
              <w:t> </w:t>
            </w:r>
            <w:r w:rsidRPr="006D3C55">
              <w:rPr>
                <w:b/>
                <w:color w:val="003399" w:themeColor="text2"/>
                <w:szCs w:val="22"/>
                <w:lang w:val="en-GB"/>
              </w:rPr>
              <w:t>million</w:t>
            </w:r>
          </w:p>
        </w:tc>
      </w:tr>
      <w:tr w:rsidR="001301C1" w:rsidRPr="006D3C55" w14:paraId="0365EF6D" w14:textId="77777777" w:rsidTr="002B08A0">
        <w:tc>
          <w:tcPr>
            <w:tcW w:w="0" w:type="dxa"/>
          </w:tcPr>
          <w:p w14:paraId="37565ED7" w14:textId="72684BCF" w:rsidR="001301C1" w:rsidRPr="006D3C55" w:rsidRDefault="001301C1">
            <w:pPr>
              <w:rPr>
                <w:lang w:val="en-GB"/>
              </w:rPr>
            </w:pPr>
            <w:r w:rsidRPr="006D3C55">
              <w:rPr>
                <w:lang w:val="en-GB"/>
              </w:rPr>
              <w:t xml:space="preserve">Enterprises supported </w:t>
            </w:r>
            <w:r w:rsidR="00CB3689">
              <w:rPr>
                <w:lang w:val="en-GB"/>
              </w:rPr>
              <w:t>in</w:t>
            </w:r>
            <w:r w:rsidR="00CB3689" w:rsidRPr="006D3C55">
              <w:rPr>
                <w:lang w:val="en-GB"/>
              </w:rPr>
              <w:t xml:space="preserve"> </w:t>
            </w:r>
            <w:r w:rsidRPr="006D3C55">
              <w:rPr>
                <w:lang w:val="en-GB"/>
              </w:rPr>
              <w:t>developing or adopting digital products, services and application processes</w:t>
            </w:r>
          </w:p>
        </w:tc>
        <w:tc>
          <w:tcPr>
            <w:tcW w:w="0" w:type="dxa"/>
          </w:tcPr>
          <w:p w14:paraId="0781389F" w14:textId="7174B1D6" w:rsidR="001301C1" w:rsidRPr="006D3C55" w:rsidRDefault="001301C1" w:rsidP="00AB16DF">
            <w:pPr>
              <w:rPr>
                <w:highlight w:val="yellow"/>
                <w:lang w:val="en-GB"/>
              </w:rPr>
            </w:pPr>
            <w:r w:rsidRPr="006D3C55">
              <w:rPr>
                <w:b/>
                <w:color w:val="003399" w:themeColor="text2"/>
                <w:szCs w:val="22"/>
                <w:lang w:val="en-GB"/>
              </w:rPr>
              <w:t>1.</w:t>
            </w:r>
            <w:r w:rsidR="00722FE7" w:rsidRPr="006D3C55">
              <w:rPr>
                <w:b/>
                <w:color w:val="003399" w:themeColor="text2"/>
                <w:szCs w:val="22"/>
                <w:lang w:val="en-GB"/>
              </w:rPr>
              <w:t>4</w:t>
            </w:r>
            <w:r w:rsidRPr="006D3C55">
              <w:rPr>
                <w:rFonts w:ascii="Calibri" w:hAnsi="Calibri" w:cs="Calibri"/>
                <w:b/>
                <w:color w:val="003399" w:themeColor="text2"/>
                <w:szCs w:val="22"/>
                <w:lang w:val="en-GB"/>
              </w:rPr>
              <w:t> </w:t>
            </w:r>
            <w:r w:rsidRPr="006D3C55">
              <w:rPr>
                <w:b/>
                <w:color w:val="003399" w:themeColor="text2"/>
                <w:szCs w:val="22"/>
                <w:lang w:val="en-GB"/>
              </w:rPr>
              <w:t>million</w:t>
            </w:r>
          </w:p>
        </w:tc>
      </w:tr>
      <w:tr w:rsidR="001301C1" w:rsidRPr="006D3C55" w14:paraId="213CEBAB" w14:textId="77777777" w:rsidTr="002B08A0">
        <w:tc>
          <w:tcPr>
            <w:tcW w:w="0" w:type="dxa"/>
          </w:tcPr>
          <w:p w14:paraId="789EDCE5" w14:textId="77777777" w:rsidR="001301C1" w:rsidRPr="006D3C55" w:rsidRDefault="001301C1">
            <w:pPr>
              <w:rPr>
                <w:lang w:val="en-GB"/>
              </w:rPr>
            </w:pPr>
            <w:r w:rsidRPr="006D3C55">
              <w:rPr>
                <w:lang w:val="en-GB"/>
              </w:rPr>
              <w:t>Users of new and upgraded public digital services, products and processes</w:t>
            </w:r>
          </w:p>
        </w:tc>
        <w:tc>
          <w:tcPr>
            <w:tcW w:w="0" w:type="dxa"/>
          </w:tcPr>
          <w:p w14:paraId="018D3528" w14:textId="26312F20" w:rsidR="001301C1" w:rsidRPr="006D3C55" w:rsidRDefault="00F87B1D" w:rsidP="00AB16DF">
            <w:pPr>
              <w:rPr>
                <w:highlight w:val="yellow"/>
                <w:lang w:val="en-GB"/>
              </w:rPr>
            </w:pPr>
            <w:r w:rsidRPr="006D3C55">
              <w:rPr>
                <w:b/>
                <w:color w:val="003399" w:themeColor="text2"/>
                <w:lang w:val="en-GB"/>
              </w:rPr>
              <w:t>2</w:t>
            </w:r>
            <w:r w:rsidR="00D76676">
              <w:rPr>
                <w:rFonts w:ascii="Calibri" w:hAnsi="Calibri" w:cs="Calibri"/>
                <w:b/>
                <w:color w:val="003399" w:themeColor="text2"/>
                <w:lang w:val="en-GB"/>
              </w:rPr>
              <w:t> </w:t>
            </w:r>
            <w:r w:rsidRPr="006D3C55">
              <w:rPr>
                <w:b/>
                <w:color w:val="003399" w:themeColor="text2"/>
                <w:lang w:val="en-GB"/>
              </w:rPr>
              <w:t>402</w:t>
            </w:r>
            <w:r w:rsidR="001301C1" w:rsidRPr="006D3C55">
              <w:rPr>
                <w:rFonts w:ascii="Calibri" w:hAnsi="Calibri" w:cs="Calibri"/>
                <w:b/>
                <w:color w:val="003399" w:themeColor="text2"/>
                <w:lang w:val="en-GB"/>
              </w:rPr>
              <w:t> </w:t>
            </w:r>
            <w:r w:rsidR="001301C1" w:rsidRPr="006D3C55">
              <w:rPr>
                <w:b/>
                <w:color w:val="003399" w:themeColor="text2"/>
                <w:lang w:val="en-GB"/>
              </w:rPr>
              <w:t>million</w:t>
            </w:r>
            <w:r w:rsidR="001301C1" w:rsidRPr="006D3C55">
              <w:rPr>
                <w:rFonts w:cs="Calibri"/>
                <w:color w:val="003399" w:themeColor="text2"/>
                <w:lang w:val="en-GB"/>
              </w:rPr>
              <w:t> </w:t>
            </w:r>
            <w:r w:rsidR="001301C1" w:rsidRPr="006D3C55">
              <w:rPr>
                <w:color w:val="003399" w:themeColor="text2"/>
                <w:lang w:val="en-GB"/>
              </w:rPr>
              <w:t>(</w:t>
            </w:r>
            <w:r w:rsidR="001301C1" w:rsidRPr="00352191">
              <w:rPr>
                <w:rStyle w:val="FootnoteReference"/>
              </w:rPr>
              <w:footnoteReference w:id="57"/>
            </w:r>
            <w:r w:rsidR="001301C1" w:rsidRPr="006D3C55">
              <w:rPr>
                <w:color w:val="003399" w:themeColor="text2"/>
                <w:lang w:val="en-GB"/>
              </w:rPr>
              <w:t>)</w:t>
            </w:r>
          </w:p>
        </w:tc>
      </w:tr>
      <w:tr w:rsidR="001301C1" w:rsidRPr="006D3C55" w14:paraId="3B6012F4" w14:textId="77777777" w:rsidTr="002B08A0">
        <w:tc>
          <w:tcPr>
            <w:tcW w:w="0" w:type="dxa"/>
          </w:tcPr>
          <w:p w14:paraId="3929B213" w14:textId="77777777" w:rsidR="001301C1" w:rsidRPr="006D3C55" w:rsidRDefault="001301C1">
            <w:pPr>
              <w:rPr>
                <w:lang w:val="en-GB"/>
              </w:rPr>
            </w:pPr>
            <w:r w:rsidRPr="006D3C55">
              <w:rPr>
                <w:lang w:val="en-GB"/>
              </w:rPr>
              <w:t>Researchers working in supported research facilities</w:t>
            </w:r>
          </w:p>
        </w:tc>
        <w:tc>
          <w:tcPr>
            <w:tcW w:w="0" w:type="dxa"/>
          </w:tcPr>
          <w:p w14:paraId="0FA155AA" w14:textId="47E999E5" w:rsidR="001301C1" w:rsidRPr="006D3C55" w:rsidRDefault="002B50F1" w:rsidP="00AB16DF">
            <w:pPr>
              <w:rPr>
                <w:highlight w:val="yellow"/>
                <w:lang w:val="en-GB"/>
              </w:rPr>
            </w:pPr>
            <w:r w:rsidRPr="006D3C55">
              <w:rPr>
                <w:b/>
                <w:color w:val="003399" w:themeColor="text2"/>
                <w:szCs w:val="22"/>
                <w:lang w:val="en-GB"/>
              </w:rPr>
              <w:t>231</w:t>
            </w:r>
            <w:r w:rsidR="00D76676">
              <w:rPr>
                <w:rFonts w:ascii="Calibri" w:hAnsi="Calibri" w:cs="Calibri"/>
                <w:b/>
                <w:color w:val="003399" w:themeColor="text2"/>
                <w:szCs w:val="22"/>
                <w:lang w:val="en-GB"/>
              </w:rPr>
              <w:t> </w:t>
            </w:r>
            <w:r w:rsidRPr="006D3C55">
              <w:rPr>
                <w:b/>
                <w:color w:val="003399" w:themeColor="text2"/>
                <w:szCs w:val="22"/>
                <w:lang w:val="en-GB"/>
              </w:rPr>
              <w:t>136</w:t>
            </w:r>
          </w:p>
        </w:tc>
      </w:tr>
      <w:tr w:rsidR="001301C1" w:rsidRPr="006D3C55" w14:paraId="65681F8B" w14:textId="77777777" w:rsidTr="002B08A0">
        <w:tc>
          <w:tcPr>
            <w:tcW w:w="0" w:type="dxa"/>
          </w:tcPr>
          <w:p w14:paraId="6FC3FD52" w14:textId="77777777" w:rsidR="001301C1" w:rsidRPr="006D3C55" w:rsidRDefault="001301C1">
            <w:pPr>
              <w:rPr>
                <w:lang w:val="en-GB"/>
              </w:rPr>
            </w:pPr>
            <w:r w:rsidRPr="006D3C55">
              <w:rPr>
                <w:lang w:val="en-GB"/>
              </w:rPr>
              <w:t>Enterprises supported (small (including micro), medium and large)</w:t>
            </w:r>
          </w:p>
        </w:tc>
        <w:tc>
          <w:tcPr>
            <w:tcW w:w="0" w:type="dxa"/>
          </w:tcPr>
          <w:p w14:paraId="4CDA1518" w14:textId="6E727D3F" w:rsidR="001301C1" w:rsidRPr="006D3C55" w:rsidRDefault="001301C1" w:rsidP="00AB16DF">
            <w:pPr>
              <w:rPr>
                <w:lang w:val="en-GB"/>
              </w:rPr>
            </w:pPr>
            <w:r w:rsidRPr="006D3C55">
              <w:rPr>
                <w:b/>
                <w:color w:val="003399" w:themeColor="text2"/>
                <w:szCs w:val="22"/>
                <w:lang w:val="en-GB"/>
              </w:rPr>
              <w:t>4.</w:t>
            </w:r>
            <w:r w:rsidR="002D4B58" w:rsidRPr="006D3C55">
              <w:rPr>
                <w:b/>
                <w:color w:val="003399" w:themeColor="text2"/>
                <w:szCs w:val="22"/>
                <w:lang w:val="en-GB"/>
              </w:rPr>
              <w:t>9</w:t>
            </w:r>
            <w:r w:rsidRPr="006D3C55">
              <w:rPr>
                <w:rFonts w:ascii="Calibri" w:hAnsi="Calibri" w:cs="Calibri"/>
                <w:b/>
                <w:color w:val="003399" w:themeColor="text2"/>
                <w:szCs w:val="22"/>
                <w:lang w:val="en-GB"/>
              </w:rPr>
              <w:t> </w:t>
            </w:r>
            <w:r w:rsidRPr="006D3C55">
              <w:rPr>
                <w:b/>
                <w:color w:val="003399" w:themeColor="text2"/>
                <w:szCs w:val="22"/>
                <w:lang w:val="en-GB"/>
              </w:rPr>
              <w:t>million</w:t>
            </w:r>
          </w:p>
        </w:tc>
      </w:tr>
      <w:tr w:rsidR="001301C1" w:rsidRPr="006D3C55" w14:paraId="030C75D7" w14:textId="77777777" w:rsidTr="002B08A0">
        <w:tc>
          <w:tcPr>
            <w:tcW w:w="0" w:type="dxa"/>
          </w:tcPr>
          <w:p w14:paraId="668F11ED" w14:textId="77777777" w:rsidR="001301C1" w:rsidRPr="006D3C55" w:rsidRDefault="001301C1">
            <w:pPr>
              <w:rPr>
                <w:lang w:val="en-GB"/>
              </w:rPr>
            </w:pPr>
            <w:r w:rsidRPr="006D3C55">
              <w:rPr>
                <w:lang w:val="en-GB"/>
              </w:rPr>
              <w:t>Number of participants in education or training</w:t>
            </w:r>
          </w:p>
        </w:tc>
        <w:tc>
          <w:tcPr>
            <w:tcW w:w="0" w:type="dxa"/>
          </w:tcPr>
          <w:p w14:paraId="19AFA9A9" w14:textId="2794C2B2" w:rsidR="001301C1" w:rsidRPr="006D3C55" w:rsidRDefault="00383020" w:rsidP="00AB16DF">
            <w:pPr>
              <w:rPr>
                <w:lang w:val="en-GB"/>
              </w:rPr>
            </w:pPr>
            <w:r w:rsidRPr="006D3C55">
              <w:rPr>
                <w:b/>
                <w:color w:val="003399" w:themeColor="text2"/>
                <w:szCs w:val="22"/>
                <w:lang w:val="en-GB"/>
              </w:rPr>
              <w:t>30.7</w:t>
            </w:r>
            <w:r w:rsidR="001301C1" w:rsidRPr="006D3C55">
              <w:rPr>
                <w:rFonts w:ascii="Calibri" w:hAnsi="Calibri" w:cs="Calibri"/>
                <w:b/>
                <w:color w:val="003399" w:themeColor="text2"/>
                <w:szCs w:val="22"/>
                <w:lang w:val="en-GB"/>
              </w:rPr>
              <w:t> </w:t>
            </w:r>
            <w:r w:rsidR="001301C1" w:rsidRPr="006D3C55">
              <w:rPr>
                <w:b/>
                <w:color w:val="003399" w:themeColor="text2"/>
                <w:szCs w:val="22"/>
                <w:lang w:val="en-GB"/>
              </w:rPr>
              <w:t>million</w:t>
            </w:r>
          </w:p>
        </w:tc>
      </w:tr>
      <w:tr w:rsidR="001301C1" w:rsidRPr="006D3C55" w14:paraId="2D2450EE" w14:textId="77777777" w:rsidTr="002B08A0">
        <w:tc>
          <w:tcPr>
            <w:tcW w:w="0" w:type="dxa"/>
          </w:tcPr>
          <w:p w14:paraId="10116A7D" w14:textId="77777777" w:rsidR="001301C1" w:rsidRPr="006D3C55" w:rsidRDefault="001301C1">
            <w:pPr>
              <w:rPr>
                <w:lang w:val="en-GB"/>
              </w:rPr>
            </w:pPr>
            <w:r w:rsidRPr="006D3C55">
              <w:rPr>
                <w:lang w:val="en-GB"/>
              </w:rPr>
              <w:t>Number of people in employment or engaged in job-searching activities</w:t>
            </w:r>
          </w:p>
        </w:tc>
        <w:tc>
          <w:tcPr>
            <w:tcW w:w="0" w:type="dxa"/>
          </w:tcPr>
          <w:p w14:paraId="072EE56E" w14:textId="2EF17724" w:rsidR="001301C1" w:rsidRPr="006D3C55" w:rsidRDefault="00B449C5" w:rsidP="00AB16DF">
            <w:pPr>
              <w:rPr>
                <w:highlight w:val="yellow"/>
                <w:lang w:val="en-GB"/>
              </w:rPr>
            </w:pPr>
            <w:r w:rsidRPr="006D3C55">
              <w:rPr>
                <w:b/>
                <w:color w:val="003399" w:themeColor="text2"/>
                <w:szCs w:val="22"/>
                <w:lang w:val="en-GB"/>
              </w:rPr>
              <w:t>3.5</w:t>
            </w:r>
            <w:r w:rsidR="001301C1" w:rsidRPr="006D3C55">
              <w:rPr>
                <w:rFonts w:ascii="Calibri" w:hAnsi="Calibri" w:cs="Calibri"/>
                <w:b/>
                <w:color w:val="003399" w:themeColor="text2"/>
                <w:szCs w:val="22"/>
                <w:lang w:val="en-GB"/>
              </w:rPr>
              <w:t> </w:t>
            </w:r>
            <w:r w:rsidR="001301C1" w:rsidRPr="006D3C55">
              <w:rPr>
                <w:b/>
                <w:color w:val="003399" w:themeColor="text2"/>
                <w:szCs w:val="22"/>
                <w:lang w:val="en-GB"/>
              </w:rPr>
              <w:t>million</w:t>
            </w:r>
          </w:p>
        </w:tc>
      </w:tr>
      <w:tr w:rsidR="001301C1" w:rsidRPr="006D3C55" w14:paraId="34D5C3D1" w14:textId="77777777" w:rsidTr="002B08A0">
        <w:tc>
          <w:tcPr>
            <w:tcW w:w="0" w:type="dxa"/>
          </w:tcPr>
          <w:p w14:paraId="65417521" w14:textId="77777777" w:rsidR="001301C1" w:rsidRPr="006D3C55" w:rsidRDefault="001301C1">
            <w:pPr>
              <w:rPr>
                <w:lang w:val="en-GB"/>
              </w:rPr>
            </w:pPr>
            <w:r w:rsidRPr="006D3C55">
              <w:rPr>
                <w:lang w:val="en-GB"/>
              </w:rPr>
              <w:t>Capacity of new or modernised healthcare facilities</w:t>
            </w:r>
          </w:p>
        </w:tc>
        <w:tc>
          <w:tcPr>
            <w:tcW w:w="0" w:type="dxa"/>
          </w:tcPr>
          <w:p w14:paraId="1B375572" w14:textId="25BE4CD5" w:rsidR="001301C1" w:rsidRPr="006D3C55" w:rsidRDefault="00F53145" w:rsidP="00AB16DF">
            <w:pPr>
              <w:rPr>
                <w:highlight w:val="yellow"/>
                <w:lang w:val="en-GB"/>
              </w:rPr>
            </w:pPr>
            <w:r w:rsidRPr="006D3C55">
              <w:rPr>
                <w:b/>
                <w:color w:val="003399" w:themeColor="text2"/>
                <w:szCs w:val="22"/>
                <w:lang w:val="en-GB"/>
              </w:rPr>
              <w:t>60.2</w:t>
            </w:r>
            <w:r w:rsidR="001301C1" w:rsidRPr="006D3C55">
              <w:rPr>
                <w:rFonts w:ascii="Calibri" w:hAnsi="Calibri" w:cs="Calibri"/>
                <w:b/>
                <w:color w:val="003399" w:themeColor="text2"/>
                <w:szCs w:val="22"/>
                <w:lang w:val="en-GB"/>
              </w:rPr>
              <w:t> </w:t>
            </w:r>
            <w:r w:rsidR="001301C1" w:rsidRPr="006D3C55">
              <w:rPr>
                <w:b/>
                <w:color w:val="003399" w:themeColor="text2"/>
                <w:szCs w:val="22"/>
                <w:lang w:val="en-GB"/>
              </w:rPr>
              <w:t>million</w:t>
            </w:r>
          </w:p>
        </w:tc>
      </w:tr>
      <w:tr w:rsidR="001301C1" w:rsidRPr="006D3C55" w14:paraId="77241335" w14:textId="77777777" w:rsidTr="002B08A0">
        <w:tc>
          <w:tcPr>
            <w:tcW w:w="0" w:type="dxa"/>
          </w:tcPr>
          <w:p w14:paraId="07C5F4C2" w14:textId="77777777" w:rsidR="001301C1" w:rsidRPr="006D3C55" w:rsidRDefault="001301C1">
            <w:pPr>
              <w:rPr>
                <w:lang w:val="en-GB"/>
              </w:rPr>
            </w:pPr>
            <w:r w:rsidRPr="006D3C55">
              <w:rPr>
                <w:lang w:val="en-GB"/>
              </w:rPr>
              <w:t>Classroom capacity of new or modernised childcare and education facilities</w:t>
            </w:r>
          </w:p>
        </w:tc>
        <w:tc>
          <w:tcPr>
            <w:tcW w:w="0" w:type="dxa"/>
          </w:tcPr>
          <w:p w14:paraId="504B630F" w14:textId="07CC4FAD" w:rsidR="001301C1" w:rsidRPr="006D3C55" w:rsidRDefault="00051625" w:rsidP="00AB16DF">
            <w:pPr>
              <w:rPr>
                <w:highlight w:val="yellow"/>
                <w:lang w:val="en-GB"/>
              </w:rPr>
            </w:pPr>
            <w:r w:rsidRPr="006D3C55">
              <w:rPr>
                <w:b/>
                <w:color w:val="003399" w:themeColor="text2"/>
                <w:szCs w:val="22"/>
                <w:lang w:val="en-GB"/>
              </w:rPr>
              <w:t>4.2</w:t>
            </w:r>
            <w:r w:rsidR="001301C1" w:rsidRPr="006D3C55">
              <w:rPr>
                <w:rFonts w:ascii="Calibri" w:hAnsi="Calibri" w:cs="Calibri"/>
                <w:b/>
                <w:color w:val="003399" w:themeColor="text2"/>
                <w:szCs w:val="22"/>
                <w:lang w:val="en-GB"/>
              </w:rPr>
              <w:t> </w:t>
            </w:r>
            <w:r w:rsidR="001301C1" w:rsidRPr="006D3C55">
              <w:rPr>
                <w:b/>
                <w:color w:val="003399" w:themeColor="text2"/>
                <w:szCs w:val="22"/>
                <w:lang w:val="en-GB"/>
              </w:rPr>
              <w:t>million</w:t>
            </w:r>
          </w:p>
        </w:tc>
      </w:tr>
      <w:tr w:rsidR="001301C1" w:rsidRPr="006D3C55" w14:paraId="3C3C74D3" w14:textId="77777777" w:rsidTr="002B08A0">
        <w:tc>
          <w:tcPr>
            <w:tcW w:w="0" w:type="dxa"/>
          </w:tcPr>
          <w:p w14:paraId="3E01D383" w14:textId="67C1B3AA" w:rsidR="001301C1" w:rsidRPr="006D3C55" w:rsidRDefault="001301C1">
            <w:pPr>
              <w:rPr>
                <w:lang w:val="en-GB"/>
              </w:rPr>
            </w:pPr>
            <w:r w:rsidRPr="006D3C55">
              <w:rPr>
                <w:lang w:val="en-GB"/>
              </w:rPr>
              <w:t>Number of young people aged 15</w:t>
            </w:r>
            <w:r w:rsidR="00CB3689">
              <w:rPr>
                <w:lang w:val="en-GB"/>
              </w:rPr>
              <w:t>-</w:t>
            </w:r>
            <w:r w:rsidRPr="006D3C55">
              <w:rPr>
                <w:lang w:val="en-GB"/>
              </w:rPr>
              <w:t>29 receiving support</w:t>
            </w:r>
          </w:p>
        </w:tc>
        <w:tc>
          <w:tcPr>
            <w:tcW w:w="0" w:type="dxa"/>
          </w:tcPr>
          <w:p w14:paraId="671C1AC9" w14:textId="5568F0E8" w:rsidR="001301C1" w:rsidRPr="006D3C55" w:rsidRDefault="001301C1" w:rsidP="00AB16DF">
            <w:pPr>
              <w:rPr>
                <w:highlight w:val="yellow"/>
                <w:lang w:val="en-GB"/>
              </w:rPr>
            </w:pPr>
            <w:r w:rsidRPr="006D3C55">
              <w:rPr>
                <w:b/>
                <w:color w:val="003399" w:themeColor="text2"/>
                <w:szCs w:val="22"/>
                <w:lang w:val="en-GB"/>
              </w:rPr>
              <w:t>1</w:t>
            </w:r>
            <w:r w:rsidR="00B80A70" w:rsidRPr="006D3C55">
              <w:rPr>
                <w:b/>
                <w:color w:val="003399" w:themeColor="text2"/>
                <w:szCs w:val="22"/>
                <w:lang w:val="en-GB"/>
              </w:rPr>
              <w:t>2.</w:t>
            </w:r>
            <w:r w:rsidRPr="006D3C55">
              <w:rPr>
                <w:b/>
                <w:color w:val="003399" w:themeColor="text2"/>
                <w:szCs w:val="22"/>
                <w:lang w:val="en-GB"/>
              </w:rPr>
              <w:t>7</w:t>
            </w:r>
            <w:r w:rsidRPr="006D3C55">
              <w:rPr>
                <w:rFonts w:ascii="Calibri" w:hAnsi="Calibri" w:cs="Calibri"/>
                <w:b/>
                <w:color w:val="003399" w:themeColor="text2"/>
                <w:szCs w:val="22"/>
                <w:lang w:val="en-GB"/>
              </w:rPr>
              <w:t> </w:t>
            </w:r>
            <w:r w:rsidRPr="006D3C55">
              <w:rPr>
                <w:b/>
                <w:color w:val="003399" w:themeColor="text2"/>
                <w:szCs w:val="22"/>
                <w:lang w:val="en-GB"/>
              </w:rPr>
              <w:t>million</w:t>
            </w:r>
          </w:p>
        </w:tc>
      </w:tr>
    </w:tbl>
    <w:p w14:paraId="765A9A64" w14:textId="77777777" w:rsidR="001301C1" w:rsidRPr="006D3C55" w:rsidRDefault="001301C1" w:rsidP="001301C1">
      <w:pPr>
        <w:spacing w:before="0" w:after="0"/>
        <w:rPr>
          <w:sz w:val="2"/>
          <w:szCs w:val="2"/>
          <w:highlight w:val="lightGray"/>
        </w:rPr>
      </w:pPr>
    </w:p>
    <w:p w14:paraId="0CE1E312" w14:textId="0D1679EC" w:rsidR="001301C1" w:rsidRPr="006D3C55" w:rsidRDefault="001301C1" w:rsidP="001301C1">
      <w:pPr>
        <w:rPr>
          <w:rFonts w:eastAsia="EC Square Sans Pro" w:cs="EC Square Sans Pro"/>
        </w:rPr>
      </w:pPr>
      <w:r w:rsidRPr="006D3C55">
        <w:rPr>
          <w:rFonts w:eastAsia="EC Square Sans Pro" w:cs="EC Square Sans Pro"/>
        </w:rPr>
        <w:t xml:space="preserve">Furthermore, the Recovery and Resilience Facility helped to deliver some key reforms during the first </w:t>
      </w:r>
      <w:r w:rsidR="00312507" w:rsidRPr="006D3C55">
        <w:rPr>
          <w:rFonts w:eastAsia="EC Square Sans Pro" w:cs="EC Square Sans Pro"/>
        </w:rPr>
        <w:t>four</w:t>
      </w:r>
      <w:r w:rsidRPr="006D3C55">
        <w:rPr>
          <w:rFonts w:eastAsia="Calibri" w:cs="Calibri"/>
        </w:rPr>
        <w:t xml:space="preserve"> </w:t>
      </w:r>
      <w:r w:rsidRPr="006D3C55">
        <w:rPr>
          <w:rFonts w:eastAsia="EC Square Sans Pro" w:cs="EC Square Sans Pro"/>
        </w:rPr>
        <w:t xml:space="preserve">years of implementation, including </w:t>
      </w:r>
      <w:r w:rsidR="007D7CF4">
        <w:rPr>
          <w:rFonts w:eastAsia="EC Square Sans Pro" w:cs="EC Square Sans Pro"/>
        </w:rPr>
        <w:t>the following.</w:t>
      </w:r>
    </w:p>
    <w:p w14:paraId="7BDC62DC" w14:textId="77777777" w:rsidR="0019277B" w:rsidRPr="006D3C55" w:rsidRDefault="0019277B" w:rsidP="00AF7786">
      <w:pPr>
        <w:pStyle w:val="ListBulletorangeLevel1"/>
      </w:pPr>
      <w:r w:rsidRPr="006D3C55">
        <w:t>E</w:t>
      </w:r>
      <w:r>
        <w:t>n</w:t>
      </w:r>
      <w:r w:rsidRPr="006D3C55">
        <w:t>suring access to medical care by establishing a reimbursement system for nurses to incentivise them to work in remote areas</w:t>
      </w:r>
      <w:r>
        <w:t xml:space="preserve"> and</w:t>
      </w:r>
      <w:r w:rsidRPr="006D3C55">
        <w:t xml:space="preserve"> by increasing the share of people admitted </w:t>
      </w:r>
      <w:r>
        <w:t>to</w:t>
      </w:r>
      <w:r w:rsidRPr="006D3C55">
        <w:t xml:space="preserve"> nursing training (Estonia)</w:t>
      </w:r>
      <w:r>
        <w:t>.</w:t>
      </w:r>
    </w:p>
    <w:p w14:paraId="4ADCD9AB" w14:textId="77777777" w:rsidR="0019277B" w:rsidRPr="006D3C55" w:rsidRDefault="0019277B" w:rsidP="00AF7786">
      <w:pPr>
        <w:pStyle w:val="ListBulletorangeLevel1"/>
      </w:pPr>
      <w:r w:rsidRPr="006D3C55">
        <w:t xml:space="preserve">Enabling policymakers to better assess and limit regulatory burdens on </w:t>
      </w:r>
      <w:r>
        <w:t>small and medium-sized enterprises</w:t>
      </w:r>
      <w:r w:rsidRPr="006D3C55">
        <w:t>, promoting a more supportive environment for their growth (Ireland).</w:t>
      </w:r>
    </w:p>
    <w:p w14:paraId="31F7AAC4" w14:textId="77777777" w:rsidR="0019277B" w:rsidRPr="006D3C55" w:rsidRDefault="0019277B" w:rsidP="00AF7786">
      <w:pPr>
        <w:pStyle w:val="ListBulletorangeLevel1"/>
      </w:pPr>
      <w:r w:rsidRPr="006D3C55">
        <w:t>Streamlining and simplifying permitting procedures for renewable energy and electricity infrastructure. The legislation reduces administrative burden</w:t>
      </w:r>
      <w:r>
        <w:t>s</w:t>
      </w:r>
      <w:r w:rsidRPr="006D3C55">
        <w:t>, sets clear deadlines, removes restrictions on self-consumption and improves network capacity allocation (Spain)</w:t>
      </w:r>
      <w:r>
        <w:t>.</w:t>
      </w:r>
    </w:p>
    <w:p w14:paraId="57D3EDEC" w14:textId="491A7D58" w:rsidR="00312507" w:rsidRPr="006D3C55" w:rsidRDefault="0038265A" w:rsidP="00AF7786">
      <w:pPr>
        <w:pStyle w:val="ListBulletorangeLevel1"/>
      </w:pPr>
      <w:r>
        <w:t>Bringing in l</w:t>
      </w:r>
      <w:r w:rsidR="00312507" w:rsidRPr="006D3C55">
        <w:t>egislation to encourage tax compliance and improve the effectiveness of audits and controls. One reform improved the quality of the databases used to produce compliance letters (i.e. notices through which the Italian tax authorities report discrepancies). As a result, the tax revenue generated by compliance letters has increased by 30% compared to 2019 (Italy)</w:t>
      </w:r>
      <w:r w:rsidR="009B505B">
        <w:t>.</w:t>
      </w:r>
    </w:p>
    <w:p w14:paraId="3875779A" w14:textId="25153B5D" w:rsidR="001301C1" w:rsidRPr="006D3C55" w:rsidRDefault="00312507" w:rsidP="00AF7786">
      <w:pPr>
        <w:pStyle w:val="ListBulletorangeLevel1"/>
      </w:pPr>
      <w:r w:rsidRPr="006D3C55">
        <w:t>Introduc</w:t>
      </w:r>
      <w:r w:rsidR="0063747A">
        <w:t>ing</w:t>
      </w:r>
      <w:r w:rsidRPr="006D3C55">
        <w:t xml:space="preserve"> reforms to improve fiscal sustainability in the medium and long term. These include improving the long-term fiscal sustainability of the pension system through changes to the first pay-as-you-go pension pillar and improving the functioning of the second pension pillar, </w:t>
      </w:r>
      <w:r w:rsidR="008634E5">
        <w:t>along with</w:t>
      </w:r>
      <w:r w:rsidRPr="006D3C55">
        <w:t xml:space="preserve"> enhancing fiscal discipline t</w:t>
      </w:r>
      <w:r w:rsidR="008634E5">
        <w:t>h</w:t>
      </w:r>
      <w:r w:rsidRPr="006D3C55">
        <w:t>rough binding multiannual expenditure ceilings (Slovakia)</w:t>
      </w:r>
      <w:r w:rsidR="009B505B">
        <w:t>.</w:t>
      </w:r>
    </w:p>
    <w:p w14:paraId="20988E6C" w14:textId="3A9321D9" w:rsidR="001301C1" w:rsidRPr="00BE191C" w:rsidRDefault="00723CC5" w:rsidP="001301C1">
      <w:r w:rsidRPr="006D3C55">
        <w:t xml:space="preserve">In addition, the Recovery and Resilience Facility has contributed to unlocking the full potential of structural reforms by complementing them with key investment. </w:t>
      </w:r>
      <w:r w:rsidRPr="00BE191C">
        <w:t xml:space="preserve">Some of </w:t>
      </w:r>
      <w:r w:rsidR="0084065B" w:rsidRPr="00BE191C">
        <w:t>this</w:t>
      </w:r>
      <w:r w:rsidRPr="00BE191C">
        <w:t xml:space="preserve"> investment, with key steps already completed, includes</w:t>
      </w:r>
      <w:r w:rsidR="00C07FAF" w:rsidRPr="00BE191C">
        <w:t xml:space="preserve"> the following.</w:t>
      </w:r>
    </w:p>
    <w:p w14:paraId="09475215" w14:textId="665DC910" w:rsidR="00723CC5" w:rsidRPr="006D3C55" w:rsidRDefault="00723CC5" w:rsidP="00AF7786">
      <w:pPr>
        <w:pStyle w:val="ListBulletorangeLevel1"/>
      </w:pPr>
      <w:r w:rsidRPr="006D3C55">
        <w:t>Granting 147</w:t>
      </w:r>
      <w:r w:rsidR="00A860AF" w:rsidRPr="00DA3E81">
        <w:rPr>
          <w:rFonts w:ascii="Calibri" w:hAnsi="Calibri" w:cs="Calibri"/>
        </w:rPr>
        <w:t> </w:t>
      </w:r>
      <w:r w:rsidRPr="006D3C55">
        <w:t xml:space="preserve">557 tax credits to businesses to support innovation and digitalisation, through investment in tangible and intangible capital goods, standard intangible assets, </w:t>
      </w:r>
      <w:r w:rsidR="00E36D88">
        <w:t>research and development</w:t>
      </w:r>
      <w:r w:rsidRPr="006D3C55">
        <w:t>, innovation and training activities (Italy, EUR</w:t>
      </w:r>
      <w:r w:rsidR="00E36D88" w:rsidRPr="00DA3E81">
        <w:rPr>
          <w:rFonts w:ascii="Calibri" w:hAnsi="Calibri" w:cs="Calibri"/>
        </w:rPr>
        <w:t> </w:t>
      </w:r>
      <w:r w:rsidRPr="006D3C55">
        <w:t>13.4</w:t>
      </w:r>
      <w:r w:rsidR="00E36D88" w:rsidRPr="00DA3E81">
        <w:rPr>
          <w:rFonts w:ascii="Calibri" w:hAnsi="Calibri" w:cs="Calibri"/>
        </w:rPr>
        <w:t> </w:t>
      </w:r>
      <w:r w:rsidRPr="006D3C55">
        <w:t>billion)</w:t>
      </w:r>
      <w:r w:rsidR="00E36D88">
        <w:t>.</w:t>
      </w:r>
    </w:p>
    <w:p w14:paraId="1024A3DB" w14:textId="0481B0AF" w:rsidR="00723CC5" w:rsidRPr="006D3C55" w:rsidRDefault="00D00007" w:rsidP="00AF7786">
      <w:pPr>
        <w:pStyle w:val="ListBulletorangeLevel1"/>
      </w:pPr>
      <w:r>
        <w:t xml:space="preserve">Creating </w:t>
      </w:r>
      <w:r w:rsidR="00F2122C">
        <w:t>m</w:t>
      </w:r>
      <w:r w:rsidR="00723CC5" w:rsidRPr="006D3C55">
        <w:t>ore than 21</w:t>
      </w:r>
      <w:r w:rsidR="00CC5616">
        <w:rPr>
          <w:rFonts w:ascii="Calibri" w:hAnsi="Calibri" w:cs="Calibri"/>
        </w:rPr>
        <w:t> </w:t>
      </w:r>
      <w:r w:rsidR="00723CC5" w:rsidRPr="006D3C55">
        <w:t xml:space="preserve">000 new study places in regional vocational education at upper secondary level, with priority given to unemployed </w:t>
      </w:r>
      <w:r w:rsidR="00F2122C">
        <w:t xml:space="preserve">people </w:t>
      </w:r>
      <w:r w:rsidR="00723CC5" w:rsidRPr="006D3C55">
        <w:t>or people with education levels below upper secondary education (Sweden, EUR</w:t>
      </w:r>
      <w:r w:rsidR="00E36D88">
        <w:rPr>
          <w:rFonts w:ascii="Calibri" w:hAnsi="Calibri" w:cs="Calibri"/>
        </w:rPr>
        <w:t> </w:t>
      </w:r>
      <w:r w:rsidR="00723CC5" w:rsidRPr="006D3C55">
        <w:t>92</w:t>
      </w:r>
      <w:r w:rsidR="00E36D88">
        <w:rPr>
          <w:rFonts w:ascii="Calibri" w:hAnsi="Calibri" w:cs="Calibri"/>
        </w:rPr>
        <w:t> </w:t>
      </w:r>
      <w:r w:rsidR="00723CC5" w:rsidRPr="006D3C55">
        <w:t>million)</w:t>
      </w:r>
      <w:r w:rsidR="00E36D88">
        <w:t>.</w:t>
      </w:r>
    </w:p>
    <w:p w14:paraId="65EA21A0" w14:textId="77777777" w:rsidR="001A418D" w:rsidRPr="006D3C55" w:rsidRDefault="001A418D" w:rsidP="00AF7786">
      <w:pPr>
        <w:pStyle w:val="ListBulletorangeLevel1"/>
      </w:pPr>
      <w:r w:rsidRPr="006D3C55">
        <w:t>Developing a dedicated platform and increased funding for school</w:t>
      </w:r>
      <w:r>
        <w:t xml:space="preserve"> </w:t>
      </w:r>
      <w:r w:rsidRPr="006D3C55">
        <w:t>boards to support students in their last year of school, aiming to mitigate learning losses due to the COVID-19 pandemic (Netherlands, EUR</w:t>
      </w:r>
      <w:r>
        <w:rPr>
          <w:rFonts w:ascii="Calibri" w:hAnsi="Calibri" w:cs="Calibri"/>
        </w:rPr>
        <w:t> </w:t>
      </w:r>
      <w:r w:rsidRPr="006D3C55">
        <w:t>19.5</w:t>
      </w:r>
      <w:r>
        <w:rPr>
          <w:rFonts w:ascii="Calibri" w:hAnsi="Calibri" w:cs="Calibri"/>
        </w:rPr>
        <w:t> </w:t>
      </w:r>
      <w:r w:rsidRPr="006D3C55">
        <w:t>million)</w:t>
      </w:r>
      <w:r>
        <w:t>.</w:t>
      </w:r>
    </w:p>
    <w:p w14:paraId="68AED32F" w14:textId="250EA8E3" w:rsidR="00723CC5" w:rsidRPr="006D3C55" w:rsidRDefault="00723CC5" w:rsidP="00AF7786">
      <w:pPr>
        <w:pStyle w:val="ListBulletorangeLevel1"/>
      </w:pPr>
      <w:r w:rsidRPr="006D3C55">
        <w:t xml:space="preserve">Upgrading the Clinical Hospital Centre Sestre Milosrdnice with modern medical equipment, digital tools and a renovated neurosurgery clinic, to enable faster and more efficient care, </w:t>
      </w:r>
      <w:r w:rsidR="00DC52A3">
        <w:t xml:space="preserve">an </w:t>
      </w:r>
      <w:r w:rsidRPr="006D3C55">
        <w:t xml:space="preserve">improved patient experience and a 22% increase in treatment capacity. The hospital now serves </w:t>
      </w:r>
      <w:r w:rsidR="00F2122C">
        <w:t>more than</w:t>
      </w:r>
      <w:r w:rsidR="00F2122C" w:rsidRPr="006D3C55">
        <w:t xml:space="preserve"> </w:t>
      </w:r>
      <w:r w:rsidRPr="006D3C55">
        <w:t>700</w:t>
      </w:r>
      <w:r w:rsidR="00F2122C">
        <w:rPr>
          <w:rFonts w:ascii="Calibri" w:hAnsi="Calibri" w:cs="Calibri"/>
        </w:rPr>
        <w:t> </w:t>
      </w:r>
      <w:r w:rsidRPr="006D3C55">
        <w:t>000 patients a year (Croatia, EUR</w:t>
      </w:r>
      <w:r w:rsidR="00E36D88">
        <w:rPr>
          <w:rFonts w:ascii="Calibri" w:hAnsi="Calibri" w:cs="Calibri"/>
        </w:rPr>
        <w:t> </w:t>
      </w:r>
      <w:r w:rsidRPr="006D3C55">
        <w:t>16.3</w:t>
      </w:r>
      <w:r w:rsidR="00E36D88">
        <w:rPr>
          <w:rFonts w:ascii="Calibri" w:hAnsi="Calibri" w:cs="Calibri"/>
        </w:rPr>
        <w:t> </w:t>
      </w:r>
      <w:r w:rsidRPr="006D3C55">
        <w:t>million)</w:t>
      </w:r>
      <w:r w:rsidR="00E36D88">
        <w:t>.</w:t>
      </w:r>
    </w:p>
    <w:p w14:paraId="1A8DA528" w14:textId="14A9B287" w:rsidR="00723CC5" w:rsidRPr="006D3C55" w:rsidRDefault="00723CC5" w:rsidP="00AF7786">
      <w:pPr>
        <w:pStyle w:val="ListBulletorangeLevel1"/>
      </w:pPr>
      <w:r w:rsidRPr="006D3C55">
        <w:t>Rolling out early childhood interventions to support families in vulnerable situations during pregnancy and early childhood, thereby promoting health equality and social fairness. The programme has achieved full coverage in all districts (Austria, EUR</w:t>
      </w:r>
      <w:r w:rsidR="00E36D88">
        <w:rPr>
          <w:rFonts w:ascii="Calibri" w:hAnsi="Calibri" w:cs="Calibri"/>
        </w:rPr>
        <w:t> </w:t>
      </w:r>
      <w:r w:rsidRPr="006D3C55">
        <w:t>15</w:t>
      </w:r>
      <w:r w:rsidR="00E36D88">
        <w:rPr>
          <w:rFonts w:ascii="Calibri" w:hAnsi="Calibri" w:cs="Calibri"/>
        </w:rPr>
        <w:t> </w:t>
      </w:r>
      <w:r w:rsidRPr="006D3C55">
        <w:t>million)</w:t>
      </w:r>
      <w:r w:rsidR="00E36D88">
        <w:t>.</w:t>
      </w:r>
    </w:p>
    <w:p w14:paraId="3854DB23" w14:textId="5F379629" w:rsidR="00723CC5" w:rsidRPr="006D3C55" w:rsidRDefault="00F2122C" w:rsidP="00AF7786">
      <w:pPr>
        <w:pStyle w:val="ListBulletorangeLevel1"/>
      </w:pPr>
      <w:r>
        <w:t>Bringing the</w:t>
      </w:r>
      <w:r w:rsidRPr="006D3C55">
        <w:t xml:space="preserve"> </w:t>
      </w:r>
      <w:r w:rsidR="00723CC5" w:rsidRPr="006D3C55">
        <w:t>Energy Data Centre into operation,</w:t>
      </w:r>
      <w:r w:rsidR="006F44E1">
        <w:t xml:space="preserve"> thereby</w:t>
      </w:r>
      <w:r w:rsidR="00723CC5" w:rsidRPr="006D3C55">
        <w:t xml:space="preserve"> improving the preconditions for the connection of renewable energy sources by streamlining required data. This allows </w:t>
      </w:r>
      <w:r w:rsidR="006F44E1">
        <w:t xml:space="preserve">the </w:t>
      </w:r>
      <w:r w:rsidR="00723CC5" w:rsidRPr="006D3C55">
        <w:t xml:space="preserve">aggregation of flexibility while improving the conditions for energy communities and </w:t>
      </w:r>
      <w:r w:rsidR="000B3B1B">
        <w:t xml:space="preserve">the </w:t>
      </w:r>
      <w:r w:rsidR="00723CC5" w:rsidRPr="006D3C55">
        <w:t>sharing of renewable energy sources (Slovakia, EUR</w:t>
      </w:r>
      <w:r w:rsidR="000844CA">
        <w:rPr>
          <w:rFonts w:ascii="Calibri" w:hAnsi="Calibri" w:cs="Calibri"/>
        </w:rPr>
        <w:t> </w:t>
      </w:r>
      <w:r w:rsidR="00723CC5" w:rsidRPr="006D3C55">
        <w:t>3.3</w:t>
      </w:r>
      <w:r w:rsidR="000844CA">
        <w:rPr>
          <w:rFonts w:ascii="Calibri" w:hAnsi="Calibri" w:cs="Calibri"/>
        </w:rPr>
        <w:t> </w:t>
      </w:r>
      <w:r w:rsidR="00723CC5" w:rsidRPr="006D3C55">
        <w:t>million).</w:t>
      </w:r>
    </w:p>
    <w:p w14:paraId="023234CE" w14:textId="7ADAF64F" w:rsidR="001301C1" w:rsidRPr="006D3C55" w:rsidRDefault="001301C1" w:rsidP="001301C1">
      <w:r w:rsidRPr="006D3C55">
        <w:rPr>
          <w:rFonts w:eastAsia="EC Square Sans Pro" w:cs="EC Square Sans Pro"/>
        </w:rPr>
        <w:t xml:space="preserve">An overview of how the implementation of the Recovery and Resilience Facility and the national recovery and resilience plans </w:t>
      </w:r>
      <w:r w:rsidR="000B3B1B">
        <w:rPr>
          <w:rFonts w:eastAsia="EC Square Sans Pro" w:cs="EC Square Sans Pro"/>
        </w:rPr>
        <w:t>is</w:t>
      </w:r>
      <w:r w:rsidR="000B3B1B" w:rsidRPr="006D3C55">
        <w:rPr>
          <w:rFonts w:eastAsia="EC Square Sans Pro" w:cs="EC Square Sans Pro"/>
        </w:rPr>
        <w:t xml:space="preserve"> </w:t>
      </w:r>
      <w:r w:rsidRPr="006D3C55">
        <w:rPr>
          <w:rFonts w:eastAsia="EC Square Sans Pro" w:cs="EC Square Sans Pro"/>
        </w:rPr>
        <w:t xml:space="preserve">progressing is provided through the </w:t>
      </w:r>
      <w:hyperlink r:id="rId109">
        <w:r w:rsidRPr="006D3C55">
          <w:rPr>
            <w:rStyle w:val="Hyperlink"/>
            <w:rFonts w:eastAsia="EC Square Sans Pro" w:cs="EC Square Sans Pro"/>
            <w:color w:val="003399"/>
          </w:rPr>
          <w:t xml:space="preserve">recovery and </w:t>
        </w:r>
        <w:r w:rsidRPr="006D3C55" w:rsidDel="00F37899">
          <w:rPr>
            <w:rStyle w:val="Hyperlink"/>
            <w:rFonts w:eastAsia="EC Square Sans Pro" w:cs="EC Square Sans Pro"/>
            <w:color w:val="003399"/>
          </w:rPr>
          <w:t>r</w:t>
        </w:r>
        <w:r w:rsidRPr="006D3C55">
          <w:rPr>
            <w:rStyle w:val="Hyperlink"/>
            <w:rFonts w:eastAsia="EC Square Sans Pro" w:cs="EC Square Sans Pro"/>
            <w:color w:val="003399"/>
          </w:rPr>
          <w:t>esilience scoreboard</w:t>
        </w:r>
      </w:hyperlink>
      <w:r w:rsidRPr="006D3C55">
        <w:t xml:space="preserve"> and the map of projects supported by the </w:t>
      </w:r>
      <w:r w:rsidR="000B3B1B">
        <w:t>f</w:t>
      </w:r>
      <w:r w:rsidRPr="006D3C55">
        <w:t>acility</w:t>
      </w:r>
      <w:r w:rsidRPr="006D3C55">
        <w:rPr>
          <w:rFonts w:eastAsia="EC Square Sans Pro" w:cs="EC Square Sans Pro"/>
        </w:rPr>
        <w:t>.</w:t>
      </w:r>
    </w:p>
    <w:p w14:paraId="5B206706" w14:textId="3D282804" w:rsidR="001301C1" w:rsidRPr="00126D76" w:rsidRDefault="001301C1" w:rsidP="001301C1">
      <w:pPr>
        <w:rPr>
          <w:rFonts w:eastAsia="EC Square Sans Pro" w:cs="EC Square Sans Pro"/>
        </w:rPr>
      </w:pPr>
      <w:r w:rsidRPr="00126D76">
        <w:rPr>
          <w:rFonts w:eastAsia="EC Square Sans Pro" w:cs="EC Square Sans Pro"/>
        </w:rPr>
        <w:t xml:space="preserve">Each recovery and resilience plan is required to contribute at least 37% and 20%, respectively, to climate and digital objectives. This is reflected in the significant budgetary contribution </w:t>
      </w:r>
      <w:r w:rsidR="000B3B1B" w:rsidRPr="00126D76">
        <w:rPr>
          <w:rFonts w:eastAsia="EC Square Sans Pro" w:cs="EC Square Sans Pro"/>
        </w:rPr>
        <w:t xml:space="preserve">of the facility </w:t>
      </w:r>
      <w:r w:rsidRPr="00126D76">
        <w:rPr>
          <w:rFonts w:eastAsia="EC Square Sans Pro" w:cs="EC Square Sans Pro"/>
        </w:rPr>
        <w:t>to both the green and digital transitions.</w:t>
      </w:r>
    </w:p>
    <w:p w14:paraId="051D4720" w14:textId="49A979D1" w:rsidR="001301C1" w:rsidRPr="00126D76" w:rsidRDefault="001301C1" w:rsidP="00AF7786">
      <w:pPr>
        <w:pStyle w:val="ListBulletorangeLevel1"/>
      </w:pPr>
      <w:r w:rsidRPr="00126D76">
        <w:rPr>
          <w:rStyle w:val="Bold"/>
          <w:rFonts w:eastAsia="EC Square Sans Pro"/>
        </w:rPr>
        <w:t>Climate contribution</w:t>
      </w:r>
      <w:r w:rsidR="000B3B1B" w:rsidRPr="00126D76">
        <w:rPr>
          <w:rStyle w:val="Bold"/>
          <w:rFonts w:eastAsia="EC Square Sans Pro"/>
        </w:rPr>
        <w:t>.</w:t>
      </w:r>
      <w:r w:rsidRPr="00126D76">
        <w:t xml:space="preserve"> EUR</w:t>
      </w:r>
      <w:r w:rsidRPr="00126D76">
        <w:rPr>
          <w:rFonts w:ascii="Calibri" w:eastAsia="Calibri" w:hAnsi="Calibri" w:cs="Calibri"/>
        </w:rPr>
        <w:t> </w:t>
      </w:r>
      <w:r w:rsidR="00310F18" w:rsidRPr="00126D76">
        <w:t>264</w:t>
      </w:r>
      <w:r w:rsidR="00363E77" w:rsidRPr="00126D76">
        <w:t>.2</w:t>
      </w:r>
      <w:r w:rsidR="00310F18" w:rsidRPr="00126D76">
        <w:t xml:space="preserve"> </w:t>
      </w:r>
      <w:r w:rsidRPr="00126D76">
        <w:t>billion from 2021 to 202</w:t>
      </w:r>
      <w:r w:rsidR="00975335" w:rsidRPr="00126D76">
        <w:t>5</w:t>
      </w:r>
      <w:r w:rsidRPr="00126D76">
        <w:t xml:space="preserve"> (</w:t>
      </w:r>
      <w:r w:rsidR="002D5349" w:rsidRPr="00126D76">
        <w:t>42</w:t>
      </w:r>
      <w:r w:rsidRPr="00126D76">
        <w:t>.</w:t>
      </w:r>
      <w:r w:rsidR="002D5349" w:rsidRPr="00126D76">
        <w:t>7</w:t>
      </w:r>
      <w:r w:rsidRPr="00126D76">
        <w:t xml:space="preserve">% of the total envelope, including </w:t>
      </w:r>
      <w:r w:rsidR="00EF43C5" w:rsidRPr="00126D76">
        <w:t xml:space="preserve">non-repayable support </w:t>
      </w:r>
      <w:r w:rsidRPr="00126D76">
        <w:t>and loans).</w:t>
      </w:r>
    </w:p>
    <w:p w14:paraId="4F3E36FE" w14:textId="473866FF" w:rsidR="001301C1" w:rsidRPr="002034F1" w:rsidRDefault="001301C1" w:rsidP="00AF7786">
      <w:pPr>
        <w:pStyle w:val="ListBulletorangeLevel1"/>
      </w:pPr>
      <w:r w:rsidRPr="00126D76">
        <w:rPr>
          <w:rStyle w:val="Bold"/>
          <w:rFonts w:eastAsia="EC Square Sans Pro"/>
        </w:rPr>
        <w:t>Digital contribution</w:t>
      </w:r>
      <w:r w:rsidR="00E6348F" w:rsidRPr="00126D76">
        <w:rPr>
          <w:rStyle w:val="Bold"/>
          <w:rFonts w:eastAsia="EC Square Sans Pro"/>
        </w:rPr>
        <w:t>.</w:t>
      </w:r>
      <w:r w:rsidRPr="00126D76">
        <w:t xml:space="preserve"> EUR</w:t>
      </w:r>
      <w:r w:rsidRPr="00126D76">
        <w:rPr>
          <w:rFonts w:ascii="Calibri" w:eastAsia="Calibri" w:hAnsi="Calibri" w:cs="Calibri"/>
        </w:rPr>
        <w:t> </w:t>
      </w:r>
      <w:r w:rsidR="00A925CB" w:rsidRPr="00126D76">
        <w:rPr>
          <w:rFonts w:eastAsia="Calibri"/>
        </w:rPr>
        <w:t>150.9</w:t>
      </w:r>
      <w:r w:rsidRPr="00126D76">
        <w:rPr>
          <w:rFonts w:ascii="Calibri" w:hAnsi="Calibri" w:cs="Calibri"/>
        </w:rPr>
        <w:t> </w:t>
      </w:r>
      <w:r w:rsidRPr="00126D76">
        <w:t>billion from 2021 to 202</w:t>
      </w:r>
      <w:r w:rsidR="00975335" w:rsidRPr="00126D76">
        <w:t>5</w:t>
      </w:r>
      <w:r w:rsidRPr="00126D76">
        <w:t xml:space="preserve"> (</w:t>
      </w:r>
      <w:r w:rsidR="00A925CB" w:rsidRPr="00126D76">
        <w:t>24</w:t>
      </w:r>
      <w:r w:rsidR="009361C3" w:rsidRPr="00126D76">
        <w:t>.</w:t>
      </w:r>
      <w:r w:rsidR="00A925CB" w:rsidRPr="00126D76">
        <w:t>4</w:t>
      </w:r>
      <w:r w:rsidRPr="00126D76">
        <w:t xml:space="preserve">% of the total envelope, including </w:t>
      </w:r>
      <w:r w:rsidR="00EF43C5" w:rsidRPr="00126D76">
        <w:t>non</w:t>
      </w:r>
      <w:r w:rsidR="005E7E62" w:rsidRPr="00126D76">
        <w:t>-repayable support</w:t>
      </w:r>
      <w:r w:rsidR="00EF43C5" w:rsidRPr="00126D76">
        <w:t xml:space="preserve"> </w:t>
      </w:r>
      <w:r w:rsidRPr="00126D76">
        <w:t>and loans).</w:t>
      </w:r>
      <w:r w:rsidRPr="002034F1">
        <w:br w:type="page"/>
      </w:r>
    </w:p>
    <w:p w14:paraId="20D09A19" w14:textId="28E7DFA6" w:rsidR="001301C1" w:rsidRPr="004E382D" w:rsidRDefault="001301C1" w:rsidP="000A1256">
      <w:pPr>
        <w:pStyle w:val="HNum-fromh2Heading2-1"/>
      </w:pPr>
      <w:bookmarkStart w:id="74" w:name="_Toc135637243"/>
      <w:bookmarkStart w:id="75" w:name="_Toc168585662"/>
      <w:bookmarkStart w:id="76" w:name="_Toc196895489"/>
      <w:bookmarkStart w:id="77" w:name="_Toc231927934"/>
      <w:bookmarkStart w:id="78" w:name="_Toc231479590"/>
      <w:r w:rsidRPr="004E382D">
        <w:t xml:space="preserve">Control results confirm the satisfactory fulfilment of all milestones and targets for payments made in </w:t>
      </w:r>
      <w:bookmarkEnd w:id="74"/>
      <w:bookmarkEnd w:id="75"/>
      <w:bookmarkEnd w:id="76"/>
      <w:r w:rsidR="007F33F3" w:rsidRPr="004E382D">
        <w:t>2025</w:t>
      </w:r>
      <w:bookmarkEnd w:id="77"/>
      <w:bookmarkEnd w:id="78"/>
    </w:p>
    <w:p w14:paraId="7DB4732A" w14:textId="72485697" w:rsidR="001301C1" w:rsidRPr="006D3C55" w:rsidRDefault="001301C1" w:rsidP="009819C9">
      <w:pPr>
        <w:pStyle w:val="HNum-fromh2Heading3-11"/>
        <w:spacing w:before="600"/>
      </w:pPr>
      <w:r w:rsidRPr="006D3C55">
        <w:t xml:space="preserve">A dedicated control environment to ensure the protection </w:t>
      </w:r>
      <w:r w:rsidR="00B27FF9">
        <w:br/>
      </w:r>
      <w:r w:rsidRPr="006D3C55">
        <w:t>of EU funds</w:t>
      </w:r>
    </w:p>
    <w:p w14:paraId="0EB31A68" w14:textId="030C0D1A" w:rsidR="001301C1" w:rsidRPr="006D3C55" w:rsidRDefault="001301C1" w:rsidP="001301C1">
      <w:r w:rsidRPr="0030227F" w:rsidDel="00DA15DB">
        <w:rPr>
          <w:rStyle w:val="Bold"/>
        </w:rPr>
        <w:t xml:space="preserve">The </w:t>
      </w:r>
      <w:r w:rsidR="0072554B" w:rsidRPr="0030227F">
        <w:rPr>
          <w:rStyle w:val="Bold"/>
        </w:rPr>
        <w:t>Recovery</w:t>
      </w:r>
      <w:r w:rsidRPr="0030227F">
        <w:rPr>
          <w:rStyle w:val="Bold"/>
        </w:rPr>
        <w:t xml:space="preserve"> and Resilience Facility Regulation</w:t>
      </w:r>
      <w:r w:rsidRPr="006D3C55">
        <w:rPr>
          <w:rStyle w:val="Bold"/>
        </w:rPr>
        <w:t xml:space="preserve"> </w:t>
      </w:r>
      <w:r w:rsidRPr="006D3C55" w:rsidDel="00DA15DB">
        <w:rPr>
          <w:rStyle w:val="Bold"/>
        </w:rPr>
        <w:t xml:space="preserve">sets out the respective roles and responsibilities of Member States and of the Commission for protecting the </w:t>
      </w:r>
      <w:r w:rsidRPr="006D3C55">
        <w:rPr>
          <w:rStyle w:val="Bold"/>
        </w:rPr>
        <w:t>EU</w:t>
      </w:r>
      <w:r w:rsidRPr="006D3C55" w:rsidDel="00DA15DB">
        <w:rPr>
          <w:rStyle w:val="Bold"/>
        </w:rPr>
        <w:t xml:space="preserve"> budget.</w:t>
      </w:r>
      <w:r w:rsidRPr="006D3C55">
        <w:rPr>
          <w:rStyle w:val="Bold"/>
        </w:rPr>
        <w:t xml:space="preserve"> </w:t>
      </w:r>
      <w:r w:rsidRPr="006D3C55">
        <w:t>The facility</w:t>
      </w:r>
      <w:r w:rsidRPr="006D3C55" w:rsidDel="00214052">
        <w:t xml:space="preserve"> </w:t>
      </w:r>
      <w:r w:rsidRPr="006D3C55">
        <w:t>is a fully performance-based instrument, and, unlike the majority of other EU funding programmes, the Commission does not reimburse Member States based on actual costs incurred for the reforms and investment included in their recovery and resilience plans. Instead, the Commission pays predefined instalments solely when agreed milestones and targets are satisfactorily fulfilled. The Recovery and Resilience Facility</w:t>
      </w:r>
      <w:r w:rsidR="00DF06E4" w:rsidRPr="00DF06E4">
        <w:t xml:space="preserve"> </w:t>
      </w:r>
      <w:r w:rsidR="00DF06E4" w:rsidRPr="006D3C55">
        <w:t>funds</w:t>
      </w:r>
      <w:r w:rsidRPr="006D3C55">
        <w:t xml:space="preserve">, once disbursed, enter each national budget with no direct link to the expenditure incurred to finance the reforms and investment. As per the regulation, Member States are responsible </w:t>
      </w:r>
      <w:r w:rsidRPr="006D3C55" w:rsidDel="00DA15DB">
        <w:t xml:space="preserve">for ensuring that the </w:t>
      </w:r>
      <w:r w:rsidRPr="006D3C55">
        <w:t>facility</w:t>
      </w:r>
      <w:r w:rsidRPr="006D3C55" w:rsidDel="00DA15DB">
        <w:t xml:space="preserve"> is implemented in compliance with EU and national rules and with the principles of sound financial management</w:t>
      </w:r>
      <w:r w:rsidRPr="006D3C55">
        <w:t>.</w:t>
      </w:r>
      <w:r w:rsidRPr="006D3C55" w:rsidDel="00DA15DB">
        <w:t xml:space="preserve"> </w:t>
      </w:r>
      <w:r w:rsidRPr="006D3C55">
        <w:t>T</w:t>
      </w:r>
      <w:r w:rsidRPr="006D3C55" w:rsidDel="00DA15DB">
        <w:t xml:space="preserve">he Commission should be able to receive sufficient assurance from </w:t>
      </w:r>
      <w:r w:rsidRPr="006D3C55">
        <w:t xml:space="preserve">them </w:t>
      </w:r>
      <w:r w:rsidRPr="006D3C55" w:rsidDel="00DA15DB">
        <w:t>in that regard.</w:t>
      </w:r>
    </w:p>
    <w:p w14:paraId="6A4BBC8D" w14:textId="2840D8DE" w:rsidR="004C2419" w:rsidRPr="006D3C55" w:rsidRDefault="001301C1" w:rsidP="001301C1">
      <w:r w:rsidRPr="006D3C55">
        <w:rPr>
          <w:rStyle w:val="Bold"/>
        </w:rPr>
        <w:t>Member States must put in place suitable monitoring and control systems to protect the financial interests of the EU and to ensure that the use of funds complies with EU and national law.</w:t>
      </w:r>
      <w:r w:rsidRPr="006D3C55">
        <w:t xml:space="preserve"> These systems are described in detail in the recovery and resilience plans and were assessed by the Commission before each plan was adopted. During the lifetime of the facility, Member States must ensure the effectiveness of these control systems. Notably, they must undertake systematic work to ensure that the systems prevent, detect and correct irregularities. If a Member State detects any specific irregularities, it must take action to correct them and inform the Commission of them. If a Member State does not undertake the necessary corrections in cases of fraud, corruption or conflict of interest, the Commission will reduce or recover the affected amounts from the Member State. Moreover, if a Member State seriously breaches its obligations under the financing or loan agreements, the Commission may apply a flat-rate correction </w:t>
      </w:r>
      <w:r w:rsidR="00A77AB3" w:rsidRPr="006D3C55">
        <w:t>t</w:t>
      </w:r>
      <w:r w:rsidRPr="006D3C55">
        <w:t>o th</w:t>
      </w:r>
      <w:r w:rsidR="00A77AB3" w:rsidRPr="006D3C55">
        <w:t>e funds received by the</w:t>
      </w:r>
      <w:r w:rsidRPr="006D3C55">
        <w:t xml:space="preserve"> Member State</w:t>
      </w:r>
      <w:r w:rsidR="00A77AB3" w:rsidRPr="006D3C55">
        <w:t xml:space="preserve"> in the context of the</w:t>
      </w:r>
      <w:r w:rsidRPr="006D3C55">
        <w:t xml:space="preserve"> facility.</w:t>
      </w:r>
    </w:p>
    <w:p w14:paraId="0808BCE9" w14:textId="48E8C5F0" w:rsidR="001301C1" w:rsidRPr="004E382D" w:rsidRDefault="001301C1" w:rsidP="009819C9">
      <w:pPr>
        <w:spacing w:before="360"/>
      </w:pPr>
      <w:r w:rsidRPr="006D3C55">
        <w:rPr>
          <w:rStyle w:val="Bold"/>
        </w:rPr>
        <w:t>The Commission has designed its control strategy to fully comply with its responsibilities stemming from the Recovery and Resilience Facility Regulation</w:t>
      </w:r>
      <w:r w:rsidR="00BF73E8" w:rsidRPr="006D3C55">
        <w:rPr>
          <w:rStyle w:val="Bold"/>
        </w:rPr>
        <w:t xml:space="preserve"> </w:t>
      </w:r>
      <w:r w:rsidR="00BF73E8" w:rsidRPr="006D3C55">
        <w:rPr>
          <w:rStyle w:val="Bold"/>
          <w:b w:val="0"/>
        </w:rPr>
        <w:t>(see overview in visual below)</w:t>
      </w:r>
      <w:r w:rsidR="006A0031" w:rsidRPr="006B124A">
        <w:t>.</w:t>
      </w:r>
    </w:p>
    <w:p w14:paraId="5243E1CD" w14:textId="5ACC9536" w:rsidR="001301C1" w:rsidRPr="006D3C55" w:rsidRDefault="001301C1" w:rsidP="009819C9">
      <w:pPr>
        <w:pStyle w:val="ListBulletorangeLevel1"/>
        <w:spacing w:before="240"/>
      </w:pPr>
      <w:r w:rsidRPr="004E382D">
        <w:rPr>
          <w:rStyle w:val="Bold"/>
          <w:rFonts w:eastAsia="EC Square Sans Pro"/>
        </w:rPr>
        <w:t>The Commission must ensure the legality and regularity of payments to the Member States, which are solely linked to the satisfactory fulfilment of the milestones and targets.</w:t>
      </w:r>
      <w:r w:rsidRPr="006D3C55">
        <w:t xml:space="preserve"> For this purpose, the Commission carries out </w:t>
      </w:r>
      <w:r w:rsidRPr="004E382D">
        <w:rPr>
          <w:rStyle w:val="BoldItalic"/>
          <w:rFonts w:eastAsia="EC Square Sans Pro"/>
        </w:rPr>
        <w:t>ex ante</w:t>
      </w:r>
      <w:r w:rsidRPr="004E382D">
        <w:rPr>
          <w:rStyle w:val="Bold"/>
          <w:rFonts w:eastAsia="EC Square Sans Pro"/>
        </w:rPr>
        <w:t xml:space="preserve"> assessments of all the payment requests</w:t>
      </w:r>
      <w:r w:rsidRPr="006D3C55">
        <w:t xml:space="preserve"> received from the Member States; </w:t>
      </w:r>
      <w:r w:rsidRPr="004E382D">
        <w:rPr>
          <w:rStyle w:val="BoldItalic"/>
          <w:rFonts w:eastAsia="EC Square Sans Pro"/>
        </w:rPr>
        <w:t>ex post</w:t>
      </w:r>
      <w:r w:rsidRPr="004E382D">
        <w:rPr>
          <w:rStyle w:val="Bold"/>
          <w:rFonts w:eastAsia="EC Square Sans Pro"/>
        </w:rPr>
        <w:t xml:space="preserve"> audits</w:t>
      </w:r>
      <w:r w:rsidRPr="006D3C55">
        <w:t xml:space="preserve"> for a selection of payment requests, milestones and targets; </w:t>
      </w:r>
      <w:r w:rsidRPr="004E382D">
        <w:rPr>
          <w:rStyle w:val="Bold"/>
          <w:rFonts w:eastAsia="EC Square Sans Pro"/>
        </w:rPr>
        <w:t>system audits on milestones and targets</w:t>
      </w:r>
      <w:r w:rsidRPr="006D3C55">
        <w:t xml:space="preserve">; and </w:t>
      </w:r>
      <w:r w:rsidR="00DB2746">
        <w:t>an</w:t>
      </w:r>
      <w:r w:rsidR="00DB2746" w:rsidRPr="006D3C55">
        <w:t xml:space="preserve"> </w:t>
      </w:r>
      <w:r w:rsidRPr="004E382D">
        <w:rPr>
          <w:rStyle w:val="Bold"/>
          <w:rFonts w:eastAsia="EC Square Sans Pro"/>
        </w:rPr>
        <w:t>analysis of the Member States’ management declarations and summaries of audits</w:t>
      </w:r>
    </w:p>
    <w:p w14:paraId="113A674B" w14:textId="66E9B9A6" w:rsidR="001301C1" w:rsidRPr="007A6D38" w:rsidRDefault="001301C1" w:rsidP="009819C9">
      <w:pPr>
        <w:pStyle w:val="ListBulletorangeLevel1"/>
        <w:keepLines/>
      </w:pPr>
      <w:r w:rsidRPr="004E382D">
        <w:rPr>
          <w:rStyle w:val="Bold"/>
          <w:rFonts w:eastAsia="EC Square Sans Pro"/>
        </w:rPr>
        <w:t>The Commission has the right to reduce and recover any amount, or ask for early repayment of the loan,</w:t>
      </w:r>
      <w:r w:rsidRPr="006D3C55">
        <w:t xml:space="preserve"> in cases of fraud, corruption or conflicts of interest affecting the financial interests of the EU that have not been corrected and recovered by the Member State, or </w:t>
      </w:r>
      <w:r w:rsidR="005A2744">
        <w:t>i</w:t>
      </w:r>
      <w:r w:rsidR="005A2744" w:rsidRPr="00FB3DAD">
        <w:t>n cases where the information and justification underlying a payment request is found to be incorrect</w:t>
      </w:r>
      <w:r w:rsidR="0099716B">
        <w:t xml:space="preserve">, </w:t>
      </w:r>
      <w:r w:rsidRPr="006D3C55">
        <w:t xml:space="preserve">or for a serious breach of an obligation resulting from the financing and/or loan agreement signed with the Member State. For this purpose, the Commission makes an </w:t>
      </w:r>
      <w:r w:rsidRPr="004E382D">
        <w:rPr>
          <w:rStyle w:val="Bold"/>
          <w:rFonts w:eastAsia="EC Square Sans Pro"/>
        </w:rPr>
        <w:t>assessment of the control systems described in the plans</w:t>
      </w:r>
      <w:r w:rsidRPr="006D3C55">
        <w:t xml:space="preserve"> (and subsequent revisions) submitted to the Commission before their adoption. In addition, the Commission carries out </w:t>
      </w:r>
      <w:r w:rsidRPr="004E382D">
        <w:rPr>
          <w:rStyle w:val="Bold"/>
          <w:rFonts w:eastAsia="EC Square Sans Pro"/>
        </w:rPr>
        <w:t>system audits on the protection of the financial interests of the EU</w:t>
      </w:r>
      <w:r w:rsidRPr="006D3C55">
        <w:t xml:space="preserve"> in the Member States over the entire duration of the facility and </w:t>
      </w:r>
      <w:r w:rsidRPr="004E382D">
        <w:rPr>
          <w:rStyle w:val="Bold"/>
          <w:rFonts w:eastAsia="EC Square Sans Pro"/>
        </w:rPr>
        <w:t>audits on the work done by the national audit authorities</w:t>
      </w:r>
      <w:r w:rsidRPr="006D3C55">
        <w:t>. It also assesses the checks carried out by the Member States on compliance with public procurement rules and State</w:t>
      </w:r>
      <w:r w:rsidR="00DB2746">
        <w:t>-</w:t>
      </w:r>
      <w:r w:rsidRPr="006D3C55">
        <w:t>aid rules</w:t>
      </w:r>
      <w:r w:rsidR="00DB2746">
        <w:t>,</w:t>
      </w:r>
      <w:r w:rsidRPr="006D3C55">
        <w:t xml:space="preserve"> including the effectiveness of these checks.</w:t>
      </w:r>
    </w:p>
    <w:p w14:paraId="3CDBA1D0" w14:textId="6ED0E9CE" w:rsidR="00266D14" w:rsidRPr="001B6A8B" w:rsidRDefault="00266D14" w:rsidP="00AF7786">
      <w:pPr>
        <w:pStyle w:val="ListBulletorangeLevel1"/>
        <w:rPr>
          <w:rFonts w:asciiTheme="minorHAnsi" w:eastAsia="EC Square Sans Pro" w:hAnsiTheme="minorHAnsi"/>
        </w:rPr>
      </w:pPr>
      <w:r w:rsidRPr="1E3FA53F">
        <w:rPr>
          <w:noProof/>
        </w:rPr>
        <w:t xml:space="preserve">The timely </w:t>
      </w:r>
      <w:r w:rsidRPr="005E7674">
        <w:t>implementation of outstanding</w:t>
      </w:r>
      <w:r>
        <w:t xml:space="preserve"> audit</w:t>
      </w:r>
      <w:r w:rsidRPr="005E7674">
        <w:t xml:space="preserve"> recommendations </w:t>
      </w:r>
      <w:r w:rsidRPr="1E3FA53F">
        <w:rPr>
          <w:noProof/>
        </w:rPr>
        <w:t xml:space="preserve">is key, in particular given that the </w:t>
      </w:r>
      <w:r w:rsidRPr="1E3FA53F">
        <w:rPr>
          <w:rFonts w:eastAsiaTheme="majorEastAsia"/>
        </w:rPr>
        <w:t xml:space="preserve">Recovery and Resilience </w:t>
      </w:r>
      <w:r w:rsidRPr="1E3FA53F">
        <w:rPr>
          <w:noProof/>
        </w:rPr>
        <w:t xml:space="preserve">Facility is approaching its final phase. </w:t>
      </w:r>
      <w:r w:rsidRPr="1E3FA53F">
        <w:rPr>
          <w:rFonts w:eastAsia="EC Square Sans Pro"/>
        </w:rPr>
        <w:t xml:space="preserve">The Commission </w:t>
      </w:r>
      <w:r w:rsidRPr="005E7674">
        <w:rPr>
          <w:rFonts w:asciiTheme="minorHAnsi" w:eastAsia="EC Square Sans Pro" w:hAnsiTheme="minorHAnsi"/>
        </w:rPr>
        <w:t>continuously monitors the implementation of the issued audit recommendations</w:t>
      </w:r>
      <w:r w:rsidR="00D82589" w:rsidRPr="00770E45">
        <w:rPr>
          <w:rFonts w:ascii="Calibri" w:eastAsia="EC Square Sans Pro" w:hAnsi="Calibri" w:cs="Calibri"/>
        </w:rPr>
        <w:t> </w:t>
      </w:r>
      <w:r w:rsidR="00D82589" w:rsidRPr="00770E45">
        <w:rPr>
          <w:rFonts w:eastAsia="EC Square Sans Pro"/>
        </w:rPr>
        <w:t>(</w:t>
      </w:r>
      <w:r w:rsidR="00D82589" w:rsidRPr="00352191">
        <w:rPr>
          <w:rStyle w:val="FootnoteReference"/>
          <w:rFonts w:eastAsia="EC Square Sans Pro"/>
        </w:rPr>
        <w:footnoteReference w:id="58"/>
      </w:r>
      <w:r w:rsidR="00D82589">
        <w:rPr>
          <w:rFonts w:eastAsia="EC Square Sans Pro"/>
        </w:rPr>
        <w:t>)</w:t>
      </w:r>
      <w:r w:rsidR="00D82589">
        <w:rPr>
          <w:rFonts w:asciiTheme="minorHAnsi" w:eastAsia="EC Square Sans Pro" w:hAnsiTheme="minorHAnsi"/>
        </w:rPr>
        <w:t>.</w:t>
      </w:r>
    </w:p>
    <w:p w14:paraId="7DDF3FB2" w14:textId="37242AAA" w:rsidR="001301C1" w:rsidRPr="006D3C55" w:rsidRDefault="001301C1" w:rsidP="009819C9">
      <w:pPr>
        <w:pStyle w:val="ImageTitle"/>
        <w:spacing w:before="720"/>
      </w:pPr>
      <w:r w:rsidRPr="006D3C55">
        <w:t xml:space="preserve">Recovery and Resilience Facility </w:t>
      </w:r>
      <w:r w:rsidR="00E22C86" w:rsidRPr="006D3C55">
        <w:t>–</w:t>
      </w:r>
      <w:r w:rsidR="00BF73E8" w:rsidRPr="006D3C55">
        <w:t xml:space="preserve"> </w:t>
      </w:r>
      <w:r w:rsidR="00E22C86" w:rsidRPr="006D3C55">
        <w:t>o</w:t>
      </w:r>
      <w:r w:rsidRPr="006D3C55">
        <w:t>verview of the control environment at the Commission level</w:t>
      </w:r>
    </w:p>
    <w:p w14:paraId="789B890B" w14:textId="6CAAD15F" w:rsidR="001301C1" w:rsidRPr="006D3C55" w:rsidRDefault="00AA2D05" w:rsidP="00CE158D">
      <w:pPr>
        <w:pStyle w:val="ImagePlaceholder"/>
        <w:rPr>
          <w:noProof w:val="0"/>
        </w:rPr>
      </w:pPr>
      <w:r w:rsidRPr="006D3C55">
        <w:drawing>
          <wp:inline distT="0" distB="0" distL="0" distR="0" wp14:anchorId="6325ED45" wp14:editId="58F5EE7E">
            <wp:extent cx="5760085" cy="4227195"/>
            <wp:effectExtent l="0" t="0" r="0" b="1905"/>
            <wp:docPr id="39" name="Picture 38" descr="Multiannual financial framework: 2025 EU budget commitment appropriations by budget heading (million EUR)&#10;Table showing an overview of the Recovery and Resilience Facility control environment at the Commission level. There are two columns, a first one showing the control concerning the legality and regularity and a second one showing the control that protects the financial interests of the union. On the legality and regularity side it is mentioned  the Assessment of the satisfactory fulfillment of milestones and targets, the Analysis of Member States’ management declaration, both taking place before the Commission makes the payment to the Member State and summary of audits, the System audits on milestones , that can take place anytime during the implementation of the plan; and the Ex-post audits on milestones  that and targets that takes place after the Commission makes the payment to the Member State. In the column that shows the control  environment that protects the financial interests of the union appears the Assessment of the specific audit and control milestones, that takes place before the Commission makes the payment to the Member State; the assessment of checks carried out by Member States on compliance with , the public procurement and State aid rules, the system audits on the protection of the financial interests of the EU, the  audits on the work done by national audit authorities and finally the fact-finding missions to confirm the accuracy of information submitted by the Member States that all can take place anytime during the implementation of the plan.">
              <a:extLst xmlns:a="http://schemas.openxmlformats.org/drawingml/2006/main">
                <a:ext uri="{FF2B5EF4-FFF2-40B4-BE49-F238E27FC236}">
                  <a16:creationId xmlns:a16="http://schemas.microsoft.com/office/drawing/2014/main" id="{AE72A8DB-D4EE-141A-01EA-49B67272BF4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Picture 38" descr="Multiannual financial framework: 2025 EU budget commitment appropriations by budget heading (million EUR)&#10;Table showing an overview of the Recovery and Resilience Facility control environment at the Commission level. There are two columns, a first one showing the control concerning the legality and regularity and a second one showing the control that protects the financial interests of the union. On the legality and regularity side it is mentioned  the Assessment of the satisfactory fulfillment of milestones and targets, the Analysis of Member States’ management declaration, both taking place before the Commission makes the payment to the Member State and summary of audits, the System audits on milestones , that can take place anytime during the implementation of the plan; and the Ex-post audits on milestones  that and targets that takes place after the Commission makes the payment to the Member State. In the column that shows the control  environment that protects the financial interests of the union appears the Assessment of the specific audit and control milestones, that takes place before the Commission makes the payment to the Member State; the assessment of checks carried out by Member States on compliance with , the public procurement and State aid rules, the system audits on the protection of the financial interests of the EU, the  audits on the work done by national audit authorities and finally the fact-finding missions to confirm the accuracy of information submitted by the Member States that all can take place anytime during the implementation of the plan.">
                      <a:extLst>
                        <a:ext uri="{FF2B5EF4-FFF2-40B4-BE49-F238E27FC236}">
                          <a16:creationId xmlns:a16="http://schemas.microsoft.com/office/drawing/2014/main" id="{AE72A8DB-D4EE-141A-01EA-49B67272BF49}"/>
                        </a:ext>
                      </a:extLst>
                    </pic:cNvPr>
                    <pic:cNvPicPr>
                      <a:picLocks noChangeAspect="1"/>
                    </pic:cNvPicPr>
                  </pic:nvPicPr>
                  <pic:blipFill>
                    <a:blip r:embed="rId110"/>
                    <a:srcRect l="4952" t="5178" r="1436" b="4753"/>
                    <a:stretch>
                      <a:fillRect/>
                    </a:stretch>
                  </pic:blipFill>
                  <pic:spPr>
                    <a:xfrm>
                      <a:off x="0" y="0"/>
                      <a:ext cx="5760085" cy="4227195"/>
                    </a:xfrm>
                    <a:prstGeom prst="rect">
                      <a:avLst/>
                    </a:prstGeom>
                  </pic:spPr>
                </pic:pic>
              </a:graphicData>
            </a:graphic>
          </wp:inline>
        </w:drawing>
      </w:r>
    </w:p>
    <w:p w14:paraId="01E57518" w14:textId="77777777" w:rsidR="001301C1" w:rsidRPr="006D3C55" w:rsidRDefault="001301C1" w:rsidP="001301C1">
      <w:pPr>
        <w:pStyle w:val="ImageSource"/>
        <w:rPr>
          <w:szCs w:val="16"/>
        </w:rPr>
      </w:pPr>
      <w:r w:rsidRPr="006D3C55">
        <w:rPr>
          <w:rStyle w:val="Italic"/>
        </w:rPr>
        <w:t>Source</w:t>
      </w:r>
      <w:r w:rsidRPr="004E382D">
        <w:rPr>
          <w:rStyle w:val="Italic"/>
        </w:rPr>
        <w:t>:</w:t>
      </w:r>
      <w:r w:rsidRPr="006D3C55">
        <w:rPr>
          <w:szCs w:val="16"/>
        </w:rPr>
        <w:t xml:space="preserve"> European Commission.</w:t>
      </w:r>
    </w:p>
    <w:p w14:paraId="5AC9C434" w14:textId="545194C2" w:rsidR="001301C1" w:rsidRPr="006D3C55" w:rsidRDefault="001301C1" w:rsidP="009819C9">
      <w:pPr>
        <w:keepLines/>
      </w:pPr>
      <w:r w:rsidRPr="006D3C55">
        <w:rPr>
          <w:rStyle w:val="Bold"/>
        </w:rPr>
        <w:t>The Commission makes a qualitative assessment of the control results and the level of risk associated with the operations. Unlike other EU programmes, this assessment cannot be quantified with an error rate.</w:t>
      </w:r>
      <w:r w:rsidRPr="006D3C55">
        <w:t xml:space="preserve"> Error rates reflect a quantitative assessment, which is pertinent when the expenditure can be directly attributed to a quantitative criterion. Payments in the context of the Recovery and Resilience Facility are based on a qualitative assessment of the fulfilment of milestones and targets, which is difficult to translate into quantitative terms. Even when milestones and targets have not been satisfactorily fulfilled and a reduction will be made, this reduction cannot correspond to an amount of ineligible expenditure. In addition, the investments and reforms included in the recovery and resilience plans are very diverse, both within a Member State and between Member States, which prevents any statistical extrapolation. In this context, a meaningful error rate cannot be determined.</w:t>
      </w:r>
    </w:p>
    <w:p w14:paraId="62BE30CB" w14:textId="76B0A86A" w:rsidR="00137341" w:rsidRPr="009B4E0F" w:rsidRDefault="00137341" w:rsidP="00137341">
      <w:pPr>
        <w:rPr>
          <w:highlight w:val="lightGray"/>
        </w:rPr>
      </w:pPr>
      <w:r w:rsidRPr="006D3C55">
        <w:rPr>
          <w:rStyle w:val="Bold"/>
        </w:rPr>
        <w:t xml:space="preserve">In the course of 2025 and the first half of 2026, </w:t>
      </w:r>
      <w:r w:rsidR="00757034" w:rsidRPr="006D3C55">
        <w:rPr>
          <w:rStyle w:val="Bold"/>
        </w:rPr>
        <w:t>the Commission has</w:t>
      </w:r>
      <w:r w:rsidRPr="006D3C55">
        <w:rPr>
          <w:rStyle w:val="Bold"/>
        </w:rPr>
        <w:t xml:space="preserve"> consolidated the existing audit and control architecture </w:t>
      </w:r>
      <w:r w:rsidR="00757034" w:rsidRPr="006D3C55">
        <w:rPr>
          <w:rStyle w:val="Bold"/>
        </w:rPr>
        <w:t xml:space="preserve">by </w:t>
      </w:r>
      <w:r w:rsidRPr="006D3C55">
        <w:rPr>
          <w:rStyle w:val="Bold"/>
        </w:rPr>
        <w:t xml:space="preserve">introducing </w:t>
      </w:r>
      <w:r w:rsidR="00757034" w:rsidRPr="006D3C55">
        <w:rPr>
          <w:rStyle w:val="Bold"/>
        </w:rPr>
        <w:t>targeted improvements</w:t>
      </w:r>
      <w:r w:rsidR="00FD6E14" w:rsidRPr="006D3C55">
        <w:rPr>
          <w:rStyle w:val="Bold"/>
        </w:rPr>
        <w:t xml:space="preserve">, </w:t>
      </w:r>
      <w:r w:rsidR="002F231C">
        <w:rPr>
          <w:rStyle w:val="Bold"/>
          <w:b w:val="0"/>
        </w:rPr>
        <w:t>including</w:t>
      </w:r>
      <w:r w:rsidR="00140A3B" w:rsidRPr="006D3C55">
        <w:rPr>
          <w:rStyle w:val="Bold"/>
          <w:b w:val="0"/>
        </w:rPr>
        <w:t xml:space="preserve"> </w:t>
      </w:r>
      <w:r w:rsidR="00FD6E14" w:rsidRPr="006D3C55">
        <w:rPr>
          <w:rStyle w:val="Bold"/>
          <w:b w:val="0"/>
        </w:rPr>
        <w:t xml:space="preserve">taking into account new recommendations from the </w:t>
      </w:r>
      <w:r w:rsidR="002629BF">
        <w:rPr>
          <w:rStyle w:val="Bold"/>
          <w:b w:val="0"/>
        </w:rPr>
        <w:t xml:space="preserve">European </w:t>
      </w:r>
      <w:r w:rsidR="00FD6E14" w:rsidRPr="006D3C55">
        <w:rPr>
          <w:rStyle w:val="Bold"/>
          <w:b w:val="0"/>
        </w:rPr>
        <w:t>Court of Auditors</w:t>
      </w:r>
      <w:r w:rsidR="00140A3B">
        <w:rPr>
          <w:rStyle w:val="Bold"/>
          <w:b w:val="0"/>
        </w:rPr>
        <w:t>.</w:t>
      </w:r>
    </w:p>
    <w:p w14:paraId="478DEB0A" w14:textId="6AF625EB" w:rsidR="006B60B7" w:rsidRPr="00131BCB" w:rsidRDefault="006B60B7" w:rsidP="006B60B7">
      <w:pPr>
        <w:pStyle w:val="amprboxBLUEbulletlist"/>
      </w:pPr>
      <w:r>
        <w:t xml:space="preserve">The Guidance on the assessment of the internal control systems set in place by the Member States under the </w:t>
      </w:r>
      <w:r w:rsidRPr="001702B5">
        <w:t>Recovery and Resilience Facility</w:t>
      </w:r>
      <w:r>
        <w:t xml:space="preserve">, as well as the Guidance to Member States for the preparation of the summary of audits under the </w:t>
      </w:r>
      <w:r w:rsidRPr="001702B5">
        <w:t>Recovery and Resilience Facility</w:t>
      </w:r>
      <w:r>
        <w:t xml:space="preserve"> were updated. The key control points in the areas of public procurement and State aid were clarified and expanded, following the recommendations stemming from the ECA Special Report 09/2025 on public procurement and State aid. And the guidance was</w:t>
      </w:r>
      <w:r w:rsidR="00A731BC">
        <w:t xml:space="preserve"> </w:t>
      </w:r>
      <w:r>
        <w:t xml:space="preserve">complemented with best practices in relation to recovery of amounts affected by fraud and for reporting of fraud and suspected fraudulent cases, </w:t>
      </w:r>
      <w:r w:rsidRPr="001702B5">
        <w:t xml:space="preserve">to address the recommendations issued by ECA in its Special Report 06/2026 on tackling fraud in the RRF. </w:t>
      </w:r>
    </w:p>
    <w:p w14:paraId="5EA03B0F" w14:textId="77777777" w:rsidR="006B0B4C" w:rsidRPr="00131BCB" w:rsidRDefault="006B0B4C" w:rsidP="006B0B4C">
      <w:pPr>
        <w:pStyle w:val="amprboxBLUEbulletlist"/>
      </w:pPr>
      <w:bookmarkStart w:id="79" w:name="_Hlk228365976"/>
      <w:r w:rsidRPr="00131BCB">
        <w:t xml:space="preserve">The Commission adopted </w:t>
      </w:r>
      <w:r>
        <w:t xml:space="preserve">in April 2026 </w:t>
      </w:r>
      <w:r w:rsidRPr="00131BCB">
        <w:t xml:space="preserve">the Guidelines for Member States on operational aspects related to the final phase and closure of the Recovery and Resilience Facility. </w:t>
      </w:r>
      <w:r>
        <w:t>It describes</w:t>
      </w:r>
      <w:r w:rsidRPr="00131BCB">
        <w:t xml:space="preserve"> the final steps of the programme’s implementation until the end of 2026 and the applicable procedures and obligations beyond 2026, also in relation to audit and control. </w:t>
      </w:r>
      <w:r w:rsidRPr="00315A77">
        <w:t xml:space="preserve">It recalls the regulatory framework and provides additional information on how the Commission intends to operationalise key aspects of the Facility’s closure. It also clarifies the Member States’ continued obligations as regards the period beyond 2026 and provides final dates for </w:t>
      </w:r>
      <w:r w:rsidRPr="001702B5">
        <w:t>Recovery and Resilience Facility</w:t>
      </w:r>
      <w:r w:rsidRPr="00315A77">
        <w:t>-related reporting obligations.</w:t>
      </w:r>
    </w:p>
    <w:bookmarkEnd w:id="79"/>
    <w:p w14:paraId="01CDB3F3" w14:textId="77777777" w:rsidR="001301C1" w:rsidRPr="006D3C55" w:rsidRDefault="001301C1" w:rsidP="009D6F7A">
      <w:pPr>
        <w:pStyle w:val="HNum-fromh2Heading3-11"/>
      </w:pPr>
      <w:r w:rsidRPr="006D3C55">
        <w:t>Control results are predominantly positive</w:t>
      </w:r>
    </w:p>
    <w:p w14:paraId="4B7D1CA9" w14:textId="77777777" w:rsidR="001301C1" w:rsidRPr="006D3C55" w:rsidRDefault="001301C1" w:rsidP="00186C87">
      <w:pPr>
        <w:pStyle w:val="HNum-fromh2Heading4-111"/>
      </w:pPr>
      <w:r w:rsidRPr="006D3C55">
        <w:t>Full approval of the revised plans following their assessment</w:t>
      </w:r>
    </w:p>
    <w:p w14:paraId="363A1A00" w14:textId="6BB3573C" w:rsidR="00D97F1A" w:rsidRPr="006D3C55" w:rsidRDefault="00D97F1A" w:rsidP="00D97F1A">
      <w:r w:rsidRPr="00485CAD">
        <w:rPr>
          <w:b/>
        </w:rPr>
        <w:t xml:space="preserve">In the context of the revision of the </w:t>
      </w:r>
      <w:r w:rsidR="00264CFC" w:rsidRPr="00485CAD">
        <w:rPr>
          <w:b/>
        </w:rPr>
        <w:t>national</w:t>
      </w:r>
      <w:r w:rsidRPr="00485CAD">
        <w:rPr>
          <w:b/>
        </w:rPr>
        <w:t xml:space="preserve"> plans, the audit and control system</w:t>
      </w:r>
      <w:r w:rsidR="00264CFC" w:rsidRPr="00485CAD">
        <w:rPr>
          <w:b/>
        </w:rPr>
        <w:t>s</w:t>
      </w:r>
      <w:r w:rsidRPr="00485CAD">
        <w:rPr>
          <w:b/>
        </w:rPr>
        <w:t xml:space="preserve"> of the respective Member States were reassessed in 2025,</w:t>
      </w:r>
      <w:r w:rsidRPr="006D3C55">
        <w:t xml:space="preserve"> taking into account all the new and additional information obtained</w:t>
      </w:r>
      <w:r w:rsidR="00264CFC" w:rsidRPr="006D3C55">
        <w:t>,</w:t>
      </w:r>
      <w:r w:rsidRPr="006D3C55">
        <w:t xml:space="preserve"> since the original assessment took place</w:t>
      </w:r>
      <w:r w:rsidR="00264CFC" w:rsidRPr="006D3C55">
        <w:t>,</w:t>
      </w:r>
      <w:r w:rsidRPr="006D3C55">
        <w:t xml:space="preserve"> </w:t>
      </w:r>
      <w:r w:rsidR="006B0B4C">
        <w:t>notably</w:t>
      </w:r>
      <w:r w:rsidRPr="006D3C55">
        <w:t xml:space="preserve"> through the </w:t>
      </w:r>
      <w:r w:rsidR="00865AA6">
        <w:t>various</w:t>
      </w:r>
      <w:r w:rsidR="00865AA6" w:rsidRPr="006D3C55">
        <w:t xml:space="preserve"> </w:t>
      </w:r>
      <w:r w:rsidRPr="006D3C55">
        <w:t>audits carried out by the Commission.</w:t>
      </w:r>
      <w:r w:rsidRPr="006D3C55" w:rsidDel="00B56532">
        <w:t xml:space="preserve"> </w:t>
      </w:r>
      <w:r w:rsidRPr="006D3C55">
        <w:t xml:space="preserve">In light of this information, the Commission considered whether the arrangements for the audit and control system put forward by the Member States in the </w:t>
      </w:r>
      <w:r w:rsidR="00264CFC" w:rsidRPr="006D3C55">
        <w:t>revised</w:t>
      </w:r>
      <w:r w:rsidRPr="006D3C55">
        <w:t xml:space="preserve"> plans were (still) adequate.</w:t>
      </w:r>
      <w:r w:rsidRPr="00804886">
        <w:t xml:space="preserve"> In 2025, a total of 50 revisions were approved</w:t>
      </w:r>
      <w:r w:rsidR="00264CFC" w:rsidRPr="00804886">
        <w:t xml:space="preserve"> and</w:t>
      </w:r>
      <w:r w:rsidRPr="00804886">
        <w:t xml:space="preserve"> the Commission proposed one additional audit and control milestone</w:t>
      </w:r>
      <w:r w:rsidR="00413224">
        <w:t xml:space="preserve"> </w:t>
      </w:r>
      <w:r w:rsidR="0093564D">
        <w:t>(</w:t>
      </w:r>
      <w:r w:rsidR="00C46022">
        <w:t>for Slovakia)</w:t>
      </w:r>
      <w:r w:rsidRPr="006D3C55">
        <w:rPr>
          <w:rFonts w:cs="Calibri"/>
        </w:rPr>
        <w:t>.</w:t>
      </w:r>
    </w:p>
    <w:p w14:paraId="2A835039" w14:textId="7E9FE807" w:rsidR="001301C1" w:rsidRPr="006D3C55" w:rsidRDefault="006810F9" w:rsidP="00186C87">
      <w:pPr>
        <w:pStyle w:val="HNum-fromh2Heading4-111"/>
      </w:pPr>
      <w:r w:rsidRPr="00804886">
        <w:rPr>
          <w:rStyle w:val="Italic"/>
        </w:rPr>
        <w:t>Ex ante</w:t>
      </w:r>
      <w:r w:rsidR="001301C1" w:rsidRPr="00804886">
        <w:rPr>
          <w:rStyle w:val="Italic"/>
        </w:rPr>
        <w:t xml:space="preserve"> </w:t>
      </w:r>
      <w:r w:rsidR="001301C1" w:rsidRPr="006D3C55">
        <w:t>controls at the payment stage</w:t>
      </w:r>
    </w:p>
    <w:p w14:paraId="78792075" w14:textId="1D3C991C" w:rsidR="003F561B" w:rsidRPr="006D3C55" w:rsidRDefault="003F561B" w:rsidP="003F561B">
      <w:pPr>
        <w:jc w:val="both"/>
      </w:pPr>
      <w:r w:rsidRPr="00485CAD">
        <w:rPr>
          <w:b/>
        </w:rPr>
        <w:t>In 2025</w:t>
      </w:r>
      <w:r w:rsidR="006531F0" w:rsidRPr="00485CAD">
        <w:rPr>
          <w:b/>
        </w:rPr>
        <w:t>,</w:t>
      </w:r>
      <w:r w:rsidRPr="00485CAD">
        <w:rPr>
          <w:b/>
        </w:rPr>
        <w:t xml:space="preserve"> the Commission assessed and paid 34 payment requests submitted by 24 Member States, </w:t>
      </w:r>
      <w:r w:rsidR="00517BF1" w:rsidRPr="00485CAD">
        <w:rPr>
          <w:b/>
        </w:rPr>
        <w:t>corresponding to</w:t>
      </w:r>
      <w:r w:rsidR="00DA2D56" w:rsidRPr="00485CAD">
        <w:rPr>
          <w:b/>
        </w:rPr>
        <w:t xml:space="preserve"> </w:t>
      </w:r>
      <w:r w:rsidRPr="00485CAD">
        <w:rPr>
          <w:rFonts w:eastAsia="EC Square Sans Pro" w:cs="EC Square Sans Pro"/>
          <w:b/>
        </w:rPr>
        <w:t>7</w:t>
      </w:r>
      <w:r w:rsidR="007374D9">
        <w:rPr>
          <w:rFonts w:eastAsia="EC Square Sans Pro" w:cs="EC Square Sans Pro"/>
          <w:b/>
        </w:rPr>
        <w:t>94</w:t>
      </w:r>
      <w:r w:rsidRPr="00485CAD">
        <w:rPr>
          <w:rFonts w:eastAsia="EC Square Sans Pro" w:cs="EC Square Sans Pro"/>
          <w:b/>
        </w:rPr>
        <w:t xml:space="preserve"> milestones and 380 targets</w:t>
      </w:r>
      <w:r w:rsidR="00517BF1" w:rsidRPr="00485CAD">
        <w:rPr>
          <w:rFonts w:eastAsia="EC Square Sans Pro" w:cs="EC Square Sans Pro"/>
          <w:b/>
        </w:rPr>
        <w:t xml:space="preserve"> (1</w:t>
      </w:r>
      <w:r w:rsidR="00E22C86" w:rsidRPr="00485CAD">
        <w:rPr>
          <w:rFonts w:ascii="Calibri" w:eastAsia="EC Square Sans Pro" w:hAnsi="Calibri" w:cs="Calibri"/>
          <w:b/>
        </w:rPr>
        <w:t> </w:t>
      </w:r>
      <w:r w:rsidR="00517BF1" w:rsidRPr="00485CAD">
        <w:rPr>
          <w:rFonts w:eastAsia="EC Square Sans Pro" w:cs="EC Square Sans Pro"/>
          <w:b/>
        </w:rPr>
        <w:t>1</w:t>
      </w:r>
      <w:r w:rsidR="007374D9">
        <w:rPr>
          <w:rFonts w:eastAsia="EC Square Sans Pro" w:cs="EC Square Sans Pro"/>
          <w:b/>
        </w:rPr>
        <w:t>74</w:t>
      </w:r>
      <w:r w:rsidR="00517BF1" w:rsidRPr="00485CAD">
        <w:rPr>
          <w:rFonts w:eastAsia="EC Square Sans Pro" w:cs="EC Square Sans Pro"/>
          <w:b/>
        </w:rPr>
        <w:t xml:space="preserve"> in total</w:t>
      </w:r>
      <w:r w:rsidRPr="00485CAD">
        <w:rPr>
          <w:rFonts w:eastAsia="EC Square Sans Pro" w:cs="EC Square Sans Pro"/>
          <w:b/>
        </w:rPr>
        <w:t>)</w:t>
      </w:r>
      <w:r w:rsidR="002E5277" w:rsidRPr="00485CAD">
        <w:rPr>
          <w:b/>
        </w:rPr>
        <w:t>,</w:t>
      </w:r>
      <w:r w:rsidR="002E5277" w:rsidRPr="00485CAD">
        <w:rPr>
          <w:rFonts w:eastAsia="EC Square Sans Pro" w:cs="EC Square Sans Pro"/>
          <w:b/>
        </w:rPr>
        <w:t xml:space="preserve"> </w:t>
      </w:r>
      <w:r w:rsidR="00942C80" w:rsidRPr="00485CAD">
        <w:rPr>
          <w:rFonts w:eastAsia="EC Square Sans Pro" w:cs="EC Square Sans Pro"/>
          <w:b/>
        </w:rPr>
        <w:t>of which</w:t>
      </w:r>
      <w:r w:rsidRPr="00485CAD">
        <w:rPr>
          <w:rFonts w:eastAsia="EC Square Sans Pro" w:cs="EC Square Sans Pro"/>
          <w:b/>
        </w:rPr>
        <w:t xml:space="preserve"> 11 were assessed as no</w:t>
      </w:r>
      <w:r w:rsidR="00D431EB" w:rsidRPr="00485CAD">
        <w:rPr>
          <w:rFonts w:eastAsia="EC Square Sans Pro" w:cs="EC Square Sans Pro"/>
          <w:b/>
        </w:rPr>
        <w:t xml:space="preserve">t </w:t>
      </w:r>
      <w:r w:rsidRPr="00485CAD">
        <w:rPr>
          <w:rFonts w:eastAsia="EC Square Sans Pro" w:cs="EC Square Sans Pro"/>
          <w:b/>
        </w:rPr>
        <w:t>satisfactorily fulfilled.</w:t>
      </w:r>
      <w:r w:rsidRPr="006D3C55">
        <w:rPr>
          <w:rFonts w:eastAsia="EC Square Sans Pro" w:cs="EC Square Sans Pro"/>
        </w:rPr>
        <w:t xml:space="preserve"> Parts of disbursements were subsequently suspended for the </w:t>
      </w:r>
      <w:r w:rsidR="00517BF1" w:rsidRPr="006D3C55">
        <w:rPr>
          <w:rFonts w:eastAsia="EC Square Sans Pro" w:cs="EC Square Sans Pro"/>
        </w:rPr>
        <w:t xml:space="preserve">corresponding </w:t>
      </w:r>
      <w:r w:rsidRPr="006D3C55">
        <w:rPr>
          <w:rFonts w:eastAsia="EC Square Sans Pro" w:cs="EC Square Sans Pro"/>
        </w:rPr>
        <w:t>payment requests submitted by Romania</w:t>
      </w:r>
      <w:r w:rsidR="00517BF1" w:rsidRPr="006D3C55">
        <w:rPr>
          <w:rFonts w:eastAsia="EC Square Sans Pro" w:cs="EC Square Sans Pro"/>
        </w:rPr>
        <w:t xml:space="preserve"> (1)</w:t>
      </w:r>
      <w:r w:rsidRPr="006D3C55">
        <w:rPr>
          <w:rFonts w:eastAsia="EC Square Sans Pro" w:cs="EC Square Sans Pro"/>
        </w:rPr>
        <w:t>, Spain</w:t>
      </w:r>
      <w:r w:rsidR="00517BF1" w:rsidRPr="006D3C55">
        <w:rPr>
          <w:rFonts w:eastAsia="EC Square Sans Pro" w:cs="EC Square Sans Pro"/>
        </w:rPr>
        <w:t xml:space="preserve"> (1)</w:t>
      </w:r>
      <w:r w:rsidRPr="006D3C55">
        <w:rPr>
          <w:rFonts w:eastAsia="EC Square Sans Pro" w:cs="EC Square Sans Pro"/>
        </w:rPr>
        <w:t xml:space="preserve"> and Bulgaria (</w:t>
      </w:r>
      <w:r w:rsidR="00517BF1" w:rsidRPr="006D3C55">
        <w:rPr>
          <w:rFonts w:eastAsia="EC Square Sans Pro" w:cs="EC Square Sans Pro"/>
        </w:rPr>
        <w:t>2)</w:t>
      </w:r>
      <w:r w:rsidR="00DE5B19">
        <w:rPr>
          <w:rFonts w:eastAsia="EC Square Sans Pro" w:cs="EC Square Sans Pro"/>
        </w:rPr>
        <w:t xml:space="preserve"> </w:t>
      </w:r>
      <w:r w:rsidR="00DE5B19" w:rsidRPr="00DE5B19">
        <w:rPr>
          <w:rFonts w:eastAsia="EC Square Sans Pro" w:cs="EC Square Sans Pro"/>
        </w:rPr>
        <w:t>and suspensions of payments were applied amounting to EUR 1 737.5 million</w:t>
      </w:r>
      <w:r w:rsidR="00995876" w:rsidRPr="00485CAD">
        <w:rPr>
          <w:rFonts w:eastAsia="EC Square Sans Pro" w:cs="Calibri"/>
        </w:rPr>
        <w:t> </w:t>
      </w:r>
      <w:r w:rsidR="00995876" w:rsidRPr="00995876">
        <w:rPr>
          <w:rFonts w:eastAsia="EC Square Sans Pro" w:cs="EC Square Sans Pro"/>
        </w:rPr>
        <w:t>(</w:t>
      </w:r>
      <w:r w:rsidR="00995876" w:rsidRPr="00352191">
        <w:rPr>
          <w:rStyle w:val="FootnoteReference"/>
        </w:rPr>
        <w:footnoteReference w:id="59"/>
      </w:r>
      <w:r w:rsidR="00995876">
        <w:rPr>
          <w:rFonts w:eastAsia="EC Square Sans Pro" w:cs="EC Square Sans Pro"/>
        </w:rPr>
        <w:t>)</w:t>
      </w:r>
      <w:r w:rsidRPr="006D3C55">
        <w:rPr>
          <w:rFonts w:eastAsia="EC Square Sans Pro" w:cs="EC Square Sans Pro"/>
        </w:rPr>
        <w:t>. The Commission also lifted the suspension for three milestones and targets (</w:t>
      </w:r>
      <w:r w:rsidRPr="00AD4275">
        <w:rPr>
          <w:rFonts w:eastAsia="EC Square Sans Pro" w:cs="EC Square Sans Pro"/>
        </w:rPr>
        <w:t>Spain</w:t>
      </w:r>
      <w:r w:rsidR="00634024" w:rsidRPr="00AD4275">
        <w:rPr>
          <w:rFonts w:eastAsia="EC Square Sans Pro" w:cs="EC Square Sans Pro"/>
        </w:rPr>
        <w:t xml:space="preserve"> </w:t>
      </w:r>
      <w:r w:rsidR="00FB26AB" w:rsidRPr="00AD4275">
        <w:rPr>
          <w:rFonts w:eastAsia="EC Square Sans Pro" w:cs="EC Square Sans Pro"/>
        </w:rPr>
        <w:t>(</w:t>
      </w:r>
      <w:r w:rsidR="00634024" w:rsidRPr="00AD4275">
        <w:rPr>
          <w:rFonts w:eastAsia="EC Square Sans Pro" w:cs="EC Square Sans Pro"/>
        </w:rPr>
        <w:t>1</w:t>
      </w:r>
      <w:r w:rsidR="00FB26AB" w:rsidRPr="00AD4275">
        <w:rPr>
          <w:rFonts w:eastAsia="EC Square Sans Pro" w:cs="EC Square Sans Pro"/>
        </w:rPr>
        <w:t>)</w:t>
      </w:r>
      <w:r w:rsidRPr="00AD4275">
        <w:rPr>
          <w:rFonts w:eastAsia="EC Square Sans Pro" w:cs="EC Square Sans Pro"/>
        </w:rPr>
        <w:t>, Cyprus</w:t>
      </w:r>
      <w:r w:rsidR="00634024" w:rsidRPr="00AD4275">
        <w:rPr>
          <w:rFonts w:eastAsia="EC Square Sans Pro" w:cs="EC Square Sans Pro"/>
        </w:rPr>
        <w:t xml:space="preserve"> </w:t>
      </w:r>
      <w:r w:rsidR="00FB26AB" w:rsidRPr="00AD4275">
        <w:rPr>
          <w:rFonts w:eastAsia="EC Square Sans Pro" w:cs="EC Square Sans Pro"/>
        </w:rPr>
        <w:t>(</w:t>
      </w:r>
      <w:r w:rsidR="00634024" w:rsidRPr="00AD4275">
        <w:rPr>
          <w:rFonts w:eastAsia="EC Square Sans Pro" w:cs="EC Square Sans Pro"/>
        </w:rPr>
        <w:t>1</w:t>
      </w:r>
      <w:r w:rsidR="00FB26AB" w:rsidRPr="00AD4275">
        <w:rPr>
          <w:rFonts w:eastAsia="EC Square Sans Pro" w:cs="EC Square Sans Pro"/>
        </w:rPr>
        <w:t>)</w:t>
      </w:r>
      <w:r w:rsidRPr="00AD4275">
        <w:rPr>
          <w:rFonts w:eastAsia="EC Square Sans Pro" w:cs="EC Square Sans Pro"/>
        </w:rPr>
        <w:t xml:space="preserve"> and Czechia</w:t>
      </w:r>
      <w:r w:rsidR="00634024" w:rsidRPr="00AD4275">
        <w:rPr>
          <w:rFonts w:eastAsia="EC Square Sans Pro" w:cs="EC Square Sans Pro"/>
        </w:rPr>
        <w:t xml:space="preserve"> </w:t>
      </w:r>
      <w:r w:rsidR="00FB26AB" w:rsidRPr="00AD4275">
        <w:rPr>
          <w:rFonts w:eastAsia="EC Square Sans Pro" w:cs="EC Square Sans Pro"/>
        </w:rPr>
        <w:t>(</w:t>
      </w:r>
      <w:r w:rsidR="00634024" w:rsidRPr="00AD4275">
        <w:rPr>
          <w:rFonts w:eastAsia="EC Square Sans Pro" w:cs="EC Square Sans Pro"/>
        </w:rPr>
        <w:t>1</w:t>
      </w:r>
      <w:r w:rsidR="00FB26AB">
        <w:rPr>
          <w:rFonts w:eastAsia="EC Square Sans Pro" w:cs="EC Square Sans Pro"/>
        </w:rPr>
        <w:t>)</w:t>
      </w:r>
      <w:r w:rsidRPr="006D3C55">
        <w:rPr>
          <w:rFonts w:eastAsia="EC Square Sans Pro" w:cs="EC Square Sans Pro"/>
        </w:rPr>
        <w:t xml:space="preserve">) as the necessary </w:t>
      </w:r>
      <w:r w:rsidR="009A006A">
        <w:rPr>
          <w:rFonts w:eastAsia="EC Square Sans Pro" w:cs="EC Square Sans Pro"/>
        </w:rPr>
        <w:t>measure</w:t>
      </w:r>
      <w:r w:rsidR="009A006A" w:rsidRPr="006D3C55">
        <w:rPr>
          <w:rFonts w:eastAsia="EC Square Sans Pro" w:cs="EC Square Sans Pro"/>
        </w:rPr>
        <w:t xml:space="preserve">s </w:t>
      </w:r>
      <w:r w:rsidR="006311BC">
        <w:rPr>
          <w:rFonts w:eastAsia="EC Square Sans Pro" w:cs="EC Square Sans Pro"/>
        </w:rPr>
        <w:t>had been</w:t>
      </w:r>
      <w:r w:rsidR="006311BC" w:rsidRPr="006D3C55">
        <w:rPr>
          <w:rFonts w:eastAsia="EC Square Sans Pro" w:cs="EC Square Sans Pro"/>
        </w:rPr>
        <w:t xml:space="preserve"> </w:t>
      </w:r>
      <w:r w:rsidRPr="006D3C55">
        <w:rPr>
          <w:rFonts w:eastAsia="EC Square Sans Pro" w:cs="EC Square Sans Pro"/>
        </w:rPr>
        <w:t xml:space="preserve">taken to satisfactorily fulfil the related milestones and targets. </w:t>
      </w:r>
      <w:r w:rsidRPr="00770E45">
        <w:rPr>
          <w:rFonts w:eastAsia="EC Square Sans Pro" w:cs="EC Square Sans Pro"/>
        </w:rPr>
        <w:t>The Commission reduced one Member State’s financial contribu</w:t>
      </w:r>
      <w:r w:rsidRPr="00DB6AF4">
        <w:rPr>
          <w:rFonts w:eastAsia="EC Square Sans Pro" w:cs="EC Square Sans Pro"/>
        </w:rPr>
        <w:t xml:space="preserve">tion </w:t>
      </w:r>
      <w:r w:rsidRPr="006D3C55">
        <w:rPr>
          <w:rFonts w:eastAsia="EC Square Sans Pro" w:cs="EC Square Sans Pro"/>
        </w:rPr>
        <w:t>for one milestone that remained no</w:t>
      </w:r>
      <w:r w:rsidR="00D431EB">
        <w:rPr>
          <w:rFonts w:eastAsia="EC Square Sans Pro" w:cs="EC Square Sans Pro"/>
        </w:rPr>
        <w:t xml:space="preserve">t </w:t>
      </w:r>
      <w:r w:rsidRPr="006D3C55">
        <w:rPr>
          <w:rFonts w:eastAsia="EC Square Sans Pro" w:cs="EC Square Sans Pro"/>
        </w:rPr>
        <w:t>satisfactorily fulfilled by the end of the suspension procedure</w:t>
      </w:r>
      <w:r w:rsidR="00634024" w:rsidRPr="006D3C55">
        <w:rPr>
          <w:rFonts w:eastAsia="EC Square Sans Pro" w:cs="Calibri"/>
        </w:rPr>
        <w:t> </w:t>
      </w:r>
      <w:r w:rsidR="00634024" w:rsidRPr="006D3C55">
        <w:rPr>
          <w:rFonts w:eastAsia="EC Square Sans Pro" w:cs="EC Square Sans Pro"/>
        </w:rPr>
        <w:t>(</w:t>
      </w:r>
      <w:r w:rsidR="00634024" w:rsidRPr="00352191">
        <w:rPr>
          <w:rStyle w:val="FootnoteReference"/>
        </w:rPr>
        <w:footnoteReference w:id="60"/>
      </w:r>
      <w:r w:rsidR="00634024" w:rsidRPr="006D3C55">
        <w:rPr>
          <w:rFonts w:eastAsia="EC Square Sans Pro" w:cs="EC Square Sans Pro"/>
        </w:rPr>
        <w:t>)</w:t>
      </w:r>
      <w:r w:rsidRPr="006D3C55">
        <w:rPr>
          <w:rFonts w:eastAsia="EC Square Sans Pro" w:cs="EC Square Sans Pro"/>
        </w:rPr>
        <w:t xml:space="preserve">. In the case of Belgium, </w:t>
      </w:r>
      <w:r w:rsidR="001646EE" w:rsidRPr="006D3C55">
        <w:rPr>
          <w:rFonts w:eastAsia="EC Square Sans Pro" w:cs="EC Square Sans Pro"/>
        </w:rPr>
        <w:t>whil</w:t>
      </w:r>
      <w:r w:rsidR="001646EE">
        <w:rPr>
          <w:rFonts w:eastAsia="EC Square Sans Pro" w:cs="EC Square Sans Pro"/>
        </w:rPr>
        <w:t>e</w:t>
      </w:r>
      <w:r w:rsidR="001646EE" w:rsidRPr="006D3C55">
        <w:rPr>
          <w:rFonts w:eastAsia="EC Square Sans Pro" w:cs="EC Square Sans Pro"/>
        </w:rPr>
        <w:t xml:space="preserve"> </w:t>
      </w:r>
      <w:r w:rsidRPr="006D3C55">
        <w:rPr>
          <w:rFonts w:eastAsia="EC Square Sans Pro" w:cs="EC Square Sans Pro"/>
        </w:rPr>
        <w:t xml:space="preserve">a suspension decision was adopted in 2024, the suspension </w:t>
      </w:r>
      <w:r w:rsidR="001646EE">
        <w:rPr>
          <w:rFonts w:eastAsia="EC Square Sans Pro" w:cs="EC Square Sans Pro"/>
        </w:rPr>
        <w:t>w</w:t>
      </w:r>
      <w:r w:rsidR="001646EE" w:rsidRPr="006D3C55">
        <w:rPr>
          <w:rFonts w:eastAsia="EC Square Sans Pro" w:cs="EC Square Sans Pro"/>
        </w:rPr>
        <w:t xml:space="preserve">as </w:t>
      </w:r>
      <w:r w:rsidR="00D43935" w:rsidRPr="006D3C55">
        <w:rPr>
          <w:rFonts w:eastAsia="EC Square Sans Pro" w:cs="EC Square Sans Pro"/>
        </w:rPr>
        <w:t>lifted</w:t>
      </w:r>
      <w:r w:rsidRPr="006D3C55">
        <w:rPr>
          <w:rFonts w:eastAsia="EC Square Sans Pro" w:cs="EC Square Sans Pro"/>
        </w:rPr>
        <w:t xml:space="preserve"> in 2025 as the </w:t>
      </w:r>
      <w:r w:rsidR="00634024" w:rsidRPr="006D3C55">
        <w:rPr>
          <w:rFonts w:eastAsia="EC Square Sans Pro" w:cs="EC Square Sans Pro"/>
        </w:rPr>
        <w:t xml:space="preserve">national plan </w:t>
      </w:r>
      <w:r w:rsidRPr="006D3C55">
        <w:rPr>
          <w:rFonts w:eastAsia="EC Square Sans Pro" w:cs="EC Square Sans Pro"/>
        </w:rPr>
        <w:t>was subsequently revised.</w:t>
      </w:r>
    </w:p>
    <w:p w14:paraId="778C370E" w14:textId="4EE6D675" w:rsidR="001301C1" w:rsidRPr="006D3C55" w:rsidRDefault="001301C1" w:rsidP="001301C1">
      <w:pPr>
        <w:pStyle w:val="Heading5"/>
        <w:rPr>
          <w:rFonts w:ascii="EC Square Sans Pro" w:hAnsi="EC Square Sans Pro"/>
        </w:rPr>
      </w:pPr>
      <w:r w:rsidRPr="006D3C55">
        <w:rPr>
          <w:rFonts w:ascii="EC Square Sans Pro" w:hAnsi="EC Square Sans Pro"/>
        </w:rPr>
        <w:t xml:space="preserve">Positive assessment of the specific milestones on audit and control for all </w:t>
      </w:r>
      <w:r w:rsidR="00632944">
        <w:rPr>
          <w:rFonts w:ascii="EC Square Sans Pro" w:hAnsi="EC Square Sans Pro"/>
        </w:rPr>
        <w:br/>
      </w:r>
      <w:r w:rsidRPr="006D3C55">
        <w:rPr>
          <w:rFonts w:ascii="EC Square Sans Pro" w:hAnsi="EC Square Sans Pro"/>
        </w:rPr>
        <w:t>Member</w:t>
      </w:r>
      <w:r w:rsidR="004016AD">
        <w:rPr>
          <w:rFonts w:ascii="EC Square Sans Pro" w:hAnsi="EC Square Sans Pro"/>
        </w:rPr>
        <w:t xml:space="preserve"> </w:t>
      </w:r>
      <w:r w:rsidRPr="006D3C55">
        <w:rPr>
          <w:rFonts w:ascii="EC Square Sans Pro" w:hAnsi="EC Square Sans Pro"/>
        </w:rPr>
        <w:t>States</w:t>
      </w:r>
    </w:p>
    <w:p w14:paraId="5928FAF6" w14:textId="03A2405C" w:rsidR="001301C1" w:rsidRPr="006D3C55" w:rsidRDefault="001301C1" w:rsidP="0065545C">
      <w:pPr>
        <w:rPr>
          <w:rFonts w:eastAsia="Calibri" w:cs="Calibri"/>
        </w:rPr>
      </w:pPr>
      <w:r w:rsidRPr="006D3C55">
        <w:t>Since the beginning of the Recovery and Resilience Facility</w:t>
      </w:r>
      <w:r w:rsidR="00C831F3">
        <w:t>’s</w:t>
      </w:r>
      <w:r w:rsidRPr="006D3C55">
        <w:t xml:space="preserve"> implementation, a total of 83 audit and control milestones have been incorporated into the </w:t>
      </w:r>
      <w:r w:rsidR="003C24B4" w:rsidRPr="006D3C55">
        <w:t>national</w:t>
      </w:r>
      <w:r w:rsidRPr="006D3C55">
        <w:t xml:space="preserve"> plans </w:t>
      </w:r>
      <w:r w:rsidR="008C4C47">
        <w:t>of</w:t>
      </w:r>
      <w:r w:rsidR="008C4C47" w:rsidRPr="006D3C55">
        <w:t xml:space="preserve"> </w:t>
      </w:r>
      <w:r w:rsidRPr="006D3C55">
        <w:t>24 Member States</w:t>
      </w:r>
      <w:r w:rsidR="002E5047" w:rsidRPr="006D3C55">
        <w:rPr>
          <w:rFonts w:cs="Calibri"/>
        </w:rPr>
        <w:t> </w:t>
      </w:r>
      <w:r w:rsidR="002E5047" w:rsidRPr="006D3C55">
        <w:t>(</w:t>
      </w:r>
      <w:r w:rsidR="002E5047" w:rsidRPr="00352191">
        <w:rPr>
          <w:rStyle w:val="FootnoteReference"/>
        </w:rPr>
        <w:footnoteReference w:id="61"/>
      </w:r>
      <w:r w:rsidR="002E5047" w:rsidRPr="006D3C55">
        <w:t>)</w:t>
      </w:r>
      <w:r w:rsidRPr="006D3C55">
        <w:t>.</w:t>
      </w:r>
      <w:r w:rsidRPr="006D3C55">
        <w:rPr>
          <w:rFonts w:eastAsia="Calibri" w:cs="Calibri"/>
        </w:rPr>
        <w:t xml:space="preserve"> </w:t>
      </w:r>
      <w:r w:rsidR="002E5047" w:rsidRPr="006D3C55">
        <w:rPr>
          <w:rFonts w:eastAsia="Calibri" w:cs="Calibri"/>
        </w:rPr>
        <w:t>B</w:t>
      </w:r>
      <w:r w:rsidR="002E5047" w:rsidRPr="004A3A86">
        <w:rPr>
          <w:rFonts w:eastAsia="Calibri" w:cs="Calibri"/>
        </w:rPr>
        <w:t xml:space="preserve">y </w:t>
      </w:r>
      <w:r w:rsidR="005621F1" w:rsidRPr="004A3A86">
        <w:rPr>
          <w:rFonts w:eastAsia="Calibri" w:cs="Calibri"/>
        </w:rPr>
        <w:t xml:space="preserve">the </w:t>
      </w:r>
      <w:r w:rsidR="002E5047" w:rsidRPr="004A3A86">
        <w:rPr>
          <w:rFonts w:asciiTheme="minorHAnsi" w:eastAsia="Calibri" w:hAnsiTheme="minorHAnsi" w:cs="Calibri"/>
        </w:rPr>
        <w:t xml:space="preserve">end of May 2026, </w:t>
      </w:r>
      <w:r w:rsidR="003F561B" w:rsidRPr="006D3C55">
        <w:rPr>
          <w:rStyle w:val="Bold"/>
        </w:rPr>
        <w:t>56</w:t>
      </w:r>
      <w:r w:rsidRPr="006D3C55">
        <w:rPr>
          <w:rStyle w:val="Bold"/>
        </w:rPr>
        <w:t xml:space="preserve"> </w:t>
      </w:r>
      <w:r w:rsidR="005621F1">
        <w:rPr>
          <w:rStyle w:val="Bold"/>
        </w:rPr>
        <w:t>had been</w:t>
      </w:r>
      <w:r w:rsidR="005621F1" w:rsidRPr="006D3C55">
        <w:rPr>
          <w:rStyle w:val="Bold"/>
        </w:rPr>
        <w:t xml:space="preserve"> </w:t>
      </w:r>
      <w:r w:rsidRPr="006D3C55">
        <w:rPr>
          <w:rStyle w:val="Bold"/>
        </w:rPr>
        <w:t>assessed by the Commission as satisfactorily fulfilled</w:t>
      </w:r>
      <w:r w:rsidRPr="006D3C55">
        <w:rPr>
          <w:rFonts w:eastAsia="Calibri" w:cs="Calibri"/>
        </w:rPr>
        <w:t xml:space="preserve">, </w:t>
      </w:r>
      <w:r w:rsidR="00251932" w:rsidRPr="006D3C55">
        <w:rPr>
          <w:rFonts w:eastAsia="Calibri" w:cs="Calibri"/>
        </w:rPr>
        <w:t>in</w:t>
      </w:r>
      <w:r w:rsidRPr="006D3C55">
        <w:rPr>
          <w:rFonts w:eastAsia="Calibri" w:cs="Calibri"/>
        </w:rPr>
        <w:t xml:space="preserve"> 2</w:t>
      </w:r>
      <w:r w:rsidR="004F5C99">
        <w:rPr>
          <w:rFonts w:eastAsia="Calibri" w:cs="Calibri"/>
        </w:rPr>
        <w:t>3</w:t>
      </w:r>
      <w:r w:rsidRPr="006D3C55">
        <w:rPr>
          <w:rFonts w:eastAsia="Calibri" w:cs="Calibri"/>
        </w:rPr>
        <w:t xml:space="preserve"> Member States.</w:t>
      </w:r>
      <w:r w:rsidRPr="00AD4275">
        <w:rPr>
          <w:rStyle w:val="Bold"/>
          <w:b w:val="0"/>
          <w:bCs/>
        </w:rPr>
        <w:t xml:space="preserve"> </w:t>
      </w:r>
      <w:r w:rsidRPr="006D3C55">
        <w:t xml:space="preserve">The Commission assessed the achievement of these milestones based on desk reviews and in-depth </w:t>
      </w:r>
      <w:r w:rsidR="002836A1" w:rsidRPr="006D3C55">
        <w:t>analys</w:t>
      </w:r>
      <w:r w:rsidR="002836A1">
        <w:t>e</w:t>
      </w:r>
      <w:r w:rsidR="002836A1" w:rsidRPr="006D3C55">
        <w:t xml:space="preserve">s </w:t>
      </w:r>
      <w:r w:rsidRPr="006D3C55">
        <w:t>of the evidence provided by the Member States.</w:t>
      </w:r>
      <w:r w:rsidRPr="006D3C55">
        <w:rPr>
          <w:rFonts w:eastAsia="Calibri" w:cs="Calibri"/>
        </w:rPr>
        <w:t xml:space="preserve"> </w:t>
      </w:r>
      <w:r w:rsidR="00F87247">
        <w:rPr>
          <w:rFonts w:eastAsia="Calibri" w:cs="Calibri"/>
        </w:rPr>
        <w:t>All of the remaining 27 audit and control milestones</w:t>
      </w:r>
      <w:r w:rsidR="00F87247" w:rsidRPr="00187DBD">
        <w:rPr>
          <w:rFonts w:eastAsia="Calibri" w:cs="Calibri"/>
        </w:rPr>
        <w:t xml:space="preserve"> </w:t>
      </w:r>
      <w:r w:rsidR="00F87247">
        <w:rPr>
          <w:rFonts w:eastAsia="Calibri" w:cs="Calibri"/>
        </w:rPr>
        <w:t>are</w:t>
      </w:r>
      <w:r w:rsidR="00F87247" w:rsidRPr="00187DBD">
        <w:rPr>
          <w:rFonts w:eastAsia="Calibri" w:cs="Calibri"/>
        </w:rPr>
        <w:t xml:space="preserve"> related to Hungary, which has yet to submit its first payment request.</w:t>
      </w:r>
      <w:r w:rsidR="00F87247">
        <w:rPr>
          <w:rFonts w:eastAsia="Calibri" w:cs="Calibri"/>
        </w:rPr>
        <w:t xml:space="preserve"> </w:t>
      </w:r>
    </w:p>
    <w:p w14:paraId="14309858" w14:textId="66B49A88" w:rsidR="001301C1" w:rsidRPr="00BB176F" w:rsidRDefault="001301C1" w:rsidP="00F52767">
      <w:pPr>
        <w:pStyle w:val="amprboxBLUEBoxTitle"/>
      </w:pPr>
      <w:r w:rsidRPr="006D3C55">
        <w:t>Examples of such milestones</w:t>
      </w:r>
    </w:p>
    <w:p w14:paraId="27512DCE" w14:textId="028BBFD3" w:rsidR="001301C1" w:rsidRPr="006D3C55" w:rsidRDefault="00E43220" w:rsidP="00011A59">
      <w:pPr>
        <w:pStyle w:val="amprboxBLUEbulletlist"/>
      </w:pPr>
      <w:r>
        <w:t>P</w:t>
      </w:r>
      <w:r w:rsidR="001301C1" w:rsidRPr="006D3C55">
        <w:t>utting in place and implementing a repository system for monitoring the implementation of the Recovery and Resilience Facility</w:t>
      </w:r>
      <w:r>
        <w:t>.</w:t>
      </w:r>
    </w:p>
    <w:p w14:paraId="7056F666" w14:textId="51D6A1E6" w:rsidR="001301C1" w:rsidRPr="006D3C55" w:rsidRDefault="00C0753F" w:rsidP="00011A59">
      <w:pPr>
        <w:pStyle w:val="amprboxBLUEbulletlist"/>
      </w:pPr>
      <w:r>
        <w:t>The e</w:t>
      </w:r>
      <w:r w:rsidR="001301C1" w:rsidRPr="006D3C55">
        <w:t>ntry into force of laws or decrees setting out legal mandates or defining audit and control procedures</w:t>
      </w:r>
      <w:r w:rsidR="00E43220">
        <w:t>.</w:t>
      </w:r>
    </w:p>
    <w:p w14:paraId="53379A98" w14:textId="53EA41AE" w:rsidR="001301C1" w:rsidRPr="006D3C55" w:rsidRDefault="00E43220" w:rsidP="00011A59">
      <w:pPr>
        <w:pStyle w:val="amprboxBLUEbulletlist"/>
      </w:pPr>
      <w:r>
        <w:t>C</w:t>
      </w:r>
      <w:r w:rsidR="001301C1" w:rsidRPr="006D3C55">
        <w:t>reating and implementing an action plan regarding the prevention of conflict</w:t>
      </w:r>
      <w:r w:rsidR="00770CD4">
        <w:t>s</w:t>
      </w:r>
      <w:r w:rsidR="001301C1" w:rsidRPr="006D3C55">
        <w:t xml:space="preserve"> of interest in the context of the Recovery and Resilience Facility and adopting an audit strategy ensuring independent and effective auditing of the Recovery and Resilience Facility implementation.</w:t>
      </w:r>
    </w:p>
    <w:p w14:paraId="173296A8" w14:textId="131D582A" w:rsidR="001301C1" w:rsidRPr="006D3C55" w:rsidRDefault="001301C1" w:rsidP="00474A3E">
      <w:pPr>
        <w:rPr>
          <w:rFonts w:asciiTheme="minorHAnsi" w:eastAsia="Calibri" w:hAnsiTheme="minorHAnsi" w:cs="Calibri"/>
        </w:rPr>
      </w:pPr>
      <w:r w:rsidRPr="006D3C55">
        <w:t xml:space="preserve">In addition, as a follow-up to the positive assessment of the implemented audit and control milestones, </w:t>
      </w:r>
      <w:r w:rsidR="009C7732">
        <w:t>13</w:t>
      </w:r>
      <w:r w:rsidR="009C7732" w:rsidRPr="006D3C55">
        <w:t xml:space="preserve"> </w:t>
      </w:r>
      <w:r w:rsidRPr="006D3C55">
        <w:t xml:space="preserve">commitments were made by </w:t>
      </w:r>
      <w:r w:rsidR="009C7732">
        <w:t>11</w:t>
      </w:r>
      <w:r w:rsidR="009C7732" w:rsidRPr="006D3C55">
        <w:t xml:space="preserve"> </w:t>
      </w:r>
      <w:r w:rsidRPr="006D3C55">
        <w:t>Member States</w:t>
      </w:r>
      <w:r w:rsidRPr="006D3C55">
        <w:rPr>
          <w:rFonts w:eastAsia="Calibri" w:cs="Calibri"/>
        </w:rPr>
        <w:t xml:space="preserve"> (Belgium, Ireland, </w:t>
      </w:r>
      <w:r w:rsidR="00F642F0" w:rsidRPr="006D3C55">
        <w:rPr>
          <w:rFonts w:asciiTheme="minorHAnsi" w:eastAsia="Calibri" w:hAnsiTheme="minorHAnsi" w:cs="Calibri"/>
        </w:rPr>
        <w:t xml:space="preserve">Greece, </w:t>
      </w:r>
      <w:r w:rsidRPr="006D3C55">
        <w:rPr>
          <w:rFonts w:eastAsia="Calibri" w:cs="Calibri"/>
        </w:rPr>
        <w:t>Spain, France, Italy,</w:t>
      </w:r>
      <w:r w:rsidRPr="006D3C55">
        <w:rPr>
          <w:rFonts w:asciiTheme="minorHAnsi" w:eastAsia="Calibri" w:hAnsiTheme="minorHAnsi" w:cs="Calibri"/>
        </w:rPr>
        <w:t xml:space="preserve"> Lithuania, </w:t>
      </w:r>
      <w:r w:rsidRPr="006D3C55">
        <w:rPr>
          <w:rFonts w:eastAsia="Calibri" w:cs="Calibri"/>
        </w:rPr>
        <w:t xml:space="preserve">Luxembourg, Poland, Romania and Finland) to ensure </w:t>
      </w:r>
      <w:r w:rsidR="00D03187">
        <w:rPr>
          <w:rFonts w:eastAsia="Calibri" w:cs="Calibri"/>
        </w:rPr>
        <w:t xml:space="preserve">the </w:t>
      </w:r>
      <w:r w:rsidRPr="006D3C55">
        <w:t>continuous fulfilment</w:t>
      </w:r>
      <w:r w:rsidRPr="006D3C55">
        <w:rPr>
          <w:rFonts w:eastAsia="Calibri" w:cs="Calibri"/>
        </w:rPr>
        <w:t xml:space="preserve"> of the related audit and control milestones. </w:t>
      </w:r>
      <w:r w:rsidR="005644E9">
        <w:rPr>
          <w:rFonts w:asciiTheme="minorHAnsi" w:eastAsia="Calibri" w:hAnsiTheme="minorHAnsi" w:cs="Calibri"/>
        </w:rPr>
        <w:t>All</w:t>
      </w:r>
      <w:r w:rsidRPr="006D3C55">
        <w:rPr>
          <w:rFonts w:asciiTheme="minorHAnsi" w:eastAsia="Calibri" w:hAnsiTheme="minorHAnsi" w:cs="Calibri"/>
        </w:rPr>
        <w:t xml:space="preserve"> of the 13 commitments have been implemented</w:t>
      </w:r>
      <w:r w:rsidR="001F1555">
        <w:rPr>
          <w:rFonts w:ascii="Calibri" w:eastAsia="Calibri" w:hAnsi="Calibri" w:cs="Calibri"/>
        </w:rPr>
        <w:t xml:space="preserve"> </w:t>
      </w:r>
      <w:r w:rsidR="00AF22C9" w:rsidRPr="006D3C55">
        <w:rPr>
          <w:rFonts w:asciiTheme="minorHAnsi" w:eastAsia="Calibri" w:hAnsiTheme="minorHAnsi" w:cs="Calibri"/>
        </w:rPr>
        <w:t>(</w:t>
      </w:r>
      <w:r w:rsidR="00F77B2F">
        <w:rPr>
          <w:rFonts w:asciiTheme="minorHAnsi" w:eastAsia="Calibri" w:hAnsiTheme="minorHAnsi" w:cs="Calibri"/>
        </w:rPr>
        <w:t>five</w:t>
      </w:r>
      <w:r w:rsidR="00F77B2F" w:rsidRPr="006D3C55">
        <w:rPr>
          <w:rFonts w:asciiTheme="minorHAnsi" w:eastAsia="Calibri" w:hAnsiTheme="minorHAnsi" w:cs="Calibri"/>
        </w:rPr>
        <w:t xml:space="preserve"> </w:t>
      </w:r>
      <w:r w:rsidRPr="006D3C55">
        <w:rPr>
          <w:rFonts w:asciiTheme="minorHAnsi" w:eastAsia="Calibri" w:hAnsiTheme="minorHAnsi" w:cs="Calibri"/>
        </w:rPr>
        <w:t>in 2025</w:t>
      </w:r>
      <w:r w:rsidR="00AF22C9" w:rsidRPr="006D3C55">
        <w:rPr>
          <w:rFonts w:asciiTheme="minorHAnsi" w:eastAsia="Calibri" w:hAnsiTheme="minorHAnsi" w:cs="Calibri"/>
        </w:rPr>
        <w:t>)</w:t>
      </w:r>
      <w:r w:rsidRPr="006D3C55">
        <w:rPr>
          <w:rFonts w:asciiTheme="minorHAnsi" w:eastAsia="Calibri" w:hAnsiTheme="minorHAnsi" w:cs="Calibri"/>
        </w:rPr>
        <w:t>, based on the Commission’s preliminary assessment published alongside the respective payment requests.</w:t>
      </w:r>
    </w:p>
    <w:p w14:paraId="0ACA71EB" w14:textId="52E8FAB5" w:rsidR="001301C1" w:rsidRPr="006D3C55" w:rsidRDefault="001301C1" w:rsidP="001301C1">
      <w:pPr>
        <w:pStyle w:val="Heading5"/>
        <w:rPr>
          <w:rFonts w:ascii="EC Square Sans Pro" w:hAnsi="EC Square Sans Pro"/>
        </w:rPr>
      </w:pPr>
      <w:r w:rsidRPr="006D3C55">
        <w:rPr>
          <w:rFonts w:ascii="EC Square Sans Pro" w:hAnsi="EC Square Sans Pro"/>
        </w:rPr>
        <w:t xml:space="preserve">Analysis of management and audit summaries confirms the Commission’s </w:t>
      </w:r>
      <w:r w:rsidR="00632944">
        <w:rPr>
          <w:rFonts w:ascii="EC Square Sans Pro" w:hAnsi="EC Square Sans Pro"/>
        </w:rPr>
        <w:br/>
      </w:r>
      <w:r w:rsidRPr="006D3C55">
        <w:rPr>
          <w:rFonts w:ascii="EC Square Sans Pro" w:hAnsi="EC Square Sans Pro"/>
        </w:rPr>
        <w:t>initial assessment</w:t>
      </w:r>
    </w:p>
    <w:p w14:paraId="6980B254" w14:textId="2AC46816" w:rsidR="003F561B" w:rsidRPr="006D3C55" w:rsidRDefault="003F561B" w:rsidP="009819C9">
      <w:pPr>
        <w:keepLines/>
      </w:pPr>
      <w:r w:rsidRPr="006D3C55">
        <w:t xml:space="preserve">The Commission reviewed the management declarations and audit summaries accompanying the payment requests submitted in 2025. </w:t>
      </w:r>
      <w:r w:rsidRPr="006D3C55">
        <w:rPr>
          <w:rFonts w:asciiTheme="majorHAnsi" w:hAnsiTheme="majorHAnsi"/>
        </w:rPr>
        <w:t xml:space="preserve">For the payments </w:t>
      </w:r>
      <w:r w:rsidR="0063783D">
        <w:rPr>
          <w:rFonts w:asciiTheme="majorHAnsi" w:hAnsiTheme="majorHAnsi"/>
        </w:rPr>
        <w:t>for which</w:t>
      </w:r>
      <w:r w:rsidR="0063783D" w:rsidRPr="006D3C55">
        <w:rPr>
          <w:rFonts w:asciiTheme="majorHAnsi" w:hAnsiTheme="majorHAnsi"/>
        </w:rPr>
        <w:t xml:space="preserve"> </w:t>
      </w:r>
      <w:r w:rsidRPr="006D3C55">
        <w:rPr>
          <w:rFonts w:asciiTheme="majorHAnsi" w:hAnsiTheme="majorHAnsi"/>
        </w:rPr>
        <w:t xml:space="preserve">funding was suspended in 2025 due to milestones and targets not </w:t>
      </w:r>
      <w:r w:rsidR="00CA3CDC">
        <w:rPr>
          <w:rFonts w:asciiTheme="majorHAnsi" w:hAnsiTheme="majorHAnsi"/>
        </w:rPr>
        <w:t xml:space="preserve">being </w:t>
      </w:r>
      <w:r w:rsidRPr="006D3C55">
        <w:rPr>
          <w:rFonts w:asciiTheme="majorHAnsi" w:hAnsiTheme="majorHAnsi"/>
        </w:rPr>
        <w:t xml:space="preserve">satisfactorily fulfilled, the review of management declarations and summaries of audits had previously raised doubts about their fulfilment, which were then confirmed by the </w:t>
      </w:r>
      <w:r w:rsidR="00726FB8" w:rsidRPr="006D3C55">
        <w:rPr>
          <w:rFonts w:asciiTheme="majorHAnsi" w:hAnsiTheme="majorHAnsi"/>
        </w:rPr>
        <w:t xml:space="preserve">Commission’s </w:t>
      </w:r>
      <w:r w:rsidRPr="006D3C55">
        <w:rPr>
          <w:rFonts w:asciiTheme="majorHAnsi" w:hAnsiTheme="majorHAnsi"/>
        </w:rPr>
        <w:t>assessment</w:t>
      </w:r>
      <w:r w:rsidR="00CA3CDC" w:rsidRPr="006D3C55">
        <w:rPr>
          <w:rFonts w:cs="Calibri"/>
        </w:rPr>
        <w:t> </w:t>
      </w:r>
      <w:r w:rsidR="00CA3CDC" w:rsidRPr="006D3C55">
        <w:t>(</w:t>
      </w:r>
      <w:r w:rsidR="00CA3CDC" w:rsidRPr="00352191">
        <w:rPr>
          <w:rStyle w:val="FootnoteReference"/>
        </w:rPr>
        <w:footnoteReference w:id="62"/>
      </w:r>
      <w:r w:rsidR="00CA3CDC" w:rsidRPr="006D3C55">
        <w:t>)</w:t>
      </w:r>
      <w:r w:rsidRPr="006D3C55">
        <w:rPr>
          <w:rFonts w:asciiTheme="majorHAnsi" w:hAnsiTheme="majorHAnsi"/>
        </w:rPr>
        <w:t>.</w:t>
      </w:r>
    </w:p>
    <w:p w14:paraId="54B9DCA0" w14:textId="77777777" w:rsidR="001301C1" w:rsidRPr="006D3C55" w:rsidRDefault="001301C1" w:rsidP="009819C9">
      <w:pPr>
        <w:pStyle w:val="HNum-fromh2Heading4-111"/>
        <w:spacing w:before="600"/>
      </w:pPr>
      <w:r w:rsidRPr="00804886">
        <w:rPr>
          <w:rStyle w:val="Italic"/>
        </w:rPr>
        <w:t>Ex post</w:t>
      </w:r>
      <w:r w:rsidRPr="006D3C55">
        <w:t xml:space="preserve"> audits on milestones and targets confirm the satisfactory fulfilment of milestones and targets</w:t>
      </w:r>
    </w:p>
    <w:p w14:paraId="75EE9C45" w14:textId="7D462408" w:rsidR="001301C1" w:rsidRPr="006D3C55" w:rsidRDefault="001301C1" w:rsidP="00121FB2">
      <w:r w:rsidRPr="00485CAD">
        <w:rPr>
          <w:b/>
        </w:rPr>
        <w:t xml:space="preserve">In </w:t>
      </w:r>
      <w:r w:rsidR="001008EA" w:rsidRPr="00485CAD">
        <w:rPr>
          <w:b/>
        </w:rPr>
        <w:t>2025</w:t>
      </w:r>
      <w:r w:rsidRPr="00485CAD">
        <w:rPr>
          <w:b/>
        </w:rPr>
        <w:t xml:space="preserve">, the Commission carried out </w:t>
      </w:r>
      <w:r w:rsidR="001008EA" w:rsidRPr="00485CAD">
        <w:rPr>
          <w:b/>
        </w:rPr>
        <w:t>23</w:t>
      </w:r>
      <w:r w:rsidRPr="00485CAD">
        <w:rPr>
          <w:b/>
        </w:rPr>
        <w:t xml:space="preserve"> </w:t>
      </w:r>
      <w:r w:rsidR="005644E9" w:rsidRPr="00485CAD">
        <w:rPr>
          <w:rStyle w:val="Italic"/>
          <w:b/>
        </w:rPr>
        <w:t>ex post</w:t>
      </w:r>
      <w:r w:rsidR="005644E9" w:rsidRPr="00485CAD">
        <w:rPr>
          <w:rFonts w:eastAsia="EC Square Sans Pro" w:cs="EC Square Sans Pro"/>
          <w:b/>
          <w:color w:val="000000" w:themeColor="text1"/>
        </w:rPr>
        <w:t xml:space="preserve"> </w:t>
      </w:r>
      <w:r w:rsidRPr="00485CAD">
        <w:rPr>
          <w:b/>
        </w:rPr>
        <w:t>audits</w:t>
      </w:r>
      <w:r w:rsidRPr="00485CAD">
        <w:rPr>
          <w:rFonts w:ascii="Calibri" w:hAnsi="Calibri" w:cs="Calibri"/>
          <w:b/>
        </w:rPr>
        <w:t> </w:t>
      </w:r>
      <w:r w:rsidRPr="00485CAD">
        <w:rPr>
          <w:b/>
        </w:rPr>
        <w:t>(</w:t>
      </w:r>
      <w:r w:rsidRPr="00352191">
        <w:rPr>
          <w:rStyle w:val="FootnoteReference"/>
        </w:rPr>
        <w:footnoteReference w:id="63"/>
      </w:r>
      <w:r w:rsidRPr="00485CAD">
        <w:rPr>
          <w:b/>
        </w:rPr>
        <w:t>) on milestones and targets.</w:t>
      </w:r>
      <w:r w:rsidR="00F20BEC">
        <w:rPr>
          <w:b/>
          <w:bCs/>
        </w:rPr>
        <w:t xml:space="preserve"> </w:t>
      </w:r>
      <w:r w:rsidRPr="006D3C55">
        <w:t>These audits are risk bas</w:t>
      </w:r>
      <w:r w:rsidR="00F20BEC">
        <w:t>ed</w:t>
      </w:r>
      <w:r w:rsidRPr="006D3C55">
        <w:t xml:space="preserve">, usually covering 100% of high-risk milestones and targets, along with some medium-risk milestones and targets. The payment requests not audited included milestones and targets that were low risk, </w:t>
      </w:r>
      <w:r w:rsidR="000C3C2D">
        <w:t xml:space="preserve">or notably </w:t>
      </w:r>
      <w:r w:rsidRPr="006D3C55">
        <w:t xml:space="preserve">related to measures audited in previous years and/or had been audited by national audit authorities </w:t>
      </w:r>
      <w:r w:rsidR="00CE3A3A" w:rsidRPr="001008EA">
        <w:t>or the European Court of Auditors</w:t>
      </w:r>
      <w:r w:rsidR="00CE3A3A" w:rsidRPr="1E3FA53F">
        <w:rPr>
          <w:noProof/>
        </w:rPr>
        <w:t xml:space="preserve"> </w:t>
      </w:r>
      <w:r w:rsidRPr="006D3C55">
        <w:t>providing reasonable assurance to the Commission</w:t>
      </w:r>
      <w:r w:rsidR="001008EA" w:rsidRPr="00D704ED">
        <w:rPr>
          <w:bCs/>
        </w:rPr>
        <w:t>.</w:t>
      </w:r>
      <w:r w:rsidR="001008EA" w:rsidRPr="006D3C55">
        <w:rPr>
          <w:bCs/>
        </w:rPr>
        <w:t xml:space="preserve"> </w:t>
      </w:r>
      <w:r w:rsidR="00041F07" w:rsidRPr="00D704ED">
        <w:t>By</w:t>
      </w:r>
      <w:r w:rsidR="0058035D" w:rsidRPr="00D704ED">
        <w:t xml:space="preserve"> the</w:t>
      </w:r>
      <w:r w:rsidR="00041F07" w:rsidRPr="00D704ED">
        <w:t xml:space="preserve"> end of May 2026</w:t>
      </w:r>
      <w:r w:rsidRPr="00D704ED">
        <w:t>,</w:t>
      </w:r>
      <w:r w:rsidRPr="006D3C55">
        <w:t xml:space="preserve"> the Commission had audited </w:t>
      </w:r>
      <w:r w:rsidR="001008EA" w:rsidRPr="006D3C55">
        <w:rPr>
          <w:bCs/>
        </w:rPr>
        <w:t>80</w:t>
      </w:r>
      <w:r w:rsidRPr="006D3C55">
        <w:t xml:space="preserve"> milestones and targets in total, comprising </w:t>
      </w:r>
      <w:r w:rsidR="001008EA" w:rsidRPr="006D3C55">
        <w:rPr>
          <w:bCs/>
        </w:rPr>
        <w:t>69</w:t>
      </w:r>
      <w:r w:rsidRPr="006D3C55">
        <w:t xml:space="preserve"> high-risk milestones and targets </w:t>
      </w:r>
      <w:r w:rsidR="00814A9B">
        <w:t>and</w:t>
      </w:r>
      <w:r w:rsidRPr="006D3C55">
        <w:t xml:space="preserve"> </w:t>
      </w:r>
      <w:r w:rsidR="001008EA" w:rsidRPr="006D3C55">
        <w:rPr>
          <w:bCs/>
        </w:rPr>
        <w:t>11</w:t>
      </w:r>
      <w:r w:rsidRPr="006D3C55">
        <w:t xml:space="preserve"> medium-risk </w:t>
      </w:r>
      <w:r w:rsidR="0058035D" w:rsidRPr="006D3C55">
        <w:t>milestones</w:t>
      </w:r>
      <w:r w:rsidR="001008EA" w:rsidRPr="006D3C55">
        <w:rPr>
          <w:rFonts w:ascii="Calibri" w:hAnsi="Calibri" w:cs="Calibri"/>
          <w:bCs/>
        </w:rPr>
        <w:t> </w:t>
      </w:r>
      <w:r w:rsidR="001008EA" w:rsidRPr="006D3C55">
        <w:rPr>
          <w:bCs/>
        </w:rPr>
        <w:t>(</w:t>
      </w:r>
      <w:r w:rsidR="001008EA" w:rsidRPr="00352191">
        <w:rPr>
          <w:rStyle w:val="FootnoteReference"/>
        </w:rPr>
        <w:footnoteReference w:id="64"/>
      </w:r>
      <w:r w:rsidR="001008EA" w:rsidRPr="006D3C55">
        <w:rPr>
          <w:bCs/>
        </w:rPr>
        <w:t>).</w:t>
      </w:r>
    </w:p>
    <w:p w14:paraId="134871F3" w14:textId="4806E83C" w:rsidR="001008EA" w:rsidRPr="006D3C55" w:rsidRDefault="001008EA" w:rsidP="001008EA">
      <w:r w:rsidRPr="00485CAD">
        <w:rPr>
          <w:b/>
        </w:rPr>
        <w:t>Based on its audit work,</w:t>
      </w:r>
      <w:r w:rsidRPr="006D3C55">
        <w:t xml:space="preserve"> </w:t>
      </w:r>
      <w:r w:rsidRPr="00485CAD">
        <w:rPr>
          <w:b/>
        </w:rPr>
        <w:t xml:space="preserve">for the payments assessed in 2025 the Commission found no evidence that the audited milestones and targets were not satisfactorily </w:t>
      </w:r>
      <w:r w:rsidRPr="00485CAD" w:rsidDel="007C52F2">
        <w:rPr>
          <w:b/>
        </w:rPr>
        <w:t>fulfilled</w:t>
      </w:r>
      <w:r w:rsidR="001A3D99" w:rsidRPr="00485CAD">
        <w:rPr>
          <w:b/>
        </w:rPr>
        <w:t xml:space="preserve"> at the time of payment</w:t>
      </w:r>
      <w:r w:rsidRPr="00485CAD">
        <w:rPr>
          <w:b/>
        </w:rPr>
        <w:t>.</w:t>
      </w:r>
      <w:r w:rsidRPr="006D3C55">
        <w:t xml:space="preserve"> Any other discrepancies identified between the data declared and the data audited remained within the margin of 5% considered by the Commission for its assessment</w:t>
      </w:r>
      <w:r w:rsidRPr="006D3C55">
        <w:rPr>
          <w:rFonts w:ascii="Calibri" w:hAnsi="Calibri" w:cs="Calibri"/>
        </w:rPr>
        <w:t> </w:t>
      </w:r>
      <w:r w:rsidRPr="006D3C55">
        <w:t>(</w:t>
      </w:r>
      <w:r w:rsidRPr="00352191">
        <w:rPr>
          <w:rStyle w:val="FootnoteReference"/>
        </w:rPr>
        <w:footnoteReference w:id="65"/>
      </w:r>
      <w:r w:rsidRPr="006D3C55">
        <w:t xml:space="preserve">). In </w:t>
      </w:r>
      <w:r w:rsidR="00145371">
        <w:t xml:space="preserve">the </w:t>
      </w:r>
      <w:r w:rsidRPr="006D3C55">
        <w:t xml:space="preserve">case </w:t>
      </w:r>
      <w:r w:rsidR="00145371">
        <w:t xml:space="preserve">that </w:t>
      </w:r>
      <w:r w:rsidRPr="006D3C55">
        <w:t xml:space="preserve">the Commission considers </w:t>
      </w:r>
      <w:r w:rsidRPr="00804886">
        <w:rPr>
          <w:rStyle w:val="Italic"/>
        </w:rPr>
        <w:t>ex post</w:t>
      </w:r>
      <w:r w:rsidRPr="006D3C55">
        <w:t xml:space="preserve"> that a milestone or a target was not reached, it will initiate financial corrections to recover the undue part of the payment made. </w:t>
      </w:r>
      <w:r w:rsidRPr="00AF677B">
        <w:t>This has not happened for the payments made in 2025.</w:t>
      </w:r>
    </w:p>
    <w:p w14:paraId="101CD317" w14:textId="3EC62793" w:rsidR="001301C1" w:rsidRPr="006D3C55" w:rsidRDefault="001301C1" w:rsidP="009819C9">
      <w:pPr>
        <w:pStyle w:val="HNum-fromh2Heading4-111"/>
        <w:spacing w:before="600"/>
      </w:pPr>
      <w:r w:rsidRPr="006D3C55">
        <w:t xml:space="preserve">System audits on the protection of the financial interests </w:t>
      </w:r>
      <w:r w:rsidR="00632944">
        <w:br/>
      </w:r>
      <w:r w:rsidRPr="006D3C55">
        <w:t xml:space="preserve">of the EU confirm the adequacy of </w:t>
      </w:r>
      <w:r w:rsidR="00145371">
        <w:t xml:space="preserve">the </w:t>
      </w:r>
      <w:r w:rsidRPr="006D3C55">
        <w:t>systems in place</w:t>
      </w:r>
    </w:p>
    <w:p w14:paraId="7CCC40D9" w14:textId="236E188E" w:rsidR="00BA47FE" w:rsidRPr="006D3C55" w:rsidRDefault="00E641AE" w:rsidP="00BA47FE">
      <w:pPr>
        <w:rPr>
          <w:rFonts w:eastAsia="Calibri"/>
        </w:rPr>
      </w:pPr>
      <w:r w:rsidRPr="00485CAD">
        <w:rPr>
          <w:b/>
        </w:rPr>
        <w:t xml:space="preserve">Between </w:t>
      </w:r>
      <w:r w:rsidR="00BA47FE" w:rsidRPr="00485CAD">
        <w:rPr>
          <w:b/>
        </w:rPr>
        <w:t xml:space="preserve">the start of the </w:t>
      </w:r>
      <w:r w:rsidRPr="00485CAD">
        <w:rPr>
          <w:b/>
        </w:rPr>
        <w:t>f</w:t>
      </w:r>
      <w:r w:rsidR="00BA47FE" w:rsidRPr="00485CAD">
        <w:rPr>
          <w:b/>
        </w:rPr>
        <w:t>acility</w:t>
      </w:r>
      <w:r w:rsidR="00C15154" w:rsidRPr="00485CAD">
        <w:rPr>
          <w:b/>
        </w:rPr>
        <w:t xml:space="preserve"> and </w:t>
      </w:r>
      <w:r w:rsidRPr="00485CAD">
        <w:rPr>
          <w:b/>
        </w:rPr>
        <w:t xml:space="preserve">the </w:t>
      </w:r>
      <w:r w:rsidR="00C15154" w:rsidRPr="00485CAD">
        <w:rPr>
          <w:b/>
        </w:rPr>
        <w:t>end of May 2026</w:t>
      </w:r>
      <w:r w:rsidR="00BA47FE" w:rsidRPr="00485CAD">
        <w:rPr>
          <w:b/>
        </w:rPr>
        <w:t xml:space="preserve">, </w:t>
      </w:r>
      <w:r w:rsidR="004D5121" w:rsidRPr="00485CAD">
        <w:rPr>
          <w:b/>
        </w:rPr>
        <w:t>the Commission</w:t>
      </w:r>
      <w:r w:rsidR="00BA47FE" w:rsidRPr="00485CAD">
        <w:rPr>
          <w:b/>
        </w:rPr>
        <w:t xml:space="preserve"> carried out 3</w:t>
      </w:r>
      <w:r w:rsidR="006D762D" w:rsidRPr="00485CAD">
        <w:rPr>
          <w:b/>
        </w:rPr>
        <w:t>6</w:t>
      </w:r>
      <w:r w:rsidR="00BA47FE" w:rsidRPr="00485CAD">
        <w:rPr>
          <w:b/>
        </w:rPr>
        <w:t xml:space="preserve"> system audits on the </w:t>
      </w:r>
      <w:r w:rsidR="00D821E7" w:rsidRPr="00485CAD">
        <w:rPr>
          <w:b/>
        </w:rPr>
        <w:t>protection of the financial interests of the EU</w:t>
      </w:r>
      <w:r w:rsidR="000F28F1" w:rsidRPr="00485CAD">
        <w:rPr>
          <w:b/>
        </w:rPr>
        <w:t>,</w:t>
      </w:r>
      <w:r w:rsidR="00BA47FE" w:rsidRPr="00485CAD">
        <w:rPr>
          <w:b/>
        </w:rPr>
        <w:t xml:space="preserve"> covering all Member States at least once</w:t>
      </w:r>
      <w:r w:rsidR="00C15154" w:rsidRPr="00485CAD">
        <w:rPr>
          <w:b/>
        </w:rPr>
        <w:t>,</w:t>
      </w:r>
      <w:r w:rsidR="00BA47FE" w:rsidRPr="006D3C55">
        <w:t xml:space="preserve"> </w:t>
      </w:r>
      <w:r w:rsidR="000F28F1">
        <w:t>including</w:t>
      </w:r>
      <w:r w:rsidR="00D821E7" w:rsidRPr="006D3C55">
        <w:t xml:space="preserve"> </w:t>
      </w:r>
      <w:r w:rsidR="005F5340">
        <w:t>one system audit</w:t>
      </w:r>
      <w:r w:rsidR="00D821E7" w:rsidRPr="006D3C55">
        <w:t xml:space="preserve"> in</w:t>
      </w:r>
      <w:r w:rsidR="00BA47FE" w:rsidRPr="006D3C55">
        <w:t xml:space="preserve"> 2025, in </w:t>
      </w:r>
      <w:r w:rsidR="002E2239">
        <w:t>five</w:t>
      </w:r>
      <w:r w:rsidR="00EF2E2F">
        <w:t xml:space="preserve"> </w:t>
      </w:r>
      <w:r w:rsidR="00BA47FE" w:rsidRPr="006D3C55">
        <w:t xml:space="preserve">Member States: </w:t>
      </w:r>
      <w:r w:rsidR="00CA6959" w:rsidRPr="006D3C55">
        <w:t>Ireland, France, Poland, Finland and</w:t>
      </w:r>
      <w:r w:rsidR="002E2239">
        <w:t xml:space="preserve"> Sweden</w:t>
      </w:r>
      <w:r w:rsidR="00BA47FE" w:rsidRPr="006D3C55">
        <w:rPr>
          <w:rFonts w:ascii="Calibri" w:hAnsi="Calibri" w:cs="Calibri"/>
        </w:rPr>
        <w:t> </w:t>
      </w:r>
      <w:r w:rsidR="00BA47FE" w:rsidRPr="006D3C55">
        <w:t>(</w:t>
      </w:r>
      <w:r w:rsidR="00BA47FE" w:rsidRPr="00352191">
        <w:rPr>
          <w:rStyle w:val="FootnoteReference"/>
        </w:rPr>
        <w:footnoteReference w:id="66"/>
      </w:r>
      <w:r w:rsidR="00BA47FE" w:rsidRPr="006D3C55">
        <w:t xml:space="preserve">).In the context of these system audits and other audit work, the Commission verified </w:t>
      </w:r>
      <w:r w:rsidR="000B03AE">
        <w:t xml:space="preserve">in particular </w:t>
      </w:r>
      <w:r w:rsidR="00BA47FE" w:rsidRPr="006D3C55">
        <w:t>whether the Member States regularly check compliance with State</w:t>
      </w:r>
      <w:r w:rsidR="000B03AE">
        <w:t>-</w:t>
      </w:r>
      <w:r w:rsidR="00BA47FE" w:rsidRPr="006D3C55">
        <w:t xml:space="preserve">aid and public procurement rules, including the effectiveness of such checks. </w:t>
      </w:r>
      <w:r w:rsidR="00BA47FE" w:rsidRPr="006D3C55">
        <w:rPr>
          <w:rFonts w:eastAsia="Calibri" w:cs="Calibri"/>
        </w:rPr>
        <w:t xml:space="preserve">System audits also covered procedures to avoid </w:t>
      </w:r>
      <w:r w:rsidR="00BA47FE" w:rsidRPr="006D3C55">
        <w:rPr>
          <w:rFonts w:eastAsia="Calibri" w:cs="Calibri"/>
          <w:bCs/>
        </w:rPr>
        <w:t>double funding</w:t>
      </w:r>
      <w:r w:rsidR="00BA47FE" w:rsidRPr="006D3C55">
        <w:rPr>
          <w:rFonts w:eastAsia="Calibri" w:cs="Calibri"/>
        </w:rPr>
        <w:t xml:space="preserve"> between the Recovery and Resilience Facility and other EU programmes.</w:t>
      </w:r>
    </w:p>
    <w:p w14:paraId="40700492" w14:textId="583D812E" w:rsidR="00BA47FE" w:rsidRPr="006D3C55" w:rsidRDefault="00BA47FE" w:rsidP="00155E17">
      <w:pPr>
        <w:rPr>
          <w:bCs/>
        </w:rPr>
      </w:pPr>
      <w:r w:rsidRPr="00485CAD">
        <w:rPr>
          <w:b/>
        </w:rPr>
        <w:t xml:space="preserve">Based on </w:t>
      </w:r>
      <w:r w:rsidR="004C56EC" w:rsidRPr="00485CAD">
        <w:rPr>
          <w:b/>
        </w:rPr>
        <w:t xml:space="preserve">the </w:t>
      </w:r>
      <w:r w:rsidRPr="00485CAD">
        <w:rPr>
          <w:b/>
        </w:rPr>
        <w:t xml:space="preserve">ongoing audit work, an overall improvement in the implementation of control systems </w:t>
      </w:r>
      <w:r w:rsidR="004C56EC" w:rsidRPr="00485CAD">
        <w:rPr>
          <w:b/>
        </w:rPr>
        <w:t xml:space="preserve">has been observed </w:t>
      </w:r>
      <w:r w:rsidRPr="00485CAD">
        <w:rPr>
          <w:b/>
        </w:rPr>
        <w:t xml:space="preserve">across the audited implementing and coordinating bodies. </w:t>
      </w:r>
      <w:r w:rsidRPr="006D3C55">
        <w:rPr>
          <w:bCs/>
        </w:rPr>
        <w:t>Member States are taking corrective action in response to audit findings</w:t>
      </w:r>
      <w:r w:rsidR="00DD7890">
        <w:rPr>
          <w:bCs/>
        </w:rPr>
        <w:t>,</w:t>
      </w:r>
      <w:r w:rsidRPr="006D3C55">
        <w:rPr>
          <w:bCs/>
        </w:rPr>
        <w:t xml:space="preserve"> and audit and control milestones have provided an additional incentive for their timely implementation. </w:t>
      </w:r>
      <w:r w:rsidR="0090277F" w:rsidRPr="006D3C55">
        <w:t>T</w:t>
      </w:r>
      <w:r w:rsidRPr="006D3C55">
        <w:t>he</w:t>
      </w:r>
      <w:r w:rsidRPr="006D3C55">
        <w:rPr>
          <w:bCs/>
        </w:rPr>
        <w:t xml:space="preserve"> timely implementation of outstanding recommendations is key, in particular given that the </w:t>
      </w:r>
      <w:r w:rsidR="00DD0D13" w:rsidRPr="006D3C55">
        <w:rPr>
          <w:rFonts w:eastAsiaTheme="majorEastAsia"/>
        </w:rPr>
        <w:t xml:space="preserve">Recovery and Resilience </w:t>
      </w:r>
      <w:r w:rsidR="0090277F" w:rsidRPr="006D3C55">
        <w:t>Facility</w:t>
      </w:r>
      <w:r w:rsidRPr="006D3C55">
        <w:rPr>
          <w:bCs/>
        </w:rPr>
        <w:t xml:space="preserve"> is approaching its final phase. Therefore, </w:t>
      </w:r>
      <w:r w:rsidR="0090277F" w:rsidRPr="006D3C55">
        <w:t>the Commission</w:t>
      </w:r>
      <w:r w:rsidRPr="006D3C55">
        <w:rPr>
          <w:bCs/>
        </w:rPr>
        <w:t xml:space="preserve"> continues to monitor the implementation of these recommendations</w:t>
      </w:r>
      <w:r w:rsidR="00D73803" w:rsidRPr="00D73803">
        <w:rPr>
          <w:bCs/>
        </w:rPr>
        <w:t xml:space="preserve"> </w:t>
      </w:r>
      <w:r w:rsidR="00D73803" w:rsidRPr="006D3C55">
        <w:rPr>
          <w:bCs/>
        </w:rPr>
        <w:t>closely and regularly</w:t>
      </w:r>
      <w:r w:rsidRPr="006D3C55">
        <w:rPr>
          <w:bCs/>
        </w:rPr>
        <w:t>, in close collaboration with Member States and in line with agreed deadlines.</w:t>
      </w:r>
    </w:p>
    <w:p w14:paraId="246C2DE8" w14:textId="160171CC" w:rsidR="00BA47FE" w:rsidRPr="006D3C55" w:rsidRDefault="00BA47FE" w:rsidP="00F56398">
      <w:pPr>
        <w:rPr>
          <w:bCs/>
        </w:rPr>
      </w:pPr>
      <w:r w:rsidRPr="00485CAD">
        <w:rPr>
          <w:b/>
        </w:rPr>
        <w:t xml:space="preserve">Several good practices have been observed among audited bodies. As acknowledged by the </w:t>
      </w:r>
      <w:r w:rsidR="008F576A" w:rsidRPr="00485CAD">
        <w:rPr>
          <w:b/>
        </w:rPr>
        <w:t>Court of Auditors</w:t>
      </w:r>
      <w:r w:rsidR="008F576A" w:rsidRPr="00485CAD">
        <w:rPr>
          <w:rFonts w:cs="Calibri"/>
          <w:b/>
        </w:rPr>
        <w:t> </w:t>
      </w:r>
      <w:r w:rsidR="005F318E" w:rsidRPr="00485CAD">
        <w:rPr>
          <w:b/>
        </w:rPr>
        <w:t>(</w:t>
      </w:r>
      <w:r w:rsidR="005F318E" w:rsidRPr="00352191">
        <w:rPr>
          <w:rStyle w:val="FootnoteReference"/>
        </w:rPr>
        <w:footnoteReference w:id="67"/>
      </w:r>
      <w:r w:rsidR="005F318E" w:rsidRPr="00485CAD">
        <w:rPr>
          <w:b/>
        </w:rPr>
        <w:t>)</w:t>
      </w:r>
      <w:r w:rsidR="00A1042B" w:rsidRPr="00485CAD">
        <w:rPr>
          <w:b/>
        </w:rPr>
        <w:t>,</w:t>
      </w:r>
      <w:r w:rsidR="00F56398" w:rsidRPr="00485CAD">
        <w:rPr>
          <w:b/>
        </w:rPr>
        <w:t xml:space="preserve"> </w:t>
      </w:r>
      <w:r w:rsidRPr="00485CAD">
        <w:rPr>
          <w:b/>
        </w:rPr>
        <w:t xml:space="preserve">the Commission’s audits are effective tools, </w:t>
      </w:r>
      <w:r w:rsidR="00A1042B">
        <w:t>which</w:t>
      </w:r>
      <w:r w:rsidR="00A1042B" w:rsidRPr="006D3C55">
        <w:t xml:space="preserve"> </w:t>
      </w:r>
      <w:r w:rsidR="004C5269" w:rsidRPr="006D3C55">
        <w:t>have</w:t>
      </w:r>
      <w:r w:rsidR="005F318E" w:rsidRPr="006D3C55">
        <w:t xml:space="preserve"> </w:t>
      </w:r>
      <w:r w:rsidRPr="006D3C55">
        <w:rPr>
          <w:bCs/>
        </w:rPr>
        <w:t xml:space="preserve">led </w:t>
      </w:r>
      <w:r w:rsidR="005F318E" w:rsidRPr="006D3C55">
        <w:t xml:space="preserve">for instance </w:t>
      </w:r>
      <w:r w:rsidRPr="006D3C55">
        <w:rPr>
          <w:bCs/>
        </w:rPr>
        <w:t>to improvements in the anti-fraud systems of the Member States</w:t>
      </w:r>
      <w:r w:rsidR="005F318E" w:rsidRPr="006D3C55">
        <w:t xml:space="preserve"> by</w:t>
      </w:r>
      <w:r w:rsidRPr="006D3C55">
        <w:rPr>
          <w:bCs/>
        </w:rPr>
        <w:t xml:space="preserve"> </w:t>
      </w:r>
      <w:r w:rsidRPr="006D3C55">
        <w:t>introduc</w:t>
      </w:r>
      <w:r w:rsidR="005F318E" w:rsidRPr="006D3C55">
        <w:t>ing</w:t>
      </w:r>
      <w:r w:rsidRPr="006D3C55">
        <w:rPr>
          <w:bCs/>
        </w:rPr>
        <w:t xml:space="preserve"> procedures to detect potential fraud, corruption, conflicts of interest and double funding</w:t>
      </w:r>
      <w:r w:rsidR="00941F18">
        <w:rPr>
          <w:rFonts w:ascii="Calibri" w:hAnsi="Calibri" w:cs="Calibri"/>
          <w:bCs/>
        </w:rPr>
        <w:t> </w:t>
      </w:r>
      <w:r w:rsidR="00941F18">
        <w:rPr>
          <w:bCs/>
        </w:rPr>
        <w:t>–</w:t>
      </w:r>
      <w:r w:rsidRPr="006D3C55">
        <w:rPr>
          <w:bCs/>
        </w:rPr>
        <w:t xml:space="preserve"> often supported by data</w:t>
      </w:r>
      <w:r w:rsidR="00941F18">
        <w:rPr>
          <w:bCs/>
        </w:rPr>
        <w:t>-</w:t>
      </w:r>
      <w:r w:rsidRPr="006D3C55">
        <w:rPr>
          <w:bCs/>
        </w:rPr>
        <w:t xml:space="preserve">mining tools such as </w:t>
      </w:r>
      <w:r w:rsidR="00E21ED7" w:rsidRPr="006D3C55">
        <w:rPr>
          <w:bCs/>
        </w:rPr>
        <w:t>A</w:t>
      </w:r>
      <w:r w:rsidR="00E21ED7">
        <w:rPr>
          <w:bCs/>
        </w:rPr>
        <w:t>rachne</w:t>
      </w:r>
      <w:r w:rsidR="00E21ED7" w:rsidRPr="006D3C55">
        <w:t xml:space="preserve"> </w:t>
      </w:r>
      <w:r w:rsidR="005F318E" w:rsidRPr="006D3C55">
        <w:t>(see Annex</w:t>
      </w:r>
      <w:r w:rsidR="00C716EC">
        <w:rPr>
          <w:rFonts w:ascii="Calibri" w:hAnsi="Calibri" w:cs="Calibri"/>
        </w:rPr>
        <w:t> </w:t>
      </w:r>
      <w:r w:rsidR="005F318E" w:rsidRPr="006D3C55">
        <w:t>2</w:t>
      </w:r>
      <w:r w:rsidR="00C716EC">
        <w:t>,</w:t>
      </w:r>
      <w:r w:rsidR="005F318E" w:rsidRPr="006D3C55">
        <w:t xml:space="preserve"> </w:t>
      </w:r>
      <w:r w:rsidR="00553E75">
        <w:t>S</w:t>
      </w:r>
      <w:r w:rsidR="005F318E" w:rsidRPr="00553E75">
        <w:t>ection</w:t>
      </w:r>
      <w:r w:rsidR="00553E75">
        <w:rPr>
          <w:rFonts w:ascii="Calibri" w:hAnsi="Calibri" w:cs="Calibri"/>
        </w:rPr>
        <w:t> </w:t>
      </w:r>
      <w:r w:rsidR="00553E75" w:rsidRPr="006216F1">
        <w:t>1.6</w:t>
      </w:r>
      <w:r w:rsidR="009D4B16" w:rsidRPr="006216F1">
        <w:t>.2</w:t>
      </w:r>
      <w:r w:rsidR="002642DF" w:rsidRPr="009E6566">
        <w:t>)</w:t>
      </w:r>
      <w:r w:rsidRPr="009E6566">
        <w:t>.</w:t>
      </w:r>
      <w:r w:rsidRPr="006D3C55">
        <w:rPr>
          <w:bCs/>
        </w:rPr>
        <w:t xml:space="preserve"> Other positive examples include staff training programmes designed to raise awareness of fraud and corruption risks, </w:t>
      </w:r>
      <w:r w:rsidR="005E13B8">
        <w:rPr>
          <w:bCs/>
        </w:rPr>
        <w:t>and</w:t>
      </w:r>
      <w:r w:rsidRPr="006D3C55">
        <w:rPr>
          <w:bCs/>
        </w:rPr>
        <w:t xml:space="preserve"> the use of the fraud risk assessment templates. Notable progress has also been made regarding </w:t>
      </w:r>
      <w:r w:rsidRPr="007823AF">
        <w:t>data collection</w:t>
      </w:r>
      <w:r w:rsidRPr="006D3C55">
        <w:t>.</w:t>
      </w:r>
    </w:p>
    <w:p w14:paraId="6529E117" w14:textId="792ABC68" w:rsidR="00BA47FE" w:rsidRPr="006D3C55" w:rsidRDefault="00BA47FE" w:rsidP="001C1747">
      <w:pPr>
        <w:rPr>
          <w:bCs/>
        </w:rPr>
      </w:pPr>
      <w:r w:rsidRPr="006D3C55">
        <w:rPr>
          <w:bCs/>
        </w:rPr>
        <w:t xml:space="preserve">Nonetheless, areas for improvement remain. These include improving controls to prevent conflicts of interest, reinforcing procedures to verify the absence of double funding, ensuring compliance with publicity obligations, further increasing participation in fraud awareness training and </w:t>
      </w:r>
      <w:r w:rsidR="00BB0677">
        <w:rPr>
          <w:bCs/>
        </w:rPr>
        <w:t>ensuring that suspected fraud cases are still followed</w:t>
      </w:r>
      <w:r w:rsidR="00E22BED">
        <w:rPr>
          <w:bCs/>
        </w:rPr>
        <w:t xml:space="preserve"> </w:t>
      </w:r>
      <w:r w:rsidR="00BB0677">
        <w:rPr>
          <w:bCs/>
        </w:rPr>
        <w:t>up and reported to the Commission in line with the specific guidelines</w:t>
      </w:r>
      <w:r w:rsidR="00426FD8" w:rsidRPr="00426FD8">
        <w:rPr>
          <w:rFonts w:cs="Calibri"/>
          <w:bCs/>
        </w:rPr>
        <w:t> </w:t>
      </w:r>
      <w:r w:rsidR="00426FD8" w:rsidRPr="00426FD8">
        <w:rPr>
          <w:bCs/>
        </w:rPr>
        <w:t>(</w:t>
      </w:r>
      <w:r w:rsidR="00426FD8" w:rsidRPr="00352191">
        <w:rPr>
          <w:rStyle w:val="FootnoteReference"/>
        </w:rPr>
        <w:footnoteReference w:id="68"/>
      </w:r>
      <w:r w:rsidR="00426FD8">
        <w:rPr>
          <w:bCs/>
        </w:rPr>
        <w:t>)</w:t>
      </w:r>
      <w:r w:rsidR="00BB0677">
        <w:rPr>
          <w:bCs/>
        </w:rPr>
        <w:t xml:space="preserve"> adopted in April 2026. In 2025, </w:t>
      </w:r>
      <w:r w:rsidR="00BB0677" w:rsidRPr="00054347">
        <w:t>OLAF investigated 18 cases linked to the Facility</w:t>
      </w:r>
      <w:r w:rsidRPr="00054347">
        <w:t>.</w:t>
      </w:r>
    </w:p>
    <w:p w14:paraId="12AD17F5" w14:textId="2E835C5B" w:rsidR="00BA47FE" w:rsidRPr="006D3C55" w:rsidRDefault="00BA47FE" w:rsidP="00863B5F">
      <w:pPr>
        <w:rPr>
          <w:rFonts w:eastAsia="Calibri" w:cs="Calibri"/>
        </w:rPr>
      </w:pPr>
      <w:r w:rsidRPr="006D3C55">
        <w:rPr>
          <w:rFonts w:eastAsia="Calibri" w:cs="Calibri"/>
        </w:rPr>
        <w:t xml:space="preserve">The Commission </w:t>
      </w:r>
      <w:r w:rsidRPr="004B4A7C">
        <w:rPr>
          <w:rFonts w:eastAsia="Calibri" w:cs="Calibri"/>
        </w:rPr>
        <w:t>can give reasonable assurance</w:t>
      </w:r>
      <w:r w:rsidRPr="006D3C55">
        <w:rPr>
          <w:rFonts w:eastAsia="Calibri" w:cs="Calibri"/>
        </w:rPr>
        <w:t xml:space="preserve"> regarding the protection of the EU’s financial interests from fraud, corruption and conflicts of interest</w:t>
      </w:r>
      <w:r w:rsidR="00A92259">
        <w:rPr>
          <w:rFonts w:eastAsia="Calibri" w:cs="Calibri"/>
        </w:rPr>
        <w:t>,</w:t>
      </w:r>
      <w:r w:rsidRPr="006D3C55">
        <w:rPr>
          <w:rFonts w:eastAsia="Calibri" w:cs="Calibri"/>
        </w:rPr>
        <w:t xml:space="preserve"> based on the outcomes of the system audit work carried out in 2025 and considering the results of the analysis of the management declarations and audit summaries mentioned above, </w:t>
      </w:r>
      <w:r w:rsidRPr="004B4A7C">
        <w:rPr>
          <w:rFonts w:eastAsia="Calibri" w:cs="Calibri"/>
        </w:rPr>
        <w:t>with the exception of one Member State</w:t>
      </w:r>
      <w:r w:rsidRPr="004B4A7C">
        <w:rPr>
          <w:rFonts w:ascii="Calibri" w:eastAsia="Calibri" w:hAnsi="Calibri" w:cs="Calibri"/>
        </w:rPr>
        <w:t> </w:t>
      </w:r>
      <w:r w:rsidRPr="004B4A7C">
        <w:rPr>
          <w:rFonts w:eastAsia="Calibri" w:cs="Calibri"/>
        </w:rPr>
        <w:t>(</w:t>
      </w:r>
      <w:r w:rsidRPr="00352191">
        <w:rPr>
          <w:rStyle w:val="FootnoteReference"/>
        </w:rPr>
        <w:footnoteReference w:id="69"/>
      </w:r>
      <w:r w:rsidRPr="004B4A7C">
        <w:rPr>
          <w:rFonts w:eastAsia="Calibri" w:cs="Calibri"/>
        </w:rPr>
        <w:t>).</w:t>
      </w:r>
    </w:p>
    <w:p w14:paraId="4A9DFF06" w14:textId="6877AB47" w:rsidR="00EB400E" w:rsidRPr="001B4578" w:rsidRDefault="00EB400E" w:rsidP="00155E17">
      <w:pPr>
        <w:spacing w:after="0"/>
        <w:jc w:val="both"/>
        <w:rPr>
          <w:rFonts w:eastAsia="EC Square Sans Pro" w:cs="EC Square Sans Pro"/>
        </w:rPr>
      </w:pPr>
      <w:r w:rsidRPr="2E6C1324">
        <w:rPr>
          <w:noProof/>
        </w:rPr>
        <w:t xml:space="preserve">For 2026, given that the </w:t>
      </w:r>
      <w:r w:rsidRPr="2E6C1324">
        <w:rPr>
          <w:rFonts w:eastAsiaTheme="majorEastAsia"/>
        </w:rPr>
        <w:t>Recovery and Resilience Facility</w:t>
      </w:r>
      <w:r w:rsidRPr="2E6C1324">
        <w:rPr>
          <w:noProof/>
        </w:rPr>
        <w:t xml:space="preserve"> will enter its final phase of implementation, the focus is shifted towards more targeted selection </w:t>
      </w:r>
      <w:r w:rsidR="00CB1CB3">
        <w:rPr>
          <w:noProof/>
        </w:rPr>
        <w:t xml:space="preserve">of </w:t>
      </w:r>
      <w:r w:rsidR="00CB1CB3" w:rsidRPr="006D3C55">
        <w:t xml:space="preserve">protection of the financial interests of the EU </w:t>
      </w:r>
      <w:r w:rsidR="00CB1CB3">
        <w:t>audit</w:t>
      </w:r>
      <w:r w:rsidR="00770BB4">
        <w:t xml:space="preserve">s </w:t>
      </w:r>
      <w:r w:rsidRPr="2E6C1324">
        <w:rPr>
          <w:noProof/>
        </w:rPr>
        <w:t xml:space="preserve">and combining </w:t>
      </w:r>
      <w:r w:rsidR="00770BB4">
        <w:rPr>
          <w:noProof/>
        </w:rPr>
        <w:t xml:space="preserve">these </w:t>
      </w:r>
      <w:r w:rsidRPr="2E6C1324">
        <w:rPr>
          <w:noProof/>
        </w:rPr>
        <w:t>with other types of audits for an efficient use of resources.</w:t>
      </w:r>
      <w:r w:rsidRPr="2E6C1324">
        <w:rPr>
          <w:rFonts w:eastAsia="EC Square Sans Pro" w:cs="EC Square Sans Pro"/>
          <w:color w:val="000000" w:themeColor="text1"/>
        </w:rPr>
        <w:t xml:space="preserve"> </w:t>
      </w:r>
      <w:r w:rsidR="00C37615">
        <w:rPr>
          <w:rFonts w:asciiTheme="minorHAnsi" w:hAnsiTheme="minorHAnsi"/>
        </w:rPr>
        <w:t>The</w:t>
      </w:r>
      <w:r w:rsidRPr="005E7674">
        <w:rPr>
          <w:rFonts w:asciiTheme="minorHAnsi" w:hAnsiTheme="minorHAnsi"/>
        </w:rPr>
        <w:t xml:space="preserve"> risk assessment p</w:t>
      </w:r>
      <w:r w:rsidR="003155CC">
        <w:rPr>
          <w:rFonts w:asciiTheme="minorHAnsi" w:hAnsiTheme="minorHAnsi"/>
        </w:rPr>
        <w:t>erformed</w:t>
      </w:r>
      <w:r w:rsidRPr="005E7674">
        <w:rPr>
          <w:rFonts w:asciiTheme="minorHAnsi" w:hAnsiTheme="minorHAnsi"/>
        </w:rPr>
        <w:t xml:space="preserve"> in the first quarter of 2026 led to </w:t>
      </w:r>
      <w:r w:rsidR="004751C4">
        <w:rPr>
          <w:rFonts w:asciiTheme="minorHAnsi" w:hAnsiTheme="minorHAnsi"/>
        </w:rPr>
        <w:t>plans</w:t>
      </w:r>
      <w:r w:rsidRPr="005E7674">
        <w:rPr>
          <w:rFonts w:asciiTheme="minorHAnsi" w:hAnsiTheme="minorHAnsi"/>
        </w:rPr>
        <w:t xml:space="preserve"> of conducting additional </w:t>
      </w:r>
      <w:r w:rsidR="003155CC" w:rsidRPr="006D3C55">
        <w:t>protection of the financial interests of the EU</w:t>
      </w:r>
      <w:r w:rsidRPr="005E7674">
        <w:rPr>
          <w:rFonts w:asciiTheme="minorHAnsi" w:hAnsiTheme="minorHAnsi"/>
        </w:rPr>
        <w:t xml:space="preserve"> audit work in four Member States (Czechia, Italy, Netherlands</w:t>
      </w:r>
      <w:r w:rsidR="00811B9B" w:rsidRPr="005E7674">
        <w:rPr>
          <w:rFonts w:asciiTheme="minorHAnsi" w:hAnsiTheme="minorHAnsi"/>
        </w:rPr>
        <w:t xml:space="preserve"> </w:t>
      </w:r>
      <w:r w:rsidR="00825F1D">
        <w:rPr>
          <w:rFonts w:asciiTheme="minorHAnsi" w:hAnsiTheme="minorHAnsi"/>
        </w:rPr>
        <w:t xml:space="preserve">and </w:t>
      </w:r>
      <w:r w:rsidRPr="005E7674">
        <w:rPr>
          <w:rFonts w:asciiTheme="minorHAnsi" w:hAnsiTheme="minorHAnsi"/>
        </w:rPr>
        <w:t>Sweden).</w:t>
      </w:r>
    </w:p>
    <w:p w14:paraId="2E321CC3" w14:textId="43AB561E" w:rsidR="001301C1" w:rsidRPr="006D3C55" w:rsidRDefault="001301C1" w:rsidP="00186C87">
      <w:pPr>
        <w:pStyle w:val="HNum-fromh2Heading4-111"/>
      </w:pPr>
      <w:r w:rsidRPr="006D3C55">
        <w:t>Controls on Member State</w:t>
      </w:r>
      <w:r w:rsidR="001D0FF1">
        <w:t>s’</w:t>
      </w:r>
      <w:r w:rsidRPr="006D3C55">
        <w:t xml:space="preserve"> obligation to ensure compliance with public procurement and </w:t>
      </w:r>
      <w:r w:rsidR="00935433">
        <w:t>S</w:t>
      </w:r>
      <w:r w:rsidRPr="006D3C55">
        <w:t>tate</w:t>
      </w:r>
      <w:r w:rsidR="00935433">
        <w:t>-</w:t>
      </w:r>
      <w:r w:rsidRPr="006D3C55">
        <w:t>aid rules</w:t>
      </w:r>
    </w:p>
    <w:p w14:paraId="66FD3D54" w14:textId="4C1D74F9" w:rsidR="00437A45" w:rsidRPr="009819C9" w:rsidRDefault="00BE0729" w:rsidP="009819C9">
      <w:pPr>
        <w:keepLines/>
        <w:rPr>
          <w:spacing w:val="-1"/>
        </w:rPr>
      </w:pPr>
      <w:r w:rsidRPr="009819C9">
        <w:rPr>
          <w:rStyle w:val="Bold"/>
          <w:spacing w:val="-1"/>
        </w:rPr>
        <w:t xml:space="preserve">Since 2023, the </w:t>
      </w:r>
      <w:r w:rsidR="00C716EC" w:rsidRPr="009819C9">
        <w:rPr>
          <w:rStyle w:val="Bold"/>
          <w:spacing w:val="-1"/>
        </w:rPr>
        <w:t>Commission</w:t>
      </w:r>
      <w:r w:rsidRPr="009819C9">
        <w:rPr>
          <w:rStyle w:val="Bold"/>
          <w:spacing w:val="-1"/>
        </w:rPr>
        <w:t xml:space="preserve"> has audited all Member States at least once </w:t>
      </w:r>
      <w:r w:rsidR="00021585" w:rsidRPr="009819C9">
        <w:rPr>
          <w:rStyle w:val="Bold"/>
          <w:spacing w:val="-1"/>
        </w:rPr>
        <w:t xml:space="preserve">regarding </w:t>
      </w:r>
      <w:r w:rsidR="00D263CA" w:rsidRPr="009819C9">
        <w:rPr>
          <w:rStyle w:val="Bold"/>
          <w:spacing w:val="-1"/>
        </w:rPr>
        <w:t xml:space="preserve">their obligation </w:t>
      </w:r>
      <w:r w:rsidR="004F77CD" w:rsidRPr="009819C9">
        <w:rPr>
          <w:rStyle w:val="Bold"/>
          <w:spacing w:val="-1"/>
        </w:rPr>
        <w:t xml:space="preserve">to ensure compliance with public procurement and </w:t>
      </w:r>
      <w:r w:rsidR="00935433" w:rsidRPr="009819C9">
        <w:rPr>
          <w:rStyle w:val="Bold"/>
          <w:spacing w:val="-1"/>
        </w:rPr>
        <w:t>S</w:t>
      </w:r>
      <w:r w:rsidR="004F77CD" w:rsidRPr="009819C9">
        <w:rPr>
          <w:rStyle w:val="Bold"/>
          <w:spacing w:val="-1"/>
        </w:rPr>
        <w:t>tate</w:t>
      </w:r>
      <w:r w:rsidR="00935433" w:rsidRPr="009819C9">
        <w:rPr>
          <w:rStyle w:val="Bold"/>
          <w:spacing w:val="-1"/>
        </w:rPr>
        <w:t>-</w:t>
      </w:r>
      <w:r w:rsidR="004F77CD" w:rsidRPr="009819C9">
        <w:rPr>
          <w:rStyle w:val="Bold"/>
          <w:spacing w:val="-1"/>
        </w:rPr>
        <w:t>aid rules</w:t>
      </w:r>
      <w:r w:rsidRPr="009819C9">
        <w:rPr>
          <w:rStyle w:val="Bold"/>
          <w:spacing w:val="-1"/>
        </w:rPr>
        <w:t>,</w:t>
      </w:r>
      <w:r w:rsidRPr="009819C9">
        <w:rPr>
          <w:spacing w:val="-1"/>
        </w:rPr>
        <w:t xml:space="preserve"> under </w:t>
      </w:r>
      <w:r w:rsidR="00021585" w:rsidRPr="009819C9">
        <w:rPr>
          <w:spacing w:val="-1"/>
        </w:rPr>
        <w:t xml:space="preserve">either </w:t>
      </w:r>
      <w:r w:rsidRPr="009819C9">
        <w:rPr>
          <w:spacing w:val="-1"/>
        </w:rPr>
        <w:t xml:space="preserve">system audits, compliance audits or </w:t>
      </w:r>
      <w:r w:rsidRPr="009819C9">
        <w:rPr>
          <w:rStyle w:val="Italic"/>
          <w:spacing w:val="-1"/>
        </w:rPr>
        <w:t>ex</w:t>
      </w:r>
      <w:r w:rsidR="00580358" w:rsidRPr="009819C9">
        <w:rPr>
          <w:rStyle w:val="Italic"/>
          <w:spacing w:val="-1"/>
        </w:rPr>
        <w:t xml:space="preserve"> </w:t>
      </w:r>
      <w:r w:rsidRPr="009819C9">
        <w:rPr>
          <w:rStyle w:val="Italic"/>
          <w:spacing w:val="-1"/>
        </w:rPr>
        <w:t>post</w:t>
      </w:r>
      <w:r w:rsidRPr="009819C9">
        <w:rPr>
          <w:spacing w:val="-1"/>
        </w:rPr>
        <w:t xml:space="preserve"> audits, </w:t>
      </w:r>
      <w:r w:rsidR="00134B32" w:rsidRPr="009819C9">
        <w:rPr>
          <w:spacing w:val="-1"/>
        </w:rPr>
        <w:t xml:space="preserve">where </w:t>
      </w:r>
      <w:r w:rsidRPr="009819C9">
        <w:rPr>
          <w:spacing w:val="-1"/>
        </w:rPr>
        <w:t>applicable</w:t>
      </w:r>
      <w:r w:rsidRPr="009819C9">
        <w:rPr>
          <w:rFonts w:ascii="Calibri" w:hAnsi="Calibri" w:cs="Calibri"/>
          <w:spacing w:val="-1"/>
        </w:rPr>
        <w:t> </w:t>
      </w:r>
      <w:r w:rsidRPr="009819C9">
        <w:rPr>
          <w:spacing w:val="-1"/>
        </w:rPr>
        <w:t>(</w:t>
      </w:r>
      <w:r w:rsidRPr="00352191">
        <w:rPr>
          <w:rStyle w:val="FootnoteReference"/>
        </w:rPr>
        <w:footnoteReference w:id="70"/>
      </w:r>
      <w:r w:rsidRPr="009819C9">
        <w:rPr>
          <w:spacing w:val="-1"/>
        </w:rPr>
        <w:t>),</w:t>
      </w:r>
      <w:r w:rsidR="00306393" w:rsidRPr="009819C9">
        <w:rPr>
          <w:spacing w:val="-1"/>
        </w:rPr>
        <w:t xml:space="preserve"> </w:t>
      </w:r>
      <w:r w:rsidR="004636F5" w:rsidRPr="009819C9">
        <w:rPr>
          <w:spacing w:val="-1"/>
        </w:rPr>
        <w:t xml:space="preserve">as a </w:t>
      </w:r>
      <w:r w:rsidR="004F77CD" w:rsidRPr="009819C9">
        <w:rPr>
          <w:spacing w:val="-1"/>
        </w:rPr>
        <w:t xml:space="preserve">result </w:t>
      </w:r>
      <w:r w:rsidR="00306393" w:rsidRPr="009819C9">
        <w:rPr>
          <w:spacing w:val="-1"/>
        </w:rPr>
        <w:t xml:space="preserve">of the </w:t>
      </w:r>
      <w:r w:rsidR="004F77CD" w:rsidRPr="009819C9">
        <w:rPr>
          <w:spacing w:val="-1"/>
        </w:rPr>
        <w:t>Court of Auditors</w:t>
      </w:r>
      <w:r w:rsidR="00EA625F" w:rsidRPr="009819C9">
        <w:rPr>
          <w:spacing w:val="-1"/>
        </w:rPr>
        <w:t>’</w:t>
      </w:r>
      <w:r w:rsidR="004F77CD" w:rsidRPr="009819C9">
        <w:rPr>
          <w:spacing w:val="-1"/>
        </w:rPr>
        <w:t xml:space="preserve"> recommendation in the context of its 2023 </w:t>
      </w:r>
      <w:r w:rsidR="00C84A0D" w:rsidRPr="009819C9">
        <w:rPr>
          <w:spacing w:val="-1"/>
        </w:rPr>
        <w:t>a</w:t>
      </w:r>
      <w:r w:rsidR="004F77CD" w:rsidRPr="009819C9">
        <w:rPr>
          <w:spacing w:val="-1"/>
        </w:rPr>
        <w:t xml:space="preserve">nnual </w:t>
      </w:r>
      <w:r w:rsidR="00C84A0D" w:rsidRPr="009819C9">
        <w:rPr>
          <w:spacing w:val="-1"/>
        </w:rPr>
        <w:t>r</w:t>
      </w:r>
      <w:r w:rsidR="004F77CD" w:rsidRPr="009819C9">
        <w:rPr>
          <w:spacing w:val="-1"/>
        </w:rPr>
        <w:t>eport</w:t>
      </w:r>
      <w:r w:rsidR="00306BB5" w:rsidRPr="009819C9">
        <w:rPr>
          <w:rFonts w:ascii="Calibri" w:hAnsi="Calibri" w:cs="Calibri"/>
          <w:spacing w:val="-1"/>
        </w:rPr>
        <w:t> </w:t>
      </w:r>
      <w:r w:rsidR="00306BB5" w:rsidRPr="009819C9">
        <w:rPr>
          <w:spacing w:val="-1"/>
        </w:rPr>
        <w:t>(</w:t>
      </w:r>
      <w:r w:rsidR="00C84A0D" w:rsidRPr="00352191">
        <w:rPr>
          <w:rStyle w:val="FootnoteReference"/>
        </w:rPr>
        <w:footnoteReference w:id="71"/>
      </w:r>
      <w:r w:rsidR="00306BB5" w:rsidRPr="009819C9">
        <w:rPr>
          <w:spacing w:val="-1"/>
        </w:rPr>
        <w:t>)</w:t>
      </w:r>
      <w:r w:rsidR="004F77CD" w:rsidRPr="009819C9">
        <w:rPr>
          <w:spacing w:val="-1"/>
        </w:rPr>
        <w:t>.</w:t>
      </w:r>
      <w:r w:rsidR="00D263CA" w:rsidRPr="009819C9">
        <w:rPr>
          <w:spacing w:val="-1"/>
        </w:rPr>
        <w:t xml:space="preserve"> This includes ensuring that the financing provided is properly used in accordance with all applicable EU and national rules, particularly in the areas of public procurement and State aid, including the effectiveness of such checks. </w:t>
      </w:r>
      <w:r w:rsidR="000E0453" w:rsidRPr="009819C9">
        <w:rPr>
          <w:spacing w:val="-1"/>
        </w:rPr>
        <w:t>In 2025, 12 Member States were checked on public procurement and 14 on State aid. From January 2026 to date, public procurement has been checked in another 11 Member States, and State aid in nine Member States.</w:t>
      </w:r>
      <w:r w:rsidR="00F07308" w:rsidRPr="009819C9">
        <w:rPr>
          <w:spacing w:val="-1"/>
        </w:rPr>
        <w:t xml:space="preserve"> These </w:t>
      </w:r>
      <w:r w:rsidR="00805080" w:rsidRPr="009819C9">
        <w:rPr>
          <w:spacing w:val="-1"/>
        </w:rPr>
        <w:t>checks confirm that</w:t>
      </w:r>
      <w:r w:rsidR="00F07308" w:rsidRPr="009819C9">
        <w:rPr>
          <w:spacing w:val="-1"/>
        </w:rPr>
        <w:t xml:space="preserve"> </w:t>
      </w:r>
      <w:r w:rsidR="00252873" w:rsidRPr="009819C9">
        <w:rPr>
          <w:spacing w:val="-1"/>
        </w:rPr>
        <w:t>overall,</w:t>
      </w:r>
      <w:r w:rsidR="00F07308" w:rsidRPr="009819C9">
        <w:rPr>
          <w:spacing w:val="-1"/>
        </w:rPr>
        <w:t xml:space="preserve"> </w:t>
      </w:r>
      <w:r w:rsidR="00437A45" w:rsidRPr="009819C9">
        <w:rPr>
          <w:spacing w:val="-1"/>
        </w:rPr>
        <w:t xml:space="preserve">Member States fulfilled their obligation to </w:t>
      </w:r>
      <w:r w:rsidR="00252873" w:rsidRPr="009819C9">
        <w:rPr>
          <w:spacing w:val="-1"/>
        </w:rPr>
        <w:t>ensure compliance with public procurement and State-aid rule</w:t>
      </w:r>
      <w:r w:rsidR="00740652" w:rsidRPr="009819C9">
        <w:rPr>
          <w:spacing w:val="-1"/>
        </w:rPr>
        <w:t>s</w:t>
      </w:r>
      <w:r w:rsidR="00252873" w:rsidRPr="009819C9">
        <w:rPr>
          <w:spacing w:val="-1"/>
        </w:rPr>
        <w:t>.</w:t>
      </w:r>
    </w:p>
    <w:p w14:paraId="04E825B3" w14:textId="024C35A2" w:rsidR="001301C1" w:rsidRPr="006D3C55" w:rsidRDefault="002E0E98" w:rsidP="003D1369">
      <w:r w:rsidRPr="00D263CA">
        <w:t>I</w:t>
      </w:r>
      <w:r w:rsidRPr="00D263CA">
        <w:rPr>
          <w:lang w:val="en-IE"/>
        </w:rPr>
        <w:t xml:space="preserve">n its Special </w:t>
      </w:r>
      <w:r>
        <w:rPr>
          <w:noProof/>
          <w:lang w:val="en-IE"/>
        </w:rPr>
        <w:t>R</w:t>
      </w:r>
      <w:r w:rsidRPr="00D263CA">
        <w:rPr>
          <w:noProof/>
          <w:lang w:val="en-IE"/>
        </w:rPr>
        <w:t>eport</w:t>
      </w:r>
      <w:r>
        <w:rPr>
          <w:noProof/>
          <w:lang w:val="en-IE"/>
        </w:rPr>
        <w:t xml:space="preserve"> 09/2025</w:t>
      </w:r>
      <w:r w:rsidRPr="003D1369">
        <w:rPr>
          <w:rFonts w:ascii="Calibri" w:hAnsi="Calibri" w:cs="Calibri"/>
          <w:noProof/>
          <w:lang w:val="en-IE"/>
        </w:rPr>
        <w:t> </w:t>
      </w:r>
      <w:r w:rsidRPr="00182DAE">
        <w:t>(</w:t>
      </w:r>
      <w:r w:rsidRPr="00352191">
        <w:rPr>
          <w:rStyle w:val="FootnoteReference"/>
        </w:rPr>
        <w:footnoteReference w:id="72"/>
      </w:r>
      <w:r w:rsidR="009C3A23" w:rsidRPr="0083604A">
        <w:t>)</w:t>
      </w:r>
      <w:r w:rsidR="003C733B" w:rsidRPr="006D3C55">
        <w:t>,</w:t>
      </w:r>
      <w:r w:rsidR="00D263CA" w:rsidRPr="006D3C55">
        <w:t xml:space="preserve"> </w:t>
      </w:r>
      <w:r w:rsidR="003C733B" w:rsidRPr="006D3C55">
        <w:t>t</w:t>
      </w:r>
      <w:r w:rsidR="00D263CA" w:rsidRPr="006D3C55">
        <w:t>he Court of Auditors acknowledged the positive developments as regards the enhanced checks on public procurement and State aid with the use of comprehensive checklists and provided some targeted recommendations for further improvement. The Commission implemented all seven accepted recommendations</w:t>
      </w:r>
      <w:r w:rsidR="00D263CA" w:rsidRPr="006D3C55">
        <w:rPr>
          <w:rFonts w:ascii="Calibri" w:hAnsi="Calibri" w:cs="Calibri"/>
        </w:rPr>
        <w:t> </w:t>
      </w:r>
      <w:r w:rsidR="00D263CA" w:rsidRPr="006D3C55">
        <w:t>(</w:t>
      </w:r>
      <w:r w:rsidR="00D263CA" w:rsidRPr="00352191">
        <w:rPr>
          <w:rStyle w:val="FootnoteReference"/>
        </w:rPr>
        <w:footnoteReference w:id="73"/>
      </w:r>
      <w:r w:rsidR="00D263CA" w:rsidRPr="006D3C55">
        <w:t>)</w:t>
      </w:r>
      <w:r w:rsidR="00182DAE">
        <w:t>,</w:t>
      </w:r>
      <w:r w:rsidR="00DB477E" w:rsidRPr="006D3C55" w:rsidDel="002777A0">
        <w:t xml:space="preserve"> </w:t>
      </w:r>
      <w:r w:rsidR="007774A5">
        <w:t>following which</w:t>
      </w:r>
      <w:r w:rsidR="008821ED">
        <w:t xml:space="preserve"> </w:t>
      </w:r>
      <w:r w:rsidR="00DB477E" w:rsidRPr="006D3C55">
        <w:t xml:space="preserve">the </w:t>
      </w:r>
      <w:r w:rsidR="006724AD">
        <w:t xml:space="preserve">existing </w:t>
      </w:r>
      <w:r w:rsidR="001301C1" w:rsidRPr="006D3C55">
        <w:t xml:space="preserve">audit checklist on </w:t>
      </w:r>
      <w:r w:rsidR="00182DAE">
        <w:t>S</w:t>
      </w:r>
      <w:r w:rsidR="001301C1" w:rsidRPr="006D3C55">
        <w:t>tate aid was amended in early 2025 to reflect this more clearly</w:t>
      </w:r>
      <w:r w:rsidR="004B00E4">
        <w:t>,</w:t>
      </w:r>
      <w:r w:rsidR="001301C1" w:rsidRPr="006D3C55">
        <w:t xml:space="preserve"> and rolled out immediately.</w:t>
      </w:r>
    </w:p>
    <w:p w14:paraId="0C1B9E23" w14:textId="44672BF1" w:rsidR="001301C1" w:rsidRPr="006D3C55" w:rsidRDefault="001301C1" w:rsidP="00294CCC">
      <w:pPr>
        <w:pStyle w:val="HNum-fromh2Heading4-111"/>
      </w:pPr>
      <w:r w:rsidRPr="006D3C55">
        <w:t>Audits of the national audit authorities</w:t>
      </w:r>
    </w:p>
    <w:p w14:paraId="5A17785C" w14:textId="211D6287" w:rsidR="00B644EA" w:rsidRPr="006D3C55" w:rsidRDefault="00B644EA" w:rsidP="00B644EA">
      <w:pPr>
        <w:rPr>
          <w:rFonts w:eastAsia="EC Square Sans Pro" w:cs="EC Square Sans Pro"/>
        </w:rPr>
      </w:pPr>
      <w:r w:rsidRPr="00485CAD">
        <w:rPr>
          <w:b/>
        </w:rPr>
        <w:t xml:space="preserve">Since 2023, the Commission </w:t>
      </w:r>
      <w:r w:rsidR="00864414" w:rsidRPr="00485CAD">
        <w:rPr>
          <w:b/>
        </w:rPr>
        <w:t xml:space="preserve">has </w:t>
      </w:r>
      <w:r w:rsidRPr="00485CAD">
        <w:rPr>
          <w:b/>
        </w:rPr>
        <w:t>perform</w:t>
      </w:r>
      <w:r w:rsidR="00864414" w:rsidRPr="00485CAD">
        <w:rPr>
          <w:b/>
        </w:rPr>
        <w:t>ed</w:t>
      </w:r>
      <w:r w:rsidRPr="00485CAD">
        <w:rPr>
          <w:b/>
        </w:rPr>
        <w:t xml:space="preserve"> an increasing number of audits </w:t>
      </w:r>
      <w:r w:rsidR="007A0940" w:rsidRPr="00485CAD">
        <w:rPr>
          <w:b/>
        </w:rPr>
        <w:t>to</w:t>
      </w:r>
      <w:r w:rsidRPr="00485CAD">
        <w:rPr>
          <w:b/>
        </w:rPr>
        <w:t xml:space="preserve"> assess the reliability of the work performed by the national audit authorities,</w:t>
      </w:r>
      <w:r w:rsidRPr="006D3C55">
        <w:t xml:space="preserve"> encompassing two key areas: </w:t>
      </w:r>
      <w:r w:rsidR="00935433">
        <w:t>(</w:t>
      </w:r>
      <w:r w:rsidRPr="006D3C55">
        <w:t xml:space="preserve">1) audits of national control systems, to ensure that national and EU rules are complied with </w:t>
      </w:r>
      <w:r w:rsidR="009350C2">
        <w:t>(</w:t>
      </w:r>
      <w:r w:rsidRPr="006D3C55">
        <w:t>including public procurement and State</w:t>
      </w:r>
      <w:r w:rsidR="00935433">
        <w:t>-</w:t>
      </w:r>
      <w:r w:rsidRPr="006D3C55">
        <w:t>aid rules</w:t>
      </w:r>
      <w:r w:rsidR="009350C2">
        <w:t>)</w:t>
      </w:r>
      <w:r w:rsidRPr="006D3C55">
        <w:t xml:space="preserve"> and that the </w:t>
      </w:r>
      <w:r w:rsidR="00B066E0" w:rsidRPr="006D3C55">
        <w:t xml:space="preserve">EU </w:t>
      </w:r>
      <w:r w:rsidRPr="006D3C55">
        <w:t>budget is protected</w:t>
      </w:r>
      <w:r w:rsidR="009350C2">
        <w:t>;</w:t>
      </w:r>
      <w:r w:rsidRPr="006D3C55">
        <w:t xml:space="preserve"> and (2) audits of milestones and targets.</w:t>
      </w:r>
      <w:r w:rsidRPr="006D3C55">
        <w:rPr>
          <w:rFonts w:eastAsia="EC Square Sans Pro" w:cs="EC Square Sans Pro"/>
        </w:rPr>
        <w:t xml:space="preserve"> Furthermore, these audits include checks that the risk of double funding</w:t>
      </w:r>
      <w:r w:rsidR="006724AD">
        <w:rPr>
          <w:rFonts w:eastAsia="EC Square Sans Pro" w:cs="EC Square Sans Pro"/>
        </w:rPr>
        <w:t xml:space="preserve"> is adequately addressed</w:t>
      </w:r>
      <w:r w:rsidRPr="006D3C55">
        <w:rPr>
          <w:rFonts w:eastAsia="EC Square Sans Pro" w:cs="EC Square Sans Pro"/>
        </w:rPr>
        <w:t>. This effort aim</w:t>
      </w:r>
      <w:r w:rsidR="004245E6">
        <w:rPr>
          <w:rFonts w:eastAsia="EC Square Sans Pro" w:cs="EC Square Sans Pro"/>
        </w:rPr>
        <w:t>s</w:t>
      </w:r>
      <w:r w:rsidRPr="006D3C55">
        <w:rPr>
          <w:rFonts w:eastAsia="EC Square Sans Pro" w:cs="EC Square Sans Pro"/>
        </w:rPr>
        <w:t xml:space="preserve"> to </w:t>
      </w:r>
      <w:r w:rsidR="004245E6" w:rsidRPr="006D3C55">
        <w:rPr>
          <w:rFonts w:eastAsia="EC Square Sans Pro" w:cs="EC Square Sans Pro"/>
        </w:rPr>
        <w:t xml:space="preserve">further </w:t>
      </w:r>
      <w:r w:rsidRPr="006D3C55">
        <w:rPr>
          <w:rFonts w:eastAsia="EC Square Sans Pro" w:cs="EC Square Sans Pro"/>
        </w:rPr>
        <w:t xml:space="preserve">strengthen the effectiveness of the audit work performed at </w:t>
      </w:r>
      <w:r w:rsidR="004245E6">
        <w:rPr>
          <w:rFonts w:eastAsia="EC Square Sans Pro" w:cs="EC Square Sans Pro"/>
        </w:rPr>
        <w:t xml:space="preserve">the </w:t>
      </w:r>
      <w:r w:rsidRPr="006D3C55">
        <w:rPr>
          <w:rFonts w:eastAsia="EC Square Sans Pro" w:cs="EC Square Sans Pro"/>
        </w:rPr>
        <w:t xml:space="preserve">national level while minimising the duplication of audits and increasing the </w:t>
      </w:r>
      <w:r w:rsidR="001146A7" w:rsidRPr="006D3C55">
        <w:rPr>
          <w:rFonts w:eastAsia="EC Square Sans Pro" w:cs="EC Square Sans Pro"/>
        </w:rPr>
        <w:t xml:space="preserve">efficiency </w:t>
      </w:r>
      <w:r w:rsidR="001146A7">
        <w:rPr>
          <w:rFonts w:eastAsia="EC Square Sans Pro" w:cs="EC Square Sans Pro"/>
        </w:rPr>
        <w:t xml:space="preserve">of the </w:t>
      </w:r>
      <w:r w:rsidRPr="006D3C55">
        <w:rPr>
          <w:rFonts w:eastAsia="EC Square Sans Pro" w:cs="EC Square Sans Pro"/>
        </w:rPr>
        <w:t>audit work overall</w:t>
      </w:r>
      <w:r w:rsidR="00EC456D" w:rsidRPr="006D3C55">
        <w:rPr>
          <w:rFonts w:eastAsia="EC Square Sans Pro" w:cs="EC Square Sans Pro"/>
        </w:rPr>
        <w:t>, in the spirit of the single audit approach</w:t>
      </w:r>
      <w:r w:rsidRPr="006D3C55">
        <w:rPr>
          <w:rFonts w:eastAsia="EC Square Sans Pro" w:cs="EC Square Sans Pro"/>
        </w:rPr>
        <w:t xml:space="preserve">. </w:t>
      </w:r>
      <w:r w:rsidRPr="00D347EC">
        <w:rPr>
          <w:rFonts w:eastAsia="EC Square Sans Pro" w:cs="EC Square Sans Pro"/>
        </w:rPr>
        <w:t xml:space="preserve">Since the start of the facility, </w:t>
      </w:r>
      <w:r w:rsidR="00EB4F70" w:rsidRPr="00D347EC">
        <w:rPr>
          <w:rFonts w:eastAsia="EC Square Sans Pro" w:cs="EC Square Sans Pro"/>
        </w:rPr>
        <w:t>23</w:t>
      </w:r>
      <w:r w:rsidR="006E46F4" w:rsidRPr="00D347EC">
        <w:rPr>
          <w:rFonts w:eastAsia="EC Square Sans Pro" w:cs="EC Square Sans Pro"/>
        </w:rPr>
        <w:t xml:space="preserve"> </w:t>
      </w:r>
      <w:r w:rsidRPr="00D347EC">
        <w:rPr>
          <w:rFonts w:eastAsia="EC Square Sans Pro" w:cs="EC Square Sans Pro"/>
        </w:rPr>
        <w:t>Member States have undergone a compliance audit or have been subject to an audit that included a compliance dimension.</w:t>
      </w:r>
    </w:p>
    <w:p w14:paraId="51715A35" w14:textId="22EA9686" w:rsidR="001301C1" w:rsidRDefault="001301C1" w:rsidP="001301C1">
      <w:r w:rsidRPr="00485CAD">
        <w:rPr>
          <w:rFonts w:eastAsia="EC Square Sans Pro" w:cs="EC Square Sans Pro"/>
          <w:b/>
          <w:color w:val="000000" w:themeColor="text1"/>
        </w:rPr>
        <w:t>I</w:t>
      </w:r>
      <w:r w:rsidRPr="00485CAD">
        <w:rPr>
          <w:b/>
        </w:rPr>
        <w:t>n</w:t>
      </w:r>
      <w:r w:rsidR="00372B9A" w:rsidRPr="00485CAD">
        <w:rPr>
          <w:b/>
        </w:rPr>
        <w:t xml:space="preserve"> </w:t>
      </w:r>
      <w:r w:rsidR="00EB4F70" w:rsidRPr="00485CAD">
        <w:rPr>
          <w:b/>
        </w:rPr>
        <w:t>a number of</w:t>
      </w:r>
      <w:r w:rsidRPr="00485CAD">
        <w:rPr>
          <w:b/>
        </w:rPr>
        <w:t xml:space="preserve"> instances, areas for further improvement</w:t>
      </w:r>
      <w:r w:rsidR="00372B9A" w:rsidRPr="00485CAD">
        <w:rPr>
          <w:b/>
        </w:rPr>
        <w:t xml:space="preserve"> have been identified</w:t>
      </w:r>
      <w:r w:rsidR="00372B9A">
        <w:t xml:space="preserve"> for</w:t>
      </w:r>
      <w:r w:rsidRPr="006D3C55">
        <w:t xml:space="preserve"> </w:t>
      </w:r>
      <w:r w:rsidR="00372B9A">
        <w:t>e</w:t>
      </w:r>
      <w:r w:rsidRPr="006D3C55">
        <w:t>xample</w:t>
      </w:r>
      <w:r w:rsidR="00372B9A">
        <w:t xml:space="preserve"> the need</w:t>
      </w:r>
      <w:r w:rsidRPr="006D3C55">
        <w:t xml:space="preserve"> to </w:t>
      </w:r>
      <w:r w:rsidR="00A251A4" w:rsidRPr="006D3C55">
        <w:t>includ</w:t>
      </w:r>
      <w:r w:rsidR="00372B9A">
        <w:t>e</w:t>
      </w:r>
      <w:r w:rsidR="00A251A4" w:rsidRPr="006D3C55">
        <w:t xml:space="preserve"> </w:t>
      </w:r>
      <w:r w:rsidRPr="006D3C55">
        <w:t>deadlines for the implementation of recommendations</w:t>
      </w:r>
      <w:r w:rsidR="00372B9A">
        <w:t xml:space="preserve"> by national audit bodies</w:t>
      </w:r>
      <w:r w:rsidR="0038710A">
        <w:t>;</w:t>
      </w:r>
      <w:r w:rsidRPr="006D3C55">
        <w:t xml:space="preserve"> better defining follow-up procedures</w:t>
      </w:r>
      <w:r w:rsidR="0038710A">
        <w:t>;</w:t>
      </w:r>
      <w:r w:rsidRPr="006D3C55">
        <w:rPr>
          <w:rFonts w:eastAsia="EC Square Sans Pro" w:cs="EC Square Sans Pro"/>
        </w:rPr>
        <w:t xml:space="preserve"> </w:t>
      </w:r>
      <w:r w:rsidRPr="006D3C55">
        <w:t>improving audit manuals, checklists or documentation</w:t>
      </w:r>
      <w:r w:rsidR="0038710A">
        <w:t>;</w:t>
      </w:r>
      <w:r w:rsidRPr="006D3C55">
        <w:t xml:space="preserve"> improving </w:t>
      </w:r>
      <w:r w:rsidR="0038710A">
        <w:t xml:space="preserve">the </w:t>
      </w:r>
      <w:r w:rsidRPr="006D3C55">
        <w:t xml:space="preserve">verification </w:t>
      </w:r>
      <w:r w:rsidR="0038710A" w:rsidRPr="006D3C55">
        <w:t>o</w:t>
      </w:r>
      <w:r w:rsidR="0038710A">
        <w:t>f</w:t>
      </w:r>
      <w:r w:rsidR="0038710A" w:rsidRPr="006D3C55">
        <w:t xml:space="preserve"> </w:t>
      </w:r>
      <w:r w:rsidRPr="006D3C55">
        <w:t>public procurement procedures or State</w:t>
      </w:r>
      <w:r w:rsidR="00935433">
        <w:t>-</w:t>
      </w:r>
      <w:r w:rsidRPr="006D3C55">
        <w:t>aid rules</w:t>
      </w:r>
      <w:r w:rsidR="0038710A">
        <w:t>;</w:t>
      </w:r>
      <w:r w:rsidRPr="006D3C55">
        <w:t xml:space="preserve"> and addressing staffing issues or issues with the assignment of audit staff.</w:t>
      </w:r>
    </w:p>
    <w:p w14:paraId="1C970496" w14:textId="357C4634" w:rsidR="00CE3720" w:rsidRPr="006D3C55" w:rsidRDefault="00CE3720" w:rsidP="00CE3720">
      <w:r w:rsidRPr="00485CAD">
        <w:rPr>
          <w:b/>
        </w:rPr>
        <w:t xml:space="preserve">In early 2025, the methodological framework defining the conditions under which the Commission can rely on national audit work for </w:t>
      </w:r>
      <w:r w:rsidRPr="00485CAD">
        <w:rPr>
          <w:b/>
          <w:i/>
        </w:rPr>
        <w:t>ex</w:t>
      </w:r>
      <w:r w:rsidR="003A7955" w:rsidRPr="00485CAD">
        <w:rPr>
          <w:b/>
          <w:i/>
        </w:rPr>
        <w:t xml:space="preserve"> </w:t>
      </w:r>
      <w:r w:rsidRPr="00485CAD">
        <w:rPr>
          <w:b/>
          <w:i/>
        </w:rPr>
        <w:t>post</w:t>
      </w:r>
      <w:r w:rsidRPr="00485CAD">
        <w:rPr>
          <w:b/>
        </w:rPr>
        <w:t xml:space="preserve"> audits of milestones and targets was refined.</w:t>
      </w:r>
      <w:r w:rsidRPr="006D3C55">
        <w:t xml:space="preserve"> Under this framework, the Commission may rely on the work of national audit bodies where Commission compliance audits result in either an unqualified opinion or a qualified opinion with limited impact. In such cases, Commission auditors may rely on the national audit bodies’ assessments and are not required to include in their </w:t>
      </w:r>
      <w:r w:rsidRPr="006D3C55">
        <w:rPr>
          <w:i/>
        </w:rPr>
        <w:t>ex</w:t>
      </w:r>
      <w:r w:rsidR="003A7955">
        <w:rPr>
          <w:i/>
        </w:rPr>
        <w:t xml:space="preserve"> </w:t>
      </w:r>
      <w:r w:rsidRPr="006D3C55">
        <w:rPr>
          <w:i/>
        </w:rPr>
        <w:t>post</w:t>
      </w:r>
      <w:r w:rsidRPr="006D3C55">
        <w:t xml:space="preserve"> audit selection any high-risk milestones and targets</w:t>
      </w:r>
      <w:r w:rsidR="002E30CD" w:rsidRPr="002E30CD">
        <w:rPr>
          <w:rFonts w:cs="Calibri"/>
        </w:rPr>
        <w:t> </w:t>
      </w:r>
      <w:r w:rsidR="002E30CD" w:rsidRPr="002E30CD">
        <w:t>(</w:t>
      </w:r>
      <w:r w:rsidR="002E30CD" w:rsidRPr="00352191">
        <w:rPr>
          <w:rStyle w:val="FootnoteReference"/>
        </w:rPr>
        <w:footnoteReference w:id="74"/>
      </w:r>
      <w:r w:rsidR="002E30CD">
        <w:t>)</w:t>
      </w:r>
      <w:r w:rsidRPr="006D3C55">
        <w:t xml:space="preserve"> already assessed as satisfactorily fulfilled by those national bodies. </w:t>
      </w:r>
    </w:p>
    <w:p w14:paraId="53DAD777" w14:textId="499EDE04" w:rsidR="00905194" w:rsidRDefault="00905194" w:rsidP="008B6E6B">
      <w:pPr>
        <w:pStyle w:val="HNum-fromh2Heading4-111"/>
      </w:pPr>
      <w:r>
        <w:t xml:space="preserve">Follow up of </w:t>
      </w:r>
      <w:r w:rsidR="00800E45">
        <w:t xml:space="preserve">Commission’s </w:t>
      </w:r>
      <w:r>
        <w:t>audit recommendations</w:t>
      </w:r>
    </w:p>
    <w:p w14:paraId="5657C835" w14:textId="5E48B50B" w:rsidR="00905194" w:rsidRPr="005E7674" w:rsidRDefault="00C24177" w:rsidP="00390E3E">
      <w:pPr>
        <w:rPr>
          <w:rFonts w:asciiTheme="minorHAnsi" w:hAnsiTheme="minorHAnsi"/>
        </w:rPr>
      </w:pPr>
      <w:r w:rsidRPr="00390E3E">
        <w:rPr>
          <w:rFonts w:asciiTheme="minorHAnsi" w:hAnsiTheme="minorHAnsi"/>
          <w:b/>
        </w:rPr>
        <w:t>The Commission has pursued a rigorous and enhanced monitoring of outstanding open recommendations, in close cooperation with Member States’ authorities, to ensure that these are implemented in a timely and efficient manner.</w:t>
      </w:r>
      <w:r w:rsidRPr="2DBF99AA">
        <w:rPr>
          <w:rFonts w:asciiTheme="minorHAnsi" w:hAnsiTheme="minorHAnsi"/>
        </w:rPr>
        <w:t xml:space="preserve"> </w:t>
      </w:r>
      <w:r w:rsidR="00905194" w:rsidRPr="005E7674">
        <w:t xml:space="preserve">When assessing Member States’ implementation of audit recommendations, </w:t>
      </w:r>
      <w:r w:rsidR="00905194">
        <w:t>the Commission</w:t>
      </w:r>
      <w:r w:rsidR="00905194" w:rsidRPr="005E7674">
        <w:t xml:space="preserve"> applies a well</w:t>
      </w:r>
      <w:r w:rsidR="001354FA">
        <w:t>-</w:t>
      </w:r>
      <w:r w:rsidR="00905194" w:rsidRPr="005E7674">
        <w:t>defined methodology</w:t>
      </w:r>
      <w:r w:rsidR="00905194">
        <w:t xml:space="preserve">, </w:t>
      </w:r>
      <w:r w:rsidR="00905194" w:rsidRPr="005E7674">
        <w:rPr>
          <w:lang w:val="en-US"/>
        </w:rPr>
        <w:t>thoroughly assess</w:t>
      </w:r>
      <w:r w:rsidR="00905194" w:rsidRPr="4F69E1AC">
        <w:rPr>
          <w:lang w:val="en-US"/>
        </w:rPr>
        <w:t>ing</w:t>
      </w:r>
      <w:r w:rsidR="00905194" w:rsidRPr="005E7674">
        <w:rPr>
          <w:lang w:val="en-US"/>
        </w:rPr>
        <w:t xml:space="preserve"> Member States’ replies</w:t>
      </w:r>
      <w:r w:rsidR="00905194" w:rsidRPr="005E7674">
        <w:rPr>
          <w:lang w:val="en-IE"/>
        </w:rPr>
        <w:t xml:space="preserve"> and supporting documents that evidence the implementation of the audit recommendations. </w:t>
      </w:r>
      <w:r w:rsidR="00905194" w:rsidRPr="4F69E1AC">
        <w:rPr>
          <w:lang w:val="en-IE"/>
        </w:rPr>
        <w:t>The</w:t>
      </w:r>
      <w:r w:rsidR="00905194" w:rsidRPr="005E7674">
        <w:rPr>
          <w:lang w:val="en-IE"/>
        </w:rPr>
        <w:t xml:space="preserve"> recommendations </w:t>
      </w:r>
      <w:r w:rsidR="00905194" w:rsidRPr="4F69E1AC">
        <w:rPr>
          <w:lang w:val="en-IE"/>
        </w:rPr>
        <w:t xml:space="preserve">are considered </w:t>
      </w:r>
      <w:r w:rsidR="00905194" w:rsidRPr="005E7674">
        <w:rPr>
          <w:lang w:val="en-IE"/>
        </w:rPr>
        <w:t xml:space="preserve">as ‘implemented’ </w:t>
      </w:r>
      <w:r w:rsidR="00905194" w:rsidRPr="005E7674">
        <w:rPr>
          <w:lang w:val="en-US"/>
        </w:rPr>
        <w:t xml:space="preserve">only if sufficient, </w:t>
      </w:r>
      <w:r w:rsidR="00905194" w:rsidRPr="4F69E1AC">
        <w:rPr>
          <w:lang w:val="en-US"/>
        </w:rPr>
        <w:t>adequate</w:t>
      </w:r>
      <w:r w:rsidR="00905194" w:rsidRPr="005E7674">
        <w:rPr>
          <w:lang w:val="en-US"/>
        </w:rPr>
        <w:t xml:space="preserve"> and reliable evidence of implementation is provided by the Member State. </w:t>
      </w:r>
      <w:r w:rsidR="00905194" w:rsidRPr="005E7674">
        <w:rPr>
          <w:lang w:val="en-IE"/>
        </w:rPr>
        <w:t xml:space="preserve">Where substantial progress has been made and only minor issues remain, the residual importance of the </w:t>
      </w:r>
      <w:r w:rsidR="00905194" w:rsidRPr="005E7674">
        <w:rPr>
          <w:lang w:val="en-US"/>
        </w:rPr>
        <w:t xml:space="preserve">finding may be downgraded. </w:t>
      </w:r>
      <w:r w:rsidR="00905194" w:rsidRPr="2DBF99AA">
        <w:rPr>
          <w:rFonts w:asciiTheme="minorHAnsi" w:hAnsiTheme="minorHAnsi"/>
        </w:rPr>
        <w:t>To date, 90% (2</w:t>
      </w:r>
      <w:r w:rsidR="00017883">
        <w:rPr>
          <w:rFonts w:ascii="Calibri" w:hAnsi="Calibri" w:cs="Calibri"/>
        </w:rPr>
        <w:t> </w:t>
      </w:r>
      <w:r w:rsidR="00905194" w:rsidRPr="2DBF99AA">
        <w:rPr>
          <w:rFonts w:asciiTheme="minorHAnsi" w:hAnsiTheme="minorHAnsi"/>
        </w:rPr>
        <w:t>400 out of 2</w:t>
      </w:r>
      <w:r w:rsidR="00017883">
        <w:rPr>
          <w:rFonts w:ascii="Calibri" w:hAnsi="Calibri" w:cs="Calibri"/>
        </w:rPr>
        <w:t> </w:t>
      </w:r>
      <w:r w:rsidR="00905194" w:rsidRPr="2DBF99AA">
        <w:rPr>
          <w:rFonts w:asciiTheme="minorHAnsi" w:hAnsiTheme="minorHAnsi"/>
        </w:rPr>
        <w:t xml:space="preserve">700 issued recommendations) are closed or assessed as </w:t>
      </w:r>
      <w:r w:rsidR="0026550A">
        <w:rPr>
          <w:rFonts w:asciiTheme="minorHAnsi" w:hAnsiTheme="minorHAnsi"/>
        </w:rPr>
        <w:t>‘</w:t>
      </w:r>
      <w:r w:rsidR="00905194" w:rsidRPr="2DBF99AA">
        <w:rPr>
          <w:rFonts w:asciiTheme="minorHAnsi" w:hAnsiTheme="minorHAnsi"/>
        </w:rPr>
        <w:t>preliminary closed</w:t>
      </w:r>
      <w:r w:rsidR="0026550A">
        <w:rPr>
          <w:rFonts w:asciiTheme="minorHAnsi" w:hAnsiTheme="minorHAnsi"/>
        </w:rPr>
        <w:t>’</w:t>
      </w:r>
      <w:r w:rsidR="00905194" w:rsidRPr="2DBF99AA">
        <w:rPr>
          <w:rFonts w:asciiTheme="minorHAnsi" w:hAnsiTheme="minorHAnsi"/>
        </w:rPr>
        <w:t xml:space="preserve">. </w:t>
      </w:r>
      <w:r w:rsidR="00905194" w:rsidRPr="005E7674">
        <w:rPr>
          <w:rFonts w:asciiTheme="minorHAnsi" w:hAnsiTheme="minorHAnsi"/>
          <w:lang w:val="en-IE"/>
        </w:rPr>
        <w:t xml:space="preserve">This follow-up activity is increasingly important as the final phase of </w:t>
      </w:r>
      <w:r w:rsidR="006863F9">
        <w:rPr>
          <w:rFonts w:asciiTheme="minorHAnsi" w:hAnsiTheme="minorHAnsi"/>
          <w:lang w:val="en-IE"/>
        </w:rPr>
        <w:t xml:space="preserve">the </w:t>
      </w:r>
      <w:r w:rsidR="006863F9" w:rsidRPr="006D3C55">
        <w:rPr>
          <w:rFonts w:hint="eastAsia"/>
        </w:rPr>
        <w:t xml:space="preserve">Recovery and </w:t>
      </w:r>
      <w:r w:rsidR="006863F9" w:rsidRPr="006D3C55">
        <w:t>Resilience Facility</w:t>
      </w:r>
      <w:r w:rsidR="006863F9" w:rsidRPr="005E7674">
        <w:rPr>
          <w:rFonts w:asciiTheme="minorHAnsi" w:hAnsiTheme="minorHAnsi"/>
          <w:lang w:val="en-IE"/>
        </w:rPr>
        <w:t xml:space="preserve"> </w:t>
      </w:r>
      <w:r w:rsidR="00905194" w:rsidRPr="005E7674">
        <w:rPr>
          <w:rFonts w:asciiTheme="minorHAnsi" w:hAnsiTheme="minorHAnsi"/>
          <w:lang w:val="en-IE"/>
        </w:rPr>
        <w:t xml:space="preserve">is approaching. </w:t>
      </w:r>
      <w:r w:rsidR="00905194" w:rsidRPr="005E7674">
        <w:rPr>
          <w:rFonts w:asciiTheme="minorHAnsi" w:hAnsiTheme="minorHAnsi"/>
        </w:rPr>
        <w:t xml:space="preserve"> </w:t>
      </w:r>
    </w:p>
    <w:p w14:paraId="0C6B6168" w14:textId="77777777" w:rsidR="001301C1" w:rsidRPr="006D3C55" w:rsidRDefault="001301C1" w:rsidP="00294CCC">
      <w:pPr>
        <w:pStyle w:val="HNum-fromh2Heading4-111"/>
      </w:pPr>
      <w:r w:rsidRPr="006D3C55">
        <w:t>Annual audit and management opinions</w:t>
      </w:r>
    </w:p>
    <w:p w14:paraId="0E848C41" w14:textId="734564AF" w:rsidR="00306078" w:rsidRPr="009819C9" w:rsidRDefault="00306078" w:rsidP="00306078">
      <w:pPr>
        <w:rPr>
          <w:spacing w:val="-2"/>
        </w:rPr>
      </w:pPr>
      <w:r w:rsidRPr="009819C9">
        <w:rPr>
          <w:spacing w:val="-2"/>
        </w:rPr>
        <w:t xml:space="preserve">Based on the audit work described above, the Commission issued 24 annual audit opinions </w:t>
      </w:r>
      <w:r w:rsidRPr="009819C9">
        <w:rPr>
          <w:rFonts w:eastAsia="EC Square Sans Pro" w:cs="EC Square Sans Pro"/>
          <w:spacing w:val="-2"/>
        </w:rPr>
        <w:t>covering all payments made in 2025</w:t>
      </w:r>
      <w:r w:rsidR="00612A0E" w:rsidRPr="009819C9">
        <w:rPr>
          <w:rFonts w:ascii="Calibri" w:eastAsia="EC Square Sans Pro" w:hAnsi="Calibri" w:cs="Calibri"/>
          <w:spacing w:val="-2"/>
        </w:rPr>
        <w:t> </w:t>
      </w:r>
      <w:r w:rsidRPr="009819C9">
        <w:rPr>
          <w:spacing w:val="-2"/>
        </w:rPr>
        <w:t>(</w:t>
      </w:r>
      <w:r w:rsidRPr="00352191">
        <w:rPr>
          <w:rStyle w:val="FootnoteReference"/>
        </w:rPr>
        <w:footnoteReference w:id="75"/>
      </w:r>
      <w:r w:rsidRPr="009819C9">
        <w:rPr>
          <w:spacing w:val="-2"/>
        </w:rPr>
        <w:t xml:space="preserve">). </w:t>
      </w:r>
      <w:r w:rsidRPr="009819C9">
        <w:rPr>
          <w:rFonts w:eastAsia="EC Square Sans Pro" w:cs="EC Square Sans Pro"/>
          <w:spacing w:val="-2"/>
        </w:rPr>
        <w:t xml:space="preserve">These audit opinions were then used in addition to any other available information to provide a management opinion </w:t>
      </w:r>
      <w:r w:rsidR="00E26125" w:rsidRPr="009819C9">
        <w:rPr>
          <w:rFonts w:eastAsia="EC Square Sans Pro" w:cs="EC Square Sans Pro"/>
          <w:spacing w:val="-2"/>
        </w:rPr>
        <w:t xml:space="preserve">on </w:t>
      </w:r>
      <w:r w:rsidRPr="009819C9">
        <w:rPr>
          <w:rFonts w:eastAsia="EC Square Sans Pro" w:cs="EC Square Sans Pro"/>
          <w:spacing w:val="-2"/>
        </w:rPr>
        <w:t>the payments made to the 24 Member States concerned in 2025</w:t>
      </w:r>
      <w:r w:rsidRPr="009819C9">
        <w:rPr>
          <w:spacing w:val="-2"/>
        </w:rPr>
        <w:t>.</w:t>
      </w:r>
    </w:p>
    <w:p w14:paraId="3E8CCE09" w14:textId="16DACD9E" w:rsidR="00B057E0" w:rsidRPr="006D3C55" w:rsidRDefault="001301C1" w:rsidP="009819C9">
      <w:pPr>
        <w:spacing w:after="120"/>
      </w:pPr>
      <w:r w:rsidRPr="006D3C55">
        <w:t xml:space="preserve">Both audit opinions and management opinions </w:t>
      </w:r>
      <w:r w:rsidR="00817BD5" w:rsidRPr="006D3C55">
        <w:t>provide a level of risk for the elements of the assurance and thus</w:t>
      </w:r>
      <w:r w:rsidRPr="006D3C55">
        <w:t xml:space="preserve"> support the conclusion </w:t>
      </w:r>
      <w:r w:rsidR="00817BD5" w:rsidRPr="006D3C55">
        <w:t>on</w:t>
      </w:r>
      <w:r w:rsidRPr="006D3C55">
        <w:t xml:space="preserve"> the overall declaration of assurance. The audit opinions provide </w:t>
      </w:r>
      <w:r w:rsidR="00817BD5" w:rsidRPr="006D3C55">
        <w:t xml:space="preserve">a level of risk on </w:t>
      </w:r>
      <w:r w:rsidR="00837AA4">
        <w:t xml:space="preserve">the </w:t>
      </w:r>
      <w:r w:rsidRPr="006D3C55">
        <w:t>legality and regularity of the payment</w:t>
      </w:r>
      <w:r w:rsidR="00515C18">
        <w:t>;</w:t>
      </w:r>
      <w:r w:rsidRPr="006D3C55">
        <w:t xml:space="preserve"> on </w:t>
      </w:r>
      <w:r w:rsidR="00817BD5" w:rsidRPr="006D3C55">
        <w:t xml:space="preserve">the </w:t>
      </w:r>
      <w:r w:rsidRPr="006D3C55">
        <w:t xml:space="preserve">compliance </w:t>
      </w:r>
      <w:r w:rsidR="00473E0A" w:rsidRPr="006D3C55">
        <w:t xml:space="preserve">by the Member States </w:t>
      </w:r>
      <w:r w:rsidRPr="006D3C55">
        <w:t xml:space="preserve">with </w:t>
      </w:r>
      <w:r w:rsidR="00473E0A" w:rsidRPr="006D3C55">
        <w:t>all applicable rules</w:t>
      </w:r>
      <w:r w:rsidR="00766207">
        <w:rPr>
          <w:rFonts w:ascii="Calibri" w:hAnsi="Calibri" w:cs="Calibri"/>
        </w:rPr>
        <w:t> </w:t>
      </w:r>
      <w:r w:rsidRPr="006D3C55">
        <w:t>(</w:t>
      </w:r>
      <w:r w:rsidRPr="00352191">
        <w:rPr>
          <w:rStyle w:val="FootnoteReference"/>
        </w:rPr>
        <w:footnoteReference w:id="76"/>
      </w:r>
      <w:r w:rsidR="00737879" w:rsidRPr="006D3C55">
        <w:t>)</w:t>
      </w:r>
      <w:r w:rsidR="00515C18">
        <w:t>;</w:t>
      </w:r>
      <w:r w:rsidRPr="006D3C55">
        <w:t xml:space="preserve"> and</w:t>
      </w:r>
      <w:r w:rsidR="00017446" w:rsidRPr="006D3C55">
        <w:t xml:space="preserve"> </w:t>
      </w:r>
      <w:r w:rsidR="00B057E0" w:rsidRPr="006D3C55">
        <w:t>on</w:t>
      </w:r>
      <w:r w:rsidRPr="006D3C55">
        <w:t xml:space="preserve"> </w:t>
      </w:r>
      <w:r w:rsidR="002F318E">
        <w:t xml:space="preserve">the </w:t>
      </w:r>
      <w:r w:rsidR="00473E0A" w:rsidRPr="006D3C55">
        <w:t>correction by the Member States of any amount due to the EU budget in cases of fraud, corruption or conflicts of interest affecting the financial interests of the EU</w:t>
      </w:r>
      <w:r w:rsidRPr="006D3C55">
        <w:rPr>
          <w:rFonts w:ascii="Calibri" w:hAnsi="Calibri" w:cs="Calibri"/>
        </w:rPr>
        <w:t> </w:t>
      </w:r>
      <w:r w:rsidRPr="006D3C55">
        <w:t>(</w:t>
      </w:r>
      <w:r w:rsidRPr="00352191">
        <w:rPr>
          <w:rStyle w:val="FootnoteReference"/>
        </w:rPr>
        <w:footnoteReference w:id="77"/>
      </w:r>
      <w:r w:rsidRPr="006D3C55">
        <w:t xml:space="preserve">). </w:t>
      </w:r>
      <w:r w:rsidR="00CF4254" w:rsidRPr="006D3C55">
        <w:t>T</w:t>
      </w:r>
      <w:r w:rsidR="00043362" w:rsidRPr="006D3C55">
        <w:t>h</w:t>
      </w:r>
      <w:r w:rsidR="00B83681" w:rsidRPr="006D3C55">
        <w:t>e</w:t>
      </w:r>
      <w:r w:rsidR="00043362" w:rsidRPr="006D3C55">
        <w:t xml:space="preserve"> audit opinions are used by the Commission’s operational units</w:t>
      </w:r>
      <w:r w:rsidR="007F7712">
        <w:t>,</w:t>
      </w:r>
      <w:r w:rsidR="00043362" w:rsidRPr="006D3C55">
        <w:t xml:space="preserve"> together with other sources of information at their disposal (such as annual implementation meetings and reports)</w:t>
      </w:r>
      <w:r w:rsidR="007F7712">
        <w:t>,</w:t>
      </w:r>
      <w:r w:rsidR="00043362" w:rsidRPr="006D3C55">
        <w:t xml:space="preserve"> as </w:t>
      </w:r>
      <w:r w:rsidR="00EB7454">
        <w:t>the</w:t>
      </w:r>
      <w:r w:rsidR="00EB7454" w:rsidRPr="006D3C55">
        <w:t xml:space="preserve"> </w:t>
      </w:r>
      <w:r w:rsidR="00043362" w:rsidRPr="006D3C55">
        <w:t>basis for the management opinion</w:t>
      </w:r>
      <w:r w:rsidR="00144B14" w:rsidRPr="006D3C55">
        <w:t xml:space="preserve"> </w:t>
      </w:r>
      <w:r w:rsidR="00CE12F1" w:rsidRPr="006D3C55">
        <w:t>provided</w:t>
      </w:r>
      <w:r w:rsidR="00043362" w:rsidRPr="006D3C55">
        <w:t xml:space="preserve"> to the authorising officer by delegation in charge of the Recovery and Resilience Facility.</w:t>
      </w:r>
    </w:p>
    <w:p w14:paraId="0E05594E" w14:textId="1A777C26" w:rsidR="001301C1" w:rsidRPr="006D3C55" w:rsidRDefault="001301C1" w:rsidP="009819C9">
      <w:pPr>
        <w:spacing w:before="120" w:after="120"/>
      </w:pPr>
      <w:r w:rsidRPr="006D3C55">
        <w:t xml:space="preserve">Detailed information on the level of risk of each payment request is presented in the table </w:t>
      </w:r>
      <w:r w:rsidR="004B3F7B">
        <w:t>in</w:t>
      </w:r>
      <w:r w:rsidR="004B3F7B" w:rsidRPr="006D3C55">
        <w:t xml:space="preserve"> </w:t>
      </w:r>
      <w:r w:rsidRPr="006D3C55">
        <w:t>Section</w:t>
      </w:r>
      <w:r w:rsidRPr="006D3C55">
        <w:rPr>
          <w:rFonts w:ascii="Calibri" w:hAnsi="Calibri" w:cs="Calibri"/>
        </w:rPr>
        <w:t> </w:t>
      </w:r>
      <w:r w:rsidRPr="006D3C55">
        <w:t>2.2.9.</w:t>
      </w:r>
    </w:p>
    <w:p w14:paraId="318D8CE5" w14:textId="31E76788" w:rsidR="001301C1" w:rsidRPr="006D3C55" w:rsidRDefault="001301C1" w:rsidP="00294CCC">
      <w:pPr>
        <w:pStyle w:val="HNum-fromh2Heading4-111"/>
      </w:pPr>
      <w:r w:rsidRPr="006D3C55">
        <w:t xml:space="preserve">Ongoing work of the Court of Auditors in the context of the </w:t>
      </w:r>
      <w:r w:rsidR="00735503" w:rsidRPr="006D3C55">
        <w:t xml:space="preserve">2025 </w:t>
      </w:r>
      <w:r w:rsidRPr="006D3C55">
        <w:t>statement of assurance</w:t>
      </w:r>
    </w:p>
    <w:p w14:paraId="1E6308FB" w14:textId="7AC8E7A2" w:rsidR="001301C1" w:rsidRPr="00DC45C8" w:rsidRDefault="001301C1" w:rsidP="0078116D">
      <w:r w:rsidRPr="00DC45C8">
        <w:t xml:space="preserve">By </w:t>
      </w:r>
      <w:r w:rsidR="0094014B" w:rsidRPr="00DC45C8">
        <w:t>28</w:t>
      </w:r>
      <w:r w:rsidRPr="00DC45C8">
        <w:rPr>
          <w:rFonts w:ascii="Calibri" w:hAnsi="Calibri" w:cs="Calibri"/>
        </w:rPr>
        <w:t> </w:t>
      </w:r>
      <w:r w:rsidR="00E462F3" w:rsidRPr="00DC45C8">
        <w:rPr>
          <w:rFonts w:ascii="Calibri" w:hAnsi="Calibri" w:cs="Calibri"/>
        </w:rPr>
        <w:t>May</w:t>
      </w:r>
      <w:r w:rsidRPr="00DC45C8">
        <w:rPr>
          <w:rFonts w:ascii="Calibri" w:hAnsi="Calibri" w:cs="Calibri"/>
        </w:rPr>
        <w:t xml:space="preserve"> </w:t>
      </w:r>
      <w:r w:rsidRPr="00DC45C8">
        <w:t>202</w:t>
      </w:r>
      <w:r w:rsidR="00E462F3" w:rsidRPr="00DC45C8">
        <w:t>6</w:t>
      </w:r>
      <w:r w:rsidRPr="00DC45C8">
        <w:t xml:space="preserve">, the Commission had received the clearing letters from the Court </w:t>
      </w:r>
      <w:r w:rsidR="009F7E52" w:rsidRPr="00DC45C8">
        <w:t xml:space="preserve">of Auditors </w:t>
      </w:r>
      <w:r w:rsidRPr="00DC45C8">
        <w:t xml:space="preserve">covering the </w:t>
      </w:r>
      <w:r w:rsidR="00E462F3" w:rsidRPr="00DC45C8">
        <w:t>34</w:t>
      </w:r>
      <w:r w:rsidRPr="00DC45C8">
        <w:t xml:space="preserve"> </w:t>
      </w:r>
      <w:r w:rsidR="009E58D3" w:rsidRPr="00DC45C8">
        <w:t xml:space="preserve">non-repayable support </w:t>
      </w:r>
      <w:r w:rsidRPr="00DC45C8">
        <w:t>payments</w:t>
      </w:r>
      <w:r w:rsidRPr="00DC45C8">
        <w:rPr>
          <w:rFonts w:cs="Calibri"/>
        </w:rPr>
        <w:t> </w:t>
      </w:r>
      <w:r w:rsidRPr="00DC45C8">
        <w:t>(</w:t>
      </w:r>
      <w:r w:rsidRPr="00352191">
        <w:rPr>
          <w:rStyle w:val="FootnoteReference"/>
        </w:rPr>
        <w:footnoteReference w:id="78"/>
      </w:r>
      <w:r w:rsidRPr="00DC45C8">
        <w:t>) made to 2</w:t>
      </w:r>
      <w:r w:rsidR="00165BDA" w:rsidRPr="00DC45C8">
        <w:t>4</w:t>
      </w:r>
      <w:r w:rsidRPr="00DC45C8">
        <w:t xml:space="preserve"> Member States in 202</w:t>
      </w:r>
      <w:r w:rsidR="00165BDA" w:rsidRPr="00DC45C8">
        <w:t>5</w:t>
      </w:r>
      <w:r w:rsidRPr="00DC45C8">
        <w:t xml:space="preserve">. </w:t>
      </w:r>
      <w:r w:rsidR="00D66AC9" w:rsidRPr="00DC45C8">
        <w:t xml:space="preserve">In addition, the Commission has received three clearing letters on the </w:t>
      </w:r>
      <w:r w:rsidR="00913F00" w:rsidRPr="00DC45C8">
        <w:t>Court of Auditors’</w:t>
      </w:r>
      <w:r w:rsidR="00D66AC9" w:rsidRPr="00DC45C8">
        <w:t xml:space="preserve"> assessment of suspensions being lifted for three payments in 2025.</w:t>
      </w:r>
      <w:r w:rsidRPr="00DC45C8">
        <w:t xml:space="preserve"> Since the Court</w:t>
      </w:r>
      <w:r w:rsidR="00DD49ED" w:rsidRPr="00DC45C8">
        <w:t xml:space="preserve"> of Auditors</w:t>
      </w:r>
      <w:r w:rsidRPr="00DC45C8">
        <w:t>’ findings may be used to determine the level of risk of the payments, the Commission assessed them when determining the level of risk for each payment made in 202</w:t>
      </w:r>
      <w:r w:rsidR="00DC45C8" w:rsidRPr="00DC45C8">
        <w:t>5</w:t>
      </w:r>
      <w:r w:rsidRPr="00DC45C8">
        <w:t>.</w:t>
      </w:r>
    </w:p>
    <w:p w14:paraId="685C3E85" w14:textId="00D5FAAB" w:rsidR="00CE1399" w:rsidRPr="007D313F" w:rsidRDefault="001301C1" w:rsidP="001301C1">
      <w:r w:rsidRPr="007D313F">
        <w:t>With respect to the clearing letters</w:t>
      </w:r>
      <w:r w:rsidR="007149D9" w:rsidRPr="007D313F">
        <w:t xml:space="preserve"> concerned</w:t>
      </w:r>
      <w:r w:rsidRPr="007D313F">
        <w:t xml:space="preserve">, the Commission, after careful analysis, maintained its position (based on its </w:t>
      </w:r>
      <w:r w:rsidRPr="007D313F">
        <w:rPr>
          <w:rStyle w:val="Italic"/>
        </w:rPr>
        <w:t>ex</w:t>
      </w:r>
      <w:r w:rsidR="003A7955" w:rsidRPr="007D313F">
        <w:rPr>
          <w:rStyle w:val="Italic"/>
        </w:rPr>
        <w:t xml:space="preserve"> </w:t>
      </w:r>
      <w:r w:rsidRPr="007D313F">
        <w:rPr>
          <w:rStyle w:val="Italic"/>
        </w:rPr>
        <w:t>ante</w:t>
      </w:r>
      <w:r w:rsidRPr="007D313F">
        <w:rPr>
          <w:rStyle w:val="Bold"/>
          <w:b w:val="0"/>
          <w:bCs/>
        </w:rPr>
        <w:t xml:space="preserve"> </w:t>
      </w:r>
      <w:r w:rsidRPr="007D313F">
        <w:t xml:space="preserve">and </w:t>
      </w:r>
      <w:r w:rsidRPr="007D313F">
        <w:rPr>
          <w:rStyle w:val="Italic"/>
        </w:rPr>
        <w:t>ex</w:t>
      </w:r>
      <w:r w:rsidR="003A7955" w:rsidRPr="007D313F">
        <w:rPr>
          <w:rStyle w:val="Italic"/>
        </w:rPr>
        <w:t xml:space="preserve"> </w:t>
      </w:r>
      <w:r w:rsidRPr="007D313F">
        <w:rPr>
          <w:rStyle w:val="Italic"/>
        </w:rPr>
        <w:t>post</w:t>
      </w:r>
      <w:r w:rsidRPr="007D313F">
        <w:rPr>
          <w:rStyle w:val="Bold"/>
          <w:b w:val="0"/>
          <w:bCs/>
        </w:rPr>
        <w:t xml:space="preserve"> </w:t>
      </w:r>
      <w:r w:rsidRPr="007D313F">
        <w:t>controls) that the milestones and targets included in the corresponding payment requests had been satisfactorily achieved</w:t>
      </w:r>
      <w:r w:rsidR="00771265" w:rsidRPr="007D313F">
        <w:t xml:space="preserve"> except for t</w:t>
      </w:r>
      <w:r w:rsidR="00CE1399" w:rsidRPr="007D313F">
        <w:t xml:space="preserve">wo targets related to </w:t>
      </w:r>
      <w:r w:rsidR="00346E78">
        <w:t>a</w:t>
      </w:r>
      <w:r w:rsidR="00CE1399" w:rsidRPr="007D313F">
        <w:t xml:space="preserve"> payment to Poland, disbursed </w:t>
      </w:r>
      <w:r w:rsidR="00346E78">
        <w:t>in</w:t>
      </w:r>
      <w:r w:rsidR="00CE1399" w:rsidRPr="007D313F">
        <w:t xml:space="preserve"> December 2025</w:t>
      </w:r>
      <w:r w:rsidR="00771265" w:rsidRPr="007D313F">
        <w:t xml:space="preserve">. </w:t>
      </w:r>
      <w:r w:rsidR="00CE1399" w:rsidRPr="007D313F">
        <w:t xml:space="preserve">Additionally, the Commission also identified an error in its preliminary assessment of one milestone and consequently sent a draft review report to the Member State </w:t>
      </w:r>
      <w:r w:rsidR="00CE1399" w:rsidRPr="00B11A94">
        <w:t xml:space="preserve">concerned </w:t>
      </w:r>
      <w:r w:rsidR="00B11A94" w:rsidRPr="00B11A94">
        <w:t>(</w:t>
      </w:r>
      <w:r w:rsidR="00CE1399" w:rsidRPr="00B11A94">
        <w:t>Italy</w:t>
      </w:r>
      <w:r w:rsidR="00B11A94" w:rsidRPr="00B11A94">
        <w:t>)</w:t>
      </w:r>
      <w:r w:rsidR="00CE1399" w:rsidRPr="00B11A94">
        <w:t xml:space="preserve"> requesting</w:t>
      </w:r>
      <w:r w:rsidR="00CE1399" w:rsidRPr="007D313F">
        <w:t xml:space="preserve"> additional information and justification regarding the satisfactory fulfilment of that milestone.</w:t>
      </w:r>
    </w:p>
    <w:p w14:paraId="67E4BB4F" w14:textId="72157B32" w:rsidR="001301C1" w:rsidRPr="00762B9D" w:rsidRDefault="001301C1" w:rsidP="001163DD">
      <w:pPr>
        <w:pStyle w:val="HNum-fromh2Heading4-111"/>
      </w:pPr>
      <w:r w:rsidRPr="00954A3D">
        <w:t xml:space="preserve">Qualitative assessment of the legality and regularity of payments and of compliance with </w:t>
      </w:r>
      <w:r w:rsidR="007149D9" w:rsidRPr="00954A3D">
        <w:t>A</w:t>
      </w:r>
      <w:r w:rsidRPr="00954A3D">
        <w:t>rt</w:t>
      </w:r>
      <w:r w:rsidR="007149D9" w:rsidRPr="00954A3D">
        <w:t>icle</w:t>
      </w:r>
      <w:r w:rsidR="007149D9" w:rsidRPr="00954A3D">
        <w:rPr>
          <w:rFonts w:ascii="Calibri" w:hAnsi="Calibri" w:cs="Calibri"/>
        </w:rPr>
        <w:t> </w:t>
      </w:r>
      <w:r w:rsidRPr="00954A3D">
        <w:t xml:space="preserve">22(2)(a) and </w:t>
      </w:r>
      <w:r w:rsidR="007149D9" w:rsidRPr="00954A3D">
        <w:t>A</w:t>
      </w:r>
      <w:r w:rsidRPr="00954A3D">
        <w:t>rt</w:t>
      </w:r>
      <w:r w:rsidR="007149D9" w:rsidRPr="00954A3D">
        <w:t>icle</w:t>
      </w:r>
      <w:r w:rsidR="007149D9" w:rsidRPr="00954A3D">
        <w:rPr>
          <w:rFonts w:ascii="Calibri" w:hAnsi="Calibri" w:cs="Calibri"/>
        </w:rPr>
        <w:t> </w:t>
      </w:r>
      <w:r w:rsidRPr="00954A3D">
        <w:t xml:space="preserve">22(5) of the Recovery and Resilience Facility Regulation </w:t>
      </w:r>
      <w:r w:rsidRPr="00762B9D">
        <w:t>indicates generally low/medium risk</w:t>
      </w:r>
    </w:p>
    <w:p w14:paraId="4CF2C407" w14:textId="3F9E55E1" w:rsidR="001301C1" w:rsidRPr="00762B9D" w:rsidRDefault="001301C1" w:rsidP="001301C1">
      <w:r w:rsidRPr="00762B9D">
        <w:t>The Commission’s qualitative assessment as regards the legality and regularity of the payments is based on a combination of results from</w:t>
      </w:r>
      <w:r w:rsidR="004B0FA9" w:rsidRPr="00762B9D">
        <w:t xml:space="preserve"> the following sources</w:t>
      </w:r>
      <w:r w:rsidRPr="00762B9D">
        <w:t xml:space="preserve">: (1) the Commission’s </w:t>
      </w:r>
      <w:r w:rsidR="006810F9" w:rsidRPr="00762B9D">
        <w:rPr>
          <w:rStyle w:val="Italic"/>
        </w:rPr>
        <w:t>ex ante</w:t>
      </w:r>
      <w:r w:rsidRPr="00762B9D">
        <w:t xml:space="preserve"> assessment of the payment requests; (2) the Commission’s </w:t>
      </w:r>
      <w:r w:rsidR="006810F9" w:rsidRPr="00762B9D">
        <w:rPr>
          <w:rStyle w:val="Italic"/>
        </w:rPr>
        <w:t>ex post</w:t>
      </w:r>
      <w:r w:rsidRPr="00762B9D">
        <w:t xml:space="preserve"> audits on milestones and targets</w:t>
      </w:r>
      <w:r w:rsidR="00CC17C0" w:rsidRPr="00762B9D">
        <w:t>,</w:t>
      </w:r>
      <w:r w:rsidRPr="00762B9D">
        <w:t xml:space="preserve"> taking into account the risk profile of the milestones and targets submitted; and (3) the European Court of Auditors’ findings, if deemed acceptable.</w:t>
      </w:r>
    </w:p>
    <w:p w14:paraId="185723D3" w14:textId="469A0BA0" w:rsidR="001301C1" w:rsidRPr="00762B9D" w:rsidRDefault="001301C1" w:rsidP="001301C1">
      <w:r w:rsidRPr="00762B9D">
        <w:t xml:space="preserve">As a result, the Commission determines a level of risk to the legality and regularity of each payment and, for each Member State, a level of risk to compliance with </w:t>
      </w:r>
      <w:r w:rsidR="004A51FF" w:rsidRPr="00762B9D">
        <w:t>Article</w:t>
      </w:r>
      <w:r w:rsidR="004A51FF" w:rsidRPr="00762B9D">
        <w:rPr>
          <w:rFonts w:ascii="Calibri" w:hAnsi="Calibri" w:cs="Calibri"/>
        </w:rPr>
        <w:t> </w:t>
      </w:r>
      <w:r w:rsidRPr="00762B9D">
        <w:t xml:space="preserve">22(2)(a) and </w:t>
      </w:r>
      <w:r w:rsidR="004A51FF" w:rsidRPr="00762B9D">
        <w:t>Article</w:t>
      </w:r>
      <w:r w:rsidR="004A51FF" w:rsidRPr="00762B9D">
        <w:rPr>
          <w:rFonts w:ascii="Calibri" w:hAnsi="Calibri" w:cs="Calibri"/>
        </w:rPr>
        <w:t> </w:t>
      </w:r>
      <w:r w:rsidRPr="00762B9D">
        <w:t xml:space="preserve">22(5) of the </w:t>
      </w:r>
      <w:r w:rsidR="00DD0D13" w:rsidRPr="006D3C55">
        <w:rPr>
          <w:rFonts w:eastAsiaTheme="majorEastAsia"/>
        </w:rPr>
        <w:t>Recovery and Resilience Facility</w:t>
      </w:r>
      <w:r w:rsidRPr="00762B9D">
        <w:t xml:space="preserve"> Regulation. The level of risk can be classified as low, medium or high.</w:t>
      </w:r>
    </w:p>
    <w:p w14:paraId="620622FA" w14:textId="1EBCC3D5" w:rsidR="001301C1" w:rsidRPr="00762B9D" w:rsidRDefault="001301C1" w:rsidP="001301C1">
      <w:r w:rsidRPr="00762B9D">
        <w:t>The Commission’s conclusions per payment request received are summarised in the following table</w:t>
      </w:r>
      <w:r w:rsidR="004A51FF" w:rsidRPr="00762B9D">
        <w:t>.</w:t>
      </w:r>
    </w:p>
    <w:p w14:paraId="2078BC0C" w14:textId="77777777" w:rsidR="001301C1" w:rsidRPr="006D3C55" w:rsidRDefault="001301C1" w:rsidP="004D197B">
      <w:pPr>
        <w:rPr>
          <w:highlight w:val="yellow"/>
        </w:rPr>
      </w:pPr>
      <w:r w:rsidRPr="006D3C55">
        <w:rPr>
          <w:highlight w:val="yellow"/>
        </w:rPr>
        <w:br w:type="page"/>
      </w:r>
    </w:p>
    <w:p w14:paraId="52D2C910" w14:textId="4BFDE41E" w:rsidR="001301C1" w:rsidRPr="00724F17" w:rsidRDefault="001301C1" w:rsidP="008C1D2B">
      <w:pPr>
        <w:pStyle w:val="TableTitle"/>
        <w:shd w:val="clear" w:color="auto" w:fill="FFFFFF" w:themeFill="background1"/>
        <w:spacing w:before="240" w:after="120"/>
      </w:pPr>
      <w:r w:rsidRPr="00724F17">
        <w:t>Qualitative assessment payments made in 202</w:t>
      </w:r>
      <w:r w:rsidR="00724F17">
        <w:t>5</w:t>
      </w:r>
    </w:p>
    <w:tbl>
      <w:tblPr>
        <w:tblStyle w:val="BodyTable1"/>
        <w:tblW w:w="5000" w:type="pct"/>
        <w:jc w:val="center"/>
        <w:tblInd w:w="0" w:type="dxa"/>
        <w:tblLayout w:type="fixed"/>
        <w:tblLook w:val="04A0" w:firstRow="1" w:lastRow="0" w:firstColumn="1" w:lastColumn="0" w:noHBand="0" w:noVBand="1"/>
      </w:tblPr>
      <w:tblGrid>
        <w:gridCol w:w="2254"/>
        <w:gridCol w:w="1133"/>
        <w:gridCol w:w="1132"/>
        <w:gridCol w:w="1134"/>
        <w:gridCol w:w="852"/>
        <w:gridCol w:w="1277"/>
        <w:gridCol w:w="1259"/>
      </w:tblGrid>
      <w:tr w:rsidR="00FB7579" w:rsidRPr="006D3C55" w14:paraId="138D9ABA" w14:textId="77777777" w:rsidTr="00B2036E">
        <w:trPr>
          <w:cnfStyle w:val="100000000000" w:firstRow="1" w:lastRow="0" w:firstColumn="0" w:lastColumn="0" w:oddVBand="0" w:evenVBand="0" w:oddHBand="0" w:evenHBand="0" w:firstRowFirstColumn="0" w:firstRowLastColumn="0" w:lastRowFirstColumn="0" w:lastRowLastColumn="0"/>
          <w:cantSplit/>
          <w:trHeight w:val="283"/>
          <w:tblHeader/>
          <w:jc w:val="center"/>
        </w:trPr>
        <w:tc>
          <w:tcPr>
            <w:cnfStyle w:val="001000000000" w:firstRow="0" w:lastRow="0" w:firstColumn="1" w:lastColumn="0" w:oddVBand="0" w:evenVBand="0" w:oddHBand="0" w:evenHBand="0" w:firstRowFirstColumn="0" w:firstRowLastColumn="0" w:lastRowFirstColumn="0" w:lastRowLastColumn="0"/>
            <w:tcW w:w="1874" w:type="pct"/>
            <w:gridSpan w:val="2"/>
            <w:vMerge w:val="restart"/>
            <w:vAlign w:val="center"/>
          </w:tcPr>
          <w:p w14:paraId="6552B4D6" w14:textId="77777777" w:rsidR="00FB7579" w:rsidRPr="006D3C55" w:rsidRDefault="00FB7579">
            <w:pPr>
              <w:rPr>
                <w:highlight w:val="yellow"/>
                <w:lang w:val="en-GB"/>
              </w:rPr>
            </w:pPr>
          </w:p>
        </w:tc>
        <w:tc>
          <w:tcPr>
            <w:tcW w:w="3126" w:type="pct"/>
            <w:gridSpan w:val="5"/>
            <w:vAlign w:val="center"/>
            <w:hideMark/>
          </w:tcPr>
          <w:p w14:paraId="30F0738C" w14:textId="77777777" w:rsidR="00FB7579" w:rsidRPr="006D3C55" w:rsidRDefault="00FB7579">
            <w:pPr>
              <w:spacing w:before="0" w:beforeAutospacing="0" w:after="0" w:afterAutospacing="0"/>
              <w:cnfStyle w:val="100000000000" w:firstRow="1" w:lastRow="0" w:firstColumn="0" w:lastColumn="0" w:oddVBand="0" w:evenVBand="0" w:oddHBand="0" w:evenHBand="0" w:firstRowFirstColumn="0" w:firstRowLastColumn="0" w:lastRowFirstColumn="0" w:lastRowLastColumn="0"/>
              <w:rPr>
                <w:lang w:val="en-GB"/>
              </w:rPr>
            </w:pPr>
            <w:r w:rsidRPr="006D3C55">
              <w:rPr>
                <w:lang w:val="en-GB"/>
              </w:rPr>
              <w:t>Level of risk</w:t>
            </w:r>
          </w:p>
        </w:tc>
      </w:tr>
      <w:tr w:rsidR="00FB7579" w:rsidRPr="006D3C55" w14:paraId="524A8109" w14:textId="77777777" w:rsidTr="00B2036E">
        <w:trPr>
          <w:cnfStyle w:val="100000000000" w:firstRow="1" w:lastRow="0" w:firstColumn="0" w:lastColumn="0" w:oddVBand="0" w:evenVBand="0" w:oddHBand="0" w:evenHBand="0" w:firstRowFirstColumn="0" w:firstRowLastColumn="0" w:lastRowFirstColumn="0" w:lastRowLastColumn="0"/>
          <w:cantSplit/>
          <w:trHeight w:val="283"/>
          <w:tblHeader/>
          <w:jc w:val="center"/>
        </w:trPr>
        <w:tc>
          <w:tcPr>
            <w:cnfStyle w:val="001000000000" w:firstRow="0" w:lastRow="0" w:firstColumn="1" w:lastColumn="0" w:oddVBand="0" w:evenVBand="0" w:oddHBand="0" w:evenHBand="0" w:firstRowFirstColumn="0" w:firstRowLastColumn="0" w:lastRowFirstColumn="0" w:lastRowLastColumn="0"/>
            <w:tcW w:w="1874" w:type="pct"/>
            <w:gridSpan w:val="2"/>
            <w:vMerge/>
            <w:vAlign w:val="center"/>
            <w:hideMark/>
          </w:tcPr>
          <w:p w14:paraId="3A759562" w14:textId="77777777" w:rsidR="00FB7579" w:rsidRPr="006D3C55" w:rsidRDefault="00FB7579">
            <w:pPr>
              <w:suppressAutoHyphens w:val="0"/>
              <w:spacing w:before="0" w:after="0"/>
              <w:rPr>
                <w:highlight w:val="yellow"/>
                <w:lang w:val="en-GB"/>
              </w:rPr>
            </w:pPr>
          </w:p>
        </w:tc>
        <w:tc>
          <w:tcPr>
            <w:tcW w:w="1724" w:type="pct"/>
            <w:gridSpan w:val="3"/>
            <w:vMerge w:val="restart"/>
            <w:vAlign w:val="center"/>
            <w:hideMark/>
          </w:tcPr>
          <w:p w14:paraId="4BF092D6" w14:textId="77777777" w:rsidR="00FB7579" w:rsidRPr="006D3C55" w:rsidRDefault="00FB7579">
            <w:pPr>
              <w:spacing w:before="0" w:beforeAutospacing="0" w:after="0" w:afterAutospacing="0"/>
              <w:cnfStyle w:val="100000000000" w:firstRow="1" w:lastRow="0" w:firstColumn="0" w:lastColumn="0" w:oddVBand="0" w:evenVBand="0" w:oddHBand="0" w:evenHBand="0" w:firstRowFirstColumn="0" w:firstRowLastColumn="0" w:lastRowFirstColumn="0" w:lastRowLastColumn="0"/>
              <w:rPr>
                <w:lang w:val="en-GB"/>
              </w:rPr>
            </w:pPr>
            <w:r w:rsidRPr="006D3C55">
              <w:rPr>
                <w:lang w:val="en-GB"/>
              </w:rPr>
              <w:t>Legality and regularity</w:t>
            </w:r>
          </w:p>
        </w:tc>
        <w:tc>
          <w:tcPr>
            <w:tcW w:w="1402" w:type="pct"/>
            <w:gridSpan w:val="2"/>
            <w:vAlign w:val="center"/>
            <w:hideMark/>
          </w:tcPr>
          <w:p w14:paraId="673E0B75" w14:textId="1F31CD68" w:rsidR="00FB7579" w:rsidRPr="006D3C55" w:rsidRDefault="00FB7579">
            <w:pPr>
              <w:spacing w:before="0" w:beforeAutospacing="0" w:after="0" w:afterAutospacing="0"/>
              <w:cnfStyle w:val="100000000000" w:firstRow="1" w:lastRow="0" w:firstColumn="0" w:lastColumn="0" w:oddVBand="0" w:evenVBand="0" w:oddHBand="0" w:evenHBand="0" w:firstRowFirstColumn="0" w:firstRowLastColumn="0" w:lastRowFirstColumn="0" w:lastRowLastColumn="0"/>
              <w:rPr>
                <w:lang w:val="en-GB"/>
              </w:rPr>
            </w:pPr>
            <w:r w:rsidRPr="006D3C55">
              <w:rPr>
                <w:lang w:val="en-GB"/>
              </w:rPr>
              <w:t>Compliance with</w:t>
            </w:r>
          </w:p>
        </w:tc>
      </w:tr>
      <w:tr w:rsidR="00FB7579" w:rsidRPr="006D3C55" w14:paraId="4E8020C5" w14:textId="77777777" w:rsidTr="00B2036E">
        <w:trPr>
          <w:cnfStyle w:val="100000000000" w:firstRow="1" w:lastRow="0" w:firstColumn="0" w:lastColumn="0" w:oddVBand="0" w:evenVBand="0" w:oddHBand="0" w:evenHBand="0" w:firstRowFirstColumn="0" w:firstRowLastColumn="0" w:lastRowFirstColumn="0" w:lastRowLastColumn="0"/>
          <w:cantSplit/>
          <w:trHeight w:val="283"/>
          <w:tblHeader/>
          <w:jc w:val="center"/>
        </w:trPr>
        <w:tc>
          <w:tcPr>
            <w:cnfStyle w:val="001000000000" w:firstRow="0" w:lastRow="0" w:firstColumn="1" w:lastColumn="0" w:oddVBand="0" w:evenVBand="0" w:oddHBand="0" w:evenHBand="0" w:firstRowFirstColumn="0" w:firstRowLastColumn="0" w:lastRowFirstColumn="0" w:lastRowLastColumn="0"/>
            <w:tcW w:w="1874" w:type="pct"/>
            <w:gridSpan w:val="2"/>
            <w:vMerge/>
            <w:vAlign w:val="center"/>
            <w:hideMark/>
          </w:tcPr>
          <w:p w14:paraId="0F4527F0" w14:textId="77777777" w:rsidR="00FB7579" w:rsidRPr="006D3C55" w:rsidRDefault="00FB7579">
            <w:pPr>
              <w:suppressAutoHyphens w:val="0"/>
              <w:spacing w:before="0" w:after="0"/>
              <w:rPr>
                <w:highlight w:val="yellow"/>
                <w:lang w:val="en-GB"/>
              </w:rPr>
            </w:pPr>
          </w:p>
        </w:tc>
        <w:tc>
          <w:tcPr>
            <w:tcW w:w="1724" w:type="pct"/>
            <w:gridSpan w:val="3"/>
            <w:vMerge/>
            <w:vAlign w:val="center"/>
            <w:hideMark/>
          </w:tcPr>
          <w:p w14:paraId="6B19EAB7" w14:textId="77777777" w:rsidR="00FB7579" w:rsidRPr="006D3C55" w:rsidRDefault="00FB7579">
            <w:pPr>
              <w:suppressAutoHyphens w:val="0"/>
              <w:spacing w:before="0" w:after="0"/>
              <w:cnfStyle w:val="100000000000" w:firstRow="1" w:lastRow="0" w:firstColumn="0" w:lastColumn="0" w:oddVBand="0" w:evenVBand="0" w:oddHBand="0" w:evenHBand="0" w:firstRowFirstColumn="0" w:firstRowLastColumn="0" w:lastRowFirstColumn="0" w:lastRowLastColumn="0"/>
              <w:rPr>
                <w:lang w:val="en-GB"/>
              </w:rPr>
            </w:pPr>
          </w:p>
        </w:tc>
        <w:tc>
          <w:tcPr>
            <w:tcW w:w="706" w:type="pct"/>
            <w:vAlign w:val="center"/>
            <w:hideMark/>
          </w:tcPr>
          <w:p w14:paraId="5C4E6816" w14:textId="77777777" w:rsidR="00FB7579" w:rsidRPr="006D3C55" w:rsidRDefault="00FB7579">
            <w:pPr>
              <w:spacing w:before="0" w:beforeAutospacing="0" w:after="0" w:afterAutospacing="0"/>
              <w:cnfStyle w:val="100000000000" w:firstRow="1" w:lastRow="0" w:firstColumn="0" w:lastColumn="0" w:oddVBand="0" w:evenVBand="0" w:oddHBand="0" w:evenHBand="0" w:firstRowFirstColumn="0" w:firstRowLastColumn="0" w:lastRowFirstColumn="0" w:lastRowLastColumn="0"/>
              <w:rPr>
                <w:lang w:val="en-GB"/>
              </w:rPr>
            </w:pPr>
            <w:r w:rsidRPr="006D3C55">
              <w:rPr>
                <w:lang w:val="en-GB"/>
              </w:rPr>
              <w:t xml:space="preserve">Applicable rules </w:t>
            </w:r>
            <w:r w:rsidRPr="006D3C55">
              <w:rPr>
                <w:lang w:val="en-GB"/>
              </w:rPr>
              <w:br/>
              <w:t>(a)</w:t>
            </w:r>
          </w:p>
        </w:tc>
        <w:tc>
          <w:tcPr>
            <w:tcW w:w="696" w:type="pct"/>
            <w:hideMark/>
          </w:tcPr>
          <w:p w14:paraId="46FC0CB4" w14:textId="77777777" w:rsidR="00FB7579" w:rsidRPr="006D3C55" w:rsidRDefault="00FB7579">
            <w:pPr>
              <w:spacing w:before="0" w:beforeAutospacing="0" w:after="0" w:afterAutospacing="0"/>
              <w:cnfStyle w:val="100000000000" w:firstRow="1" w:lastRow="0" w:firstColumn="0" w:lastColumn="0" w:oddVBand="0" w:evenVBand="0" w:oddHBand="0" w:evenHBand="0" w:firstRowFirstColumn="0" w:firstRowLastColumn="0" w:lastRowFirstColumn="0" w:lastRowLastColumn="0"/>
              <w:rPr>
                <w:lang w:val="en-GB"/>
              </w:rPr>
            </w:pPr>
            <w:r w:rsidRPr="006D3C55">
              <w:rPr>
                <w:lang w:val="en-GB"/>
              </w:rPr>
              <w:t xml:space="preserve">Obligation to correct </w:t>
            </w:r>
            <w:r w:rsidRPr="006D3C55">
              <w:rPr>
                <w:lang w:val="en-GB"/>
              </w:rPr>
              <w:br/>
              <w:t>(b)</w:t>
            </w:r>
          </w:p>
        </w:tc>
      </w:tr>
      <w:tr w:rsidR="000E20DF" w:rsidRPr="006D3C55" w14:paraId="26FC018D" w14:textId="77777777" w:rsidTr="00B2036E">
        <w:trPr>
          <w:cnfStyle w:val="100000000000" w:firstRow="1" w:lastRow="0" w:firstColumn="0" w:lastColumn="0" w:oddVBand="0" w:evenVBand="0" w:oddHBand="0" w:evenHBand="0" w:firstRowFirstColumn="0" w:firstRowLastColumn="0" w:lastRowFirstColumn="0" w:lastRowLastColumn="0"/>
          <w:cantSplit/>
          <w:trHeight w:val="283"/>
          <w:tblHeader/>
          <w:jc w:val="center"/>
        </w:trPr>
        <w:tc>
          <w:tcPr>
            <w:cnfStyle w:val="001000000000" w:firstRow="0" w:lastRow="0" w:firstColumn="1" w:lastColumn="0" w:oddVBand="0" w:evenVBand="0" w:oddHBand="0" w:evenHBand="0" w:firstRowFirstColumn="0" w:firstRowLastColumn="0" w:lastRowFirstColumn="0" w:lastRowLastColumn="0"/>
            <w:tcW w:w="1247" w:type="pct"/>
            <w:vAlign w:val="center"/>
            <w:hideMark/>
          </w:tcPr>
          <w:p w14:paraId="2475F511" w14:textId="77777777" w:rsidR="00FB7579" w:rsidRPr="006D3C55" w:rsidRDefault="00FB7579">
            <w:pPr>
              <w:spacing w:before="0" w:beforeAutospacing="0" w:after="0" w:afterAutospacing="0"/>
              <w:rPr>
                <w:lang w:val="en-GB"/>
              </w:rPr>
            </w:pPr>
            <w:r w:rsidRPr="006D3C55">
              <w:rPr>
                <w:lang w:val="en-GB"/>
              </w:rPr>
              <w:t>Member State</w:t>
            </w:r>
          </w:p>
        </w:tc>
        <w:tc>
          <w:tcPr>
            <w:tcW w:w="627" w:type="pct"/>
            <w:vAlign w:val="center"/>
            <w:hideMark/>
          </w:tcPr>
          <w:p w14:paraId="5C475C4C" w14:textId="77777777" w:rsidR="00FB7579" w:rsidRPr="006D3C55" w:rsidRDefault="00FB7579">
            <w:pPr>
              <w:spacing w:before="0" w:beforeAutospacing="0" w:after="0" w:afterAutospacing="0"/>
              <w:cnfStyle w:val="100000000000" w:firstRow="1" w:lastRow="0" w:firstColumn="0" w:lastColumn="0" w:oddVBand="0" w:evenVBand="0" w:oddHBand="0" w:evenHBand="0" w:firstRowFirstColumn="0" w:firstRowLastColumn="0" w:lastRowFirstColumn="0" w:lastRowLastColumn="0"/>
              <w:rPr>
                <w:lang w:val="en-GB"/>
              </w:rPr>
            </w:pPr>
            <w:r w:rsidRPr="006D3C55">
              <w:rPr>
                <w:lang w:val="en-GB"/>
              </w:rPr>
              <w:t>Payment request</w:t>
            </w:r>
          </w:p>
        </w:tc>
        <w:tc>
          <w:tcPr>
            <w:tcW w:w="626" w:type="pct"/>
            <w:vAlign w:val="center"/>
            <w:hideMark/>
          </w:tcPr>
          <w:p w14:paraId="38ACC89F" w14:textId="77777777" w:rsidR="00FB7579" w:rsidRPr="006D3C55" w:rsidRDefault="00FB7579">
            <w:pPr>
              <w:spacing w:before="0" w:beforeAutospacing="0" w:after="0" w:afterAutospacing="0"/>
              <w:cnfStyle w:val="100000000000" w:firstRow="1" w:lastRow="0" w:firstColumn="0" w:lastColumn="0" w:oddVBand="0" w:evenVBand="0" w:oddHBand="0" w:evenHBand="0" w:firstRowFirstColumn="0" w:firstRowLastColumn="0" w:lastRowFirstColumn="0" w:lastRowLastColumn="0"/>
              <w:rPr>
                <w:lang w:val="en-GB"/>
              </w:rPr>
            </w:pPr>
            <w:r w:rsidRPr="006D3C55">
              <w:rPr>
                <w:lang w:val="en-GB"/>
              </w:rPr>
              <w:t>Audit opinion</w:t>
            </w:r>
          </w:p>
        </w:tc>
        <w:tc>
          <w:tcPr>
            <w:tcW w:w="627" w:type="pct"/>
            <w:vAlign w:val="center"/>
            <w:hideMark/>
          </w:tcPr>
          <w:p w14:paraId="57993CA6" w14:textId="77777777" w:rsidR="00FB7579" w:rsidRPr="006D3C55" w:rsidRDefault="00FB7579">
            <w:pPr>
              <w:spacing w:before="0" w:beforeAutospacing="0" w:after="0" w:afterAutospacing="0"/>
              <w:cnfStyle w:val="100000000000" w:firstRow="1" w:lastRow="0" w:firstColumn="0" w:lastColumn="0" w:oddVBand="0" w:evenVBand="0" w:oddHBand="0" w:evenHBand="0" w:firstRowFirstColumn="0" w:firstRowLastColumn="0" w:lastRowFirstColumn="0" w:lastRowLastColumn="0"/>
              <w:rPr>
                <w:lang w:val="en-GB"/>
              </w:rPr>
            </w:pPr>
            <w:r w:rsidRPr="006D3C55">
              <w:rPr>
                <w:lang w:val="en-GB"/>
              </w:rPr>
              <w:t>Manage</w:t>
            </w:r>
            <w:r w:rsidRPr="006D3C55">
              <w:rPr>
                <w:lang w:val="en-GB"/>
              </w:rPr>
              <w:softHyphen/>
              <w:t>ment opinion</w:t>
            </w:r>
          </w:p>
        </w:tc>
        <w:tc>
          <w:tcPr>
            <w:tcW w:w="471" w:type="pct"/>
            <w:vAlign w:val="center"/>
            <w:hideMark/>
          </w:tcPr>
          <w:p w14:paraId="2CB891AF" w14:textId="77777777" w:rsidR="00FB7579" w:rsidRPr="006D3C55" w:rsidRDefault="00FB7579">
            <w:pPr>
              <w:spacing w:before="0" w:beforeAutospacing="0" w:after="0" w:afterAutospacing="0"/>
              <w:cnfStyle w:val="100000000000" w:firstRow="1" w:lastRow="0" w:firstColumn="0" w:lastColumn="0" w:oddVBand="0" w:evenVBand="0" w:oddHBand="0" w:evenHBand="0" w:firstRowFirstColumn="0" w:firstRowLastColumn="0" w:lastRowFirstColumn="0" w:lastRowLastColumn="0"/>
              <w:rPr>
                <w:lang w:val="en-GB"/>
              </w:rPr>
            </w:pPr>
            <w:r w:rsidRPr="006D3C55">
              <w:rPr>
                <w:lang w:val="en-GB"/>
              </w:rPr>
              <w:t>Overall</w:t>
            </w:r>
          </w:p>
        </w:tc>
        <w:tc>
          <w:tcPr>
            <w:tcW w:w="706" w:type="pct"/>
            <w:vAlign w:val="center"/>
            <w:hideMark/>
          </w:tcPr>
          <w:p w14:paraId="3FB9B733" w14:textId="77777777" w:rsidR="00FB7579" w:rsidRPr="006D3C55" w:rsidRDefault="00FB7579">
            <w:pPr>
              <w:spacing w:before="0" w:beforeAutospacing="0" w:after="0" w:afterAutospacing="0"/>
              <w:cnfStyle w:val="100000000000" w:firstRow="1" w:lastRow="0" w:firstColumn="0" w:lastColumn="0" w:oddVBand="0" w:evenVBand="0" w:oddHBand="0" w:evenHBand="0" w:firstRowFirstColumn="0" w:firstRowLastColumn="0" w:lastRowFirstColumn="0" w:lastRowLastColumn="0"/>
              <w:rPr>
                <w:lang w:val="en-GB"/>
              </w:rPr>
            </w:pPr>
            <w:r w:rsidRPr="006D3C55">
              <w:rPr>
                <w:lang w:val="en-GB"/>
              </w:rPr>
              <w:t>Audit opinion</w:t>
            </w:r>
          </w:p>
        </w:tc>
        <w:tc>
          <w:tcPr>
            <w:tcW w:w="696" w:type="pct"/>
            <w:vAlign w:val="center"/>
            <w:hideMark/>
          </w:tcPr>
          <w:p w14:paraId="52B5E416" w14:textId="77777777" w:rsidR="00FB7579" w:rsidRPr="006D3C55" w:rsidRDefault="00FB7579">
            <w:pPr>
              <w:spacing w:before="0" w:beforeAutospacing="0" w:after="0" w:afterAutospacing="0"/>
              <w:cnfStyle w:val="100000000000" w:firstRow="1" w:lastRow="0" w:firstColumn="0" w:lastColumn="0" w:oddVBand="0" w:evenVBand="0" w:oddHBand="0" w:evenHBand="0" w:firstRowFirstColumn="0" w:firstRowLastColumn="0" w:lastRowFirstColumn="0" w:lastRowLastColumn="0"/>
              <w:rPr>
                <w:lang w:val="en-GB"/>
              </w:rPr>
            </w:pPr>
            <w:r w:rsidRPr="006D3C55">
              <w:rPr>
                <w:lang w:val="en-GB"/>
              </w:rPr>
              <w:t>Audit opinion</w:t>
            </w:r>
          </w:p>
        </w:tc>
      </w:tr>
      <w:tr w:rsidR="00820AA9" w:rsidRPr="006D3C55" w14:paraId="27A08314" w14:textId="77777777" w:rsidTr="00B2036E">
        <w:trPr>
          <w:cnfStyle w:val="000000100000" w:firstRow="0" w:lastRow="0" w:firstColumn="0" w:lastColumn="0" w:oddVBand="0" w:evenVBand="0" w:oddHBand="1" w:evenHBand="0" w:firstRowFirstColumn="0" w:firstRowLastColumn="0" w:lastRowFirstColumn="0" w:lastRowLastColumn="0"/>
          <w:cantSplit/>
          <w:jc w:val="center"/>
        </w:trPr>
        <w:tc>
          <w:tcPr>
            <w:cnfStyle w:val="001000000000" w:firstRow="0" w:lastRow="0" w:firstColumn="1" w:lastColumn="0" w:oddVBand="0" w:evenVBand="0" w:oddHBand="0" w:evenHBand="0" w:firstRowFirstColumn="0" w:firstRowLastColumn="0" w:lastRowFirstColumn="0" w:lastRowLastColumn="0"/>
            <w:tcW w:w="1247" w:type="pct"/>
            <w:shd w:val="clear" w:color="auto" w:fill="F2F2F2" w:themeFill="background1" w:themeFillShade="F2"/>
            <w:vAlign w:val="center"/>
          </w:tcPr>
          <w:p w14:paraId="252873CB" w14:textId="6FD2C65B" w:rsidR="005E7DBD" w:rsidRPr="00521314" w:rsidRDefault="005E7DBD" w:rsidP="005E7DBD">
            <w:pPr>
              <w:spacing w:before="0" w:after="0"/>
              <w:rPr>
                <w:noProof/>
              </w:rPr>
            </w:pPr>
            <w:r w:rsidRPr="00521314">
              <w:rPr>
                <w:noProof/>
              </w:rPr>
              <w:drawing>
                <wp:inline distT="0" distB="0" distL="0" distR="0" wp14:anchorId="12464768" wp14:editId="6DCB3C40">
                  <wp:extent cx="129540" cy="120650"/>
                  <wp:effectExtent l="0" t="0" r="3810" b="0"/>
                  <wp:docPr id="708880182" name="Picture 3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8880182" name="Picture 31">
                            <a:extLst>
                              <a:ext uri="{C183D7F6-B498-43B3-948B-1728B52AA6E4}">
                                <adec:decorative xmlns:adec="http://schemas.microsoft.com/office/drawing/2017/decorative" val="1"/>
                              </a:ext>
                            </a:extLst>
                          </pic:cNvPr>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129540" cy="120650"/>
                          </a:xfrm>
                          <a:prstGeom prst="rect">
                            <a:avLst/>
                          </a:prstGeom>
                          <a:noFill/>
                          <a:ln>
                            <a:noFill/>
                          </a:ln>
                        </pic:spPr>
                      </pic:pic>
                    </a:graphicData>
                  </a:graphic>
                </wp:inline>
              </w:drawing>
            </w:r>
            <w:r w:rsidRPr="00521314">
              <w:rPr>
                <w:lang w:val="en-GB"/>
              </w:rPr>
              <w:t xml:space="preserve"> Belgium</w:t>
            </w:r>
          </w:p>
        </w:tc>
        <w:tc>
          <w:tcPr>
            <w:tcW w:w="627" w:type="pct"/>
            <w:shd w:val="clear" w:color="auto" w:fill="F2F2F2" w:themeFill="background1" w:themeFillShade="F2"/>
            <w:vAlign w:val="center"/>
          </w:tcPr>
          <w:p w14:paraId="1BEEFD27" w14:textId="637FF0FA" w:rsidR="005E7DBD" w:rsidRPr="00521314" w:rsidRDefault="005E7DBD" w:rsidP="005E7DBD">
            <w:pPr>
              <w:spacing w:before="0" w:after="0"/>
              <w:cnfStyle w:val="000000100000" w:firstRow="0" w:lastRow="0" w:firstColumn="0" w:lastColumn="0" w:oddVBand="0" w:evenVBand="0" w:oddHBand="1" w:evenHBand="0" w:firstRowFirstColumn="0" w:firstRowLastColumn="0" w:lastRowFirstColumn="0" w:lastRowLastColumn="0"/>
            </w:pPr>
            <w:r w:rsidRPr="00521314">
              <w:rPr>
                <w:lang w:val="en-GB"/>
              </w:rPr>
              <w:t>Second</w:t>
            </w:r>
          </w:p>
        </w:tc>
        <w:tc>
          <w:tcPr>
            <w:tcW w:w="626" w:type="pct"/>
            <w:tcBorders>
              <w:bottom w:val="single" w:sz="4" w:space="0" w:color="8C8C8C"/>
            </w:tcBorders>
            <w:shd w:val="clear" w:color="auto" w:fill="D5FFE8"/>
            <w:vAlign w:val="center"/>
          </w:tcPr>
          <w:p w14:paraId="3A7282CE" w14:textId="27375D34" w:rsidR="005E7DBD" w:rsidRPr="00521314" w:rsidRDefault="005E7DBD" w:rsidP="005E7DBD">
            <w:pPr>
              <w:spacing w:before="0" w:after="0"/>
              <w:cnfStyle w:val="000000100000" w:firstRow="0" w:lastRow="0" w:firstColumn="0" w:lastColumn="0" w:oddVBand="0" w:evenVBand="0" w:oddHBand="1" w:evenHBand="0" w:firstRowFirstColumn="0" w:firstRowLastColumn="0" w:lastRowFirstColumn="0" w:lastRowLastColumn="0"/>
            </w:pPr>
            <w:r w:rsidRPr="00521314">
              <w:rPr>
                <w:lang w:val="en-GB"/>
              </w:rPr>
              <w:t>Low</w:t>
            </w:r>
          </w:p>
        </w:tc>
        <w:tc>
          <w:tcPr>
            <w:tcW w:w="627" w:type="pct"/>
            <w:tcBorders>
              <w:bottom w:val="single" w:sz="4" w:space="0" w:color="8C8C8C"/>
            </w:tcBorders>
            <w:shd w:val="clear" w:color="auto" w:fill="D5FFE8"/>
            <w:vAlign w:val="center"/>
          </w:tcPr>
          <w:p w14:paraId="5610F72B" w14:textId="11FF5156" w:rsidR="005E7DBD" w:rsidRPr="00521314" w:rsidRDefault="005E7DBD" w:rsidP="005E7DBD">
            <w:pPr>
              <w:spacing w:before="0" w:after="0"/>
              <w:cnfStyle w:val="000000100000" w:firstRow="0" w:lastRow="0" w:firstColumn="0" w:lastColumn="0" w:oddVBand="0" w:evenVBand="0" w:oddHBand="1" w:evenHBand="0" w:firstRowFirstColumn="0" w:firstRowLastColumn="0" w:lastRowFirstColumn="0" w:lastRowLastColumn="0"/>
            </w:pPr>
            <w:r w:rsidRPr="00521314">
              <w:rPr>
                <w:lang w:val="en-GB"/>
              </w:rPr>
              <w:t>Low</w:t>
            </w:r>
          </w:p>
        </w:tc>
        <w:tc>
          <w:tcPr>
            <w:tcW w:w="471" w:type="pct"/>
            <w:tcBorders>
              <w:bottom w:val="single" w:sz="4" w:space="0" w:color="8C8C8C"/>
            </w:tcBorders>
            <w:shd w:val="clear" w:color="auto" w:fill="D5FFE8"/>
            <w:vAlign w:val="center"/>
          </w:tcPr>
          <w:p w14:paraId="63E720C2" w14:textId="0AE001A0" w:rsidR="005E7DBD" w:rsidRPr="00521314" w:rsidRDefault="005E7DBD" w:rsidP="005E7DBD">
            <w:pPr>
              <w:spacing w:before="0" w:after="0"/>
              <w:cnfStyle w:val="000000100000" w:firstRow="0" w:lastRow="0" w:firstColumn="0" w:lastColumn="0" w:oddVBand="0" w:evenVBand="0" w:oddHBand="1" w:evenHBand="0" w:firstRowFirstColumn="0" w:firstRowLastColumn="0" w:lastRowFirstColumn="0" w:lastRowLastColumn="0"/>
            </w:pPr>
            <w:r w:rsidRPr="00521314">
              <w:rPr>
                <w:lang w:val="en-GB"/>
              </w:rPr>
              <w:t>Low</w:t>
            </w:r>
          </w:p>
        </w:tc>
        <w:tc>
          <w:tcPr>
            <w:tcW w:w="706" w:type="pct"/>
            <w:tcBorders>
              <w:bottom w:val="single" w:sz="4" w:space="0" w:color="8C8C8C"/>
            </w:tcBorders>
            <w:shd w:val="clear" w:color="auto" w:fill="D5FFE8"/>
            <w:vAlign w:val="center"/>
          </w:tcPr>
          <w:p w14:paraId="34E0A126" w14:textId="4EAAFF23" w:rsidR="005E7DBD" w:rsidRPr="00521314" w:rsidRDefault="005E7DBD" w:rsidP="005E7DBD">
            <w:pPr>
              <w:spacing w:before="0" w:after="0"/>
              <w:cnfStyle w:val="000000100000" w:firstRow="0" w:lastRow="0" w:firstColumn="0" w:lastColumn="0" w:oddVBand="0" w:evenVBand="0" w:oddHBand="1" w:evenHBand="0" w:firstRowFirstColumn="0" w:firstRowLastColumn="0" w:lastRowFirstColumn="0" w:lastRowLastColumn="0"/>
            </w:pPr>
            <w:r w:rsidRPr="00521314">
              <w:rPr>
                <w:lang w:val="en-GB"/>
              </w:rPr>
              <w:t>Low</w:t>
            </w:r>
          </w:p>
        </w:tc>
        <w:tc>
          <w:tcPr>
            <w:tcW w:w="696" w:type="pct"/>
            <w:tcBorders>
              <w:bottom w:val="single" w:sz="4" w:space="0" w:color="8C8C8C"/>
            </w:tcBorders>
            <w:shd w:val="clear" w:color="auto" w:fill="D5FFE8"/>
            <w:vAlign w:val="center"/>
          </w:tcPr>
          <w:p w14:paraId="2892ED26" w14:textId="73105FF6" w:rsidR="005E7DBD" w:rsidRPr="00521314" w:rsidRDefault="00521314" w:rsidP="005E7DBD">
            <w:pPr>
              <w:spacing w:before="0" w:after="0"/>
              <w:cnfStyle w:val="000000100000" w:firstRow="0" w:lastRow="0" w:firstColumn="0" w:lastColumn="0" w:oddVBand="0" w:evenVBand="0" w:oddHBand="1" w:evenHBand="0" w:firstRowFirstColumn="0" w:firstRowLastColumn="0" w:lastRowFirstColumn="0" w:lastRowLastColumn="0"/>
            </w:pPr>
            <w:r w:rsidRPr="00521314">
              <w:rPr>
                <w:lang w:val="en-GB"/>
              </w:rPr>
              <w:t>Low</w:t>
            </w:r>
          </w:p>
        </w:tc>
      </w:tr>
      <w:tr w:rsidR="00820AA9" w:rsidRPr="006D3C55" w14:paraId="2FEC5750" w14:textId="77777777" w:rsidTr="00B2036E">
        <w:trPr>
          <w:cnfStyle w:val="000000010000" w:firstRow="0" w:lastRow="0" w:firstColumn="0" w:lastColumn="0" w:oddVBand="0" w:evenVBand="0" w:oddHBand="0" w:evenHBand="1" w:firstRowFirstColumn="0" w:firstRowLastColumn="0" w:lastRowFirstColumn="0" w:lastRowLastColumn="0"/>
          <w:cantSplit/>
          <w:jc w:val="center"/>
        </w:trPr>
        <w:tc>
          <w:tcPr>
            <w:cnfStyle w:val="001000000000" w:firstRow="0" w:lastRow="0" w:firstColumn="1" w:lastColumn="0" w:oddVBand="0" w:evenVBand="0" w:oddHBand="0" w:evenHBand="0" w:firstRowFirstColumn="0" w:firstRowLastColumn="0" w:lastRowFirstColumn="0" w:lastRowLastColumn="0"/>
            <w:tcW w:w="1247" w:type="pct"/>
            <w:shd w:val="clear" w:color="auto" w:fill="F2F2F2" w:themeFill="background1" w:themeFillShade="F2"/>
            <w:vAlign w:val="center"/>
          </w:tcPr>
          <w:p w14:paraId="4884C98F" w14:textId="1A081494" w:rsidR="005E7DBD" w:rsidRPr="00521314" w:rsidRDefault="005E7DBD" w:rsidP="005E7DBD">
            <w:pPr>
              <w:spacing w:before="0" w:after="0"/>
              <w:rPr>
                <w:noProof/>
              </w:rPr>
            </w:pPr>
            <w:r w:rsidRPr="00521314">
              <w:rPr>
                <w:noProof/>
              </w:rPr>
              <w:drawing>
                <wp:inline distT="0" distB="0" distL="0" distR="0" wp14:anchorId="758F6BB5" wp14:editId="28D35358">
                  <wp:extent cx="129540" cy="120650"/>
                  <wp:effectExtent l="0" t="0" r="3810" b="0"/>
                  <wp:docPr id="53194272" name="Picture 3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194272" name="Picture 31">
                            <a:extLst>
                              <a:ext uri="{C183D7F6-B498-43B3-948B-1728B52AA6E4}">
                                <adec:decorative xmlns:adec="http://schemas.microsoft.com/office/drawing/2017/decorative" val="1"/>
                              </a:ext>
                            </a:extLst>
                          </pic:cNvPr>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129540" cy="120650"/>
                          </a:xfrm>
                          <a:prstGeom prst="rect">
                            <a:avLst/>
                          </a:prstGeom>
                          <a:noFill/>
                          <a:ln>
                            <a:noFill/>
                          </a:ln>
                        </pic:spPr>
                      </pic:pic>
                    </a:graphicData>
                  </a:graphic>
                </wp:inline>
              </w:drawing>
            </w:r>
            <w:r w:rsidRPr="00521314">
              <w:rPr>
                <w:lang w:val="en-GB"/>
              </w:rPr>
              <w:t xml:space="preserve"> Belgium</w:t>
            </w:r>
          </w:p>
        </w:tc>
        <w:tc>
          <w:tcPr>
            <w:tcW w:w="627" w:type="pct"/>
            <w:shd w:val="clear" w:color="auto" w:fill="F2F2F2" w:themeFill="background1" w:themeFillShade="F2"/>
            <w:vAlign w:val="center"/>
          </w:tcPr>
          <w:p w14:paraId="29354F43" w14:textId="1AF5E248" w:rsidR="005E7DBD" w:rsidRPr="00521314" w:rsidRDefault="005E7DBD" w:rsidP="005E7DBD">
            <w:pPr>
              <w:spacing w:before="0" w:after="0"/>
              <w:cnfStyle w:val="000000010000" w:firstRow="0" w:lastRow="0" w:firstColumn="0" w:lastColumn="0" w:oddVBand="0" w:evenVBand="0" w:oddHBand="0" w:evenHBand="1" w:firstRowFirstColumn="0" w:firstRowLastColumn="0" w:lastRowFirstColumn="0" w:lastRowLastColumn="0"/>
            </w:pPr>
            <w:r w:rsidRPr="00521314">
              <w:t>Third</w:t>
            </w:r>
          </w:p>
        </w:tc>
        <w:tc>
          <w:tcPr>
            <w:tcW w:w="626" w:type="pct"/>
            <w:shd w:val="clear" w:color="auto" w:fill="D5FFE8"/>
            <w:vAlign w:val="center"/>
          </w:tcPr>
          <w:p w14:paraId="7D2E8EC9" w14:textId="211226CE" w:rsidR="005E7DBD" w:rsidRPr="00521314" w:rsidRDefault="005E7DBD" w:rsidP="005E7DBD">
            <w:pPr>
              <w:spacing w:before="0" w:after="0"/>
              <w:cnfStyle w:val="000000010000" w:firstRow="0" w:lastRow="0" w:firstColumn="0" w:lastColumn="0" w:oddVBand="0" w:evenVBand="0" w:oddHBand="0" w:evenHBand="1" w:firstRowFirstColumn="0" w:firstRowLastColumn="0" w:lastRowFirstColumn="0" w:lastRowLastColumn="0"/>
            </w:pPr>
            <w:r w:rsidRPr="00521314">
              <w:rPr>
                <w:lang w:val="en-GB"/>
              </w:rPr>
              <w:t>Low</w:t>
            </w:r>
          </w:p>
        </w:tc>
        <w:tc>
          <w:tcPr>
            <w:tcW w:w="627" w:type="pct"/>
            <w:shd w:val="clear" w:color="auto" w:fill="D5FFE8"/>
            <w:vAlign w:val="center"/>
          </w:tcPr>
          <w:p w14:paraId="7E289FDD" w14:textId="5067634F" w:rsidR="005E7DBD" w:rsidRPr="00521314" w:rsidRDefault="005E7DBD" w:rsidP="005E7DBD">
            <w:pPr>
              <w:spacing w:before="0" w:after="0"/>
              <w:cnfStyle w:val="000000010000" w:firstRow="0" w:lastRow="0" w:firstColumn="0" w:lastColumn="0" w:oddVBand="0" w:evenVBand="0" w:oddHBand="0" w:evenHBand="1" w:firstRowFirstColumn="0" w:firstRowLastColumn="0" w:lastRowFirstColumn="0" w:lastRowLastColumn="0"/>
            </w:pPr>
            <w:r w:rsidRPr="00521314">
              <w:rPr>
                <w:lang w:val="en-GB"/>
              </w:rPr>
              <w:t>Low</w:t>
            </w:r>
          </w:p>
        </w:tc>
        <w:tc>
          <w:tcPr>
            <w:tcW w:w="471" w:type="pct"/>
            <w:shd w:val="clear" w:color="auto" w:fill="D5FFE8"/>
            <w:vAlign w:val="center"/>
          </w:tcPr>
          <w:p w14:paraId="7789E262" w14:textId="2959A990" w:rsidR="005E7DBD" w:rsidRPr="00521314" w:rsidRDefault="005E7DBD" w:rsidP="005E7DBD">
            <w:pPr>
              <w:spacing w:before="0" w:after="0"/>
              <w:cnfStyle w:val="000000010000" w:firstRow="0" w:lastRow="0" w:firstColumn="0" w:lastColumn="0" w:oddVBand="0" w:evenVBand="0" w:oddHBand="0" w:evenHBand="1" w:firstRowFirstColumn="0" w:firstRowLastColumn="0" w:lastRowFirstColumn="0" w:lastRowLastColumn="0"/>
            </w:pPr>
            <w:r w:rsidRPr="00521314">
              <w:rPr>
                <w:lang w:val="en-GB"/>
              </w:rPr>
              <w:t>Low</w:t>
            </w:r>
          </w:p>
        </w:tc>
        <w:tc>
          <w:tcPr>
            <w:tcW w:w="706" w:type="pct"/>
            <w:shd w:val="clear" w:color="auto" w:fill="D5FFE8"/>
            <w:vAlign w:val="center"/>
          </w:tcPr>
          <w:p w14:paraId="7FBEC89A" w14:textId="6FCAC74F" w:rsidR="005E7DBD" w:rsidRPr="00521314" w:rsidRDefault="005E7DBD" w:rsidP="005E7DBD">
            <w:pPr>
              <w:spacing w:before="0" w:after="0"/>
              <w:cnfStyle w:val="000000010000" w:firstRow="0" w:lastRow="0" w:firstColumn="0" w:lastColumn="0" w:oddVBand="0" w:evenVBand="0" w:oddHBand="0" w:evenHBand="1" w:firstRowFirstColumn="0" w:firstRowLastColumn="0" w:lastRowFirstColumn="0" w:lastRowLastColumn="0"/>
            </w:pPr>
            <w:r w:rsidRPr="00521314">
              <w:rPr>
                <w:lang w:val="en-GB"/>
              </w:rPr>
              <w:t>Low</w:t>
            </w:r>
          </w:p>
        </w:tc>
        <w:tc>
          <w:tcPr>
            <w:tcW w:w="696" w:type="pct"/>
            <w:shd w:val="clear" w:color="auto" w:fill="D5FFE8"/>
            <w:vAlign w:val="center"/>
          </w:tcPr>
          <w:p w14:paraId="5522B7A7" w14:textId="08C4FBBD" w:rsidR="005E7DBD" w:rsidRPr="00521314" w:rsidRDefault="00521314" w:rsidP="005E7DBD">
            <w:pPr>
              <w:spacing w:before="0" w:after="0"/>
              <w:cnfStyle w:val="000000010000" w:firstRow="0" w:lastRow="0" w:firstColumn="0" w:lastColumn="0" w:oddVBand="0" w:evenVBand="0" w:oddHBand="0" w:evenHBand="1" w:firstRowFirstColumn="0" w:firstRowLastColumn="0" w:lastRowFirstColumn="0" w:lastRowLastColumn="0"/>
            </w:pPr>
            <w:r w:rsidRPr="00521314">
              <w:rPr>
                <w:lang w:val="en-GB"/>
              </w:rPr>
              <w:t>Low</w:t>
            </w:r>
          </w:p>
        </w:tc>
      </w:tr>
      <w:tr w:rsidR="004A3355" w:rsidRPr="006D3C55" w14:paraId="670908BA" w14:textId="77777777" w:rsidTr="00B2036E">
        <w:trPr>
          <w:cnfStyle w:val="000000100000" w:firstRow="0" w:lastRow="0" w:firstColumn="0" w:lastColumn="0" w:oddVBand="0" w:evenVBand="0" w:oddHBand="1" w:evenHBand="0" w:firstRowFirstColumn="0" w:firstRowLastColumn="0" w:lastRowFirstColumn="0" w:lastRowLastColumn="0"/>
          <w:cantSplit/>
          <w:jc w:val="center"/>
        </w:trPr>
        <w:tc>
          <w:tcPr>
            <w:cnfStyle w:val="001000000000" w:firstRow="0" w:lastRow="0" w:firstColumn="1" w:lastColumn="0" w:oddVBand="0" w:evenVBand="0" w:oddHBand="0" w:evenHBand="0" w:firstRowFirstColumn="0" w:firstRowLastColumn="0" w:lastRowFirstColumn="0" w:lastRowLastColumn="0"/>
            <w:tcW w:w="1247" w:type="pct"/>
            <w:vAlign w:val="center"/>
          </w:tcPr>
          <w:p w14:paraId="0E081E02" w14:textId="7781DCEF" w:rsidR="003F0A2C" w:rsidRPr="0074525F" w:rsidRDefault="007F0341" w:rsidP="003F0A2C">
            <w:pPr>
              <w:spacing w:before="0" w:after="0"/>
            </w:pPr>
            <w:r w:rsidRPr="0074525F">
              <w:rPr>
                <w:noProof/>
              </w:rPr>
              <mc:AlternateContent>
                <mc:Choice Requires="wpg">
                  <w:drawing>
                    <wp:inline distT="0" distB="0" distL="0" distR="0" wp14:anchorId="59BB3370" wp14:editId="4E31269E">
                      <wp:extent cx="129600" cy="129600"/>
                      <wp:effectExtent l="0" t="0" r="3810" b="3810"/>
                      <wp:docPr id="1718429197" name="Group 2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129600" cy="129600"/>
                                <a:chOff x="0" y="0"/>
                                <a:chExt cx="334963" cy="334963"/>
                              </a:xfrm>
                            </wpg:grpSpPr>
                            <wps:wsp>
                              <wps:cNvPr id="670102652" name="Freeform 404"/>
                              <wps:cNvSpPr>
                                <a:spLocks noEditPoints="1"/>
                              </wps:cNvSpPr>
                              <wps:spPr bwMode="auto">
                                <a:xfrm>
                                  <a:off x="0" y="101600"/>
                                  <a:ext cx="334963" cy="131763"/>
                                </a:xfrm>
                                <a:custGeom>
                                  <a:avLst/>
                                  <a:gdLst>
                                    <a:gd name="T0" fmla="*/ 1638 w 1638"/>
                                    <a:gd name="T1" fmla="*/ 320 h 641"/>
                                    <a:gd name="T2" fmla="*/ 1587 w 1638"/>
                                    <a:gd name="T3" fmla="*/ 35 h 641"/>
                                    <a:gd name="T4" fmla="*/ 819 w 1638"/>
                                    <a:gd name="T5" fmla="*/ 0 h 641"/>
                                    <a:gd name="T6" fmla="*/ 51 w 1638"/>
                                    <a:gd name="T7" fmla="*/ 35 h 641"/>
                                    <a:gd name="T8" fmla="*/ 0 w 1638"/>
                                    <a:gd name="T9" fmla="*/ 320 h 641"/>
                                    <a:gd name="T10" fmla="*/ 51 w 1638"/>
                                    <a:gd name="T11" fmla="*/ 605 h 641"/>
                                    <a:gd name="T12" fmla="*/ 819 w 1638"/>
                                    <a:gd name="T13" fmla="*/ 641 h 641"/>
                                    <a:gd name="T14" fmla="*/ 1587 w 1638"/>
                                    <a:gd name="T15" fmla="*/ 605 h 641"/>
                                    <a:gd name="T16" fmla="*/ 1638 w 1638"/>
                                    <a:gd name="T17" fmla="*/ 320 h 641"/>
                                    <a:gd name="T18" fmla="*/ 1638 w 1638"/>
                                    <a:gd name="T19" fmla="*/ 320 h 641"/>
                                    <a:gd name="T20" fmla="*/ 1638 w 1638"/>
                                    <a:gd name="T21" fmla="*/ 320 h 64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0" t="0" r="r" b="b"/>
                                  <a:pathLst>
                                    <a:path w="1638" h="641">
                                      <a:moveTo>
                                        <a:pt x="1638" y="320"/>
                                      </a:moveTo>
                                      <a:cubicBezTo>
                                        <a:pt x="1638" y="220"/>
                                        <a:pt x="1620" y="124"/>
                                        <a:pt x="1587" y="35"/>
                                      </a:cubicBezTo>
                                      <a:cubicBezTo>
                                        <a:pt x="819" y="0"/>
                                        <a:pt x="819" y="0"/>
                                        <a:pt x="819" y="0"/>
                                      </a:cubicBezTo>
                                      <a:cubicBezTo>
                                        <a:pt x="51" y="35"/>
                                        <a:pt x="51" y="35"/>
                                        <a:pt x="51" y="35"/>
                                      </a:cubicBezTo>
                                      <a:cubicBezTo>
                                        <a:pt x="18" y="124"/>
                                        <a:pt x="0" y="220"/>
                                        <a:pt x="0" y="320"/>
                                      </a:cubicBezTo>
                                      <a:cubicBezTo>
                                        <a:pt x="0" y="420"/>
                                        <a:pt x="18" y="516"/>
                                        <a:pt x="51" y="605"/>
                                      </a:cubicBezTo>
                                      <a:cubicBezTo>
                                        <a:pt x="819" y="641"/>
                                        <a:pt x="819" y="641"/>
                                        <a:pt x="819" y="641"/>
                                      </a:cubicBezTo>
                                      <a:cubicBezTo>
                                        <a:pt x="1587" y="605"/>
                                        <a:pt x="1587" y="605"/>
                                        <a:pt x="1587" y="605"/>
                                      </a:cubicBezTo>
                                      <a:cubicBezTo>
                                        <a:pt x="1620" y="516"/>
                                        <a:pt x="1638" y="420"/>
                                        <a:pt x="1638" y="320"/>
                                      </a:cubicBezTo>
                                      <a:close/>
                                      <a:moveTo>
                                        <a:pt x="1638" y="320"/>
                                      </a:moveTo>
                                      <a:cubicBezTo>
                                        <a:pt x="1638" y="320"/>
                                        <a:pt x="1638" y="320"/>
                                        <a:pt x="1638" y="320"/>
                                      </a:cubicBezTo>
                                    </a:path>
                                  </a:pathLst>
                                </a:custGeom>
                                <a:solidFill>
                                  <a:srgbClr val="496E2D"/>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47478" tIns="23739" rIns="47478" bIns="23739" numCol="1" anchor="t" anchorCtr="0" compatLnSpc="1">
                                <a:prstTxWarp prst="textNoShape">
                                  <a:avLst/>
                                </a:prstTxWarp>
                              </wps:bodyPr>
                            </wps:wsp>
                            <wps:wsp>
                              <wps:cNvPr id="801376789" name="Freeform 405"/>
                              <wps:cNvSpPr>
                                <a:spLocks noEditPoints="1"/>
                              </wps:cNvSpPr>
                              <wps:spPr bwMode="auto">
                                <a:xfrm>
                                  <a:off x="11113" y="225425"/>
                                  <a:ext cx="312738" cy="109538"/>
                                </a:xfrm>
                                <a:custGeom>
                                  <a:avLst/>
                                  <a:gdLst>
                                    <a:gd name="T0" fmla="*/ 768 w 1536"/>
                                    <a:gd name="T1" fmla="*/ 534 h 534"/>
                                    <a:gd name="T2" fmla="*/ 1536 w 1536"/>
                                    <a:gd name="T3" fmla="*/ 0 h 534"/>
                                    <a:gd name="T4" fmla="*/ 0 w 1536"/>
                                    <a:gd name="T5" fmla="*/ 0 h 534"/>
                                    <a:gd name="T6" fmla="*/ 768 w 1536"/>
                                    <a:gd name="T7" fmla="*/ 534 h 534"/>
                                    <a:gd name="T8" fmla="*/ 768 w 1536"/>
                                    <a:gd name="T9" fmla="*/ 534 h 534"/>
                                    <a:gd name="T10" fmla="*/ 768 w 1536"/>
                                    <a:gd name="T11" fmla="*/ 534 h 534"/>
                                  </a:gdLst>
                                  <a:ahLst/>
                                  <a:cxnLst>
                                    <a:cxn ang="0">
                                      <a:pos x="T0" y="T1"/>
                                    </a:cxn>
                                    <a:cxn ang="0">
                                      <a:pos x="T2" y="T3"/>
                                    </a:cxn>
                                    <a:cxn ang="0">
                                      <a:pos x="T4" y="T5"/>
                                    </a:cxn>
                                    <a:cxn ang="0">
                                      <a:pos x="T6" y="T7"/>
                                    </a:cxn>
                                    <a:cxn ang="0">
                                      <a:pos x="T8" y="T9"/>
                                    </a:cxn>
                                    <a:cxn ang="0">
                                      <a:pos x="T10" y="T11"/>
                                    </a:cxn>
                                  </a:cxnLst>
                                  <a:rect l="0" t="0" r="r" b="b"/>
                                  <a:pathLst>
                                    <a:path w="1536" h="534">
                                      <a:moveTo>
                                        <a:pt x="768" y="534"/>
                                      </a:moveTo>
                                      <a:cubicBezTo>
                                        <a:pt x="1120" y="534"/>
                                        <a:pt x="1420" y="312"/>
                                        <a:pt x="1536" y="0"/>
                                      </a:cubicBezTo>
                                      <a:cubicBezTo>
                                        <a:pt x="0" y="0"/>
                                        <a:pt x="0" y="0"/>
                                        <a:pt x="0" y="0"/>
                                      </a:cubicBezTo>
                                      <a:cubicBezTo>
                                        <a:pt x="115" y="312"/>
                                        <a:pt x="416" y="534"/>
                                        <a:pt x="768" y="534"/>
                                      </a:cubicBezTo>
                                      <a:close/>
                                      <a:moveTo>
                                        <a:pt x="768" y="534"/>
                                      </a:moveTo>
                                      <a:cubicBezTo>
                                        <a:pt x="768" y="534"/>
                                        <a:pt x="768" y="534"/>
                                        <a:pt x="768" y="534"/>
                                      </a:cubicBezTo>
                                    </a:path>
                                  </a:pathLst>
                                </a:custGeom>
                                <a:solidFill>
                                  <a:srgbClr val="D80027"/>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47478" tIns="23739" rIns="47478" bIns="23739" numCol="1" anchor="t" anchorCtr="0" compatLnSpc="1">
                                <a:prstTxWarp prst="textNoShape">
                                  <a:avLst/>
                                </a:prstTxWarp>
                              </wps:bodyPr>
                            </wps:wsp>
                            <wps:wsp>
                              <wps:cNvPr id="160631995" name="Freeform 407"/>
                              <wps:cNvSpPr>
                                <a:spLocks noEditPoints="1"/>
                              </wps:cNvSpPr>
                              <wps:spPr bwMode="auto">
                                <a:xfrm>
                                  <a:off x="11113" y="0"/>
                                  <a:ext cx="312738" cy="109538"/>
                                </a:xfrm>
                                <a:custGeom>
                                  <a:avLst/>
                                  <a:gdLst>
                                    <a:gd name="T0" fmla="*/ 0 w 1536"/>
                                    <a:gd name="T1" fmla="*/ 534 h 534"/>
                                    <a:gd name="T2" fmla="*/ 1536 w 1536"/>
                                    <a:gd name="T3" fmla="*/ 534 h 534"/>
                                    <a:gd name="T4" fmla="*/ 768 w 1536"/>
                                    <a:gd name="T5" fmla="*/ 0 h 534"/>
                                    <a:gd name="T6" fmla="*/ 0 w 1536"/>
                                    <a:gd name="T7" fmla="*/ 534 h 534"/>
                                    <a:gd name="T8" fmla="*/ 0 w 1536"/>
                                    <a:gd name="T9" fmla="*/ 534 h 534"/>
                                    <a:gd name="T10" fmla="*/ 0 w 1536"/>
                                    <a:gd name="T11" fmla="*/ 534 h 534"/>
                                  </a:gdLst>
                                  <a:ahLst/>
                                  <a:cxnLst>
                                    <a:cxn ang="0">
                                      <a:pos x="T0" y="T1"/>
                                    </a:cxn>
                                    <a:cxn ang="0">
                                      <a:pos x="T2" y="T3"/>
                                    </a:cxn>
                                    <a:cxn ang="0">
                                      <a:pos x="T4" y="T5"/>
                                    </a:cxn>
                                    <a:cxn ang="0">
                                      <a:pos x="T6" y="T7"/>
                                    </a:cxn>
                                    <a:cxn ang="0">
                                      <a:pos x="T8" y="T9"/>
                                    </a:cxn>
                                    <a:cxn ang="0">
                                      <a:pos x="T10" y="T11"/>
                                    </a:cxn>
                                  </a:cxnLst>
                                  <a:rect l="0" t="0" r="r" b="b"/>
                                  <a:pathLst>
                                    <a:path w="1536" h="534">
                                      <a:moveTo>
                                        <a:pt x="0" y="534"/>
                                      </a:moveTo>
                                      <a:cubicBezTo>
                                        <a:pt x="1536" y="534"/>
                                        <a:pt x="1536" y="534"/>
                                        <a:pt x="1536" y="534"/>
                                      </a:cubicBezTo>
                                      <a:cubicBezTo>
                                        <a:pt x="1420" y="222"/>
                                        <a:pt x="1120" y="0"/>
                                        <a:pt x="768" y="0"/>
                                      </a:cubicBezTo>
                                      <a:cubicBezTo>
                                        <a:pt x="416" y="0"/>
                                        <a:pt x="115" y="222"/>
                                        <a:pt x="0" y="534"/>
                                      </a:cubicBezTo>
                                      <a:close/>
                                      <a:moveTo>
                                        <a:pt x="0" y="534"/>
                                      </a:moveTo>
                                      <a:cubicBezTo>
                                        <a:pt x="0" y="534"/>
                                        <a:pt x="0" y="534"/>
                                        <a:pt x="0" y="534"/>
                                      </a:cubicBezTo>
                                    </a:path>
                                  </a:pathLst>
                                </a:custGeom>
                                <a:solidFill>
                                  <a:schemeClr val="bg1"/>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47478" tIns="23739" rIns="47478" bIns="23739" numCol="1" anchor="t" anchorCtr="0" compatLnSpc="1">
                                <a:prstTxWarp prst="textNoShape">
                                  <a:avLst/>
                                </a:prstTxWarp>
                              </wps:bodyPr>
                            </wps:wsp>
                          </wpg:wgp>
                        </a:graphicData>
                      </a:graphic>
                    </wp:inline>
                  </w:drawing>
                </mc:Choice>
                <mc:Fallback xmlns:arto="http://schemas.microsoft.com/office/word/2006/arto">
                  <w:pict>
                    <v:group w14:anchorId="494ECEA0" id="Group 23" o:spid="_x0000_s1026" alt="&quot;&quot;" style="width:10.2pt;height:10.2pt;mso-position-horizontal-relative:char;mso-position-vertical-relative:line" coordsize="334963,3349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">
                      <v:shape id="Freeform 404" o:spid="_x0000_s1027" style="position:absolute;top:101600;width:334963;height:131763;visibility:visible;mso-wrap-style:square;v-text-anchor:top" coordsize="1638,6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" path="m1638,320v,-100,-18,-196,-51,-285c819,,819,,819,,51,35,51,35,51,35,18,124,,220,,320,,420,18,516,51,605v768,36,768,36,768,36c1587,605,1587,605,1587,605v33,-89,51,-185,51,-285xm1638,320v,,,,,e" fillcolor="#496e2d" stroked="f">
                        <v:path arrowok="t" o:connecttype="custom" o:connectlocs="334963,65779;324534,7195;167482,0;10429,7195;0,65779;10429,124363;167482,131763;324534,124363;334963,65779;334963,65779;334963,65779" o:connectangles="0,0,0,0,0,0,0,0,0,0,0"/>
                        <o:lock v:ext="edit" verticies="t"/>
                      </v:shape>
                      <v:shape id="Freeform 405" o:spid="_x0000_s1028" style="position:absolute;left:11113;top:225425;width:312738;height:109538;visibility:visible;mso-wrap-style:square;v-text-anchor:top" coordsize="1536,5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" path="m768,534v352,,652,-222,768,-534c,,,,,,115,312,416,534,768,534xm768,534v,,,,,e" fillcolor="#d80027" stroked="f">
                        <v:path arrowok="t" o:connecttype="custom" o:connectlocs="156369,109538;312738,0;0,0;156369,109538;156369,109538;156369,109538" o:connectangles="0,0,0,0,0,0"/>
                        <o:lock v:ext="edit" verticies="t"/>
                      </v:shape>
                      <v:shape id="Freeform 407" o:spid="_x0000_s1029" style="position:absolute;left:11113;width:312738;height:109538;visibility:visible;mso-wrap-style:square;v-text-anchor:top" coordsize="1536,5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" path="m,534v1536,,1536,,1536,c1420,222,1120,,768,,416,,115,222,,534xm,534v,,,,,e" fillcolor="white [3212]" stroked="f">
                        <v:path arrowok="t" o:connecttype="custom" o:connectlocs="0,109538;312738,109538;156369,0;0,109538;0,109538;0,109538" o:connectangles="0,0,0,0,0,0"/>
                        <o:lock v:ext="edit" verticies="t"/>
                      </v:shape>
                      <w10:anchorlock/>
                    </v:group>
                  </w:pict>
                </mc:Fallback>
              </mc:AlternateContent>
            </w:r>
            <w:r w:rsidRPr="0074525F">
              <w:rPr>
                <w:noProof/>
              </w:rPr>
              <w:t xml:space="preserve"> </w:t>
            </w:r>
            <w:r w:rsidR="003F0A2C" w:rsidRPr="0074525F">
              <w:t>Bulgaria</w:t>
            </w:r>
          </w:p>
        </w:tc>
        <w:tc>
          <w:tcPr>
            <w:tcW w:w="627" w:type="pct"/>
            <w:vAlign w:val="center"/>
          </w:tcPr>
          <w:p w14:paraId="6873E8D3" w14:textId="2333F06E" w:rsidR="003F0A2C" w:rsidRPr="00EA6A58" w:rsidRDefault="003F0A2C" w:rsidP="003F0A2C">
            <w:pPr>
              <w:spacing w:before="0" w:after="0"/>
              <w:cnfStyle w:val="000000100000" w:firstRow="0" w:lastRow="0" w:firstColumn="0" w:lastColumn="0" w:oddVBand="0" w:evenVBand="0" w:oddHBand="1" w:evenHBand="0" w:firstRowFirstColumn="0" w:firstRowLastColumn="0" w:lastRowFirstColumn="0" w:lastRowLastColumn="0"/>
            </w:pPr>
            <w:r w:rsidRPr="00521314">
              <w:rPr>
                <w:lang w:val="en-GB"/>
              </w:rPr>
              <w:t>Second</w:t>
            </w:r>
          </w:p>
        </w:tc>
        <w:tc>
          <w:tcPr>
            <w:tcW w:w="626" w:type="pct"/>
            <w:shd w:val="clear" w:color="auto" w:fill="D5FFE8"/>
            <w:vAlign w:val="center"/>
          </w:tcPr>
          <w:p w14:paraId="41B7C609" w14:textId="24F92282" w:rsidR="003F0A2C" w:rsidRPr="00753965" w:rsidRDefault="003F0A2C" w:rsidP="003F0A2C">
            <w:pPr>
              <w:spacing w:before="0" w:after="0"/>
              <w:cnfStyle w:val="000000100000" w:firstRow="0" w:lastRow="0" w:firstColumn="0" w:lastColumn="0" w:oddVBand="0" w:evenVBand="0" w:oddHBand="1" w:evenHBand="0" w:firstRowFirstColumn="0" w:firstRowLastColumn="0" w:lastRowFirstColumn="0" w:lastRowLastColumn="0"/>
            </w:pPr>
            <w:r w:rsidRPr="00753965">
              <w:rPr>
                <w:lang w:val="en-GB"/>
              </w:rPr>
              <w:t>Low</w:t>
            </w:r>
          </w:p>
        </w:tc>
        <w:tc>
          <w:tcPr>
            <w:tcW w:w="627" w:type="pct"/>
            <w:shd w:val="clear" w:color="auto" w:fill="D5FFE8"/>
            <w:vAlign w:val="center"/>
          </w:tcPr>
          <w:p w14:paraId="423529E0" w14:textId="11EEE138" w:rsidR="003F0A2C" w:rsidRPr="00753965" w:rsidRDefault="003F0A2C" w:rsidP="003F0A2C">
            <w:pPr>
              <w:spacing w:before="0" w:after="0"/>
              <w:cnfStyle w:val="000000100000" w:firstRow="0" w:lastRow="0" w:firstColumn="0" w:lastColumn="0" w:oddVBand="0" w:evenVBand="0" w:oddHBand="1" w:evenHBand="0" w:firstRowFirstColumn="0" w:firstRowLastColumn="0" w:lastRowFirstColumn="0" w:lastRowLastColumn="0"/>
            </w:pPr>
            <w:r w:rsidRPr="00753965">
              <w:rPr>
                <w:lang w:val="en-GB"/>
              </w:rPr>
              <w:t>Low</w:t>
            </w:r>
          </w:p>
        </w:tc>
        <w:tc>
          <w:tcPr>
            <w:tcW w:w="471" w:type="pct"/>
            <w:shd w:val="clear" w:color="auto" w:fill="D5FFE8"/>
            <w:vAlign w:val="center"/>
          </w:tcPr>
          <w:p w14:paraId="0C9451B7" w14:textId="63DCC318" w:rsidR="003F0A2C" w:rsidRPr="00753965" w:rsidRDefault="003F0A2C" w:rsidP="003F0A2C">
            <w:pPr>
              <w:spacing w:before="0" w:after="0"/>
              <w:cnfStyle w:val="000000100000" w:firstRow="0" w:lastRow="0" w:firstColumn="0" w:lastColumn="0" w:oddVBand="0" w:evenVBand="0" w:oddHBand="1" w:evenHBand="0" w:firstRowFirstColumn="0" w:firstRowLastColumn="0" w:lastRowFirstColumn="0" w:lastRowLastColumn="0"/>
            </w:pPr>
            <w:r w:rsidRPr="00753965">
              <w:rPr>
                <w:lang w:val="en-GB"/>
              </w:rPr>
              <w:t>Low</w:t>
            </w:r>
          </w:p>
        </w:tc>
        <w:tc>
          <w:tcPr>
            <w:tcW w:w="706" w:type="pct"/>
            <w:shd w:val="clear" w:color="auto" w:fill="D5FFE8"/>
            <w:vAlign w:val="center"/>
          </w:tcPr>
          <w:p w14:paraId="310F9D11" w14:textId="19EE9EA7" w:rsidR="003F0A2C" w:rsidRPr="00753965" w:rsidRDefault="005419C4" w:rsidP="003F0A2C">
            <w:pPr>
              <w:spacing w:before="0" w:after="0"/>
              <w:cnfStyle w:val="000000100000" w:firstRow="0" w:lastRow="0" w:firstColumn="0" w:lastColumn="0" w:oddVBand="0" w:evenVBand="0" w:oddHBand="1" w:evenHBand="0" w:firstRowFirstColumn="0" w:firstRowLastColumn="0" w:lastRowFirstColumn="0" w:lastRowLastColumn="0"/>
            </w:pPr>
            <w:r w:rsidRPr="00753965">
              <w:rPr>
                <w:lang w:val="en-GB"/>
              </w:rPr>
              <w:t>Low</w:t>
            </w:r>
          </w:p>
        </w:tc>
        <w:tc>
          <w:tcPr>
            <w:tcW w:w="696" w:type="pct"/>
            <w:shd w:val="clear" w:color="auto" w:fill="FEDD9B" w:themeFill="accent4" w:themeFillTint="66"/>
            <w:vAlign w:val="center"/>
          </w:tcPr>
          <w:p w14:paraId="3F0968DF" w14:textId="17528F7C" w:rsidR="003F0A2C" w:rsidRPr="00753965" w:rsidRDefault="005419C4" w:rsidP="003F0A2C">
            <w:pPr>
              <w:spacing w:before="0" w:after="0"/>
              <w:cnfStyle w:val="000000100000" w:firstRow="0" w:lastRow="0" w:firstColumn="0" w:lastColumn="0" w:oddVBand="0" w:evenVBand="0" w:oddHBand="1" w:evenHBand="0" w:firstRowFirstColumn="0" w:firstRowLastColumn="0" w:lastRowFirstColumn="0" w:lastRowLastColumn="0"/>
            </w:pPr>
            <w:r w:rsidRPr="00753965">
              <w:rPr>
                <w:lang w:val="en-GB"/>
              </w:rPr>
              <w:t>Medium</w:t>
            </w:r>
          </w:p>
        </w:tc>
      </w:tr>
      <w:tr w:rsidR="00820AA9" w:rsidRPr="006D3C55" w14:paraId="274387A2" w14:textId="77777777" w:rsidTr="00B2036E">
        <w:trPr>
          <w:cnfStyle w:val="000000010000" w:firstRow="0" w:lastRow="0" w:firstColumn="0" w:lastColumn="0" w:oddVBand="0" w:evenVBand="0" w:oddHBand="0" w:evenHBand="1" w:firstRowFirstColumn="0" w:firstRowLastColumn="0" w:lastRowFirstColumn="0" w:lastRowLastColumn="0"/>
          <w:cantSplit/>
          <w:jc w:val="center"/>
        </w:trPr>
        <w:tc>
          <w:tcPr>
            <w:cnfStyle w:val="001000000000" w:firstRow="0" w:lastRow="0" w:firstColumn="1" w:lastColumn="0" w:oddVBand="0" w:evenVBand="0" w:oddHBand="0" w:evenHBand="0" w:firstRowFirstColumn="0" w:firstRowLastColumn="0" w:lastRowFirstColumn="0" w:lastRowLastColumn="0"/>
            <w:tcW w:w="1247" w:type="pct"/>
            <w:shd w:val="clear" w:color="auto" w:fill="FFFFFF" w:themeFill="background1"/>
            <w:vAlign w:val="center"/>
          </w:tcPr>
          <w:p w14:paraId="45A9A800" w14:textId="73BC0F3C" w:rsidR="003F0A2C" w:rsidRPr="0074525F" w:rsidRDefault="007F0341" w:rsidP="003F0A2C">
            <w:pPr>
              <w:spacing w:before="0" w:after="0"/>
            </w:pPr>
            <w:r w:rsidRPr="0074525F">
              <w:rPr>
                <w:noProof/>
              </w:rPr>
              <mc:AlternateContent>
                <mc:Choice Requires="wpg">
                  <w:drawing>
                    <wp:inline distT="0" distB="0" distL="0" distR="0" wp14:anchorId="7C9F71FA" wp14:editId="4EA35875">
                      <wp:extent cx="129600" cy="129600"/>
                      <wp:effectExtent l="0" t="0" r="3810" b="3810"/>
                      <wp:docPr id="403177578" name="Group 2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129600" cy="129600"/>
                                <a:chOff x="0" y="0"/>
                                <a:chExt cx="334963" cy="334963"/>
                              </a:xfrm>
                            </wpg:grpSpPr>
                            <wps:wsp>
                              <wps:cNvPr id="2020819780" name="Freeform 404"/>
                              <wps:cNvSpPr>
                                <a:spLocks noEditPoints="1"/>
                              </wps:cNvSpPr>
                              <wps:spPr bwMode="auto">
                                <a:xfrm>
                                  <a:off x="0" y="101600"/>
                                  <a:ext cx="334963" cy="131763"/>
                                </a:xfrm>
                                <a:custGeom>
                                  <a:avLst/>
                                  <a:gdLst>
                                    <a:gd name="T0" fmla="*/ 1638 w 1638"/>
                                    <a:gd name="T1" fmla="*/ 320 h 641"/>
                                    <a:gd name="T2" fmla="*/ 1587 w 1638"/>
                                    <a:gd name="T3" fmla="*/ 35 h 641"/>
                                    <a:gd name="T4" fmla="*/ 819 w 1638"/>
                                    <a:gd name="T5" fmla="*/ 0 h 641"/>
                                    <a:gd name="T6" fmla="*/ 51 w 1638"/>
                                    <a:gd name="T7" fmla="*/ 35 h 641"/>
                                    <a:gd name="T8" fmla="*/ 0 w 1638"/>
                                    <a:gd name="T9" fmla="*/ 320 h 641"/>
                                    <a:gd name="T10" fmla="*/ 51 w 1638"/>
                                    <a:gd name="T11" fmla="*/ 605 h 641"/>
                                    <a:gd name="T12" fmla="*/ 819 w 1638"/>
                                    <a:gd name="T13" fmla="*/ 641 h 641"/>
                                    <a:gd name="T14" fmla="*/ 1587 w 1638"/>
                                    <a:gd name="T15" fmla="*/ 605 h 641"/>
                                    <a:gd name="T16" fmla="*/ 1638 w 1638"/>
                                    <a:gd name="T17" fmla="*/ 320 h 641"/>
                                    <a:gd name="T18" fmla="*/ 1638 w 1638"/>
                                    <a:gd name="T19" fmla="*/ 320 h 641"/>
                                    <a:gd name="T20" fmla="*/ 1638 w 1638"/>
                                    <a:gd name="T21" fmla="*/ 320 h 64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0" t="0" r="r" b="b"/>
                                  <a:pathLst>
                                    <a:path w="1638" h="641">
                                      <a:moveTo>
                                        <a:pt x="1638" y="320"/>
                                      </a:moveTo>
                                      <a:cubicBezTo>
                                        <a:pt x="1638" y="220"/>
                                        <a:pt x="1620" y="124"/>
                                        <a:pt x="1587" y="35"/>
                                      </a:cubicBezTo>
                                      <a:cubicBezTo>
                                        <a:pt x="819" y="0"/>
                                        <a:pt x="819" y="0"/>
                                        <a:pt x="819" y="0"/>
                                      </a:cubicBezTo>
                                      <a:cubicBezTo>
                                        <a:pt x="51" y="35"/>
                                        <a:pt x="51" y="35"/>
                                        <a:pt x="51" y="35"/>
                                      </a:cubicBezTo>
                                      <a:cubicBezTo>
                                        <a:pt x="18" y="124"/>
                                        <a:pt x="0" y="220"/>
                                        <a:pt x="0" y="320"/>
                                      </a:cubicBezTo>
                                      <a:cubicBezTo>
                                        <a:pt x="0" y="420"/>
                                        <a:pt x="18" y="516"/>
                                        <a:pt x="51" y="605"/>
                                      </a:cubicBezTo>
                                      <a:cubicBezTo>
                                        <a:pt x="819" y="641"/>
                                        <a:pt x="819" y="641"/>
                                        <a:pt x="819" y="641"/>
                                      </a:cubicBezTo>
                                      <a:cubicBezTo>
                                        <a:pt x="1587" y="605"/>
                                        <a:pt x="1587" y="605"/>
                                        <a:pt x="1587" y="605"/>
                                      </a:cubicBezTo>
                                      <a:cubicBezTo>
                                        <a:pt x="1620" y="516"/>
                                        <a:pt x="1638" y="420"/>
                                        <a:pt x="1638" y="320"/>
                                      </a:cubicBezTo>
                                      <a:close/>
                                      <a:moveTo>
                                        <a:pt x="1638" y="320"/>
                                      </a:moveTo>
                                      <a:cubicBezTo>
                                        <a:pt x="1638" y="320"/>
                                        <a:pt x="1638" y="320"/>
                                        <a:pt x="1638" y="320"/>
                                      </a:cubicBezTo>
                                    </a:path>
                                  </a:pathLst>
                                </a:custGeom>
                                <a:solidFill>
                                  <a:srgbClr val="496E2D"/>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47478" tIns="23739" rIns="47478" bIns="23739" numCol="1" anchor="t" anchorCtr="0" compatLnSpc="1">
                                <a:prstTxWarp prst="textNoShape">
                                  <a:avLst/>
                                </a:prstTxWarp>
                              </wps:bodyPr>
                            </wps:wsp>
                            <wps:wsp>
                              <wps:cNvPr id="2027432732" name="Freeform 405"/>
                              <wps:cNvSpPr>
                                <a:spLocks noEditPoints="1"/>
                              </wps:cNvSpPr>
                              <wps:spPr bwMode="auto">
                                <a:xfrm>
                                  <a:off x="11113" y="225425"/>
                                  <a:ext cx="312738" cy="109538"/>
                                </a:xfrm>
                                <a:custGeom>
                                  <a:avLst/>
                                  <a:gdLst>
                                    <a:gd name="T0" fmla="*/ 768 w 1536"/>
                                    <a:gd name="T1" fmla="*/ 534 h 534"/>
                                    <a:gd name="T2" fmla="*/ 1536 w 1536"/>
                                    <a:gd name="T3" fmla="*/ 0 h 534"/>
                                    <a:gd name="T4" fmla="*/ 0 w 1536"/>
                                    <a:gd name="T5" fmla="*/ 0 h 534"/>
                                    <a:gd name="T6" fmla="*/ 768 w 1536"/>
                                    <a:gd name="T7" fmla="*/ 534 h 534"/>
                                    <a:gd name="T8" fmla="*/ 768 w 1536"/>
                                    <a:gd name="T9" fmla="*/ 534 h 534"/>
                                    <a:gd name="T10" fmla="*/ 768 w 1536"/>
                                    <a:gd name="T11" fmla="*/ 534 h 534"/>
                                  </a:gdLst>
                                  <a:ahLst/>
                                  <a:cxnLst>
                                    <a:cxn ang="0">
                                      <a:pos x="T0" y="T1"/>
                                    </a:cxn>
                                    <a:cxn ang="0">
                                      <a:pos x="T2" y="T3"/>
                                    </a:cxn>
                                    <a:cxn ang="0">
                                      <a:pos x="T4" y="T5"/>
                                    </a:cxn>
                                    <a:cxn ang="0">
                                      <a:pos x="T6" y="T7"/>
                                    </a:cxn>
                                    <a:cxn ang="0">
                                      <a:pos x="T8" y="T9"/>
                                    </a:cxn>
                                    <a:cxn ang="0">
                                      <a:pos x="T10" y="T11"/>
                                    </a:cxn>
                                  </a:cxnLst>
                                  <a:rect l="0" t="0" r="r" b="b"/>
                                  <a:pathLst>
                                    <a:path w="1536" h="534">
                                      <a:moveTo>
                                        <a:pt x="768" y="534"/>
                                      </a:moveTo>
                                      <a:cubicBezTo>
                                        <a:pt x="1120" y="534"/>
                                        <a:pt x="1420" y="312"/>
                                        <a:pt x="1536" y="0"/>
                                      </a:cubicBezTo>
                                      <a:cubicBezTo>
                                        <a:pt x="0" y="0"/>
                                        <a:pt x="0" y="0"/>
                                        <a:pt x="0" y="0"/>
                                      </a:cubicBezTo>
                                      <a:cubicBezTo>
                                        <a:pt x="115" y="312"/>
                                        <a:pt x="416" y="534"/>
                                        <a:pt x="768" y="534"/>
                                      </a:cubicBezTo>
                                      <a:close/>
                                      <a:moveTo>
                                        <a:pt x="768" y="534"/>
                                      </a:moveTo>
                                      <a:cubicBezTo>
                                        <a:pt x="768" y="534"/>
                                        <a:pt x="768" y="534"/>
                                        <a:pt x="768" y="534"/>
                                      </a:cubicBezTo>
                                    </a:path>
                                  </a:pathLst>
                                </a:custGeom>
                                <a:solidFill>
                                  <a:srgbClr val="D80027"/>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47478" tIns="23739" rIns="47478" bIns="23739" numCol="1" anchor="t" anchorCtr="0" compatLnSpc="1">
                                <a:prstTxWarp prst="textNoShape">
                                  <a:avLst/>
                                </a:prstTxWarp>
                              </wps:bodyPr>
                            </wps:wsp>
                            <wps:wsp>
                              <wps:cNvPr id="376998585" name="Freeform 407"/>
                              <wps:cNvSpPr>
                                <a:spLocks noEditPoints="1"/>
                              </wps:cNvSpPr>
                              <wps:spPr bwMode="auto">
                                <a:xfrm>
                                  <a:off x="11113" y="0"/>
                                  <a:ext cx="312738" cy="109538"/>
                                </a:xfrm>
                                <a:custGeom>
                                  <a:avLst/>
                                  <a:gdLst>
                                    <a:gd name="T0" fmla="*/ 0 w 1536"/>
                                    <a:gd name="T1" fmla="*/ 534 h 534"/>
                                    <a:gd name="T2" fmla="*/ 1536 w 1536"/>
                                    <a:gd name="T3" fmla="*/ 534 h 534"/>
                                    <a:gd name="T4" fmla="*/ 768 w 1536"/>
                                    <a:gd name="T5" fmla="*/ 0 h 534"/>
                                    <a:gd name="T6" fmla="*/ 0 w 1536"/>
                                    <a:gd name="T7" fmla="*/ 534 h 534"/>
                                    <a:gd name="T8" fmla="*/ 0 w 1536"/>
                                    <a:gd name="T9" fmla="*/ 534 h 534"/>
                                    <a:gd name="T10" fmla="*/ 0 w 1536"/>
                                    <a:gd name="T11" fmla="*/ 534 h 534"/>
                                  </a:gdLst>
                                  <a:ahLst/>
                                  <a:cxnLst>
                                    <a:cxn ang="0">
                                      <a:pos x="T0" y="T1"/>
                                    </a:cxn>
                                    <a:cxn ang="0">
                                      <a:pos x="T2" y="T3"/>
                                    </a:cxn>
                                    <a:cxn ang="0">
                                      <a:pos x="T4" y="T5"/>
                                    </a:cxn>
                                    <a:cxn ang="0">
                                      <a:pos x="T6" y="T7"/>
                                    </a:cxn>
                                    <a:cxn ang="0">
                                      <a:pos x="T8" y="T9"/>
                                    </a:cxn>
                                    <a:cxn ang="0">
                                      <a:pos x="T10" y="T11"/>
                                    </a:cxn>
                                  </a:cxnLst>
                                  <a:rect l="0" t="0" r="r" b="b"/>
                                  <a:pathLst>
                                    <a:path w="1536" h="534">
                                      <a:moveTo>
                                        <a:pt x="0" y="534"/>
                                      </a:moveTo>
                                      <a:cubicBezTo>
                                        <a:pt x="1536" y="534"/>
                                        <a:pt x="1536" y="534"/>
                                        <a:pt x="1536" y="534"/>
                                      </a:cubicBezTo>
                                      <a:cubicBezTo>
                                        <a:pt x="1420" y="222"/>
                                        <a:pt x="1120" y="0"/>
                                        <a:pt x="768" y="0"/>
                                      </a:cubicBezTo>
                                      <a:cubicBezTo>
                                        <a:pt x="416" y="0"/>
                                        <a:pt x="115" y="222"/>
                                        <a:pt x="0" y="534"/>
                                      </a:cubicBezTo>
                                      <a:close/>
                                      <a:moveTo>
                                        <a:pt x="0" y="534"/>
                                      </a:moveTo>
                                      <a:cubicBezTo>
                                        <a:pt x="0" y="534"/>
                                        <a:pt x="0" y="534"/>
                                        <a:pt x="0" y="534"/>
                                      </a:cubicBezTo>
                                    </a:path>
                                  </a:pathLst>
                                </a:custGeom>
                                <a:solidFill>
                                  <a:schemeClr val="bg1"/>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47478" tIns="23739" rIns="47478" bIns="23739" numCol="1" anchor="t" anchorCtr="0" compatLnSpc="1">
                                <a:prstTxWarp prst="textNoShape">
                                  <a:avLst/>
                                </a:prstTxWarp>
                              </wps:bodyPr>
                            </wps:wsp>
                          </wpg:wgp>
                        </a:graphicData>
                      </a:graphic>
                    </wp:inline>
                  </w:drawing>
                </mc:Choice>
                <mc:Fallback xmlns:arto="http://schemas.microsoft.com/office/word/2006/arto">
                  <w:pict>
                    <v:group w14:anchorId="00F94C59" id="Group 23" o:spid="_x0000_s1026" alt="&quot;&quot;" style="width:10.2pt;height:10.2pt;mso-position-horizontal-relative:char;mso-position-vertical-relative:line" coordsize="334963,3349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">
                      <v:shape id="Freeform 404" o:spid="_x0000_s1027" style="position:absolute;top:101600;width:334963;height:131763;visibility:visible;mso-wrap-style:square;v-text-anchor:top" coordsize="1638,6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" path="m1638,320v,-100,-18,-196,-51,-285c819,,819,,819,,51,35,51,35,51,35,18,124,,220,,320,,420,18,516,51,605v768,36,768,36,768,36c1587,605,1587,605,1587,605v33,-89,51,-185,51,-285xm1638,320v,,,,,e" fillcolor="#496e2d" stroked="f">
                        <v:path arrowok="t" o:connecttype="custom" o:connectlocs="334963,65779;324534,7195;167482,0;10429,7195;0,65779;10429,124363;167482,131763;324534,124363;334963,65779;334963,65779;334963,65779" o:connectangles="0,0,0,0,0,0,0,0,0,0,0"/>
                        <o:lock v:ext="edit" verticies="t"/>
                      </v:shape>
                      <v:shape id="Freeform 405" o:spid="_x0000_s1028" style="position:absolute;left:11113;top:225425;width:312738;height:109538;visibility:visible;mso-wrap-style:square;v-text-anchor:top" coordsize="1536,5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" path="m768,534v352,,652,-222,768,-534c,,,,,,115,312,416,534,768,534xm768,534v,,,,,e" fillcolor="#d80027" stroked="f">
                        <v:path arrowok="t" o:connecttype="custom" o:connectlocs="156369,109538;312738,0;0,0;156369,109538;156369,109538;156369,109538" o:connectangles="0,0,0,0,0,0"/>
                        <o:lock v:ext="edit" verticies="t"/>
                      </v:shape>
                      <v:shape id="Freeform 407" o:spid="_x0000_s1029" style="position:absolute;left:11113;width:312738;height:109538;visibility:visible;mso-wrap-style:square;v-text-anchor:top" coordsize="1536,5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" path="m,534v1536,,1536,,1536,c1420,222,1120,,768,,416,,115,222,,534xm,534v,,,,,e" fillcolor="white [3212]" stroked="f">
                        <v:path arrowok="t" o:connecttype="custom" o:connectlocs="0,109538;312738,109538;156369,0;0,109538;0,109538;0,109538" o:connectangles="0,0,0,0,0,0"/>
                        <o:lock v:ext="edit" verticies="t"/>
                      </v:shape>
                      <w10:anchorlock/>
                    </v:group>
                  </w:pict>
                </mc:Fallback>
              </mc:AlternateContent>
            </w:r>
            <w:r w:rsidRPr="0074525F">
              <w:rPr>
                <w:noProof/>
              </w:rPr>
              <w:t xml:space="preserve"> </w:t>
            </w:r>
            <w:r w:rsidR="003F0A2C" w:rsidRPr="0074525F">
              <w:t>Bulgaria</w:t>
            </w:r>
          </w:p>
        </w:tc>
        <w:tc>
          <w:tcPr>
            <w:tcW w:w="627" w:type="pct"/>
            <w:shd w:val="clear" w:color="auto" w:fill="FFFFFF" w:themeFill="background1"/>
            <w:vAlign w:val="center"/>
          </w:tcPr>
          <w:p w14:paraId="189EE284" w14:textId="1A9B63DC" w:rsidR="003F0A2C" w:rsidRPr="00EA6A58" w:rsidRDefault="003F0A2C" w:rsidP="003F0A2C">
            <w:pPr>
              <w:spacing w:before="0" w:after="0"/>
              <w:cnfStyle w:val="000000010000" w:firstRow="0" w:lastRow="0" w:firstColumn="0" w:lastColumn="0" w:oddVBand="0" w:evenVBand="0" w:oddHBand="0" w:evenHBand="1" w:firstRowFirstColumn="0" w:firstRowLastColumn="0" w:lastRowFirstColumn="0" w:lastRowLastColumn="0"/>
            </w:pPr>
            <w:r w:rsidRPr="00521314">
              <w:t>Third</w:t>
            </w:r>
          </w:p>
        </w:tc>
        <w:tc>
          <w:tcPr>
            <w:tcW w:w="626" w:type="pct"/>
            <w:shd w:val="clear" w:color="auto" w:fill="D5FFE8"/>
            <w:vAlign w:val="center"/>
          </w:tcPr>
          <w:p w14:paraId="2264A59E" w14:textId="1EB9A765" w:rsidR="003F0A2C" w:rsidRPr="00753965" w:rsidRDefault="003F0A2C" w:rsidP="003F0A2C">
            <w:pPr>
              <w:spacing w:before="0" w:after="0"/>
              <w:cnfStyle w:val="000000010000" w:firstRow="0" w:lastRow="0" w:firstColumn="0" w:lastColumn="0" w:oddVBand="0" w:evenVBand="0" w:oddHBand="0" w:evenHBand="1" w:firstRowFirstColumn="0" w:firstRowLastColumn="0" w:lastRowFirstColumn="0" w:lastRowLastColumn="0"/>
            </w:pPr>
            <w:r w:rsidRPr="00753965">
              <w:rPr>
                <w:lang w:val="en-GB"/>
              </w:rPr>
              <w:t>Low</w:t>
            </w:r>
          </w:p>
        </w:tc>
        <w:tc>
          <w:tcPr>
            <w:tcW w:w="627" w:type="pct"/>
            <w:shd w:val="clear" w:color="auto" w:fill="D5FFE8"/>
            <w:vAlign w:val="center"/>
          </w:tcPr>
          <w:p w14:paraId="0A3252B4" w14:textId="53578DC1" w:rsidR="003F0A2C" w:rsidRPr="00753965" w:rsidRDefault="003F0A2C" w:rsidP="003F0A2C">
            <w:pPr>
              <w:spacing w:before="0" w:after="0"/>
              <w:cnfStyle w:val="000000010000" w:firstRow="0" w:lastRow="0" w:firstColumn="0" w:lastColumn="0" w:oddVBand="0" w:evenVBand="0" w:oddHBand="0" w:evenHBand="1" w:firstRowFirstColumn="0" w:firstRowLastColumn="0" w:lastRowFirstColumn="0" w:lastRowLastColumn="0"/>
            </w:pPr>
            <w:r w:rsidRPr="00753965">
              <w:rPr>
                <w:lang w:val="en-GB"/>
              </w:rPr>
              <w:t>Low</w:t>
            </w:r>
          </w:p>
        </w:tc>
        <w:tc>
          <w:tcPr>
            <w:tcW w:w="471" w:type="pct"/>
            <w:shd w:val="clear" w:color="auto" w:fill="D5FFE8"/>
            <w:vAlign w:val="center"/>
          </w:tcPr>
          <w:p w14:paraId="479B6EA0" w14:textId="60E60A91" w:rsidR="003F0A2C" w:rsidRPr="00753965" w:rsidRDefault="003F0A2C" w:rsidP="003F0A2C">
            <w:pPr>
              <w:spacing w:before="0" w:after="0"/>
              <w:cnfStyle w:val="000000010000" w:firstRow="0" w:lastRow="0" w:firstColumn="0" w:lastColumn="0" w:oddVBand="0" w:evenVBand="0" w:oddHBand="0" w:evenHBand="1" w:firstRowFirstColumn="0" w:firstRowLastColumn="0" w:lastRowFirstColumn="0" w:lastRowLastColumn="0"/>
            </w:pPr>
            <w:r w:rsidRPr="00753965">
              <w:rPr>
                <w:lang w:val="en-GB"/>
              </w:rPr>
              <w:t>Low</w:t>
            </w:r>
          </w:p>
        </w:tc>
        <w:tc>
          <w:tcPr>
            <w:tcW w:w="706" w:type="pct"/>
            <w:shd w:val="clear" w:color="auto" w:fill="D5FFE8"/>
            <w:vAlign w:val="center"/>
          </w:tcPr>
          <w:p w14:paraId="30EFC28C" w14:textId="7E0C12F3" w:rsidR="003F0A2C" w:rsidRPr="00753965" w:rsidRDefault="005419C4" w:rsidP="003F0A2C">
            <w:pPr>
              <w:spacing w:before="0" w:after="0"/>
              <w:cnfStyle w:val="000000010000" w:firstRow="0" w:lastRow="0" w:firstColumn="0" w:lastColumn="0" w:oddVBand="0" w:evenVBand="0" w:oddHBand="0" w:evenHBand="1" w:firstRowFirstColumn="0" w:firstRowLastColumn="0" w:lastRowFirstColumn="0" w:lastRowLastColumn="0"/>
            </w:pPr>
            <w:r w:rsidRPr="00753965">
              <w:rPr>
                <w:lang w:val="en-GB"/>
              </w:rPr>
              <w:t>Low</w:t>
            </w:r>
          </w:p>
        </w:tc>
        <w:tc>
          <w:tcPr>
            <w:tcW w:w="696" w:type="pct"/>
            <w:shd w:val="clear" w:color="auto" w:fill="FEDD9B" w:themeFill="accent4" w:themeFillTint="66"/>
            <w:vAlign w:val="center"/>
          </w:tcPr>
          <w:p w14:paraId="79074734" w14:textId="76DE369F" w:rsidR="003F0A2C" w:rsidRPr="00753965" w:rsidRDefault="005419C4" w:rsidP="003F0A2C">
            <w:pPr>
              <w:spacing w:before="0" w:after="0"/>
              <w:cnfStyle w:val="000000010000" w:firstRow="0" w:lastRow="0" w:firstColumn="0" w:lastColumn="0" w:oddVBand="0" w:evenVBand="0" w:oddHBand="0" w:evenHBand="1" w:firstRowFirstColumn="0" w:firstRowLastColumn="0" w:lastRowFirstColumn="0" w:lastRowLastColumn="0"/>
            </w:pPr>
            <w:r w:rsidRPr="00753965">
              <w:rPr>
                <w:lang w:val="en-GB"/>
              </w:rPr>
              <w:t>Medium</w:t>
            </w:r>
          </w:p>
        </w:tc>
      </w:tr>
      <w:tr w:rsidR="00820AA9" w:rsidRPr="006D3C55" w14:paraId="76DFDED2" w14:textId="77777777" w:rsidTr="00B2036E">
        <w:trPr>
          <w:cnfStyle w:val="000000100000" w:firstRow="0" w:lastRow="0" w:firstColumn="0" w:lastColumn="0" w:oddVBand="0" w:evenVBand="0" w:oddHBand="1" w:evenHBand="0" w:firstRowFirstColumn="0" w:firstRowLastColumn="0" w:lastRowFirstColumn="0" w:lastRowLastColumn="0"/>
          <w:cantSplit/>
          <w:jc w:val="center"/>
        </w:trPr>
        <w:tc>
          <w:tcPr>
            <w:cnfStyle w:val="001000000000" w:firstRow="0" w:lastRow="0" w:firstColumn="1" w:lastColumn="0" w:oddVBand="0" w:evenVBand="0" w:oddHBand="0" w:evenHBand="0" w:firstRowFirstColumn="0" w:firstRowLastColumn="0" w:lastRowFirstColumn="0" w:lastRowLastColumn="0"/>
            <w:tcW w:w="1247" w:type="pct"/>
            <w:shd w:val="clear" w:color="auto" w:fill="F2F2F2" w:themeFill="background1" w:themeFillShade="F2"/>
            <w:vAlign w:val="center"/>
            <w:hideMark/>
          </w:tcPr>
          <w:p w14:paraId="49D40EA6" w14:textId="10A155E1" w:rsidR="00FB7579" w:rsidRPr="00AA3B78" w:rsidRDefault="00FB7579">
            <w:pPr>
              <w:spacing w:before="0" w:after="0"/>
              <w:rPr>
                <w:lang w:val="en-GB"/>
              </w:rPr>
            </w:pPr>
            <w:r w:rsidRPr="00AA3B78">
              <w:rPr>
                <w:noProof/>
              </w:rPr>
              <w:drawing>
                <wp:inline distT="0" distB="0" distL="0" distR="0" wp14:anchorId="56B2C65E" wp14:editId="6B857145">
                  <wp:extent cx="129540" cy="129540"/>
                  <wp:effectExtent l="0" t="0" r="3810" b="3810"/>
                  <wp:docPr id="1305019209" name="Picture 3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5019209" name="Picture 30">
                            <a:extLst>
                              <a:ext uri="{C183D7F6-B498-43B3-948B-1728B52AA6E4}">
                                <adec:decorative xmlns:adec="http://schemas.microsoft.com/office/drawing/2017/decorative" val="1"/>
                              </a:ext>
                            </a:extLst>
                          </pic:cNvPr>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129540" cy="129540"/>
                          </a:xfrm>
                          <a:prstGeom prst="rect">
                            <a:avLst/>
                          </a:prstGeom>
                          <a:noFill/>
                          <a:ln>
                            <a:noFill/>
                          </a:ln>
                        </pic:spPr>
                      </pic:pic>
                    </a:graphicData>
                  </a:graphic>
                </wp:inline>
              </w:drawing>
            </w:r>
            <w:r w:rsidRPr="00AA3B78">
              <w:rPr>
                <w:lang w:val="en-GB"/>
              </w:rPr>
              <w:t xml:space="preserve"> Czechia</w:t>
            </w:r>
          </w:p>
        </w:tc>
        <w:tc>
          <w:tcPr>
            <w:tcW w:w="627" w:type="pct"/>
            <w:shd w:val="clear" w:color="auto" w:fill="F2F2F2" w:themeFill="background1" w:themeFillShade="F2"/>
            <w:vAlign w:val="center"/>
            <w:hideMark/>
          </w:tcPr>
          <w:p w14:paraId="6742C1D5" w14:textId="33A81D64" w:rsidR="00FB7579" w:rsidRPr="00AA3B78" w:rsidRDefault="00AA3B78">
            <w:pPr>
              <w:spacing w:before="0" w:after="0"/>
              <w:cnfStyle w:val="000000100000" w:firstRow="0" w:lastRow="0" w:firstColumn="0" w:lastColumn="0" w:oddVBand="0" w:evenVBand="0" w:oddHBand="1" w:evenHBand="0" w:firstRowFirstColumn="0" w:firstRowLastColumn="0" w:lastRowFirstColumn="0" w:lastRowLastColumn="0"/>
              <w:rPr>
                <w:lang w:val="en-GB"/>
              </w:rPr>
            </w:pPr>
            <w:r w:rsidRPr="00AA3B78">
              <w:rPr>
                <w:lang w:val="en-GB"/>
              </w:rPr>
              <w:t>Third</w:t>
            </w:r>
          </w:p>
        </w:tc>
        <w:tc>
          <w:tcPr>
            <w:tcW w:w="626" w:type="pct"/>
            <w:shd w:val="clear" w:color="auto" w:fill="D5FFE8"/>
            <w:vAlign w:val="center"/>
            <w:hideMark/>
          </w:tcPr>
          <w:p w14:paraId="0712F148" w14:textId="77777777" w:rsidR="00FB7579" w:rsidRPr="007F440D" w:rsidRDefault="00FB7579">
            <w:pPr>
              <w:spacing w:before="0" w:after="0"/>
              <w:cnfStyle w:val="000000100000" w:firstRow="0" w:lastRow="0" w:firstColumn="0" w:lastColumn="0" w:oddVBand="0" w:evenVBand="0" w:oddHBand="1" w:evenHBand="0" w:firstRowFirstColumn="0" w:firstRowLastColumn="0" w:lastRowFirstColumn="0" w:lastRowLastColumn="0"/>
              <w:rPr>
                <w:lang w:val="en-GB"/>
              </w:rPr>
            </w:pPr>
            <w:r w:rsidRPr="007F440D">
              <w:rPr>
                <w:lang w:val="en-GB"/>
              </w:rPr>
              <w:t>Low</w:t>
            </w:r>
          </w:p>
        </w:tc>
        <w:tc>
          <w:tcPr>
            <w:tcW w:w="627" w:type="pct"/>
            <w:shd w:val="clear" w:color="auto" w:fill="D5FFE8"/>
            <w:vAlign w:val="center"/>
            <w:hideMark/>
          </w:tcPr>
          <w:p w14:paraId="7CBF1605" w14:textId="77777777" w:rsidR="00FB7579" w:rsidRPr="007F440D" w:rsidRDefault="00FB7579">
            <w:pPr>
              <w:spacing w:before="0" w:after="0"/>
              <w:cnfStyle w:val="000000100000" w:firstRow="0" w:lastRow="0" w:firstColumn="0" w:lastColumn="0" w:oddVBand="0" w:evenVBand="0" w:oddHBand="1" w:evenHBand="0" w:firstRowFirstColumn="0" w:firstRowLastColumn="0" w:lastRowFirstColumn="0" w:lastRowLastColumn="0"/>
              <w:rPr>
                <w:lang w:val="en-GB"/>
              </w:rPr>
            </w:pPr>
            <w:r w:rsidRPr="007F440D">
              <w:rPr>
                <w:lang w:val="en-GB"/>
              </w:rPr>
              <w:t>Low</w:t>
            </w:r>
          </w:p>
        </w:tc>
        <w:tc>
          <w:tcPr>
            <w:tcW w:w="471" w:type="pct"/>
            <w:shd w:val="clear" w:color="auto" w:fill="D5FFE8"/>
            <w:vAlign w:val="center"/>
            <w:hideMark/>
          </w:tcPr>
          <w:p w14:paraId="49BCA6DE" w14:textId="77777777" w:rsidR="00FB7579" w:rsidRPr="007F440D" w:rsidRDefault="00FB7579">
            <w:pPr>
              <w:spacing w:before="0" w:after="0"/>
              <w:cnfStyle w:val="000000100000" w:firstRow="0" w:lastRow="0" w:firstColumn="0" w:lastColumn="0" w:oddVBand="0" w:evenVBand="0" w:oddHBand="1" w:evenHBand="0" w:firstRowFirstColumn="0" w:firstRowLastColumn="0" w:lastRowFirstColumn="0" w:lastRowLastColumn="0"/>
              <w:rPr>
                <w:lang w:val="en-GB"/>
              </w:rPr>
            </w:pPr>
            <w:r w:rsidRPr="007F440D">
              <w:rPr>
                <w:lang w:val="en-GB"/>
              </w:rPr>
              <w:t>Low</w:t>
            </w:r>
          </w:p>
        </w:tc>
        <w:tc>
          <w:tcPr>
            <w:tcW w:w="706" w:type="pct"/>
            <w:shd w:val="clear" w:color="auto" w:fill="FEDD9B" w:themeFill="accent4" w:themeFillTint="66"/>
            <w:vAlign w:val="center"/>
            <w:hideMark/>
          </w:tcPr>
          <w:p w14:paraId="655A5F99" w14:textId="77777777" w:rsidR="00FB7579" w:rsidRPr="007F440D" w:rsidRDefault="00FB7579">
            <w:pPr>
              <w:spacing w:before="0" w:after="0"/>
              <w:cnfStyle w:val="000000100000" w:firstRow="0" w:lastRow="0" w:firstColumn="0" w:lastColumn="0" w:oddVBand="0" w:evenVBand="0" w:oddHBand="1" w:evenHBand="0" w:firstRowFirstColumn="0" w:firstRowLastColumn="0" w:lastRowFirstColumn="0" w:lastRowLastColumn="0"/>
              <w:rPr>
                <w:lang w:val="en-GB"/>
              </w:rPr>
            </w:pPr>
            <w:r w:rsidRPr="007F440D">
              <w:rPr>
                <w:lang w:val="en-GB"/>
              </w:rPr>
              <w:t>Medium</w:t>
            </w:r>
          </w:p>
        </w:tc>
        <w:tc>
          <w:tcPr>
            <w:tcW w:w="696" w:type="pct"/>
            <w:shd w:val="clear" w:color="auto" w:fill="FD9C54" w:themeFill="accent2" w:themeFillTint="99"/>
            <w:vAlign w:val="center"/>
            <w:hideMark/>
          </w:tcPr>
          <w:p w14:paraId="57125F53" w14:textId="77777777" w:rsidR="00FB7579" w:rsidRPr="00D26210" w:rsidRDefault="00FB7579">
            <w:pPr>
              <w:spacing w:before="0" w:after="0"/>
              <w:cnfStyle w:val="000000100000" w:firstRow="0" w:lastRow="0" w:firstColumn="0" w:lastColumn="0" w:oddVBand="0" w:evenVBand="0" w:oddHBand="1" w:evenHBand="0" w:firstRowFirstColumn="0" w:firstRowLastColumn="0" w:lastRowFirstColumn="0" w:lastRowLastColumn="0"/>
              <w:rPr>
                <w:lang w:val="en-GB"/>
              </w:rPr>
            </w:pPr>
            <w:r w:rsidRPr="00D26210">
              <w:rPr>
                <w:lang w:val="en-GB"/>
              </w:rPr>
              <w:t>High</w:t>
            </w:r>
          </w:p>
        </w:tc>
      </w:tr>
      <w:tr w:rsidR="00820AA9" w:rsidRPr="006D3C55" w14:paraId="35B8F454" w14:textId="77777777" w:rsidTr="00B2036E">
        <w:trPr>
          <w:cnfStyle w:val="000000010000" w:firstRow="0" w:lastRow="0" w:firstColumn="0" w:lastColumn="0" w:oddVBand="0" w:evenVBand="0" w:oddHBand="0" w:evenHBand="1" w:firstRowFirstColumn="0" w:firstRowLastColumn="0" w:lastRowFirstColumn="0" w:lastRowLastColumn="0"/>
          <w:cantSplit/>
          <w:jc w:val="center"/>
        </w:trPr>
        <w:tc>
          <w:tcPr>
            <w:cnfStyle w:val="001000000000" w:firstRow="0" w:lastRow="0" w:firstColumn="1" w:lastColumn="0" w:oddVBand="0" w:evenVBand="0" w:oddHBand="0" w:evenHBand="0" w:firstRowFirstColumn="0" w:firstRowLastColumn="0" w:lastRowFirstColumn="0" w:lastRowLastColumn="0"/>
            <w:tcW w:w="1247" w:type="pct"/>
            <w:shd w:val="clear" w:color="auto" w:fill="F2F2F2" w:themeFill="background1" w:themeFillShade="F2"/>
            <w:vAlign w:val="center"/>
            <w:hideMark/>
          </w:tcPr>
          <w:p w14:paraId="05741F2B" w14:textId="759726AF" w:rsidR="00FB7579" w:rsidRPr="00AA3B78" w:rsidRDefault="00FB7579">
            <w:pPr>
              <w:spacing w:before="0" w:after="0"/>
              <w:rPr>
                <w:lang w:val="en-GB"/>
              </w:rPr>
            </w:pPr>
            <w:r w:rsidRPr="00AA3B78">
              <w:rPr>
                <w:noProof/>
              </w:rPr>
              <w:drawing>
                <wp:inline distT="0" distB="0" distL="0" distR="0" wp14:anchorId="3FB879C7" wp14:editId="79574C10">
                  <wp:extent cx="129540" cy="129540"/>
                  <wp:effectExtent l="0" t="0" r="3810" b="3810"/>
                  <wp:docPr id="301360703" name="Picture 2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1360703" name="Picture 29">
                            <a:extLst>
                              <a:ext uri="{C183D7F6-B498-43B3-948B-1728B52AA6E4}">
                                <adec:decorative xmlns:adec="http://schemas.microsoft.com/office/drawing/2017/decorative" val="1"/>
                              </a:ext>
                            </a:extLst>
                          </pic:cNvPr>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129540" cy="129540"/>
                          </a:xfrm>
                          <a:prstGeom prst="rect">
                            <a:avLst/>
                          </a:prstGeom>
                          <a:noFill/>
                          <a:ln>
                            <a:noFill/>
                          </a:ln>
                        </pic:spPr>
                      </pic:pic>
                    </a:graphicData>
                  </a:graphic>
                </wp:inline>
              </w:drawing>
            </w:r>
            <w:r w:rsidRPr="00AA3B78">
              <w:rPr>
                <w:lang w:val="en-GB"/>
              </w:rPr>
              <w:t xml:space="preserve"> Czechia</w:t>
            </w:r>
          </w:p>
        </w:tc>
        <w:tc>
          <w:tcPr>
            <w:tcW w:w="627" w:type="pct"/>
            <w:shd w:val="clear" w:color="auto" w:fill="F2F2F2" w:themeFill="background1" w:themeFillShade="F2"/>
            <w:vAlign w:val="center"/>
            <w:hideMark/>
          </w:tcPr>
          <w:p w14:paraId="52DC7848" w14:textId="40269D48" w:rsidR="00FB7579" w:rsidRPr="00AA3B78" w:rsidRDefault="00AA3B78">
            <w:pPr>
              <w:spacing w:before="0" w:after="0"/>
              <w:cnfStyle w:val="000000010000" w:firstRow="0" w:lastRow="0" w:firstColumn="0" w:lastColumn="0" w:oddVBand="0" w:evenVBand="0" w:oddHBand="0" w:evenHBand="1" w:firstRowFirstColumn="0" w:firstRowLastColumn="0" w:lastRowFirstColumn="0" w:lastRowLastColumn="0"/>
              <w:rPr>
                <w:lang w:val="en-GB"/>
              </w:rPr>
            </w:pPr>
            <w:r w:rsidRPr="00AA3B78">
              <w:rPr>
                <w:lang w:val="en-GB"/>
              </w:rPr>
              <w:t>Fourth</w:t>
            </w:r>
          </w:p>
        </w:tc>
        <w:tc>
          <w:tcPr>
            <w:tcW w:w="626" w:type="pct"/>
            <w:shd w:val="clear" w:color="auto" w:fill="D5FFE8"/>
            <w:vAlign w:val="center"/>
            <w:hideMark/>
          </w:tcPr>
          <w:p w14:paraId="6EFF3CD1" w14:textId="77777777" w:rsidR="00FB7579" w:rsidRPr="007F440D" w:rsidRDefault="00FB7579">
            <w:pPr>
              <w:spacing w:before="0" w:after="0"/>
              <w:cnfStyle w:val="000000010000" w:firstRow="0" w:lastRow="0" w:firstColumn="0" w:lastColumn="0" w:oddVBand="0" w:evenVBand="0" w:oddHBand="0" w:evenHBand="1" w:firstRowFirstColumn="0" w:firstRowLastColumn="0" w:lastRowFirstColumn="0" w:lastRowLastColumn="0"/>
              <w:rPr>
                <w:lang w:val="en-GB"/>
              </w:rPr>
            </w:pPr>
            <w:r w:rsidRPr="007F440D">
              <w:rPr>
                <w:lang w:val="en-GB"/>
              </w:rPr>
              <w:t>Low</w:t>
            </w:r>
          </w:p>
        </w:tc>
        <w:tc>
          <w:tcPr>
            <w:tcW w:w="627" w:type="pct"/>
            <w:shd w:val="clear" w:color="auto" w:fill="D5FFE8"/>
            <w:vAlign w:val="center"/>
            <w:hideMark/>
          </w:tcPr>
          <w:p w14:paraId="50CD15E3" w14:textId="77777777" w:rsidR="00FB7579" w:rsidRPr="007F440D" w:rsidRDefault="00FB7579">
            <w:pPr>
              <w:spacing w:before="0" w:after="0"/>
              <w:cnfStyle w:val="000000010000" w:firstRow="0" w:lastRow="0" w:firstColumn="0" w:lastColumn="0" w:oddVBand="0" w:evenVBand="0" w:oddHBand="0" w:evenHBand="1" w:firstRowFirstColumn="0" w:firstRowLastColumn="0" w:lastRowFirstColumn="0" w:lastRowLastColumn="0"/>
              <w:rPr>
                <w:lang w:val="en-GB"/>
              </w:rPr>
            </w:pPr>
            <w:r w:rsidRPr="007F440D">
              <w:rPr>
                <w:lang w:val="en-GB"/>
              </w:rPr>
              <w:t>Low</w:t>
            </w:r>
          </w:p>
        </w:tc>
        <w:tc>
          <w:tcPr>
            <w:tcW w:w="471" w:type="pct"/>
            <w:shd w:val="clear" w:color="auto" w:fill="D5FFE8"/>
            <w:vAlign w:val="center"/>
            <w:hideMark/>
          </w:tcPr>
          <w:p w14:paraId="66CD77F5" w14:textId="77777777" w:rsidR="00FB7579" w:rsidRPr="007F440D" w:rsidRDefault="00FB7579">
            <w:pPr>
              <w:spacing w:before="0" w:after="0"/>
              <w:cnfStyle w:val="000000010000" w:firstRow="0" w:lastRow="0" w:firstColumn="0" w:lastColumn="0" w:oddVBand="0" w:evenVBand="0" w:oddHBand="0" w:evenHBand="1" w:firstRowFirstColumn="0" w:firstRowLastColumn="0" w:lastRowFirstColumn="0" w:lastRowLastColumn="0"/>
              <w:rPr>
                <w:lang w:val="en-GB"/>
              </w:rPr>
            </w:pPr>
            <w:r w:rsidRPr="007F440D">
              <w:rPr>
                <w:lang w:val="en-GB"/>
              </w:rPr>
              <w:t>Low</w:t>
            </w:r>
          </w:p>
        </w:tc>
        <w:tc>
          <w:tcPr>
            <w:tcW w:w="706" w:type="pct"/>
            <w:shd w:val="clear" w:color="auto" w:fill="FEDD9B" w:themeFill="accent4" w:themeFillTint="66"/>
            <w:vAlign w:val="center"/>
            <w:hideMark/>
          </w:tcPr>
          <w:p w14:paraId="737FF1AE" w14:textId="77777777" w:rsidR="00FB7579" w:rsidRPr="007F440D" w:rsidRDefault="00FB7579">
            <w:pPr>
              <w:spacing w:before="0" w:after="0"/>
              <w:cnfStyle w:val="000000010000" w:firstRow="0" w:lastRow="0" w:firstColumn="0" w:lastColumn="0" w:oddVBand="0" w:evenVBand="0" w:oddHBand="0" w:evenHBand="1" w:firstRowFirstColumn="0" w:firstRowLastColumn="0" w:lastRowFirstColumn="0" w:lastRowLastColumn="0"/>
              <w:rPr>
                <w:lang w:val="en-GB"/>
              </w:rPr>
            </w:pPr>
            <w:r w:rsidRPr="007F440D">
              <w:rPr>
                <w:lang w:val="en-GB"/>
              </w:rPr>
              <w:t>Medium</w:t>
            </w:r>
          </w:p>
        </w:tc>
        <w:tc>
          <w:tcPr>
            <w:tcW w:w="696" w:type="pct"/>
            <w:shd w:val="clear" w:color="auto" w:fill="FD9C54" w:themeFill="accent2" w:themeFillTint="99"/>
            <w:vAlign w:val="center"/>
            <w:hideMark/>
          </w:tcPr>
          <w:p w14:paraId="0E678DD6" w14:textId="77777777" w:rsidR="00FB7579" w:rsidRPr="00D26210" w:rsidRDefault="00FB7579">
            <w:pPr>
              <w:spacing w:before="0" w:after="0"/>
              <w:cnfStyle w:val="000000010000" w:firstRow="0" w:lastRow="0" w:firstColumn="0" w:lastColumn="0" w:oddVBand="0" w:evenVBand="0" w:oddHBand="0" w:evenHBand="1" w:firstRowFirstColumn="0" w:firstRowLastColumn="0" w:lastRowFirstColumn="0" w:lastRowLastColumn="0"/>
              <w:rPr>
                <w:lang w:val="en-GB"/>
              </w:rPr>
            </w:pPr>
            <w:r w:rsidRPr="00D26210">
              <w:rPr>
                <w:lang w:val="en-GB"/>
              </w:rPr>
              <w:t>High</w:t>
            </w:r>
          </w:p>
        </w:tc>
      </w:tr>
      <w:tr w:rsidR="004A3355" w:rsidRPr="006D3C55" w14:paraId="67736854" w14:textId="77777777" w:rsidTr="00B2036E">
        <w:trPr>
          <w:cnfStyle w:val="000000100000" w:firstRow="0" w:lastRow="0" w:firstColumn="0" w:lastColumn="0" w:oddVBand="0" w:evenVBand="0" w:oddHBand="1" w:evenHBand="0" w:firstRowFirstColumn="0" w:firstRowLastColumn="0" w:lastRowFirstColumn="0" w:lastRowLastColumn="0"/>
          <w:cantSplit/>
          <w:jc w:val="center"/>
        </w:trPr>
        <w:tc>
          <w:tcPr>
            <w:cnfStyle w:val="001000000000" w:firstRow="0" w:lastRow="0" w:firstColumn="1" w:lastColumn="0" w:oddVBand="0" w:evenVBand="0" w:oddHBand="0" w:evenHBand="0" w:firstRowFirstColumn="0" w:firstRowLastColumn="0" w:lastRowFirstColumn="0" w:lastRowLastColumn="0"/>
            <w:tcW w:w="1247" w:type="pct"/>
            <w:vAlign w:val="center"/>
            <w:hideMark/>
          </w:tcPr>
          <w:p w14:paraId="13820D17" w14:textId="3E351E2E" w:rsidR="00FB7579" w:rsidRPr="007F440D" w:rsidRDefault="00FB7579">
            <w:pPr>
              <w:spacing w:before="0" w:after="0"/>
              <w:rPr>
                <w:lang w:val="en-GB"/>
              </w:rPr>
            </w:pPr>
            <w:r w:rsidRPr="007F440D">
              <w:rPr>
                <w:noProof/>
              </w:rPr>
              <w:drawing>
                <wp:inline distT="0" distB="0" distL="0" distR="0" wp14:anchorId="4C01ECA8" wp14:editId="250E0683">
                  <wp:extent cx="129540" cy="129540"/>
                  <wp:effectExtent l="0" t="0" r="3810" b="3810"/>
                  <wp:docPr id="362162460" name="Picture 2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2162460" name="Picture 28">
                            <a:extLst>
                              <a:ext uri="{C183D7F6-B498-43B3-948B-1728B52AA6E4}">
                                <adec:decorative xmlns:adec="http://schemas.microsoft.com/office/drawing/2017/decorative" val="1"/>
                              </a:ext>
                            </a:extLst>
                          </pic:cNvPr>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129540" cy="129540"/>
                          </a:xfrm>
                          <a:prstGeom prst="rect">
                            <a:avLst/>
                          </a:prstGeom>
                          <a:noFill/>
                          <a:ln>
                            <a:noFill/>
                          </a:ln>
                        </pic:spPr>
                      </pic:pic>
                    </a:graphicData>
                  </a:graphic>
                </wp:inline>
              </w:drawing>
            </w:r>
            <w:r w:rsidRPr="007F440D">
              <w:rPr>
                <w:lang w:val="en-GB"/>
              </w:rPr>
              <w:t xml:space="preserve"> Denmark</w:t>
            </w:r>
          </w:p>
        </w:tc>
        <w:tc>
          <w:tcPr>
            <w:tcW w:w="627" w:type="pct"/>
            <w:vAlign w:val="center"/>
            <w:hideMark/>
          </w:tcPr>
          <w:p w14:paraId="7F3CE546" w14:textId="124B00A7" w:rsidR="00FB7579" w:rsidRPr="007F440D" w:rsidRDefault="00E341C6">
            <w:pPr>
              <w:spacing w:before="0" w:after="0"/>
              <w:cnfStyle w:val="000000100000" w:firstRow="0" w:lastRow="0" w:firstColumn="0" w:lastColumn="0" w:oddVBand="0" w:evenVBand="0" w:oddHBand="1" w:evenHBand="0" w:firstRowFirstColumn="0" w:firstRowLastColumn="0" w:lastRowFirstColumn="0" w:lastRowLastColumn="0"/>
              <w:rPr>
                <w:lang w:val="en-GB"/>
              </w:rPr>
            </w:pPr>
            <w:r w:rsidRPr="007F440D">
              <w:rPr>
                <w:lang w:val="en-GB"/>
              </w:rPr>
              <w:t>Third</w:t>
            </w:r>
          </w:p>
        </w:tc>
        <w:tc>
          <w:tcPr>
            <w:tcW w:w="626" w:type="pct"/>
            <w:shd w:val="clear" w:color="auto" w:fill="D5FFE8"/>
            <w:vAlign w:val="center"/>
            <w:hideMark/>
          </w:tcPr>
          <w:p w14:paraId="5E3497ED" w14:textId="77777777" w:rsidR="00FB7579" w:rsidRPr="007F440D" w:rsidRDefault="00FB7579">
            <w:pPr>
              <w:spacing w:before="0" w:after="0"/>
              <w:cnfStyle w:val="000000100000" w:firstRow="0" w:lastRow="0" w:firstColumn="0" w:lastColumn="0" w:oddVBand="0" w:evenVBand="0" w:oddHBand="1" w:evenHBand="0" w:firstRowFirstColumn="0" w:firstRowLastColumn="0" w:lastRowFirstColumn="0" w:lastRowLastColumn="0"/>
              <w:rPr>
                <w:lang w:val="en-GB"/>
              </w:rPr>
            </w:pPr>
            <w:r w:rsidRPr="007F440D">
              <w:rPr>
                <w:lang w:val="en-GB"/>
              </w:rPr>
              <w:t>Low</w:t>
            </w:r>
          </w:p>
        </w:tc>
        <w:tc>
          <w:tcPr>
            <w:tcW w:w="627" w:type="pct"/>
            <w:shd w:val="clear" w:color="auto" w:fill="D5FFE8"/>
            <w:vAlign w:val="center"/>
            <w:hideMark/>
          </w:tcPr>
          <w:p w14:paraId="22B555B6" w14:textId="77777777" w:rsidR="00FB7579" w:rsidRPr="007F440D" w:rsidRDefault="00FB7579">
            <w:pPr>
              <w:spacing w:before="0" w:after="0"/>
              <w:cnfStyle w:val="000000100000" w:firstRow="0" w:lastRow="0" w:firstColumn="0" w:lastColumn="0" w:oddVBand="0" w:evenVBand="0" w:oddHBand="1" w:evenHBand="0" w:firstRowFirstColumn="0" w:firstRowLastColumn="0" w:lastRowFirstColumn="0" w:lastRowLastColumn="0"/>
              <w:rPr>
                <w:lang w:val="en-GB"/>
              </w:rPr>
            </w:pPr>
            <w:r w:rsidRPr="007F440D">
              <w:rPr>
                <w:lang w:val="en-GB"/>
              </w:rPr>
              <w:t>Low</w:t>
            </w:r>
          </w:p>
        </w:tc>
        <w:tc>
          <w:tcPr>
            <w:tcW w:w="471" w:type="pct"/>
            <w:shd w:val="clear" w:color="auto" w:fill="D5FFE8"/>
            <w:vAlign w:val="center"/>
            <w:hideMark/>
          </w:tcPr>
          <w:p w14:paraId="21A5EF33" w14:textId="77777777" w:rsidR="00FB7579" w:rsidRPr="007F440D" w:rsidRDefault="00FB7579">
            <w:pPr>
              <w:spacing w:before="0" w:after="0"/>
              <w:cnfStyle w:val="000000100000" w:firstRow="0" w:lastRow="0" w:firstColumn="0" w:lastColumn="0" w:oddVBand="0" w:evenVBand="0" w:oddHBand="1" w:evenHBand="0" w:firstRowFirstColumn="0" w:firstRowLastColumn="0" w:lastRowFirstColumn="0" w:lastRowLastColumn="0"/>
              <w:rPr>
                <w:lang w:val="en-GB"/>
              </w:rPr>
            </w:pPr>
            <w:r w:rsidRPr="007F440D">
              <w:rPr>
                <w:lang w:val="en-GB"/>
              </w:rPr>
              <w:t>Low</w:t>
            </w:r>
          </w:p>
        </w:tc>
        <w:tc>
          <w:tcPr>
            <w:tcW w:w="706" w:type="pct"/>
            <w:shd w:val="clear" w:color="auto" w:fill="FEDD9B" w:themeFill="accent4" w:themeFillTint="66"/>
            <w:vAlign w:val="center"/>
            <w:hideMark/>
          </w:tcPr>
          <w:p w14:paraId="75D64753" w14:textId="77777777" w:rsidR="00FB7579" w:rsidRPr="007F440D" w:rsidRDefault="00FB7579">
            <w:pPr>
              <w:spacing w:before="0" w:after="0"/>
              <w:cnfStyle w:val="000000100000" w:firstRow="0" w:lastRow="0" w:firstColumn="0" w:lastColumn="0" w:oddVBand="0" w:evenVBand="0" w:oddHBand="1" w:evenHBand="0" w:firstRowFirstColumn="0" w:firstRowLastColumn="0" w:lastRowFirstColumn="0" w:lastRowLastColumn="0"/>
              <w:rPr>
                <w:lang w:val="en-GB"/>
              </w:rPr>
            </w:pPr>
            <w:r w:rsidRPr="007F440D">
              <w:rPr>
                <w:lang w:val="en-GB"/>
              </w:rPr>
              <w:t>Medium</w:t>
            </w:r>
          </w:p>
        </w:tc>
        <w:tc>
          <w:tcPr>
            <w:tcW w:w="696" w:type="pct"/>
            <w:shd w:val="clear" w:color="auto" w:fill="FEDD9B" w:themeFill="accent4" w:themeFillTint="66"/>
            <w:vAlign w:val="center"/>
            <w:hideMark/>
          </w:tcPr>
          <w:p w14:paraId="387B2627" w14:textId="77777777" w:rsidR="00FB7579" w:rsidRPr="007F440D" w:rsidRDefault="00FB7579">
            <w:pPr>
              <w:spacing w:before="0" w:after="0"/>
              <w:cnfStyle w:val="000000100000" w:firstRow="0" w:lastRow="0" w:firstColumn="0" w:lastColumn="0" w:oddVBand="0" w:evenVBand="0" w:oddHBand="1" w:evenHBand="0" w:firstRowFirstColumn="0" w:firstRowLastColumn="0" w:lastRowFirstColumn="0" w:lastRowLastColumn="0"/>
              <w:rPr>
                <w:lang w:val="en-GB"/>
              </w:rPr>
            </w:pPr>
            <w:r w:rsidRPr="007F440D">
              <w:rPr>
                <w:lang w:val="en-GB"/>
              </w:rPr>
              <w:t>Medium</w:t>
            </w:r>
          </w:p>
        </w:tc>
      </w:tr>
      <w:tr w:rsidR="004A3355" w:rsidRPr="006D3C55" w14:paraId="512F6055" w14:textId="77777777" w:rsidTr="00B2036E">
        <w:trPr>
          <w:cnfStyle w:val="000000010000" w:firstRow="0" w:lastRow="0" w:firstColumn="0" w:lastColumn="0" w:oddVBand="0" w:evenVBand="0" w:oddHBand="0" w:evenHBand="1" w:firstRowFirstColumn="0" w:firstRowLastColumn="0" w:lastRowFirstColumn="0" w:lastRowLastColumn="0"/>
          <w:cantSplit/>
          <w:jc w:val="center"/>
        </w:trPr>
        <w:tc>
          <w:tcPr>
            <w:cnfStyle w:val="001000000000" w:firstRow="0" w:lastRow="0" w:firstColumn="1" w:lastColumn="0" w:oddVBand="0" w:evenVBand="0" w:oddHBand="0" w:evenHBand="0" w:firstRowFirstColumn="0" w:firstRowLastColumn="0" w:lastRowFirstColumn="0" w:lastRowLastColumn="0"/>
            <w:tcW w:w="1247" w:type="pct"/>
            <w:vAlign w:val="center"/>
            <w:hideMark/>
          </w:tcPr>
          <w:p w14:paraId="75CA9F6B" w14:textId="0CC29E4A" w:rsidR="00FB7579" w:rsidRPr="00F15A4F" w:rsidRDefault="00FB7579">
            <w:pPr>
              <w:spacing w:before="0" w:after="0"/>
              <w:rPr>
                <w:lang w:val="en-GB"/>
              </w:rPr>
            </w:pPr>
            <w:r w:rsidRPr="00F15A4F">
              <w:rPr>
                <w:noProof/>
              </w:rPr>
              <w:drawing>
                <wp:inline distT="0" distB="0" distL="0" distR="0" wp14:anchorId="2778172C" wp14:editId="261C9D71">
                  <wp:extent cx="129540" cy="129540"/>
                  <wp:effectExtent l="0" t="0" r="3810" b="3810"/>
                  <wp:docPr id="760973561" name="Picture 2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0973561" name="Picture 26">
                            <a:extLst>
                              <a:ext uri="{C183D7F6-B498-43B3-948B-1728B52AA6E4}">
                                <adec:decorative xmlns:adec="http://schemas.microsoft.com/office/drawing/2017/decorative" val="1"/>
                              </a:ext>
                            </a:extLst>
                          </pic:cNvPr>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129540" cy="129540"/>
                          </a:xfrm>
                          <a:prstGeom prst="rect">
                            <a:avLst/>
                          </a:prstGeom>
                          <a:noFill/>
                          <a:ln>
                            <a:noFill/>
                          </a:ln>
                        </pic:spPr>
                      </pic:pic>
                    </a:graphicData>
                  </a:graphic>
                </wp:inline>
              </w:drawing>
            </w:r>
            <w:r w:rsidRPr="00F15A4F">
              <w:rPr>
                <w:lang w:val="en-GB"/>
              </w:rPr>
              <w:t xml:space="preserve"> Estonia</w:t>
            </w:r>
          </w:p>
        </w:tc>
        <w:tc>
          <w:tcPr>
            <w:tcW w:w="627" w:type="pct"/>
            <w:vAlign w:val="center"/>
            <w:hideMark/>
          </w:tcPr>
          <w:p w14:paraId="7952D3B7" w14:textId="72C92D69" w:rsidR="00FB7579" w:rsidRPr="00F15A4F" w:rsidRDefault="00E73752">
            <w:pPr>
              <w:spacing w:before="0" w:after="0"/>
              <w:cnfStyle w:val="000000010000" w:firstRow="0" w:lastRow="0" w:firstColumn="0" w:lastColumn="0" w:oddVBand="0" w:evenVBand="0" w:oddHBand="0" w:evenHBand="1" w:firstRowFirstColumn="0" w:firstRowLastColumn="0" w:lastRowFirstColumn="0" w:lastRowLastColumn="0"/>
              <w:rPr>
                <w:lang w:val="en-GB"/>
              </w:rPr>
            </w:pPr>
            <w:r w:rsidRPr="00F15A4F">
              <w:rPr>
                <w:lang w:val="en-GB"/>
              </w:rPr>
              <w:t>Third</w:t>
            </w:r>
          </w:p>
        </w:tc>
        <w:tc>
          <w:tcPr>
            <w:tcW w:w="626" w:type="pct"/>
            <w:shd w:val="clear" w:color="auto" w:fill="D5FFE8"/>
            <w:vAlign w:val="center"/>
            <w:hideMark/>
          </w:tcPr>
          <w:p w14:paraId="7990F974" w14:textId="77777777" w:rsidR="00FB7579" w:rsidRPr="00F15A4F" w:rsidRDefault="00FB7579">
            <w:pPr>
              <w:spacing w:before="0" w:after="0"/>
              <w:cnfStyle w:val="000000010000" w:firstRow="0" w:lastRow="0" w:firstColumn="0" w:lastColumn="0" w:oddVBand="0" w:evenVBand="0" w:oddHBand="0" w:evenHBand="1" w:firstRowFirstColumn="0" w:firstRowLastColumn="0" w:lastRowFirstColumn="0" w:lastRowLastColumn="0"/>
              <w:rPr>
                <w:lang w:val="en-GB"/>
              </w:rPr>
            </w:pPr>
            <w:r w:rsidRPr="00F15A4F">
              <w:rPr>
                <w:lang w:val="en-GB"/>
              </w:rPr>
              <w:t>Low</w:t>
            </w:r>
          </w:p>
        </w:tc>
        <w:tc>
          <w:tcPr>
            <w:tcW w:w="627" w:type="pct"/>
            <w:shd w:val="clear" w:color="auto" w:fill="D5FFE8"/>
            <w:vAlign w:val="center"/>
            <w:hideMark/>
          </w:tcPr>
          <w:p w14:paraId="49BEDF96" w14:textId="77777777" w:rsidR="00FB7579" w:rsidRPr="00F15A4F" w:rsidRDefault="00FB7579">
            <w:pPr>
              <w:spacing w:before="0" w:after="0"/>
              <w:cnfStyle w:val="000000010000" w:firstRow="0" w:lastRow="0" w:firstColumn="0" w:lastColumn="0" w:oddVBand="0" w:evenVBand="0" w:oddHBand="0" w:evenHBand="1" w:firstRowFirstColumn="0" w:firstRowLastColumn="0" w:lastRowFirstColumn="0" w:lastRowLastColumn="0"/>
              <w:rPr>
                <w:lang w:val="en-GB"/>
              </w:rPr>
            </w:pPr>
            <w:r w:rsidRPr="00F15A4F">
              <w:rPr>
                <w:lang w:val="en-GB"/>
              </w:rPr>
              <w:t>Low</w:t>
            </w:r>
          </w:p>
        </w:tc>
        <w:tc>
          <w:tcPr>
            <w:tcW w:w="471" w:type="pct"/>
            <w:shd w:val="clear" w:color="auto" w:fill="D5FFE8"/>
            <w:vAlign w:val="center"/>
            <w:hideMark/>
          </w:tcPr>
          <w:p w14:paraId="3A944E7E" w14:textId="77777777" w:rsidR="00FB7579" w:rsidRPr="00F15A4F" w:rsidRDefault="00FB7579">
            <w:pPr>
              <w:spacing w:before="0" w:after="0"/>
              <w:cnfStyle w:val="000000010000" w:firstRow="0" w:lastRow="0" w:firstColumn="0" w:lastColumn="0" w:oddVBand="0" w:evenVBand="0" w:oddHBand="0" w:evenHBand="1" w:firstRowFirstColumn="0" w:firstRowLastColumn="0" w:lastRowFirstColumn="0" w:lastRowLastColumn="0"/>
              <w:rPr>
                <w:lang w:val="en-GB"/>
              </w:rPr>
            </w:pPr>
            <w:r w:rsidRPr="00F15A4F">
              <w:rPr>
                <w:lang w:val="en-GB"/>
              </w:rPr>
              <w:t>Low</w:t>
            </w:r>
          </w:p>
        </w:tc>
        <w:tc>
          <w:tcPr>
            <w:tcW w:w="706" w:type="pct"/>
            <w:shd w:val="clear" w:color="auto" w:fill="FEDD9B" w:themeFill="accent4" w:themeFillTint="66"/>
            <w:vAlign w:val="center"/>
            <w:hideMark/>
          </w:tcPr>
          <w:p w14:paraId="6693F8CF" w14:textId="66F247BD" w:rsidR="00FB7579" w:rsidRPr="00F15A4F" w:rsidRDefault="003F2064">
            <w:pPr>
              <w:spacing w:before="0" w:after="0"/>
              <w:cnfStyle w:val="000000010000" w:firstRow="0" w:lastRow="0" w:firstColumn="0" w:lastColumn="0" w:oddVBand="0" w:evenVBand="0" w:oddHBand="0" w:evenHBand="1" w:firstRowFirstColumn="0" w:firstRowLastColumn="0" w:lastRowFirstColumn="0" w:lastRowLastColumn="0"/>
              <w:rPr>
                <w:lang w:val="en-GB"/>
              </w:rPr>
            </w:pPr>
            <w:r w:rsidRPr="00F15A4F">
              <w:rPr>
                <w:lang w:val="en-GB"/>
              </w:rPr>
              <w:t>Medium</w:t>
            </w:r>
          </w:p>
        </w:tc>
        <w:tc>
          <w:tcPr>
            <w:tcW w:w="696" w:type="pct"/>
            <w:shd w:val="clear" w:color="auto" w:fill="D5FFE8"/>
            <w:vAlign w:val="center"/>
            <w:hideMark/>
          </w:tcPr>
          <w:p w14:paraId="55BD1083" w14:textId="51ADBACC" w:rsidR="00FB7579" w:rsidRPr="00F15A4F" w:rsidRDefault="003F2064">
            <w:pPr>
              <w:spacing w:before="0" w:after="0"/>
              <w:cnfStyle w:val="000000010000" w:firstRow="0" w:lastRow="0" w:firstColumn="0" w:lastColumn="0" w:oddVBand="0" w:evenVBand="0" w:oddHBand="0" w:evenHBand="1" w:firstRowFirstColumn="0" w:firstRowLastColumn="0" w:lastRowFirstColumn="0" w:lastRowLastColumn="0"/>
              <w:rPr>
                <w:lang w:val="en-GB"/>
              </w:rPr>
            </w:pPr>
            <w:r w:rsidRPr="00F15A4F">
              <w:rPr>
                <w:lang w:val="en-GB"/>
              </w:rPr>
              <w:t>Low</w:t>
            </w:r>
          </w:p>
        </w:tc>
      </w:tr>
      <w:tr w:rsidR="004A3355" w:rsidRPr="006D3C55" w14:paraId="7CEA7632" w14:textId="77777777" w:rsidTr="00B2036E">
        <w:trPr>
          <w:cnfStyle w:val="000000100000" w:firstRow="0" w:lastRow="0" w:firstColumn="0" w:lastColumn="0" w:oddVBand="0" w:evenVBand="0" w:oddHBand="1" w:evenHBand="0" w:firstRowFirstColumn="0" w:firstRowLastColumn="0" w:lastRowFirstColumn="0" w:lastRowLastColumn="0"/>
          <w:cantSplit/>
          <w:jc w:val="center"/>
        </w:trPr>
        <w:tc>
          <w:tcPr>
            <w:cnfStyle w:val="001000000000" w:firstRow="0" w:lastRow="0" w:firstColumn="1" w:lastColumn="0" w:oddVBand="0" w:evenVBand="0" w:oddHBand="0" w:evenHBand="0" w:firstRowFirstColumn="0" w:firstRowLastColumn="0" w:lastRowFirstColumn="0" w:lastRowLastColumn="0"/>
            <w:tcW w:w="1247" w:type="pct"/>
            <w:shd w:val="clear" w:color="auto" w:fill="FFFFFF" w:themeFill="background1"/>
            <w:vAlign w:val="center"/>
            <w:hideMark/>
          </w:tcPr>
          <w:p w14:paraId="218F888E" w14:textId="45F1063D" w:rsidR="00FB7579" w:rsidRPr="00D3223B" w:rsidRDefault="00FB7579">
            <w:pPr>
              <w:spacing w:before="0" w:after="0"/>
              <w:rPr>
                <w:lang w:val="en-GB"/>
              </w:rPr>
            </w:pPr>
            <w:r w:rsidRPr="00D3223B">
              <w:rPr>
                <w:noProof/>
              </w:rPr>
              <w:drawing>
                <wp:inline distT="0" distB="0" distL="0" distR="0" wp14:anchorId="21EE9BD8" wp14:editId="32D0C753">
                  <wp:extent cx="129540" cy="120650"/>
                  <wp:effectExtent l="0" t="0" r="3810" b="0"/>
                  <wp:docPr id="2130602358" name="Picture 2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0602358" name="Picture 25">
                            <a:extLst>
                              <a:ext uri="{C183D7F6-B498-43B3-948B-1728B52AA6E4}">
                                <adec:decorative xmlns:adec="http://schemas.microsoft.com/office/drawing/2017/decorative" val="1"/>
                              </a:ext>
                            </a:extLst>
                          </pic:cNvPr>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129540" cy="120650"/>
                          </a:xfrm>
                          <a:prstGeom prst="rect">
                            <a:avLst/>
                          </a:prstGeom>
                          <a:noFill/>
                          <a:ln>
                            <a:noFill/>
                          </a:ln>
                        </pic:spPr>
                      </pic:pic>
                    </a:graphicData>
                  </a:graphic>
                </wp:inline>
              </w:drawing>
            </w:r>
            <w:r w:rsidRPr="00D3223B">
              <w:rPr>
                <w:lang w:val="en-GB"/>
              </w:rPr>
              <w:t xml:space="preserve"> Ireland</w:t>
            </w:r>
          </w:p>
        </w:tc>
        <w:tc>
          <w:tcPr>
            <w:tcW w:w="627" w:type="pct"/>
            <w:shd w:val="clear" w:color="auto" w:fill="FFFFFF" w:themeFill="background1"/>
            <w:vAlign w:val="center"/>
            <w:hideMark/>
          </w:tcPr>
          <w:p w14:paraId="1A7663BD" w14:textId="3BD9950D" w:rsidR="00FB7579" w:rsidRPr="00D3223B" w:rsidRDefault="00D3223B">
            <w:pPr>
              <w:spacing w:before="0" w:after="0"/>
              <w:cnfStyle w:val="000000100000" w:firstRow="0" w:lastRow="0" w:firstColumn="0" w:lastColumn="0" w:oddVBand="0" w:evenVBand="0" w:oddHBand="1" w:evenHBand="0" w:firstRowFirstColumn="0" w:firstRowLastColumn="0" w:lastRowFirstColumn="0" w:lastRowLastColumn="0"/>
              <w:rPr>
                <w:lang w:val="en-GB"/>
              </w:rPr>
            </w:pPr>
            <w:r w:rsidRPr="00D3223B">
              <w:rPr>
                <w:lang w:val="en-GB"/>
              </w:rPr>
              <w:t>Second</w:t>
            </w:r>
          </w:p>
        </w:tc>
        <w:tc>
          <w:tcPr>
            <w:tcW w:w="626" w:type="pct"/>
            <w:shd w:val="clear" w:color="auto" w:fill="D5FFE8"/>
            <w:vAlign w:val="center"/>
            <w:hideMark/>
          </w:tcPr>
          <w:p w14:paraId="4ADD0D52" w14:textId="77777777" w:rsidR="00FB7579" w:rsidRPr="00D3223B" w:rsidRDefault="00FB7579">
            <w:pPr>
              <w:spacing w:before="0" w:after="0"/>
              <w:cnfStyle w:val="000000100000" w:firstRow="0" w:lastRow="0" w:firstColumn="0" w:lastColumn="0" w:oddVBand="0" w:evenVBand="0" w:oddHBand="1" w:evenHBand="0" w:firstRowFirstColumn="0" w:firstRowLastColumn="0" w:lastRowFirstColumn="0" w:lastRowLastColumn="0"/>
              <w:rPr>
                <w:lang w:val="en-GB"/>
              </w:rPr>
            </w:pPr>
            <w:r w:rsidRPr="00D3223B">
              <w:rPr>
                <w:lang w:val="en-GB"/>
              </w:rPr>
              <w:t>Low</w:t>
            </w:r>
          </w:p>
        </w:tc>
        <w:tc>
          <w:tcPr>
            <w:tcW w:w="627" w:type="pct"/>
            <w:shd w:val="clear" w:color="auto" w:fill="D5FFE8"/>
            <w:vAlign w:val="center"/>
            <w:hideMark/>
          </w:tcPr>
          <w:p w14:paraId="1D54DD74" w14:textId="77777777" w:rsidR="00FB7579" w:rsidRPr="00D3223B" w:rsidRDefault="00FB7579">
            <w:pPr>
              <w:spacing w:before="0" w:after="0"/>
              <w:cnfStyle w:val="000000100000" w:firstRow="0" w:lastRow="0" w:firstColumn="0" w:lastColumn="0" w:oddVBand="0" w:evenVBand="0" w:oddHBand="1" w:evenHBand="0" w:firstRowFirstColumn="0" w:firstRowLastColumn="0" w:lastRowFirstColumn="0" w:lastRowLastColumn="0"/>
              <w:rPr>
                <w:lang w:val="en-GB"/>
              </w:rPr>
            </w:pPr>
            <w:r w:rsidRPr="00D3223B">
              <w:rPr>
                <w:lang w:val="en-GB"/>
              </w:rPr>
              <w:t>Low</w:t>
            </w:r>
          </w:p>
        </w:tc>
        <w:tc>
          <w:tcPr>
            <w:tcW w:w="471" w:type="pct"/>
            <w:shd w:val="clear" w:color="auto" w:fill="D5FFE8"/>
            <w:vAlign w:val="center"/>
            <w:hideMark/>
          </w:tcPr>
          <w:p w14:paraId="5BC07CBC" w14:textId="77777777" w:rsidR="00FB7579" w:rsidRPr="00D3223B" w:rsidRDefault="00FB7579">
            <w:pPr>
              <w:spacing w:before="0" w:after="0"/>
              <w:cnfStyle w:val="000000100000" w:firstRow="0" w:lastRow="0" w:firstColumn="0" w:lastColumn="0" w:oddVBand="0" w:evenVBand="0" w:oddHBand="1" w:evenHBand="0" w:firstRowFirstColumn="0" w:firstRowLastColumn="0" w:lastRowFirstColumn="0" w:lastRowLastColumn="0"/>
              <w:rPr>
                <w:lang w:val="en-GB"/>
              </w:rPr>
            </w:pPr>
            <w:r w:rsidRPr="00D3223B">
              <w:rPr>
                <w:lang w:val="en-GB"/>
              </w:rPr>
              <w:t>Low</w:t>
            </w:r>
          </w:p>
        </w:tc>
        <w:tc>
          <w:tcPr>
            <w:tcW w:w="706" w:type="pct"/>
            <w:shd w:val="clear" w:color="auto" w:fill="D5FFE8"/>
            <w:vAlign w:val="center"/>
            <w:hideMark/>
          </w:tcPr>
          <w:p w14:paraId="027E3116" w14:textId="77777777" w:rsidR="00FB7579" w:rsidRPr="00D3223B" w:rsidRDefault="00FB7579">
            <w:pPr>
              <w:spacing w:before="0" w:after="0"/>
              <w:cnfStyle w:val="000000100000" w:firstRow="0" w:lastRow="0" w:firstColumn="0" w:lastColumn="0" w:oddVBand="0" w:evenVBand="0" w:oddHBand="1" w:evenHBand="0" w:firstRowFirstColumn="0" w:firstRowLastColumn="0" w:lastRowFirstColumn="0" w:lastRowLastColumn="0"/>
              <w:rPr>
                <w:lang w:val="en-GB"/>
              </w:rPr>
            </w:pPr>
            <w:r w:rsidRPr="00D3223B">
              <w:rPr>
                <w:lang w:val="en-GB"/>
              </w:rPr>
              <w:t>Low</w:t>
            </w:r>
          </w:p>
        </w:tc>
        <w:tc>
          <w:tcPr>
            <w:tcW w:w="696" w:type="pct"/>
            <w:shd w:val="clear" w:color="auto" w:fill="D5FFE8"/>
            <w:vAlign w:val="center"/>
            <w:hideMark/>
          </w:tcPr>
          <w:p w14:paraId="3E2DC4FA" w14:textId="0FE9F807" w:rsidR="00FB7579" w:rsidRPr="00D3223B" w:rsidRDefault="00D3223B">
            <w:pPr>
              <w:spacing w:before="0" w:after="0"/>
              <w:cnfStyle w:val="000000100000" w:firstRow="0" w:lastRow="0" w:firstColumn="0" w:lastColumn="0" w:oddVBand="0" w:evenVBand="0" w:oddHBand="1" w:evenHBand="0" w:firstRowFirstColumn="0" w:firstRowLastColumn="0" w:lastRowFirstColumn="0" w:lastRowLastColumn="0"/>
              <w:rPr>
                <w:lang w:val="en-GB"/>
              </w:rPr>
            </w:pPr>
            <w:r w:rsidRPr="00D3223B">
              <w:rPr>
                <w:lang w:val="en-GB"/>
              </w:rPr>
              <w:t>Low</w:t>
            </w:r>
          </w:p>
        </w:tc>
      </w:tr>
      <w:tr w:rsidR="004A3355" w:rsidRPr="006D3C55" w14:paraId="0FBF7353" w14:textId="77777777" w:rsidTr="00B2036E">
        <w:trPr>
          <w:cnfStyle w:val="000000010000" w:firstRow="0" w:lastRow="0" w:firstColumn="0" w:lastColumn="0" w:oddVBand="0" w:evenVBand="0" w:oddHBand="0" w:evenHBand="1" w:firstRowFirstColumn="0" w:firstRowLastColumn="0" w:lastRowFirstColumn="0" w:lastRowLastColumn="0"/>
          <w:cantSplit/>
          <w:jc w:val="center"/>
        </w:trPr>
        <w:tc>
          <w:tcPr>
            <w:cnfStyle w:val="001000000000" w:firstRow="0" w:lastRow="0" w:firstColumn="1" w:lastColumn="0" w:oddVBand="0" w:evenVBand="0" w:oddHBand="0" w:evenHBand="0" w:firstRowFirstColumn="0" w:firstRowLastColumn="0" w:lastRowFirstColumn="0" w:lastRowLastColumn="0"/>
            <w:tcW w:w="1247" w:type="pct"/>
            <w:shd w:val="clear" w:color="auto" w:fill="FFFFFF" w:themeFill="background1"/>
            <w:vAlign w:val="center"/>
          </w:tcPr>
          <w:p w14:paraId="4AD978A8" w14:textId="5FDA97C3" w:rsidR="00D3223B" w:rsidRPr="00D3223B" w:rsidRDefault="00D3223B" w:rsidP="00D3223B">
            <w:pPr>
              <w:spacing w:before="0" w:after="0"/>
              <w:rPr>
                <w:noProof/>
              </w:rPr>
            </w:pPr>
            <w:r w:rsidRPr="00D3223B">
              <w:rPr>
                <w:noProof/>
              </w:rPr>
              <w:drawing>
                <wp:inline distT="0" distB="0" distL="0" distR="0" wp14:anchorId="35281F64" wp14:editId="0E7B9BBD">
                  <wp:extent cx="129540" cy="120650"/>
                  <wp:effectExtent l="0" t="0" r="3810" b="0"/>
                  <wp:docPr id="1332409535" name="Picture 2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2409535" name="Picture 25">
                            <a:extLst>
                              <a:ext uri="{C183D7F6-B498-43B3-948B-1728B52AA6E4}">
                                <adec:decorative xmlns:adec="http://schemas.microsoft.com/office/drawing/2017/decorative" val="1"/>
                              </a:ext>
                            </a:extLst>
                          </pic:cNvPr>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129540" cy="120650"/>
                          </a:xfrm>
                          <a:prstGeom prst="rect">
                            <a:avLst/>
                          </a:prstGeom>
                          <a:noFill/>
                          <a:ln>
                            <a:noFill/>
                          </a:ln>
                        </pic:spPr>
                      </pic:pic>
                    </a:graphicData>
                  </a:graphic>
                </wp:inline>
              </w:drawing>
            </w:r>
            <w:r w:rsidRPr="00D3223B">
              <w:rPr>
                <w:lang w:val="en-GB"/>
              </w:rPr>
              <w:t xml:space="preserve"> Ireland</w:t>
            </w:r>
          </w:p>
        </w:tc>
        <w:tc>
          <w:tcPr>
            <w:tcW w:w="627" w:type="pct"/>
            <w:shd w:val="clear" w:color="auto" w:fill="FFFFFF" w:themeFill="background1"/>
            <w:vAlign w:val="center"/>
          </w:tcPr>
          <w:p w14:paraId="13F695A8" w14:textId="08A7F06D" w:rsidR="00D3223B" w:rsidRPr="00D3223B" w:rsidRDefault="00D3223B" w:rsidP="00D3223B">
            <w:pPr>
              <w:spacing w:before="0" w:after="0"/>
              <w:cnfStyle w:val="000000010000" w:firstRow="0" w:lastRow="0" w:firstColumn="0" w:lastColumn="0" w:oddVBand="0" w:evenVBand="0" w:oddHBand="0" w:evenHBand="1" w:firstRowFirstColumn="0" w:firstRowLastColumn="0" w:lastRowFirstColumn="0" w:lastRowLastColumn="0"/>
            </w:pPr>
            <w:r w:rsidRPr="00D3223B">
              <w:rPr>
                <w:lang w:val="en-GB"/>
              </w:rPr>
              <w:t>Third</w:t>
            </w:r>
          </w:p>
        </w:tc>
        <w:tc>
          <w:tcPr>
            <w:tcW w:w="626" w:type="pct"/>
            <w:shd w:val="clear" w:color="auto" w:fill="D5FFE8"/>
            <w:vAlign w:val="center"/>
          </w:tcPr>
          <w:p w14:paraId="75D81296" w14:textId="37B7EF30" w:rsidR="00D3223B" w:rsidRPr="00D3223B" w:rsidRDefault="00D3223B" w:rsidP="00D3223B">
            <w:pPr>
              <w:spacing w:before="0" w:after="0"/>
              <w:cnfStyle w:val="000000010000" w:firstRow="0" w:lastRow="0" w:firstColumn="0" w:lastColumn="0" w:oddVBand="0" w:evenVBand="0" w:oddHBand="0" w:evenHBand="1" w:firstRowFirstColumn="0" w:firstRowLastColumn="0" w:lastRowFirstColumn="0" w:lastRowLastColumn="0"/>
            </w:pPr>
            <w:r w:rsidRPr="00D3223B">
              <w:rPr>
                <w:lang w:val="en-GB"/>
              </w:rPr>
              <w:t>Low</w:t>
            </w:r>
          </w:p>
        </w:tc>
        <w:tc>
          <w:tcPr>
            <w:tcW w:w="627" w:type="pct"/>
            <w:shd w:val="clear" w:color="auto" w:fill="D5FFE8"/>
            <w:vAlign w:val="center"/>
          </w:tcPr>
          <w:p w14:paraId="7D4E0C69" w14:textId="265FDA62" w:rsidR="00D3223B" w:rsidRPr="00D3223B" w:rsidRDefault="00D3223B" w:rsidP="00D3223B">
            <w:pPr>
              <w:spacing w:before="0" w:after="0"/>
              <w:cnfStyle w:val="000000010000" w:firstRow="0" w:lastRow="0" w:firstColumn="0" w:lastColumn="0" w:oddVBand="0" w:evenVBand="0" w:oddHBand="0" w:evenHBand="1" w:firstRowFirstColumn="0" w:firstRowLastColumn="0" w:lastRowFirstColumn="0" w:lastRowLastColumn="0"/>
            </w:pPr>
            <w:r w:rsidRPr="00D3223B">
              <w:rPr>
                <w:lang w:val="en-GB"/>
              </w:rPr>
              <w:t>Low</w:t>
            </w:r>
          </w:p>
        </w:tc>
        <w:tc>
          <w:tcPr>
            <w:tcW w:w="471" w:type="pct"/>
            <w:shd w:val="clear" w:color="auto" w:fill="D5FFE8"/>
            <w:vAlign w:val="center"/>
          </w:tcPr>
          <w:p w14:paraId="363F052B" w14:textId="4649A231" w:rsidR="00D3223B" w:rsidRPr="00D3223B" w:rsidRDefault="00D3223B" w:rsidP="00D3223B">
            <w:pPr>
              <w:spacing w:before="0" w:after="0"/>
              <w:cnfStyle w:val="000000010000" w:firstRow="0" w:lastRow="0" w:firstColumn="0" w:lastColumn="0" w:oddVBand="0" w:evenVBand="0" w:oddHBand="0" w:evenHBand="1" w:firstRowFirstColumn="0" w:firstRowLastColumn="0" w:lastRowFirstColumn="0" w:lastRowLastColumn="0"/>
            </w:pPr>
            <w:r w:rsidRPr="00D3223B">
              <w:rPr>
                <w:lang w:val="en-GB"/>
              </w:rPr>
              <w:t>Low</w:t>
            </w:r>
          </w:p>
        </w:tc>
        <w:tc>
          <w:tcPr>
            <w:tcW w:w="706" w:type="pct"/>
            <w:shd w:val="clear" w:color="auto" w:fill="D5FFE8"/>
            <w:vAlign w:val="center"/>
          </w:tcPr>
          <w:p w14:paraId="2AB60130" w14:textId="11DFFB4F" w:rsidR="00D3223B" w:rsidRPr="00D3223B" w:rsidRDefault="00D3223B" w:rsidP="00D3223B">
            <w:pPr>
              <w:spacing w:before="0" w:after="0"/>
              <w:cnfStyle w:val="000000010000" w:firstRow="0" w:lastRow="0" w:firstColumn="0" w:lastColumn="0" w:oddVBand="0" w:evenVBand="0" w:oddHBand="0" w:evenHBand="1" w:firstRowFirstColumn="0" w:firstRowLastColumn="0" w:lastRowFirstColumn="0" w:lastRowLastColumn="0"/>
            </w:pPr>
            <w:r w:rsidRPr="00D3223B">
              <w:rPr>
                <w:lang w:val="en-GB"/>
              </w:rPr>
              <w:t>Low</w:t>
            </w:r>
          </w:p>
        </w:tc>
        <w:tc>
          <w:tcPr>
            <w:tcW w:w="696" w:type="pct"/>
            <w:shd w:val="clear" w:color="auto" w:fill="D5FFE8"/>
            <w:vAlign w:val="center"/>
          </w:tcPr>
          <w:p w14:paraId="23585B9E" w14:textId="06086526" w:rsidR="00D3223B" w:rsidRPr="00D3223B" w:rsidRDefault="00D3223B" w:rsidP="00D3223B">
            <w:pPr>
              <w:spacing w:before="0" w:after="0"/>
              <w:cnfStyle w:val="000000010000" w:firstRow="0" w:lastRow="0" w:firstColumn="0" w:lastColumn="0" w:oddVBand="0" w:evenVBand="0" w:oddHBand="0" w:evenHBand="1" w:firstRowFirstColumn="0" w:firstRowLastColumn="0" w:lastRowFirstColumn="0" w:lastRowLastColumn="0"/>
            </w:pPr>
            <w:r w:rsidRPr="00D3223B">
              <w:rPr>
                <w:lang w:val="en-GB"/>
              </w:rPr>
              <w:t>Low</w:t>
            </w:r>
          </w:p>
        </w:tc>
      </w:tr>
      <w:tr w:rsidR="00820AA9" w:rsidRPr="006D3C55" w14:paraId="18FAEB20" w14:textId="77777777" w:rsidTr="00B2036E">
        <w:trPr>
          <w:cnfStyle w:val="000000100000" w:firstRow="0" w:lastRow="0" w:firstColumn="0" w:lastColumn="0" w:oddVBand="0" w:evenVBand="0" w:oddHBand="1" w:evenHBand="0" w:firstRowFirstColumn="0" w:firstRowLastColumn="0" w:lastRowFirstColumn="0" w:lastRowLastColumn="0"/>
          <w:cantSplit/>
          <w:jc w:val="center"/>
        </w:trPr>
        <w:tc>
          <w:tcPr>
            <w:cnfStyle w:val="001000000000" w:firstRow="0" w:lastRow="0" w:firstColumn="1" w:lastColumn="0" w:oddVBand="0" w:evenVBand="0" w:oddHBand="0" w:evenHBand="0" w:firstRowFirstColumn="0" w:firstRowLastColumn="0" w:lastRowFirstColumn="0" w:lastRowLastColumn="0"/>
            <w:tcW w:w="1247" w:type="pct"/>
            <w:shd w:val="clear" w:color="auto" w:fill="F2F2F2" w:themeFill="background1" w:themeFillShade="F2"/>
            <w:vAlign w:val="center"/>
            <w:hideMark/>
          </w:tcPr>
          <w:p w14:paraId="49C56907" w14:textId="24EE7147" w:rsidR="00FB7579" w:rsidRPr="007D7E2F" w:rsidRDefault="00FB7579">
            <w:pPr>
              <w:spacing w:before="0" w:after="0"/>
              <w:rPr>
                <w:lang w:val="en-GB"/>
              </w:rPr>
            </w:pPr>
            <w:r w:rsidRPr="007D7E2F">
              <w:rPr>
                <w:noProof/>
              </w:rPr>
              <w:drawing>
                <wp:inline distT="0" distB="0" distL="0" distR="0" wp14:anchorId="21EA7B64" wp14:editId="37125A4F">
                  <wp:extent cx="129540" cy="129540"/>
                  <wp:effectExtent l="0" t="0" r="3810" b="3810"/>
                  <wp:docPr id="1569185230" name="Picture 2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9185230" name="Picture 24">
                            <a:extLst>
                              <a:ext uri="{C183D7F6-B498-43B3-948B-1728B52AA6E4}">
                                <adec:decorative xmlns:adec="http://schemas.microsoft.com/office/drawing/2017/decorative" val="1"/>
                              </a:ext>
                            </a:extLst>
                          </pic:cNvPr>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129540" cy="129540"/>
                          </a:xfrm>
                          <a:prstGeom prst="rect">
                            <a:avLst/>
                          </a:prstGeom>
                          <a:noFill/>
                          <a:ln>
                            <a:noFill/>
                          </a:ln>
                        </pic:spPr>
                      </pic:pic>
                    </a:graphicData>
                  </a:graphic>
                </wp:inline>
              </w:drawing>
            </w:r>
            <w:r w:rsidRPr="007D7E2F">
              <w:rPr>
                <w:lang w:val="en-GB"/>
              </w:rPr>
              <w:t xml:space="preserve"> Greece</w:t>
            </w:r>
          </w:p>
        </w:tc>
        <w:tc>
          <w:tcPr>
            <w:tcW w:w="627" w:type="pct"/>
            <w:shd w:val="clear" w:color="auto" w:fill="F2F2F2" w:themeFill="background1" w:themeFillShade="F2"/>
            <w:vAlign w:val="center"/>
            <w:hideMark/>
          </w:tcPr>
          <w:p w14:paraId="355B1DF7" w14:textId="7F59A85C" w:rsidR="00FB7579" w:rsidRPr="007D7E2F" w:rsidRDefault="004539FB">
            <w:pPr>
              <w:spacing w:before="0" w:after="0"/>
              <w:cnfStyle w:val="000000100000" w:firstRow="0" w:lastRow="0" w:firstColumn="0" w:lastColumn="0" w:oddVBand="0" w:evenVBand="0" w:oddHBand="1" w:evenHBand="0" w:firstRowFirstColumn="0" w:firstRowLastColumn="0" w:lastRowFirstColumn="0" w:lastRowLastColumn="0"/>
              <w:rPr>
                <w:lang w:val="en-GB"/>
              </w:rPr>
            </w:pPr>
            <w:r w:rsidRPr="007D7E2F">
              <w:rPr>
                <w:lang w:val="en-GB"/>
              </w:rPr>
              <w:t>Fifth</w:t>
            </w:r>
          </w:p>
        </w:tc>
        <w:tc>
          <w:tcPr>
            <w:tcW w:w="626" w:type="pct"/>
            <w:shd w:val="clear" w:color="auto" w:fill="D5FFE8"/>
            <w:vAlign w:val="center"/>
            <w:hideMark/>
          </w:tcPr>
          <w:p w14:paraId="03996034" w14:textId="77777777" w:rsidR="00FB7579" w:rsidRPr="007D7E2F" w:rsidRDefault="00FB7579">
            <w:pPr>
              <w:spacing w:before="0" w:after="0"/>
              <w:cnfStyle w:val="000000100000" w:firstRow="0" w:lastRow="0" w:firstColumn="0" w:lastColumn="0" w:oddVBand="0" w:evenVBand="0" w:oddHBand="1" w:evenHBand="0" w:firstRowFirstColumn="0" w:firstRowLastColumn="0" w:lastRowFirstColumn="0" w:lastRowLastColumn="0"/>
              <w:rPr>
                <w:lang w:val="en-GB"/>
              </w:rPr>
            </w:pPr>
            <w:r w:rsidRPr="007D7E2F">
              <w:rPr>
                <w:lang w:val="en-GB"/>
              </w:rPr>
              <w:t>Low</w:t>
            </w:r>
          </w:p>
        </w:tc>
        <w:tc>
          <w:tcPr>
            <w:tcW w:w="627" w:type="pct"/>
            <w:shd w:val="clear" w:color="auto" w:fill="D5FFE8"/>
            <w:vAlign w:val="center"/>
            <w:hideMark/>
          </w:tcPr>
          <w:p w14:paraId="2E0C6BB4" w14:textId="77777777" w:rsidR="00FB7579" w:rsidRPr="007D7E2F" w:rsidRDefault="00FB7579">
            <w:pPr>
              <w:spacing w:before="0" w:after="0"/>
              <w:cnfStyle w:val="000000100000" w:firstRow="0" w:lastRow="0" w:firstColumn="0" w:lastColumn="0" w:oddVBand="0" w:evenVBand="0" w:oddHBand="1" w:evenHBand="0" w:firstRowFirstColumn="0" w:firstRowLastColumn="0" w:lastRowFirstColumn="0" w:lastRowLastColumn="0"/>
              <w:rPr>
                <w:lang w:val="en-GB"/>
              </w:rPr>
            </w:pPr>
            <w:r w:rsidRPr="007D7E2F">
              <w:rPr>
                <w:lang w:val="en-GB"/>
              </w:rPr>
              <w:t>Low</w:t>
            </w:r>
          </w:p>
        </w:tc>
        <w:tc>
          <w:tcPr>
            <w:tcW w:w="471" w:type="pct"/>
            <w:shd w:val="clear" w:color="auto" w:fill="D5FFE8"/>
            <w:vAlign w:val="center"/>
            <w:hideMark/>
          </w:tcPr>
          <w:p w14:paraId="2D8CB6CD" w14:textId="77777777" w:rsidR="00FB7579" w:rsidRPr="007D7E2F" w:rsidRDefault="00FB7579">
            <w:pPr>
              <w:spacing w:before="0" w:after="0"/>
              <w:cnfStyle w:val="000000100000" w:firstRow="0" w:lastRow="0" w:firstColumn="0" w:lastColumn="0" w:oddVBand="0" w:evenVBand="0" w:oddHBand="1" w:evenHBand="0" w:firstRowFirstColumn="0" w:firstRowLastColumn="0" w:lastRowFirstColumn="0" w:lastRowLastColumn="0"/>
              <w:rPr>
                <w:lang w:val="en-GB"/>
              </w:rPr>
            </w:pPr>
            <w:r w:rsidRPr="007D7E2F">
              <w:rPr>
                <w:lang w:val="en-GB"/>
              </w:rPr>
              <w:t>Low</w:t>
            </w:r>
          </w:p>
        </w:tc>
        <w:tc>
          <w:tcPr>
            <w:tcW w:w="706" w:type="pct"/>
            <w:shd w:val="clear" w:color="auto" w:fill="D5FFE8"/>
            <w:vAlign w:val="center"/>
            <w:hideMark/>
          </w:tcPr>
          <w:p w14:paraId="0A4DAB38" w14:textId="14C32E43" w:rsidR="00FB7579" w:rsidRPr="007D7E2F" w:rsidRDefault="003F2064">
            <w:pPr>
              <w:spacing w:before="0" w:after="0"/>
              <w:cnfStyle w:val="000000100000" w:firstRow="0" w:lastRow="0" w:firstColumn="0" w:lastColumn="0" w:oddVBand="0" w:evenVBand="0" w:oddHBand="1" w:evenHBand="0" w:firstRowFirstColumn="0" w:firstRowLastColumn="0" w:lastRowFirstColumn="0" w:lastRowLastColumn="0"/>
              <w:rPr>
                <w:lang w:val="en-GB"/>
              </w:rPr>
            </w:pPr>
            <w:r w:rsidRPr="00F15A4F">
              <w:rPr>
                <w:lang w:val="en-GB"/>
              </w:rPr>
              <w:t>Low</w:t>
            </w:r>
          </w:p>
        </w:tc>
        <w:tc>
          <w:tcPr>
            <w:tcW w:w="696" w:type="pct"/>
            <w:shd w:val="clear" w:color="auto" w:fill="FEDD9B" w:themeFill="accent4" w:themeFillTint="66"/>
            <w:vAlign w:val="center"/>
            <w:hideMark/>
          </w:tcPr>
          <w:p w14:paraId="60AE4787" w14:textId="60195CE0" w:rsidR="00FB7579" w:rsidRPr="007D7E2F" w:rsidRDefault="003F2064">
            <w:pPr>
              <w:spacing w:before="0" w:after="0"/>
              <w:cnfStyle w:val="000000100000" w:firstRow="0" w:lastRow="0" w:firstColumn="0" w:lastColumn="0" w:oddVBand="0" w:evenVBand="0" w:oddHBand="1" w:evenHBand="0" w:firstRowFirstColumn="0" w:firstRowLastColumn="0" w:lastRowFirstColumn="0" w:lastRowLastColumn="0"/>
              <w:rPr>
                <w:lang w:val="en-GB"/>
              </w:rPr>
            </w:pPr>
            <w:r w:rsidRPr="007F440D">
              <w:rPr>
                <w:lang w:val="en-GB"/>
              </w:rPr>
              <w:t>Medium</w:t>
            </w:r>
          </w:p>
        </w:tc>
      </w:tr>
      <w:tr w:rsidR="00820AA9" w:rsidRPr="006D3C55" w14:paraId="01659408" w14:textId="77777777" w:rsidTr="00B2036E">
        <w:trPr>
          <w:cnfStyle w:val="000000010000" w:firstRow="0" w:lastRow="0" w:firstColumn="0" w:lastColumn="0" w:oddVBand="0" w:evenVBand="0" w:oddHBand="0" w:evenHBand="1" w:firstRowFirstColumn="0" w:firstRowLastColumn="0" w:lastRowFirstColumn="0" w:lastRowLastColumn="0"/>
          <w:cantSplit/>
          <w:jc w:val="center"/>
        </w:trPr>
        <w:tc>
          <w:tcPr>
            <w:cnfStyle w:val="001000000000" w:firstRow="0" w:lastRow="0" w:firstColumn="1" w:lastColumn="0" w:oddVBand="0" w:evenVBand="0" w:oddHBand="0" w:evenHBand="0" w:firstRowFirstColumn="0" w:firstRowLastColumn="0" w:lastRowFirstColumn="0" w:lastRowLastColumn="0"/>
            <w:tcW w:w="1247" w:type="pct"/>
            <w:shd w:val="clear" w:color="auto" w:fill="F2F2F2" w:themeFill="background1" w:themeFillShade="F2"/>
            <w:vAlign w:val="center"/>
            <w:hideMark/>
          </w:tcPr>
          <w:p w14:paraId="6D1ADF5F" w14:textId="2FF776D0" w:rsidR="00FB7579" w:rsidRPr="007D7E2F" w:rsidRDefault="00FB7579">
            <w:pPr>
              <w:spacing w:before="0" w:after="0"/>
              <w:rPr>
                <w:lang w:val="en-GB"/>
              </w:rPr>
            </w:pPr>
            <w:r w:rsidRPr="007D7E2F">
              <w:rPr>
                <w:noProof/>
              </w:rPr>
              <w:drawing>
                <wp:inline distT="0" distB="0" distL="0" distR="0" wp14:anchorId="16D82B93" wp14:editId="561F4876">
                  <wp:extent cx="129540" cy="129540"/>
                  <wp:effectExtent l="0" t="0" r="3810" b="3810"/>
                  <wp:docPr id="18340538" name="Picture 2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40538" name="Picture 23">
                            <a:extLst>
                              <a:ext uri="{C183D7F6-B498-43B3-948B-1728B52AA6E4}">
                                <adec:decorative xmlns:adec="http://schemas.microsoft.com/office/drawing/2017/decorative" val="1"/>
                              </a:ext>
                            </a:extLst>
                          </pic:cNvPr>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129540" cy="129540"/>
                          </a:xfrm>
                          <a:prstGeom prst="rect">
                            <a:avLst/>
                          </a:prstGeom>
                          <a:noFill/>
                          <a:ln>
                            <a:noFill/>
                          </a:ln>
                        </pic:spPr>
                      </pic:pic>
                    </a:graphicData>
                  </a:graphic>
                </wp:inline>
              </w:drawing>
            </w:r>
            <w:r w:rsidRPr="007D7E2F">
              <w:rPr>
                <w:lang w:val="en-GB"/>
              </w:rPr>
              <w:t xml:space="preserve"> Greece</w:t>
            </w:r>
          </w:p>
        </w:tc>
        <w:tc>
          <w:tcPr>
            <w:tcW w:w="627" w:type="pct"/>
            <w:shd w:val="clear" w:color="auto" w:fill="F2F2F2" w:themeFill="background1" w:themeFillShade="F2"/>
            <w:vAlign w:val="center"/>
            <w:hideMark/>
          </w:tcPr>
          <w:p w14:paraId="3AF83AEB" w14:textId="15375423" w:rsidR="00FB7579" w:rsidRPr="007D7E2F" w:rsidRDefault="00D3223B">
            <w:pPr>
              <w:spacing w:before="0" w:after="0"/>
              <w:cnfStyle w:val="000000010000" w:firstRow="0" w:lastRow="0" w:firstColumn="0" w:lastColumn="0" w:oddVBand="0" w:evenVBand="0" w:oddHBand="0" w:evenHBand="1" w:firstRowFirstColumn="0" w:firstRowLastColumn="0" w:lastRowFirstColumn="0" w:lastRowLastColumn="0"/>
              <w:rPr>
                <w:lang w:val="en-GB"/>
              </w:rPr>
            </w:pPr>
            <w:r w:rsidRPr="007D7E2F">
              <w:rPr>
                <w:lang w:val="en-GB"/>
              </w:rPr>
              <w:t>Sixth</w:t>
            </w:r>
          </w:p>
        </w:tc>
        <w:tc>
          <w:tcPr>
            <w:tcW w:w="626" w:type="pct"/>
            <w:shd w:val="clear" w:color="auto" w:fill="D5FFE8"/>
            <w:vAlign w:val="center"/>
            <w:hideMark/>
          </w:tcPr>
          <w:p w14:paraId="5FF92981" w14:textId="77777777" w:rsidR="00FB7579" w:rsidRPr="007D7E2F" w:rsidRDefault="00FB7579">
            <w:pPr>
              <w:spacing w:before="0" w:after="0"/>
              <w:cnfStyle w:val="000000010000" w:firstRow="0" w:lastRow="0" w:firstColumn="0" w:lastColumn="0" w:oddVBand="0" w:evenVBand="0" w:oddHBand="0" w:evenHBand="1" w:firstRowFirstColumn="0" w:firstRowLastColumn="0" w:lastRowFirstColumn="0" w:lastRowLastColumn="0"/>
              <w:rPr>
                <w:lang w:val="en-GB"/>
              </w:rPr>
            </w:pPr>
            <w:r w:rsidRPr="007D7E2F">
              <w:rPr>
                <w:lang w:val="en-GB"/>
              </w:rPr>
              <w:t>Low</w:t>
            </w:r>
          </w:p>
        </w:tc>
        <w:tc>
          <w:tcPr>
            <w:tcW w:w="627" w:type="pct"/>
            <w:shd w:val="clear" w:color="auto" w:fill="D5FFE8"/>
            <w:vAlign w:val="center"/>
            <w:hideMark/>
          </w:tcPr>
          <w:p w14:paraId="74BA156C" w14:textId="77777777" w:rsidR="00FB7579" w:rsidRPr="007D7E2F" w:rsidRDefault="00FB7579">
            <w:pPr>
              <w:spacing w:before="0" w:after="0"/>
              <w:cnfStyle w:val="000000010000" w:firstRow="0" w:lastRow="0" w:firstColumn="0" w:lastColumn="0" w:oddVBand="0" w:evenVBand="0" w:oddHBand="0" w:evenHBand="1" w:firstRowFirstColumn="0" w:firstRowLastColumn="0" w:lastRowFirstColumn="0" w:lastRowLastColumn="0"/>
              <w:rPr>
                <w:lang w:val="en-GB"/>
              </w:rPr>
            </w:pPr>
            <w:r w:rsidRPr="007D7E2F">
              <w:rPr>
                <w:lang w:val="en-GB"/>
              </w:rPr>
              <w:t>Low</w:t>
            </w:r>
          </w:p>
        </w:tc>
        <w:tc>
          <w:tcPr>
            <w:tcW w:w="471" w:type="pct"/>
            <w:shd w:val="clear" w:color="auto" w:fill="D5FFE8"/>
            <w:vAlign w:val="center"/>
            <w:hideMark/>
          </w:tcPr>
          <w:p w14:paraId="21D4CF17" w14:textId="77777777" w:rsidR="00FB7579" w:rsidRPr="007D7E2F" w:rsidRDefault="00FB7579">
            <w:pPr>
              <w:spacing w:before="0" w:after="0"/>
              <w:cnfStyle w:val="000000010000" w:firstRow="0" w:lastRow="0" w:firstColumn="0" w:lastColumn="0" w:oddVBand="0" w:evenVBand="0" w:oddHBand="0" w:evenHBand="1" w:firstRowFirstColumn="0" w:firstRowLastColumn="0" w:lastRowFirstColumn="0" w:lastRowLastColumn="0"/>
              <w:rPr>
                <w:lang w:val="en-GB"/>
              </w:rPr>
            </w:pPr>
            <w:r w:rsidRPr="007D7E2F">
              <w:rPr>
                <w:lang w:val="en-GB"/>
              </w:rPr>
              <w:t>Low</w:t>
            </w:r>
          </w:p>
        </w:tc>
        <w:tc>
          <w:tcPr>
            <w:tcW w:w="706" w:type="pct"/>
            <w:shd w:val="clear" w:color="auto" w:fill="D5FFE8"/>
            <w:vAlign w:val="center"/>
            <w:hideMark/>
          </w:tcPr>
          <w:p w14:paraId="7C196CC2" w14:textId="0ED97AC0" w:rsidR="00FB7579" w:rsidRPr="007D7E2F" w:rsidRDefault="003F2064">
            <w:pPr>
              <w:spacing w:before="0" w:after="0"/>
              <w:cnfStyle w:val="000000010000" w:firstRow="0" w:lastRow="0" w:firstColumn="0" w:lastColumn="0" w:oddVBand="0" w:evenVBand="0" w:oddHBand="0" w:evenHBand="1" w:firstRowFirstColumn="0" w:firstRowLastColumn="0" w:lastRowFirstColumn="0" w:lastRowLastColumn="0"/>
              <w:rPr>
                <w:lang w:val="en-GB"/>
              </w:rPr>
            </w:pPr>
            <w:r w:rsidRPr="00F15A4F">
              <w:rPr>
                <w:lang w:val="en-GB"/>
              </w:rPr>
              <w:t>Low</w:t>
            </w:r>
          </w:p>
        </w:tc>
        <w:tc>
          <w:tcPr>
            <w:tcW w:w="696" w:type="pct"/>
            <w:shd w:val="clear" w:color="auto" w:fill="FEDD9B" w:themeFill="accent4" w:themeFillTint="66"/>
            <w:vAlign w:val="center"/>
            <w:hideMark/>
          </w:tcPr>
          <w:p w14:paraId="766E52A6" w14:textId="31191A1A" w:rsidR="00FB7579" w:rsidRPr="007D7E2F" w:rsidRDefault="003F2064">
            <w:pPr>
              <w:spacing w:before="0" w:after="0"/>
              <w:cnfStyle w:val="000000010000" w:firstRow="0" w:lastRow="0" w:firstColumn="0" w:lastColumn="0" w:oddVBand="0" w:evenVBand="0" w:oddHBand="0" w:evenHBand="1" w:firstRowFirstColumn="0" w:firstRowLastColumn="0" w:lastRowFirstColumn="0" w:lastRowLastColumn="0"/>
              <w:rPr>
                <w:lang w:val="en-GB"/>
              </w:rPr>
            </w:pPr>
            <w:r w:rsidRPr="007F440D">
              <w:rPr>
                <w:lang w:val="en-GB"/>
              </w:rPr>
              <w:t>Medium</w:t>
            </w:r>
          </w:p>
        </w:tc>
      </w:tr>
      <w:tr w:rsidR="004A3355" w:rsidRPr="006D3C55" w14:paraId="05345800" w14:textId="77777777" w:rsidTr="00B2036E">
        <w:trPr>
          <w:cnfStyle w:val="000000100000" w:firstRow="0" w:lastRow="0" w:firstColumn="0" w:lastColumn="0" w:oddVBand="0" w:evenVBand="0" w:oddHBand="1" w:evenHBand="0" w:firstRowFirstColumn="0" w:firstRowLastColumn="0" w:lastRowFirstColumn="0" w:lastRowLastColumn="0"/>
          <w:cantSplit/>
          <w:jc w:val="center"/>
        </w:trPr>
        <w:tc>
          <w:tcPr>
            <w:cnfStyle w:val="001000000000" w:firstRow="0" w:lastRow="0" w:firstColumn="1" w:lastColumn="0" w:oddVBand="0" w:evenVBand="0" w:oddHBand="0" w:evenHBand="0" w:firstRowFirstColumn="0" w:firstRowLastColumn="0" w:lastRowFirstColumn="0" w:lastRowLastColumn="0"/>
            <w:tcW w:w="1247" w:type="pct"/>
            <w:shd w:val="clear" w:color="auto" w:fill="FFFFFF" w:themeFill="background1"/>
            <w:vAlign w:val="center"/>
            <w:hideMark/>
          </w:tcPr>
          <w:p w14:paraId="30ECB5C6" w14:textId="3DAA4EA2" w:rsidR="00FB7579" w:rsidRPr="002D4D47" w:rsidRDefault="00FB7579">
            <w:pPr>
              <w:spacing w:before="0" w:after="0"/>
              <w:rPr>
                <w:lang w:val="en-GB"/>
              </w:rPr>
            </w:pPr>
            <w:r w:rsidRPr="002D4D47">
              <w:rPr>
                <w:noProof/>
              </w:rPr>
              <w:drawing>
                <wp:inline distT="0" distB="0" distL="0" distR="0" wp14:anchorId="3CBE08F1" wp14:editId="092BC6D0">
                  <wp:extent cx="129540" cy="129540"/>
                  <wp:effectExtent l="0" t="0" r="3810" b="3810"/>
                  <wp:docPr id="22401464" name="Picture 2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01464" name="Picture 22">
                            <a:extLst>
                              <a:ext uri="{C183D7F6-B498-43B3-948B-1728B52AA6E4}">
                                <adec:decorative xmlns:adec="http://schemas.microsoft.com/office/drawing/2017/decorative" val="1"/>
                              </a:ext>
                            </a:extLst>
                          </pic:cNvPr>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129540" cy="129540"/>
                          </a:xfrm>
                          <a:prstGeom prst="rect">
                            <a:avLst/>
                          </a:prstGeom>
                          <a:noFill/>
                          <a:ln>
                            <a:noFill/>
                          </a:ln>
                        </pic:spPr>
                      </pic:pic>
                    </a:graphicData>
                  </a:graphic>
                </wp:inline>
              </w:drawing>
            </w:r>
            <w:r w:rsidRPr="002D4D47">
              <w:rPr>
                <w:lang w:val="en-GB"/>
              </w:rPr>
              <w:t xml:space="preserve"> Spain</w:t>
            </w:r>
          </w:p>
        </w:tc>
        <w:tc>
          <w:tcPr>
            <w:tcW w:w="627" w:type="pct"/>
            <w:shd w:val="clear" w:color="auto" w:fill="FFFFFF" w:themeFill="background1"/>
            <w:vAlign w:val="center"/>
            <w:hideMark/>
          </w:tcPr>
          <w:p w14:paraId="04062F9F" w14:textId="3BAE24B4" w:rsidR="00FB7579" w:rsidRPr="002D4D47" w:rsidRDefault="00FB7579">
            <w:pPr>
              <w:spacing w:before="0" w:after="0"/>
              <w:cnfStyle w:val="000000100000" w:firstRow="0" w:lastRow="0" w:firstColumn="0" w:lastColumn="0" w:oddVBand="0" w:evenVBand="0" w:oddHBand="1" w:evenHBand="0" w:firstRowFirstColumn="0" w:firstRowLastColumn="0" w:lastRowFirstColumn="0" w:lastRowLastColumn="0"/>
              <w:rPr>
                <w:lang w:val="en-GB"/>
              </w:rPr>
            </w:pPr>
            <w:r w:rsidRPr="002D4D47">
              <w:rPr>
                <w:lang w:val="en-GB"/>
              </w:rPr>
              <w:t>Fourth</w:t>
            </w:r>
          </w:p>
        </w:tc>
        <w:tc>
          <w:tcPr>
            <w:tcW w:w="626" w:type="pct"/>
            <w:shd w:val="clear" w:color="auto" w:fill="D5FFE8"/>
            <w:vAlign w:val="center"/>
            <w:hideMark/>
          </w:tcPr>
          <w:p w14:paraId="7C5D98B3" w14:textId="77777777" w:rsidR="00FB7579" w:rsidRPr="002D4D47" w:rsidRDefault="00FB7579">
            <w:pPr>
              <w:spacing w:before="0" w:after="0"/>
              <w:cnfStyle w:val="000000100000" w:firstRow="0" w:lastRow="0" w:firstColumn="0" w:lastColumn="0" w:oddVBand="0" w:evenVBand="0" w:oddHBand="1" w:evenHBand="0" w:firstRowFirstColumn="0" w:firstRowLastColumn="0" w:lastRowFirstColumn="0" w:lastRowLastColumn="0"/>
              <w:rPr>
                <w:lang w:val="en-GB"/>
              </w:rPr>
            </w:pPr>
            <w:r w:rsidRPr="002D4D47">
              <w:rPr>
                <w:lang w:val="en-GB"/>
              </w:rPr>
              <w:t>Low</w:t>
            </w:r>
          </w:p>
        </w:tc>
        <w:tc>
          <w:tcPr>
            <w:tcW w:w="627" w:type="pct"/>
            <w:shd w:val="clear" w:color="auto" w:fill="D5FFE8"/>
            <w:vAlign w:val="center"/>
            <w:hideMark/>
          </w:tcPr>
          <w:p w14:paraId="2DB7FA7C" w14:textId="77777777" w:rsidR="00FB7579" w:rsidRPr="002D4D47" w:rsidRDefault="00FB7579">
            <w:pPr>
              <w:spacing w:before="0" w:after="0"/>
              <w:cnfStyle w:val="000000100000" w:firstRow="0" w:lastRow="0" w:firstColumn="0" w:lastColumn="0" w:oddVBand="0" w:evenVBand="0" w:oddHBand="1" w:evenHBand="0" w:firstRowFirstColumn="0" w:firstRowLastColumn="0" w:lastRowFirstColumn="0" w:lastRowLastColumn="0"/>
              <w:rPr>
                <w:lang w:val="en-GB"/>
              </w:rPr>
            </w:pPr>
            <w:r w:rsidRPr="002D4D47">
              <w:rPr>
                <w:lang w:val="en-GB"/>
              </w:rPr>
              <w:t>Low</w:t>
            </w:r>
          </w:p>
        </w:tc>
        <w:tc>
          <w:tcPr>
            <w:tcW w:w="471" w:type="pct"/>
            <w:shd w:val="clear" w:color="auto" w:fill="D5FFE8"/>
            <w:vAlign w:val="center"/>
            <w:hideMark/>
          </w:tcPr>
          <w:p w14:paraId="0611350D" w14:textId="77777777" w:rsidR="00FB7579" w:rsidRPr="002D4D47" w:rsidRDefault="00FB7579">
            <w:pPr>
              <w:spacing w:before="0" w:after="0"/>
              <w:cnfStyle w:val="000000100000" w:firstRow="0" w:lastRow="0" w:firstColumn="0" w:lastColumn="0" w:oddVBand="0" w:evenVBand="0" w:oddHBand="1" w:evenHBand="0" w:firstRowFirstColumn="0" w:firstRowLastColumn="0" w:lastRowFirstColumn="0" w:lastRowLastColumn="0"/>
              <w:rPr>
                <w:lang w:val="en-GB"/>
              </w:rPr>
            </w:pPr>
            <w:r w:rsidRPr="002D4D47">
              <w:rPr>
                <w:lang w:val="en-GB"/>
              </w:rPr>
              <w:t>Low</w:t>
            </w:r>
          </w:p>
        </w:tc>
        <w:tc>
          <w:tcPr>
            <w:tcW w:w="706" w:type="pct"/>
            <w:shd w:val="clear" w:color="auto" w:fill="D5FFE8"/>
            <w:vAlign w:val="center"/>
            <w:hideMark/>
          </w:tcPr>
          <w:p w14:paraId="5D2CEA92" w14:textId="77E15A1D" w:rsidR="00FB7579" w:rsidRPr="002D4D47" w:rsidRDefault="00CD3611">
            <w:pPr>
              <w:spacing w:before="0" w:after="0"/>
              <w:cnfStyle w:val="000000100000" w:firstRow="0" w:lastRow="0" w:firstColumn="0" w:lastColumn="0" w:oddVBand="0" w:evenVBand="0" w:oddHBand="1" w:evenHBand="0" w:firstRowFirstColumn="0" w:firstRowLastColumn="0" w:lastRowFirstColumn="0" w:lastRowLastColumn="0"/>
              <w:rPr>
                <w:lang w:val="en-GB"/>
              </w:rPr>
            </w:pPr>
            <w:r w:rsidRPr="00F15A4F">
              <w:rPr>
                <w:lang w:val="en-GB"/>
              </w:rPr>
              <w:t>Low</w:t>
            </w:r>
          </w:p>
        </w:tc>
        <w:tc>
          <w:tcPr>
            <w:tcW w:w="696" w:type="pct"/>
            <w:shd w:val="clear" w:color="auto" w:fill="FEDD9B" w:themeFill="accent4" w:themeFillTint="66"/>
            <w:vAlign w:val="center"/>
            <w:hideMark/>
          </w:tcPr>
          <w:p w14:paraId="1F2FBB62" w14:textId="2912E48B" w:rsidR="00FB7579" w:rsidRPr="002D4D47" w:rsidRDefault="00CD3611">
            <w:pPr>
              <w:spacing w:before="0" w:after="0"/>
              <w:cnfStyle w:val="000000100000" w:firstRow="0" w:lastRow="0" w:firstColumn="0" w:lastColumn="0" w:oddVBand="0" w:evenVBand="0" w:oddHBand="1" w:evenHBand="0" w:firstRowFirstColumn="0" w:firstRowLastColumn="0" w:lastRowFirstColumn="0" w:lastRowLastColumn="0"/>
              <w:rPr>
                <w:lang w:val="en-GB"/>
              </w:rPr>
            </w:pPr>
            <w:r w:rsidRPr="007F440D">
              <w:rPr>
                <w:lang w:val="en-GB"/>
              </w:rPr>
              <w:t>Medium</w:t>
            </w:r>
          </w:p>
        </w:tc>
      </w:tr>
      <w:tr w:rsidR="004A3355" w:rsidRPr="006D3C55" w14:paraId="7A19FDBB" w14:textId="77777777" w:rsidTr="00B2036E">
        <w:trPr>
          <w:cnfStyle w:val="000000010000" w:firstRow="0" w:lastRow="0" w:firstColumn="0" w:lastColumn="0" w:oddVBand="0" w:evenVBand="0" w:oddHBand="0" w:evenHBand="1" w:firstRowFirstColumn="0" w:firstRowLastColumn="0" w:lastRowFirstColumn="0" w:lastRowLastColumn="0"/>
          <w:cantSplit/>
          <w:jc w:val="center"/>
        </w:trPr>
        <w:tc>
          <w:tcPr>
            <w:cnfStyle w:val="001000000000" w:firstRow="0" w:lastRow="0" w:firstColumn="1" w:lastColumn="0" w:oddVBand="0" w:evenVBand="0" w:oddHBand="0" w:evenHBand="0" w:firstRowFirstColumn="0" w:firstRowLastColumn="0" w:lastRowFirstColumn="0" w:lastRowLastColumn="0"/>
            <w:tcW w:w="1247" w:type="pct"/>
            <w:shd w:val="clear" w:color="auto" w:fill="FFFFFF" w:themeFill="background1"/>
            <w:vAlign w:val="center"/>
          </w:tcPr>
          <w:p w14:paraId="392D97D4" w14:textId="29EC3231" w:rsidR="00062E0F" w:rsidRPr="002D4D47" w:rsidRDefault="00062E0F" w:rsidP="00062E0F">
            <w:pPr>
              <w:spacing w:before="0" w:after="0"/>
              <w:rPr>
                <w:noProof/>
              </w:rPr>
            </w:pPr>
            <w:r w:rsidRPr="002D4D47">
              <w:rPr>
                <w:noProof/>
              </w:rPr>
              <w:drawing>
                <wp:inline distT="0" distB="0" distL="0" distR="0" wp14:anchorId="76C1A49F" wp14:editId="6F76DB46">
                  <wp:extent cx="129540" cy="129540"/>
                  <wp:effectExtent l="0" t="0" r="3810" b="3810"/>
                  <wp:docPr id="1414262589" name="Picture 2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4262589" name="Picture 22">
                            <a:extLst>
                              <a:ext uri="{C183D7F6-B498-43B3-948B-1728B52AA6E4}">
                                <adec:decorative xmlns:adec="http://schemas.microsoft.com/office/drawing/2017/decorative" val="1"/>
                              </a:ext>
                            </a:extLst>
                          </pic:cNvPr>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129540" cy="129540"/>
                          </a:xfrm>
                          <a:prstGeom prst="rect">
                            <a:avLst/>
                          </a:prstGeom>
                          <a:noFill/>
                          <a:ln>
                            <a:noFill/>
                          </a:ln>
                        </pic:spPr>
                      </pic:pic>
                    </a:graphicData>
                  </a:graphic>
                </wp:inline>
              </w:drawing>
            </w:r>
            <w:r w:rsidRPr="002D4D47">
              <w:rPr>
                <w:lang w:val="en-GB"/>
              </w:rPr>
              <w:t xml:space="preserve"> Spain</w:t>
            </w:r>
          </w:p>
        </w:tc>
        <w:tc>
          <w:tcPr>
            <w:tcW w:w="627" w:type="pct"/>
            <w:shd w:val="clear" w:color="auto" w:fill="FFFFFF" w:themeFill="background1"/>
            <w:vAlign w:val="center"/>
          </w:tcPr>
          <w:p w14:paraId="252669E6" w14:textId="2D9CD107" w:rsidR="00062E0F" w:rsidRPr="002D4D47" w:rsidRDefault="004539FB" w:rsidP="00062E0F">
            <w:pPr>
              <w:spacing w:before="0" w:after="0"/>
              <w:cnfStyle w:val="000000010000" w:firstRow="0" w:lastRow="0" w:firstColumn="0" w:lastColumn="0" w:oddVBand="0" w:evenVBand="0" w:oddHBand="0" w:evenHBand="1" w:firstRowFirstColumn="0" w:firstRowLastColumn="0" w:lastRowFirstColumn="0" w:lastRowLastColumn="0"/>
            </w:pPr>
            <w:r w:rsidRPr="002D4D47">
              <w:rPr>
                <w:lang w:val="en-GB"/>
              </w:rPr>
              <w:t>Fifth</w:t>
            </w:r>
          </w:p>
        </w:tc>
        <w:tc>
          <w:tcPr>
            <w:tcW w:w="626" w:type="pct"/>
            <w:shd w:val="clear" w:color="auto" w:fill="D5FFE8"/>
            <w:vAlign w:val="center"/>
          </w:tcPr>
          <w:p w14:paraId="4DB953C7" w14:textId="778E9458" w:rsidR="00062E0F" w:rsidRPr="002D4D47" w:rsidRDefault="00062E0F" w:rsidP="00062E0F">
            <w:pPr>
              <w:spacing w:before="0" w:after="0"/>
              <w:cnfStyle w:val="000000010000" w:firstRow="0" w:lastRow="0" w:firstColumn="0" w:lastColumn="0" w:oddVBand="0" w:evenVBand="0" w:oddHBand="0" w:evenHBand="1" w:firstRowFirstColumn="0" w:firstRowLastColumn="0" w:lastRowFirstColumn="0" w:lastRowLastColumn="0"/>
            </w:pPr>
            <w:r w:rsidRPr="002D4D47">
              <w:rPr>
                <w:lang w:val="en-GB"/>
              </w:rPr>
              <w:t>Low</w:t>
            </w:r>
          </w:p>
        </w:tc>
        <w:tc>
          <w:tcPr>
            <w:tcW w:w="627" w:type="pct"/>
            <w:shd w:val="clear" w:color="auto" w:fill="D5FFE8"/>
            <w:vAlign w:val="center"/>
          </w:tcPr>
          <w:p w14:paraId="59CFCE1C" w14:textId="33DDD933" w:rsidR="00062E0F" w:rsidRPr="002D4D47" w:rsidRDefault="00062E0F" w:rsidP="00062E0F">
            <w:pPr>
              <w:spacing w:before="0" w:after="0"/>
              <w:cnfStyle w:val="000000010000" w:firstRow="0" w:lastRow="0" w:firstColumn="0" w:lastColumn="0" w:oddVBand="0" w:evenVBand="0" w:oddHBand="0" w:evenHBand="1" w:firstRowFirstColumn="0" w:firstRowLastColumn="0" w:lastRowFirstColumn="0" w:lastRowLastColumn="0"/>
            </w:pPr>
            <w:r w:rsidRPr="002D4D47">
              <w:rPr>
                <w:lang w:val="en-GB"/>
              </w:rPr>
              <w:t>Low</w:t>
            </w:r>
          </w:p>
        </w:tc>
        <w:tc>
          <w:tcPr>
            <w:tcW w:w="471" w:type="pct"/>
            <w:shd w:val="clear" w:color="auto" w:fill="D5FFE8"/>
            <w:vAlign w:val="center"/>
          </w:tcPr>
          <w:p w14:paraId="1422F9B1" w14:textId="60E23C49" w:rsidR="00062E0F" w:rsidRPr="002D4D47" w:rsidRDefault="00062E0F" w:rsidP="00062E0F">
            <w:pPr>
              <w:spacing w:before="0" w:after="0"/>
              <w:cnfStyle w:val="000000010000" w:firstRow="0" w:lastRow="0" w:firstColumn="0" w:lastColumn="0" w:oddVBand="0" w:evenVBand="0" w:oddHBand="0" w:evenHBand="1" w:firstRowFirstColumn="0" w:firstRowLastColumn="0" w:lastRowFirstColumn="0" w:lastRowLastColumn="0"/>
            </w:pPr>
            <w:r w:rsidRPr="002D4D47">
              <w:rPr>
                <w:lang w:val="en-GB"/>
              </w:rPr>
              <w:t>Low</w:t>
            </w:r>
          </w:p>
        </w:tc>
        <w:tc>
          <w:tcPr>
            <w:tcW w:w="706" w:type="pct"/>
            <w:shd w:val="clear" w:color="auto" w:fill="D5FFE8"/>
            <w:vAlign w:val="center"/>
          </w:tcPr>
          <w:p w14:paraId="1CD1B5E6" w14:textId="42D4A01D" w:rsidR="00062E0F" w:rsidRPr="002D4D47" w:rsidRDefault="00CD3611" w:rsidP="00062E0F">
            <w:pPr>
              <w:spacing w:before="0" w:after="0"/>
              <w:cnfStyle w:val="000000010000" w:firstRow="0" w:lastRow="0" w:firstColumn="0" w:lastColumn="0" w:oddVBand="0" w:evenVBand="0" w:oddHBand="0" w:evenHBand="1" w:firstRowFirstColumn="0" w:firstRowLastColumn="0" w:lastRowFirstColumn="0" w:lastRowLastColumn="0"/>
            </w:pPr>
            <w:r w:rsidRPr="00F15A4F">
              <w:rPr>
                <w:lang w:val="en-GB"/>
              </w:rPr>
              <w:t>Low</w:t>
            </w:r>
          </w:p>
        </w:tc>
        <w:tc>
          <w:tcPr>
            <w:tcW w:w="696" w:type="pct"/>
            <w:shd w:val="clear" w:color="auto" w:fill="FEDD9B" w:themeFill="accent4" w:themeFillTint="66"/>
            <w:vAlign w:val="center"/>
          </w:tcPr>
          <w:p w14:paraId="343BEDAE" w14:textId="526D4C50" w:rsidR="00062E0F" w:rsidRPr="002D4D47" w:rsidRDefault="00CD3611" w:rsidP="00062E0F">
            <w:pPr>
              <w:spacing w:before="0" w:after="0"/>
              <w:cnfStyle w:val="000000010000" w:firstRow="0" w:lastRow="0" w:firstColumn="0" w:lastColumn="0" w:oddVBand="0" w:evenVBand="0" w:oddHBand="0" w:evenHBand="1" w:firstRowFirstColumn="0" w:firstRowLastColumn="0" w:lastRowFirstColumn="0" w:lastRowLastColumn="0"/>
            </w:pPr>
            <w:r w:rsidRPr="007F440D">
              <w:rPr>
                <w:lang w:val="en-GB"/>
              </w:rPr>
              <w:t>Medium</w:t>
            </w:r>
          </w:p>
        </w:tc>
      </w:tr>
      <w:tr w:rsidR="00820AA9" w:rsidRPr="006D3C55" w14:paraId="596ACD6F" w14:textId="77777777" w:rsidTr="00B2036E">
        <w:trPr>
          <w:cnfStyle w:val="000000100000" w:firstRow="0" w:lastRow="0" w:firstColumn="0" w:lastColumn="0" w:oddVBand="0" w:evenVBand="0" w:oddHBand="1" w:evenHBand="0" w:firstRowFirstColumn="0" w:firstRowLastColumn="0" w:lastRowFirstColumn="0" w:lastRowLastColumn="0"/>
          <w:cantSplit/>
          <w:jc w:val="center"/>
        </w:trPr>
        <w:tc>
          <w:tcPr>
            <w:cnfStyle w:val="001000000000" w:firstRow="0" w:lastRow="0" w:firstColumn="1" w:lastColumn="0" w:oddVBand="0" w:evenVBand="0" w:oddHBand="0" w:evenHBand="0" w:firstRowFirstColumn="0" w:firstRowLastColumn="0" w:lastRowFirstColumn="0" w:lastRowLastColumn="0"/>
            <w:tcW w:w="1247" w:type="pct"/>
            <w:shd w:val="clear" w:color="auto" w:fill="F2F2F2" w:themeFill="background1" w:themeFillShade="F2"/>
            <w:vAlign w:val="center"/>
            <w:hideMark/>
          </w:tcPr>
          <w:p w14:paraId="4420B0B9" w14:textId="27EF550B" w:rsidR="00FB7579" w:rsidRPr="00E25F24" w:rsidRDefault="00FB7579">
            <w:pPr>
              <w:spacing w:before="0" w:after="0"/>
              <w:rPr>
                <w:lang w:val="en-GB"/>
              </w:rPr>
            </w:pPr>
            <w:r w:rsidRPr="00E25F24">
              <w:rPr>
                <w:noProof/>
              </w:rPr>
              <w:drawing>
                <wp:inline distT="0" distB="0" distL="0" distR="0" wp14:anchorId="3691C6A8" wp14:editId="3DC6F1BC">
                  <wp:extent cx="129540" cy="129540"/>
                  <wp:effectExtent l="0" t="0" r="3810" b="3810"/>
                  <wp:docPr id="1524821956" name="Picture 2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4821956" name="Picture 21">
                            <a:extLst>
                              <a:ext uri="{C183D7F6-B498-43B3-948B-1728B52AA6E4}">
                                <adec:decorative xmlns:adec="http://schemas.microsoft.com/office/drawing/2017/decorative" val="1"/>
                              </a:ext>
                            </a:extLst>
                          </pic:cNvPr>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29540" cy="129540"/>
                          </a:xfrm>
                          <a:prstGeom prst="rect">
                            <a:avLst/>
                          </a:prstGeom>
                          <a:noFill/>
                          <a:ln>
                            <a:noFill/>
                          </a:ln>
                        </pic:spPr>
                      </pic:pic>
                    </a:graphicData>
                  </a:graphic>
                </wp:inline>
              </w:drawing>
            </w:r>
            <w:r w:rsidRPr="00E25F24">
              <w:rPr>
                <w:lang w:val="en-GB"/>
              </w:rPr>
              <w:t xml:space="preserve"> France</w:t>
            </w:r>
          </w:p>
        </w:tc>
        <w:tc>
          <w:tcPr>
            <w:tcW w:w="627" w:type="pct"/>
            <w:shd w:val="clear" w:color="auto" w:fill="F2F2F2" w:themeFill="background1" w:themeFillShade="F2"/>
            <w:vAlign w:val="center"/>
            <w:hideMark/>
          </w:tcPr>
          <w:p w14:paraId="35286FF1" w14:textId="6A2D0F2B" w:rsidR="00FB7579" w:rsidRPr="00E25F24" w:rsidRDefault="00D3223B">
            <w:pPr>
              <w:spacing w:before="0" w:after="0"/>
              <w:cnfStyle w:val="000000100000" w:firstRow="0" w:lastRow="0" w:firstColumn="0" w:lastColumn="0" w:oddVBand="0" w:evenVBand="0" w:oddHBand="1" w:evenHBand="0" w:firstRowFirstColumn="0" w:firstRowLastColumn="0" w:lastRowFirstColumn="0" w:lastRowLastColumn="0"/>
              <w:rPr>
                <w:lang w:val="en-GB"/>
              </w:rPr>
            </w:pPr>
            <w:r w:rsidRPr="00E25F24">
              <w:rPr>
                <w:lang w:val="en-GB"/>
              </w:rPr>
              <w:t>Fourth</w:t>
            </w:r>
          </w:p>
        </w:tc>
        <w:tc>
          <w:tcPr>
            <w:tcW w:w="626" w:type="pct"/>
            <w:shd w:val="clear" w:color="auto" w:fill="D5FFE8"/>
            <w:vAlign w:val="center"/>
            <w:hideMark/>
          </w:tcPr>
          <w:p w14:paraId="6B5B3602" w14:textId="77777777" w:rsidR="00FB7579" w:rsidRPr="00E25F24" w:rsidRDefault="00FB7579">
            <w:pPr>
              <w:spacing w:before="0" w:after="0"/>
              <w:cnfStyle w:val="000000100000" w:firstRow="0" w:lastRow="0" w:firstColumn="0" w:lastColumn="0" w:oddVBand="0" w:evenVBand="0" w:oddHBand="1" w:evenHBand="0" w:firstRowFirstColumn="0" w:firstRowLastColumn="0" w:lastRowFirstColumn="0" w:lastRowLastColumn="0"/>
              <w:rPr>
                <w:lang w:val="en-GB"/>
              </w:rPr>
            </w:pPr>
            <w:r w:rsidRPr="00E25F24">
              <w:rPr>
                <w:lang w:val="en-GB"/>
              </w:rPr>
              <w:t>Low</w:t>
            </w:r>
          </w:p>
        </w:tc>
        <w:tc>
          <w:tcPr>
            <w:tcW w:w="627" w:type="pct"/>
            <w:shd w:val="clear" w:color="auto" w:fill="D5FFE8"/>
            <w:vAlign w:val="center"/>
            <w:hideMark/>
          </w:tcPr>
          <w:p w14:paraId="2533D32E" w14:textId="77777777" w:rsidR="00FB7579" w:rsidRPr="00E25F24" w:rsidRDefault="00FB7579">
            <w:pPr>
              <w:spacing w:before="0" w:after="0"/>
              <w:cnfStyle w:val="000000100000" w:firstRow="0" w:lastRow="0" w:firstColumn="0" w:lastColumn="0" w:oddVBand="0" w:evenVBand="0" w:oddHBand="1" w:evenHBand="0" w:firstRowFirstColumn="0" w:firstRowLastColumn="0" w:lastRowFirstColumn="0" w:lastRowLastColumn="0"/>
              <w:rPr>
                <w:lang w:val="en-GB"/>
              </w:rPr>
            </w:pPr>
            <w:r w:rsidRPr="00E25F24">
              <w:rPr>
                <w:lang w:val="en-GB"/>
              </w:rPr>
              <w:t>Low</w:t>
            </w:r>
          </w:p>
        </w:tc>
        <w:tc>
          <w:tcPr>
            <w:tcW w:w="471" w:type="pct"/>
            <w:shd w:val="clear" w:color="auto" w:fill="D5FFE8"/>
            <w:vAlign w:val="center"/>
            <w:hideMark/>
          </w:tcPr>
          <w:p w14:paraId="50394747" w14:textId="77777777" w:rsidR="00FB7579" w:rsidRPr="00E25F24" w:rsidRDefault="00FB7579">
            <w:pPr>
              <w:spacing w:before="0" w:after="0"/>
              <w:cnfStyle w:val="000000100000" w:firstRow="0" w:lastRow="0" w:firstColumn="0" w:lastColumn="0" w:oddVBand="0" w:evenVBand="0" w:oddHBand="1" w:evenHBand="0" w:firstRowFirstColumn="0" w:firstRowLastColumn="0" w:lastRowFirstColumn="0" w:lastRowLastColumn="0"/>
              <w:rPr>
                <w:lang w:val="en-GB"/>
              </w:rPr>
            </w:pPr>
            <w:r w:rsidRPr="00E25F24">
              <w:rPr>
                <w:lang w:val="en-GB"/>
              </w:rPr>
              <w:t>Low</w:t>
            </w:r>
          </w:p>
        </w:tc>
        <w:tc>
          <w:tcPr>
            <w:tcW w:w="706" w:type="pct"/>
            <w:shd w:val="clear" w:color="auto" w:fill="FEDD9B" w:themeFill="accent4" w:themeFillTint="66"/>
            <w:vAlign w:val="center"/>
            <w:hideMark/>
          </w:tcPr>
          <w:p w14:paraId="40705824" w14:textId="77777777" w:rsidR="00FB7579" w:rsidRPr="00E25F24" w:rsidRDefault="00FB7579">
            <w:pPr>
              <w:spacing w:before="0" w:after="0"/>
              <w:cnfStyle w:val="000000100000" w:firstRow="0" w:lastRow="0" w:firstColumn="0" w:lastColumn="0" w:oddVBand="0" w:evenVBand="0" w:oddHBand="1" w:evenHBand="0" w:firstRowFirstColumn="0" w:firstRowLastColumn="0" w:lastRowFirstColumn="0" w:lastRowLastColumn="0"/>
              <w:rPr>
                <w:lang w:val="en-GB"/>
              </w:rPr>
            </w:pPr>
            <w:r w:rsidRPr="00E25F24">
              <w:rPr>
                <w:lang w:val="en-GB"/>
              </w:rPr>
              <w:t>Medium</w:t>
            </w:r>
          </w:p>
        </w:tc>
        <w:tc>
          <w:tcPr>
            <w:tcW w:w="696" w:type="pct"/>
            <w:shd w:val="clear" w:color="auto" w:fill="FEDD9B" w:themeFill="accent4" w:themeFillTint="66"/>
            <w:vAlign w:val="center"/>
            <w:hideMark/>
          </w:tcPr>
          <w:p w14:paraId="30F245C1" w14:textId="77777777" w:rsidR="00FB7579" w:rsidRPr="00E25F24" w:rsidRDefault="00FB7579">
            <w:pPr>
              <w:spacing w:before="0" w:after="0"/>
              <w:cnfStyle w:val="000000100000" w:firstRow="0" w:lastRow="0" w:firstColumn="0" w:lastColumn="0" w:oddVBand="0" w:evenVBand="0" w:oddHBand="1" w:evenHBand="0" w:firstRowFirstColumn="0" w:firstRowLastColumn="0" w:lastRowFirstColumn="0" w:lastRowLastColumn="0"/>
              <w:rPr>
                <w:lang w:val="en-GB"/>
              </w:rPr>
            </w:pPr>
            <w:r w:rsidRPr="00E25F24">
              <w:rPr>
                <w:lang w:val="en-GB"/>
              </w:rPr>
              <w:t>Medium</w:t>
            </w:r>
          </w:p>
        </w:tc>
      </w:tr>
      <w:tr w:rsidR="004A3355" w:rsidRPr="006D3C55" w14:paraId="1124595F" w14:textId="77777777" w:rsidTr="00B2036E">
        <w:trPr>
          <w:cnfStyle w:val="000000010000" w:firstRow="0" w:lastRow="0" w:firstColumn="0" w:lastColumn="0" w:oddVBand="0" w:evenVBand="0" w:oddHBand="0" w:evenHBand="1" w:firstRowFirstColumn="0" w:firstRowLastColumn="0" w:lastRowFirstColumn="0" w:lastRowLastColumn="0"/>
          <w:cantSplit/>
          <w:jc w:val="center"/>
        </w:trPr>
        <w:tc>
          <w:tcPr>
            <w:cnfStyle w:val="001000000000" w:firstRow="0" w:lastRow="0" w:firstColumn="1" w:lastColumn="0" w:oddVBand="0" w:evenVBand="0" w:oddHBand="0" w:evenHBand="0" w:firstRowFirstColumn="0" w:firstRowLastColumn="0" w:lastRowFirstColumn="0" w:lastRowLastColumn="0"/>
            <w:tcW w:w="1247" w:type="pct"/>
            <w:shd w:val="clear" w:color="auto" w:fill="FFFFFF" w:themeFill="background1"/>
            <w:vAlign w:val="center"/>
            <w:hideMark/>
          </w:tcPr>
          <w:p w14:paraId="715810BC" w14:textId="3E67F38F" w:rsidR="00FB7579" w:rsidRPr="00897ED8" w:rsidRDefault="00FB7579">
            <w:pPr>
              <w:spacing w:before="0" w:after="0"/>
              <w:rPr>
                <w:lang w:val="en-GB"/>
              </w:rPr>
            </w:pPr>
            <w:r w:rsidRPr="00897ED8">
              <w:rPr>
                <w:noProof/>
              </w:rPr>
              <w:drawing>
                <wp:inline distT="0" distB="0" distL="0" distR="0" wp14:anchorId="4B09C8C6" wp14:editId="143482F4">
                  <wp:extent cx="129540" cy="129540"/>
                  <wp:effectExtent l="0" t="0" r="3810" b="3810"/>
                  <wp:docPr id="672415474" name="Picture 2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2415474" name="Picture 20">
                            <a:extLst>
                              <a:ext uri="{C183D7F6-B498-43B3-948B-1728B52AA6E4}">
                                <adec:decorative xmlns:adec="http://schemas.microsoft.com/office/drawing/2017/decorative" val="1"/>
                              </a:ext>
                            </a:extLst>
                          </pic:cNvPr>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129540" cy="129540"/>
                          </a:xfrm>
                          <a:prstGeom prst="rect">
                            <a:avLst/>
                          </a:prstGeom>
                          <a:noFill/>
                          <a:ln>
                            <a:noFill/>
                          </a:ln>
                        </pic:spPr>
                      </pic:pic>
                    </a:graphicData>
                  </a:graphic>
                </wp:inline>
              </w:drawing>
            </w:r>
            <w:r w:rsidRPr="00897ED8">
              <w:rPr>
                <w:lang w:val="en-GB"/>
              </w:rPr>
              <w:t xml:space="preserve"> Croatia</w:t>
            </w:r>
          </w:p>
        </w:tc>
        <w:tc>
          <w:tcPr>
            <w:tcW w:w="627" w:type="pct"/>
            <w:shd w:val="clear" w:color="auto" w:fill="FFFFFF" w:themeFill="background1"/>
            <w:vAlign w:val="center"/>
            <w:hideMark/>
          </w:tcPr>
          <w:p w14:paraId="5A86EE56" w14:textId="2DFF3BEA" w:rsidR="00FB7579" w:rsidRPr="00897ED8" w:rsidRDefault="00D3223B">
            <w:pPr>
              <w:spacing w:before="0" w:after="0"/>
              <w:cnfStyle w:val="000000010000" w:firstRow="0" w:lastRow="0" w:firstColumn="0" w:lastColumn="0" w:oddVBand="0" w:evenVBand="0" w:oddHBand="0" w:evenHBand="1" w:firstRowFirstColumn="0" w:firstRowLastColumn="0" w:lastRowFirstColumn="0" w:lastRowLastColumn="0"/>
              <w:rPr>
                <w:lang w:val="en-GB"/>
              </w:rPr>
            </w:pPr>
            <w:r w:rsidRPr="00897ED8">
              <w:rPr>
                <w:lang w:val="en-GB"/>
              </w:rPr>
              <w:t>Sixth</w:t>
            </w:r>
          </w:p>
        </w:tc>
        <w:tc>
          <w:tcPr>
            <w:tcW w:w="626" w:type="pct"/>
            <w:shd w:val="clear" w:color="auto" w:fill="D5FFE8"/>
            <w:vAlign w:val="center"/>
            <w:hideMark/>
          </w:tcPr>
          <w:p w14:paraId="057244C5" w14:textId="77777777" w:rsidR="00FB7579" w:rsidRPr="00897ED8" w:rsidRDefault="00FB7579">
            <w:pPr>
              <w:spacing w:before="0" w:after="0"/>
              <w:cnfStyle w:val="000000010000" w:firstRow="0" w:lastRow="0" w:firstColumn="0" w:lastColumn="0" w:oddVBand="0" w:evenVBand="0" w:oddHBand="0" w:evenHBand="1" w:firstRowFirstColumn="0" w:firstRowLastColumn="0" w:lastRowFirstColumn="0" w:lastRowLastColumn="0"/>
              <w:rPr>
                <w:lang w:val="en-GB"/>
              </w:rPr>
            </w:pPr>
            <w:r w:rsidRPr="00897ED8">
              <w:rPr>
                <w:lang w:val="en-GB"/>
              </w:rPr>
              <w:t>Low</w:t>
            </w:r>
          </w:p>
        </w:tc>
        <w:tc>
          <w:tcPr>
            <w:tcW w:w="627" w:type="pct"/>
            <w:shd w:val="clear" w:color="auto" w:fill="D5FFE8"/>
            <w:vAlign w:val="center"/>
            <w:hideMark/>
          </w:tcPr>
          <w:p w14:paraId="0BC4DFC9" w14:textId="77777777" w:rsidR="00FB7579" w:rsidRPr="00897ED8" w:rsidRDefault="00FB7579">
            <w:pPr>
              <w:spacing w:before="0" w:after="0"/>
              <w:cnfStyle w:val="000000010000" w:firstRow="0" w:lastRow="0" w:firstColumn="0" w:lastColumn="0" w:oddVBand="0" w:evenVBand="0" w:oddHBand="0" w:evenHBand="1" w:firstRowFirstColumn="0" w:firstRowLastColumn="0" w:lastRowFirstColumn="0" w:lastRowLastColumn="0"/>
              <w:rPr>
                <w:lang w:val="en-GB"/>
              </w:rPr>
            </w:pPr>
            <w:r w:rsidRPr="00897ED8">
              <w:rPr>
                <w:lang w:val="en-GB"/>
              </w:rPr>
              <w:t>Low</w:t>
            </w:r>
          </w:p>
        </w:tc>
        <w:tc>
          <w:tcPr>
            <w:tcW w:w="471" w:type="pct"/>
            <w:shd w:val="clear" w:color="auto" w:fill="D5FFE8"/>
            <w:vAlign w:val="center"/>
            <w:hideMark/>
          </w:tcPr>
          <w:p w14:paraId="1AC9C790" w14:textId="77777777" w:rsidR="00FB7579" w:rsidRPr="00897ED8" w:rsidRDefault="00FB7579">
            <w:pPr>
              <w:spacing w:before="0" w:after="0"/>
              <w:cnfStyle w:val="000000010000" w:firstRow="0" w:lastRow="0" w:firstColumn="0" w:lastColumn="0" w:oddVBand="0" w:evenVBand="0" w:oddHBand="0" w:evenHBand="1" w:firstRowFirstColumn="0" w:firstRowLastColumn="0" w:lastRowFirstColumn="0" w:lastRowLastColumn="0"/>
              <w:rPr>
                <w:lang w:val="en-GB"/>
              </w:rPr>
            </w:pPr>
            <w:r w:rsidRPr="00897ED8">
              <w:rPr>
                <w:lang w:val="en-GB"/>
              </w:rPr>
              <w:t>Low</w:t>
            </w:r>
          </w:p>
        </w:tc>
        <w:tc>
          <w:tcPr>
            <w:tcW w:w="706" w:type="pct"/>
            <w:shd w:val="clear" w:color="auto" w:fill="D5FFE8"/>
            <w:vAlign w:val="center"/>
            <w:hideMark/>
          </w:tcPr>
          <w:p w14:paraId="49F992DD" w14:textId="77777777" w:rsidR="00FB7579" w:rsidRPr="00897ED8" w:rsidRDefault="00FB7579">
            <w:pPr>
              <w:spacing w:before="0" w:after="0"/>
              <w:cnfStyle w:val="000000010000" w:firstRow="0" w:lastRow="0" w:firstColumn="0" w:lastColumn="0" w:oddVBand="0" w:evenVBand="0" w:oddHBand="0" w:evenHBand="1" w:firstRowFirstColumn="0" w:firstRowLastColumn="0" w:lastRowFirstColumn="0" w:lastRowLastColumn="0"/>
              <w:rPr>
                <w:lang w:val="en-GB"/>
              </w:rPr>
            </w:pPr>
            <w:r w:rsidRPr="00897ED8">
              <w:rPr>
                <w:lang w:val="en-GB"/>
              </w:rPr>
              <w:t>Low</w:t>
            </w:r>
          </w:p>
        </w:tc>
        <w:tc>
          <w:tcPr>
            <w:tcW w:w="696" w:type="pct"/>
            <w:shd w:val="clear" w:color="auto" w:fill="D5FFE8"/>
            <w:vAlign w:val="center"/>
            <w:hideMark/>
          </w:tcPr>
          <w:p w14:paraId="068400EE" w14:textId="77777777" w:rsidR="00FB7579" w:rsidRPr="00897ED8" w:rsidRDefault="00FB7579">
            <w:pPr>
              <w:spacing w:before="0" w:after="0"/>
              <w:cnfStyle w:val="000000010000" w:firstRow="0" w:lastRow="0" w:firstColumn="0" w:lastColumn="0" w:oddVBand="0" w:evenVBand="0" w:oddHBand="0" w:evenHBand="1" w:firstRowFirstColumn="0" w:firstRowLastColumn="0" w:lastRowFirstColumn="0" w:lastRowLastColumn="0"/>
              <w:rPr>
                <w:lang w:val="en-GB"/>
              </w:rPr>
            </w:pPr>
            <w:r w:rsidRPr="00897ED8">
              <w:rPr>
                <w:lang w:val="en-GB"/>
              </w:rPr>
              <w:t>Low</w:t>
            </w:r>
          </w:p>
        </w:tc>
      </w:tr>
      <w:tr w:rsidR="004A3355" w:rsidRPr="006D3C55" w14:paraId="5617F6D7" w14:textId="77777777" w:rsidTr="00B2036E">
        <w:trPr>
          <w:cnfStyle w:val="000000100000" w:firstRow="0" w:lastRow="0" w:firstColumn="0" w:lastColumn="0" w:oddVBand="0" w:evenVBand="0" w:oddHBand="1" w:evenHBand="0" w:firstRowFirstColumn="0" w:firstRowLastColumn="0" w:lastRowFirstColumn="0" w:lastRowLastColumn="0"/>
          <w:cantSplit/>
          <w:jc w:val="center"/>
        </w:trPr>
        <w:tc>
          <w:tcPr>
            <w:cnfStyle w:val="001000000000" w:firstRow="0" w:lastRow="0" w:firstColumn="1" w:lastColumn="0" w:oddVBand="0" w:evenVBand="0" w:oddHBand="0" w:evenHBand="0" w:firstRowFirstColumn="0" w:firstRowLastColumn="0" w:lastRowFirstColumn="0" w:lastRowLastColumn="0"/>
            <w:tcW w:w="1247" w:type="pct"/>
            <w:shd w:val="clear" w:color="auto" w:fill="FFFFFF" w:themeFill="background1"/>
            <w:vAlign w:val="center"/>
            <w:hideMark/>
          </w:tcPr>
          <w:p w14:paraId="3A8539C0" w14:textId="5E0334BD" w:rsidR="00FB7579" w:rsidRPr="00897ED8" w:rsidRDefault="00FB7579">
            <w:pPr>
              <w:spacing w:before="0" w:after="0"/>
              <w:rPr>
                <w:lang w:val="en-GB"/>
              </w:rPr>
            </w:pPr>
            <w:r w:rsidRPr="00897ED8">
              <w:rPr>
                <w:noProof/>
              </w:rPr>
              <w:drawing>
                <wp:inline distT="0" distB="0" distL="0" distR="0" wp14:anchorId="265A1D1A" wp14:editId="3D909352">
                  <wp:extent cx="129540" cy="129540"/>
                  <wp:effectExtent l="0" t="0" r="3810" b="3810"/>
                  <wp:docPr id="464766045" name="Picture 1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4766045" name="Picture 19">
                            <a:extLst>
                              <a:ext uri="{C183D7F6-B498-43B3-948B-1728B52AA6E4}">
                                <adec:decorative xmlns:adec="http://schemas.microsoft.com/office/drawing/2017/decorative" val="1"/>
                              </a:ext>
                            </a:extLst>
                          </pic:cNvPr>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129540" cy="129540"/>
                          </a:xfrm>
                          <a:prstGeom prst="rect">
                            <a:avLst/>
                          </a:prstGeom>
                          <a:noFill/>
                          <a:ln>
                            <a:noFill/>
                          </a:ln>
                        </pic:spPr>
                      </pic:pic>
                    </a:graphicData>
                  </a:graphic>
                </wp:inline>
              </w:drawing>
            </w:r>
            <w:r w:rsidRPr="00897ED8">
              <w:rPr>
                <w:lang w:val="en-GB"/>
              </w:rPr>
              <w:t xml:space="preserve"> Croatia</w:t>
            </w:r>
          </w:p>
        </w:tc>
        <w:tc>
          <w:tcPr>
            <w:tcW w:w="627" w:type="pct"/>
            <w:shd w:val="clear" w:color="auto" w:fill="FFFFFF" w:themeFill="background1"/>
            <w:vAlign w:val="center"/>
            <w:hideMark/>
          </w:tcPr>
          <w:p w14:paraId="240542FC" w14:textId="02CA4C68" w:rsidR="00FB7579" w:rsidRPr="00897ED8" w:rsidRDefault="00D3223B">
            <w:pPr>
              <w:spacing w:before="0" w:after="0"/>
              <w:cnfStyle w:val="000000100000" w:firstRow="0" w:lastRow="0" w:firstColumn="0" w:lastColumn="0" w:oddVBand="0" w:evenVBand="0" w:oddHBand="1" w:evenHBand="0" w:firstRowFirstColumn="0" w:firstRowLastColumn="0" w:lastRowFirstColumn="0" w:lastRowLastColumn="0"/>
              <w:rPr>
                <w:lang w:val="en-GB"/>
              </w:rPr>
            </w:pPr>
            <w:r w:rsidRPr="00897ED8">
              <w:rPr>
                <w:lang w:val="en-GB"/>
              </w:rPr>
              <w:t>Seventh</w:t>
            </w:r>
          </w:p>
        </w:tc>
        <w:tc>
          <w:tcPr>
            <w:tcW w:w="626" w:type="pct"/>
            <w:shd w:val="clear" w:color="auto" w:fill="D5FFE8"/>
            <w:vAlign w:val="center"/>
            <w:hideMark/>
          </w:tcPr>
          <w:p w14:paraId="78E774EA" w14:textId="77777777" w:rsidR="00FB7579" w:rsidRPr="00897ED8" w:rsidRDefault="00FB7579">
            <w:pPr>
              <w:spacing w:before="0" w:after="0"/>
              <w:cnfStyle w:val="000000100000" w:firstRow="0" w:lastRow="0" w:firstColumn="0" w:lastColumn="0" w:oddVBand="0" w:evenVBand="0" w:oddHBand="1" w:evenHBand="0" w:firstRowFirstColumn="0" w:firstRowLastColumn="0" w:lastRowFirstColumn="0" w:lastRowLastColumn="0"/>
              <w:rPr>
                <w:lang w:val="en-GB"/>
              </w:rPr>
            </w:pPr>
            <w:r w:rsidRPr="00897ED8">
              <w:rPr>
                <w:lang w:val="en-GB"/>
              </w:rPr>
              <w:t>Low</w:t>
            </w:r>
          </w:p>
        </w:tc>
        <w:tc>
          <w:tcPr>
            <w:tcW w:w="627" w:type="pct"/>
            <w:shd w:val="clear" w:color="auto" w:fill="D5FFE8"/>
            <w:vAlign w:val="center"/>
            <w:hideMark/>
          </w:tcPr>
          <w:p w14:paraId="627D3E20" w14:textId="77777777" w:rsidR="00FB7579" w:rsidRPr="00897ED8" w:rsidRDefault="00FB7579">
            <w:pPr>
              <w:spacing w:before="0" w:after="0"/>
              <w:cnfStyle w:val="000000100000" w:firstRow="0" w:lastRow="0" w:firstColumn="0" w:lastColumn="0" w:oddVBand="0" w:evenVBand="0" w:oddHBand="1" w:evenHBand="0" w:firstRowFirstColumn="0" w:firstRowLastColumn="0" w:lastRowFirstColumn="0" w:lastRowLastColumn="0"/>
              <w:rPr>
                <w:lang w:val="en-GB"/>
              </w:rPr>
            </w:pPr>
            <w:r w:rsidRPr="00897ED8">
              <w:rPr>
                <w:lang w:val="en-GB"/>
              </w:rPr>
              <w:t>Low</w:t>
            </w:r>
          </w:p>
        </w:tc>
        <w:tc>
          <w:tcPr>
            <w:tcW w:w="471" w:type="pct"/>
            <w:shd w:val="clear" w:color="auto" w:fill="D5FFE8"/>
            <w:vAlign w:val="center"/>
            <w:hideMark/>
          </w:tcPr>
          <w:p w14:paraId="79C53B0C" w14:textId="77777777" w:rsidR="00FB7579" w:rsidRPr="00897ED8" w:rsidRDefault="00FB7579">
            <w:pPr>
              <w:spacing w:before="0" w:after="0"/>
              <w:cnfStyle w:val="000000100000" w:firstRow="0" w:lastRow="0" w:firstColumn="0" w:lastColumn="0" w:oddVBand="0" w:evenVBand="0" w:oddHBand="1" w:evenHBand="0" w:firstRowFirstColumn="0" w:firstRowLastColumn="0" w:lastRowFirstColumn="0" w:lastRowLastColumn="0"/>
              <w:rPr>
                <w:lang w:val="en-GB"/>
              </w:rPr>
            </w:pPr>
            <w:r w:rsidRPr="00897ED8">
              <w:rPr>
                <w:lang w:val="en-GB"/>
              </w:rPr>
              <w:t>Low</w:t>
            </w:r>
          </w:p>
        </w:tc>
        <w:tc>
          <w:tcPr>
            <w:tcW w:w="706" w:type="pct"/>
            <w:shd w:val="clear" w:color="auto" w:fill="D5FFE8"/>
            <w:vAlign w:val="center"/>
            <w:hideMark/>
          </w:tcPr>
          <w:p w14:paraId="1E772B01" w14:textId="77777777" w:rsidR="00FB7579" w:rsidRPr="00897ED8" w:rsidRDefault="00FB7579">
            <w:pPr>
              <w:spacing w:before="0" w:after="0"/>
              <w:cnfStyle w:val="000000100000" w:firstRow="0" w:lastRow="0" w:firstColumn="0" w:lastColumn="0" w:oddVBand="0" w:evenVBand="0" w:oddHBand="1" w:evenHBand="0" w:firstRowFirstColumn="0" w:firstRowLastColumn="0" w:lastRowFirstColumn="0" w:lastRowLastColumn="0"/>
              <w:rPr>
                <w:lang w:val="en-GB"/>
              </w:rPr>
            </w:pPr>
            <w:r w:rsidRPr="00897ED8">
              <w:rPr>
                <w:lang w:val="en-GB"/>
              </w:rPr>
              <w:t>Low</w:t>
            </w:r>
          </w:p>
        </w:tc>
        <w:tc>
          <w:tcPr>
            <w:tcW w:w="696" w:type="pct"/>
            <w:shd w:val="clear" w:color="auto" w:fill="D5FFE8"/>
            <w:vAlign w:val="center"/>
            <w:hideMark/>
          </w:tcPr>
          <w:p w14:paraId="5CB991B7" w14:textId="77777777" w:rsidR="00FB7579" w:rsidRPr="00897ED8" w:rsidRDefault="00FB7579">
            <w:pPr>
              <w:spacing w:before="0" w:after="0"/>
              <w:cnfStyle w:val="000000100000" w:firstRow="0" w:lastRow="0" w:firstColumn="0" w:lastColumn="0" w:oddVBand="0" w:evenVBand="0" w:oddHBand="1" w:evenHBand="0" w:firstRowFirstColumn="0" w:firstRowLastColumn="0" w:lastRowFirstColumn="0" w:lastRowLastColumn="0"/>
              <w:rPr>
                <w:lang w:val="en-GB"/>
              </w:rPr>
            </w:pPr>
            <w:r w:rsidRPr="00897ED8">
              <w:rPr>
                <w:lang w:val="en-GB"/>
              </w:rPr>
              <w:t>Low</w:t>
            </w:r>
          </w:p>
        </w:tc>
      </w:tr>
      <w:tr w:rsidR="00820AA9" w:rsidRPr="006D3C55" w14:paraId="4034526D" w14:textId="77777777" w:rsidTr="00B2036E">
        <w:trPr>
          <w:cnfStyle w:val="000000010000" w:firstRow="0" w:lastRow="0" w:firstColumn="0" w:lastColumn="0" w:oddVBand="0" w:evenVBand="0" w:oddHBand="0" w:evenHBand="1" w:firstRowFirstColumn="0" w:firstRowLastColumn="0" w:lastRowFirstColumn="0" w:lastRowLastColumn="0"/>
          <w:cantSplit/>
          <w:jc w:val="center"/>
        </w:trPr>
        <w:tc>
          <w:tcPr>
            <w:cnfStyle w:val="001000000000" w:firstRow="0" w:lastRow="0" w:firstColumn="1" w:lastColumn="0" w:oddVBand="0" w:evenVBand="0" w:oddHBand="0" w:evenHBand="0" w:firstRowFirstColumn="0" w:firstRowLastColumn="0" w:lastRowFirstColumn="0" w:lastRowLastColumn="0"/>
            <w:tcW w:w="1247" w:type="pct"/>
            <w:shd w:val="clear" w:color="auto" w:fill="F2F2F2" w:themeFill="background1" w:themeFillShade="F2"/>
            <w:vAlign w:val="center"/>
            <w:hideMark/>
          </w:tcPr>
          <w:p w14:paraId="70657C61" w14:textId="35F6EF96" w:rsidR="00FB7579" w:rsidRPr="00B716F7" w:rsidRDefault="00FB7579">
            <w:pPr>
              <w:spacing w:before="0" w:after="0"/>
              <w:rPr>
                <w:lang w:val="en-GB"/>
              </w:rPr>
            </w:pPr>
            <w:r w:rsidRPr="00B716F7">
              <w:rPr>
                <w:noProof/>
              </w:rPr>
              <w:drawing>
                <wp:inline distT="0" distB="0" distL="0" distR="0" wp14:anchorId="2E756675" wp14:editId="6E7091F8">
                  <wp:extent cx="129540" cy="129540"/>
                  <wp:effectExtent l="0" t="0" r="3810" b="3810"/>
                  <wp:docPr id="1784991641" name="Picture 1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4991641" name="Picture 18">
                            <a:extLst>
                              <a:ext uri="{C183D7F6-B498-43B3-948B-1728B52AA6E4}">
                                <adec:decorative xmlns:adec="http://schemas.microsoft.com/office/drawing/2017/decorative" val="1"/>
                              </a:ext>
                            </a:extLst>
                          </pic:cNvPr>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129540" cy="129540"/>
                          </a:xfrm>
                          <a:prstGeom prst="rect">
                            <a:avLst/>
                          </a:prstGeom>
                          <a:noFill/>
                          <a:ln>
                            <a:noFill/>
                          </a:ln>
                        </pic:spPr>
                      </pic:pic>
                    </a:graphicData>
                  </a:graphic>
                </wp:inline>
              </w:drawing>
            </w:r>
            <w:r w:rsidRPr="00B716F7">
              <w:rPr>
                <w:lang w:val="en-GB"/>
              </w:rPr>
              <w:t xml:space="preserve"> Italy</w:t>
            </w:r>
          </w:p>
        </w:tc>
        <w:tc>
          <w:tcPr>
            <w:tcW w:w="627" w:type="pct"/>
            <w:shd w:val="clear" w:color="auto" w:fill="F2F2F2" w:themeFill="background1" w:themeFillShade="F2"/>
            <w:vAlign w:val="center"/>
            <w:hideMark/>
          </w:tcPr>
          <w:p w14:paraId="0061931F" w14:textId="0A9899BB" w:rsidR="00FB7579" w:rsidRPr="00B716F7" w:rsidRDefault="00B716F7">
            <w:pPr>
              <w:spacing w:before="0" w:after="0"/>
              <w:cnfStyle w:val="000000010000" w:firstRow="0" w:lastRow="0" w:firstColumn="0" w:lastColumn="0" w:oddVBand="0" w:evenVBand="0" w:oddHBand="0" w:evenHBand="1" w:firstRowFirstColumn="0" w:firstRowLastColumn="0" w:lastRowFirstColumn="0" w:lastRowLastColumn="0"/>
              <w:rPr>
                <w:lang w:val="en-GB"/>
              </w:rPr>
            </w:pPr>
            <w:r w:rsidRPr="00B716F7">
              <w:rPr>
                <w:lang w:val="en-GB"/>
              </w:rPr>
              <w:t>Seventh</w:t>
            </w:r>
          </w:p>
        </w:tc>
        <w:tc>
          <w:tcPr>
            <w:tcW w:w="626" w:type="pct"/>
            <w:shd w:val="clear" w:color="auto" w:fill="FEDD9B" w:themeFill="accent4" w:themeFillTint="66"/>
            <w:vAlign w:val="center"/>
            <w:hideMark/>
          </w:tcPr>
          <w:p w14:paraId="3A55C5BB" w14:textId="6B491D41" w:rsidR="00FB7579" w:rsidRPr="00CD3611" w:rsidRDefault="00385612">
            <w:pPr>
              <w:spacing w:before="0" w:after="0"/>
              <w:cnfStyle w:val="000000010000" w:firstRow="0" w:lastRow="0" w:firstColumn="0" w:lastColumn="0" w:oddVBand="0" w:evenVBand="0" w:oddHBand="0" w:evenHBand="1" w:firstRowFirstColumn="0" w:firstRowLastColumn="0" w:lastRowFirstColumn="0" w:lastRowLastColumn="0"/>
              <w:rPr>
                <w:lang w:val="en-GB"/>
              </w:rPr>
            </w:pPr>
            <w:r w:rsidRPr="00CD3611">
              <w:rPr>
                <w:lang w:val="en-GB"/>
              </w:rPr>
              <w:t>Medium</w:t>
            </w:r>
          </w:p>
        </w:tc>
        <w:tc>
          <w:tcPr>
            <w:tcW w:w="627" w:type="pct"/>
            <w:shd w:val="clear" w:color="auto" w:fill="FEDD9B" w:themeFill="accent4" w:themeFillTint="66"/>
            <w:vAlign w:val="center"/>
            <w:hideMark/>
          </w:tcPr>
          <w:p w14:paraId="078F7CFE" w14:textId="5E964CA9" w:rsidR="00FB7579" w:rsidRPr="00CD3611" w:rsidRDefault="00385612">
            <w:pPr>
              <w:spacing w:before="0" w:after="0"/>
              <w:cnfStyle w:val="000000010000" w:firstRow="0" w:lastRow="0" w:firstColumn="0" w:lastColumn="0" w:oddVBand="0" w:evenVBand="0" w:oddHBand="0" w:evenHBand="1" w:firstRowFirstColumn="0" w:firstRowLastColumn="0" w:lastRowFirstColumn="0" w:lastRowLastColumn="0"/>
              <w:rPr>
                <w:lang w:val="en-GB"/>
              </w:rPr>
            </w:pPr>
            <w:r w:rsidRPr="00CD3611">
              <w:rPr>
                <w:lang w:val="en-GB"/>
              </w:rPr>
              <w:t>Medium</w:t>
            </w:r>
          </w:p>
        </w:tc>
        <w:tc>
          <w:tcPr>
            <w:tcW w:w="471" w:type="pct"/>
            <w:shd w:val="clear" w:color="auto" w:fill="FEDD9B" w:themeFill="accent4" w:themeFillTint="66"/>
            <w:vAlign w:val="center"/>
            <w:hideMark/>
          </w:tcPr>
          <w:p w14:paraId="26BAC6E9" w14:textId="2F8AC57E" w:rsidR="00FB7579" w:rsidRPr="00CD3611" w:rsidRDefault="00385612">
            <w:pPr>
              <w:spacing w:before="0" w:after="0"/>
              <w:cnfStyle w:val="000000010000" w:firstRow="0" w:lastRow="0" w:firstColumn="0" w:lastColumn="0" w:oddVBand="0" w:evenVBand="0" w:oddHBand="0" w:evenHBand="1" w:firstRowFirstColumn="0" w:firstRowLastColumn="0" w:lastRowFirstColumn="0" w:lastRowLastColumn="0"/>
              <w:rPr>
                <w:lang w:val="en-GB"/>
              </w:rPr>
            </w:pPr>
            <w:r w:rsidRPr="00CD3611">
              <w:rPr>
                <w:lang w:val="en-GB"/>
              </w:rPr>
              <w:t>Medium</w:t>
            </w:r>
          </w:p>
        </w:tc>
        <w:tc>
          <w:tcPr>
            <w:tcW w:w="706" w:type="pct"/>
            <w:shd w:val="clear" w:color="auto" w:fill="D5FFE8"/>
            <w:vAlign w:val="center"/>
            <w:hideMark/>
          </w:tcPr>
          <w:p w14:paraId="666D99AE" w14:textId="0CE9E4D5" w:rsidR="00FB7579" w:rsidRPr="00CD3611" w:rsidRDefault="00CD3611">
            <w:pPr>
              <w:spacing w:before="0" w:after="0"/>
              <w:cnfStyle w:val="000000010000" w:firstRow="0" w:lastRow="0" w:firstColumn="0" w:lastColumn="0" w:oddVBand="0" w:evenVBand="0" w:oddHBand="0" w:evenHBand="1" w:firstRowFirstColumn="0" w:firstRowLastColumn="0" w:lastRowFirstColumn="0" w:lastRowLastColumn="0"/>
              <w:rPr>
                <w:lang w:val="en-GB"/>
              </w:rPr>
            </w:pPr>
            <w:r w:rsidRPr="00CD3611">
              <w:rPr>
                <w:lang w:val="en-GB"/>
              </w:rPr>
              <w:t>Low</w:t>
            </w:r>
          </w:p>
        </w:tc>
        <w:tc>
          <w:tcPr>
            <w:tcW w:w="696" w:type="pct"/>
            <w:shd w:val="clear" w:color="auto" w:fill="D5FFE8"/>
            <w:vAlign w:val="center"/>
            <w:hideMark/>
          </w:tcPr>
          <w:p w14:paraId="15AD9B87" w14:textId="7E3FE1D9" w:rsidR="00FB7579" w:rsidRPr="00CD3611" w:rsidRDefault="00211AE6">
            <w:pPr>
              <w:spacing w:before="0" w:after="0"/>
              <w:cnfStyle w:val="000000010000" w:firstRow="0" w:lastRow="0" w:firstColumn="0" w:lastColumn="0" w:oddVBand="0" w:evenVBand="0" w:oddHBand="0" w:evenHBand="1" w:firstRowFirstColumn="0" w:firstRowLastColumn="0" w:lastRowFirstColumn="0" w:lastRowLastColumn="0"/>
              <w:rPr>
                <w:lang w:val="en-GB"/>
              </w:rPr>
            </w:pPr>
            <w:r w:rsidRPr="00CD3611">
              <w:rPr>
                <w:lang w:val="en-GB"/>
              </w:rPr>
              <w:t>Low</w:t>
            </w:r>
          </w:p>
        </w:tc>
      </w:tr>
      <w:tr w:rsidR="00820AA9" w:rsidRPr="006D3C55" w14:paraId="7836463B" w14:textId="77777777" w:rsidTr="00B2036E">
        <w:trPr>
          <w:cnfStyle w:val="000000100000" w:firstRow="0" w:lastRow="0" w:firstColumn="0" w:lastColumn="0" w:oddVBand="0" w:evenVBand="0" w:oddHBand="1" w:evenHBand="0" w:firstRowFirstColumn="0" w:firstRowLastColumn="0" w:lastRowFirstColumn="0" w:lastRowLastColumn="0"/>
          <w:cantSplit/>
          <w:jc w:val="center"/>
        </w:trPr>
        <w:tc>
          <w:tcPr>
            <w:cnfStyle w:val="001000000000" w:firstRow="0" w:lastRow="0" w:firstColumn="1" w:lastColumn="0" w:oddVBand="0" w:evenVBand="0" w:oddHBand="0" w:evenHBand="0" w:firstRowFirstColumn="0" w:firstRowLastColumn="0" w:lastRowFirstColumn="0" w:lastRowLastColumn="0"/>
            <w:tcW w:w="1247" w:type="pct"/>
            <w:shd w:val="clear" w:color="auto" w:fill="F2F2F2" w:themeFill="background1" w:themeFillShade="F2"/>
            <w:vAlign w:val="center"/>
            <w:hideMark/>
          </w:tcPr>
          <w:p w14:paraId="324AE4E8" w14:textId="598D2512" w:rsidR="00FB7579" w:rsidRPr="00B716F7" w:rsidRDefault="00FB7579">
            <w:pPr>
              <w:spacing w:before="0" w:after="0"/>
              <w:rPr>
                <w:lang w:val="en-GB"/>
              </w:rPr>
            </w:pPr>
            <w:r w:rsidRPr="00B716F7">
              <w:rPr>
                <w:noProof/>
              </w:rPr>
              <w:drawing>
                <wp:inline distT="0" distB="0" distL="0" distR="0" wp14:anchorId="386FAE8A" wp14:editId="095D1F54">
                  <wp:extent cx="129540" cy="129540"/>
                  <wp:effectExtent l="0" t="0" r="3810" b="3810"/>
                  <wp:docPr id="1870191304" name="Picture 1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0191304" name="Picture 17">
                            <a:extLst>
                              <a:ext uri="{C183D7F6-B498-43B3-948B-1728B52AA6E4}">
                                <adec:decorative xmlns:adec="http://schemas.microsoft.com/office/drawing/2017/decorative" val="1"/>
                              </a:ext>
                            </a:extLst>
                          </pic:cNvPr>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129540" cy="129540"/>
                          </a:xfrm>
                          <a:prstGeom prst="rect">
                            <a:avLst/>
                          </a:prstGeom>
                          <a:noFill/>
                          <a:ln>
                            <a:noFill/>
                          </a:ln>
                        </pic:spPr>
                      </pic:pic>
                    </a:graphicData>
                  </a:graphic>
                </wp:inline>
              </w:drawing>
            </w:r>
            <w:r w:rsidRPr="00B716F7">
              <w:rPr>
                <w:lang w:val="en-GB"/>
              </w:rPr>
              <w:t xml:space="preserve"> Italy</w:t>
            </w:r>
          </w:p>
        </w:tc>
        <w:tc>
          <w:tcPr>
            <w:tcW w:w="627" w:type="pct"/>
            <w:shd w:val="clear" w:color="auto" w:fill="F2F2F2" w:themeFill="background1" w:themeFillShade="F2"/>
            <w:vAlign w:val="center"/>
            <w:hideMark/>
          </w:tcPr>
          <w:p w14:paraId="7E3C72CB" w14:textId="740BB9E7" w:rsidR="00FB7579" w:rsidRPr="00B716F7" w:rsidRDefault="004539FB">
            <w:pPr>
              <w:spacing w:before="0" w:after="0"/>
              <w:cnfStyle w:val="000000100000" w:firstRow="0" w:lastRow="0" w:firstColumn="0" w:lastColumn="0" w:oddVBand="0" w:evenVBand="0" w:oddHBand="1" w:evenHBand="0" w:firstRowFirstColumn="0" w:firstRowLastColumn="0" w:lastRowFirstColumn="0" w:lastRowLastColumn="0"/>
              <w:rPr>
                <w:lang w:val="en-GB"/>
              </w:rPr>
            </w:pPr>
            <w:r w:rsidRPr="00B716F7">
              <w:rPr>
                <w:lang w:val="en-GB"/>
              </w:rPr>
              <w:t>Eight</w:t>
            </w:r>
            <w:r>
              <w:rPr>
                <w:lang w:val="en-GB"/>
              </w:rPr>
              <w:t>h</w:t>
            </w:r>
          </w:p>
        </w:tc>
        <w:tc>
          <w:tcPr>
            <w:tcW w:w="626" w:type="pct"/>
            <w:shd w:val="clear" w:color="auto" w:fill="D5FFE8"/>
            <w:vAlign w:val="center"/>
            <w:hideMark/>
          </w:tcPr>
          <w:p w14:paraId="700CBFC4" w14:textId="77777777" w:rsidR="00FB7579" w:rsidRPr="00CD3611" w:rsidRDefault="00FB7579">
            <w:pPr>
              <w:spacing w:before="0" w:after="0"/>
              <w:cnfStyle w:val="000000100000" w:firstRow="0" w:lastRow="0" w:firstColumn="0" w:lastColumn="0" w:oddVBand="0" w:evenVBand="0" w:oddHBand="1" w:evenHBand="0" w:firstRowFirstColumn="0" w:firstRowLastColumn="0" w:lastRowFirstColumn="0" w:lastRowLastColumn="0"/>
              <w:rPr>
                <w:lang w:val="en-GB"/>
              </w:rPr>
            </w:pPr>
            <w:r w:rsidRPr="00CD3611">
              <w:rPr>
                <w:lang w:val="en-GB"/>
              </w:rPr>
              <w:t>Low</w:t>
            </w:r>
          </w:p>
        </w:tc>
        <w:tc>
          <w:tcPr>
            <w:tcW w:w="627" w:type="pct"/>
            <w:shd w:val="clear" w:color="auto" w:fill="D5FFE8"/>
            <w:vAlign w:val="center"/>
            <w:hideMark/>
          </w:tcPr>
          <w:p w14:paraId="3425C34E" w14:textId="77777777" w:rsidR="00FB7579" w:rsidRPr="00CD3611" w:rsidRDefault="00FB7579">
            <w:pPr>
              <w:spacing w:before="0" w:after="0"/>
              <w:cnfStyle w:val="000000100000" w:firstRow="0" w:lastRow="0" w:firstColumn="0" w:lastColumn="0" w:oddVBand="0" w:evenVBand="0" w:oddHBand="1" w:evenHBand="0" w:firstRowFirstColumn="0" w:firstRowLastColumn="0" w:lastRowFirstColumn="0" w:lastRowLastColumn="0"/>
              <w:rPr>
                <w:lang w:val="en-GB"/>
              </w:rPr>
            </w:pPr>
            <w:r w:rsidRPr="00CD3611">
              <w:rPr>
                <w:lang w:val="en-GB"/>
              </w:rPr>
              <w:t>Low</w:t>
            </w:r>
          </w:p>
        </w:tc>
        <w:tc>
          <w:tcPr>
            <w:tcW w:w="471" w:type="pct"/>
            <w:shd w:val="clear" w:color="auto" w:fill="D5FFE8"/>
            <w:vAlign w:val="center"/>
            <w:hideMark/>
          </w:tcPr>
          <w:p w14:paraId="27C25FFA" w14:textId="77777777" w:rsidR="00FB7579" w:rsidRPr="00CD3611" w:rsidRDefault="00FB7579">
            <w:pPr>
              <w:spacing w:before="0" w:after="0"/>
              <w:cnfStyle w:val="000000100000" w:firstRow="0" w:lastRow="0" w:firstColumn="0" w:lastColumn="0" w:oddVBand="0" w:evenVBand="0" w:oddHBand="1" w:evenHBand="0" w:firstRowFirstColumn="0" w:firstRowLastColumn="0" w:lastRowFirstColumn="0" w:lastRowLastColumn="0"/>
              <w:rPr>
                <w:lang w:val="en-GB"/>
              </w:rPr>
            </w:pPr>
            <w:r w:rsidRPr="00CD3611">
              <w:rPr>
                <w:lang w:val="en-GB"/>
              </w:rPr>
              <w:t>Low</w:t>
            </w:r>
          </w:p>
        </w:tc>
        <w:tc>
          <w:tcPr>
            <w:tcW w:w="706" w:type="pct"/>
            <w:shd w:val="clear" w:color="auto" w:fill="D5FFE8"/>
            <w:vAlign w:val="center"/>
            <w:hideMark/>
          </w:tcPr>
          <w:p w14:paraId="66E8CF16" w14:textId="3124A79C" w:rsidR="00FB7579" w:rsidRPr="00CD3611" w:rsidRDefault="00CD3611">
            <w:pPr>
              <w:spacing w:before="0" w:after="0"/>
              <w:cnfStyle w:val="000000100000" w:firstRow="0" w:lastRow="0" w:firstColumn="0" w:lastColumn="0" w:oddVBand="0" w:evenVBand="0" w:oddHBand="1" w:evenHBand="0" w:firstRowFirstColumn="0" w:firstRowLastColumn="0" w:lastRowFirstColumn="0" w:lastRowLastColumn="0"/>
              <w:rPr>
                <w:lang w:val="en-GB"/>
              </w:rPr>
            </w:pPr>
            <w:r w:rsidRPr="00CD3611">
              <w:rPr>
                <w:lang w:val="en-GB"/>
              </w:rPr>
              <w:t>Low</w:t>
            </w:r>
          </w:p>
        </w:tc>
        <w:tc>
          <w:tcPr>
            <w:tcW w:w="696" w:type="pct"/>
            <w:shd w:val="clear" w:color="auto" w:fill="D5FFE8"/>
            <w:vAlign w:val="center"/>
            <w:hideMark/>
          </w:tcPr>
          <w:p w14:paraId="0C5D73F5" w14:textId="11846086" w:rsidR="00FB7579" w:rsidRPr="00CD3611" w:rsidRDefault="007E69E2">
            <w:pPr>
              <w:spacing w:before="0" w:after="0"/>
              <w:cnfStyle w:val="000000100000" w:firstRow="0" w:lastRow="0" w:firstColumn="0" w:lastColumn="0" w:oddVBand="0" w:evenVBand="0" w:oddHBand="1" w:evenHBand="0" w:firstRowFirstColumn="0" w:firstRowLastColumn="0" w:lastRowFirstColumn="0" w:lastRowLastColumn="0"/>
              <w:rPr>
                <w:lang w:val="en-GB"/>
              </w:rPr>
            </w:pPr>
            <w:r w:rsidRPr="00CD3611">
              <w:rPr>
                <w:lang w:val="en-GB"/>
              </w:rPr>
              <w:t>Low</w:t>
            </w:r>
          </w:p>
        </w:tc>
      </w:tr>
      <w:tr w:rsidR="004A3355" w:rsidRPr="006D3C55" w14:paraId="323C10EF" w14:textId="77777777" w:rsidTr="00B2036E">
        <w:trPr>
          <w:cnfStyle w:val="000000010000" w:firstRow="0" w:lastRow="0" w:firstColumn="0" w:lastColumn="0" w:oddVBand="0" w:evenVBand="0" w:oddHBand="0" w:evenHBand="1" w:firstRowFirstColumn="0" w:firstRowLastColumn="0" w:lastRowFirstColumn="0" w:lastRowLastColumn="0"/>
          <w:cantSplit/>
          <w:jc w:val="center"/>
        </w:trPr>
        <w:tc>
          <w:tcPr>
            <w:cnfStyle w:val="001000000000" w:firstRow="0" w:lastRow="0" w:firstColumn="1" w:lastColumn="0" w:oddVBand="0" w:evenVBand="0" w:oddHBand="0" w:evenHBand="0" w:firstRowFirstColumn="0" w:firstRowLastColumn="0" w:lastRowFirstColumn="0" w:lastRowLastColumn="0"/>
            <w:tcW w:w="1247" w:type="pct"/>
            <w:shd w:val="clear" w:color="auto" w:fill="FFFFFF" w:themeFill="background1"/>
            <w:vAlign w:val="center"/>
            <w:hideMark/>
          </w:tcPr>
          <w:p w14:paraId="55314988" w14:textId="59826E16" w:rsidR="00FB7579" w:rsidRPr="008114B1" w:rsidRDefault="00FB7579">
            <w:pPr>
              <w:spacing w:before="0" w:after="0"/>
              <w:rPr>
                <w:lang w:val="en-GB"/>
              </w:rPr>
            </w:pPr>
            <w:r w:rsidRPr="008114B1">
              <w:rPr>
                <w:noProof/>
              </w:rPr>
              <w:drawing>
                <wp:inline distT="0" distB="0" distL="0" distR="0" wp14:anchorId="022BB230" wp14:editId="54878E0A">
                  <wp:extent cx="146685" cy="146685"/>
                  <wp:effectExtent l="0" t="0" r="5715" b="5715"/>
                  <wp:docPr id="1358639938" name="Picture 1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8639938" name="Picture 16">
                            <a:extLst>
                              <a:ext uri="{C183D7F6-B498-43B3-948B-1728B52AA6E4}">
                                <adec:decorative xmlns:adec="http://schemas.microsoft.com/office/drawing/2017/decorative" val="1"/>
                              </a:ext>
                            </a:extLst>
                          </pic:cNvPr>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146685" cy="146685"/>
                          </a:xfrm>
                          <a:prstGeom prst="rect">
                            <a:avLst/>
                          </a:prstGeom>
                          <a:noFill/>
                          <a:ln>
                            <a:noFill/>
                          </a:ln>
                        </pic:spPr>
                      </pic:pic>
                    </a:graphicData>
                  </a:graphic>
                </wp:inline>
              </w:drawing>
            </w:r>
            <w:r w:rsidRPr="008114B1">
              <w:rPr>
                <w:lang w:val="en-GB"/>
              </w:rPr>
              <w:t>Cyprus</w:t>
            </w:r>
          </w:p>
        </w:tc>
        <w:tc>
          <w:tcPr>
            <w:tcW w:w="627" w:type="pct"/>
            <w:shd w:val="clear" w:color="auto" w:fill="FFFFFF" w:themeFill="background1"/>
            <w:vAlign w:val="center"/>
            <w:hideMark/>
          </w:tcPr>
          <w:p w14:paraId="5EDEC93C" w14:textId="77777777" w:rsidR="00FB7579" w:rsidRPr="008114B1" w:rsidRDefault="00FB7579">
            <w:pPr>
              <w:spacing w:before="0" w:after="0"/>
              <w:cnfStyle w:val="000000010000" w:firstRow="0" w:lastRow="0" w:firstColumn="0" w:lastColumn="0" w:oddVBand="0" w:evenVBand="0" w:oddHBand="0" w:evenHBand="1" w:firstRowFirstColumn="0" w:firstRowLastColumn="0" w:lastRowFirstColumn="0" w:lastRowLastColumn="0"/>
              <w:rPr>
                <w:lang w:val="en-GB"/>
              </w:rPr>
            </w:pPr>
            <w:r w:rsidRPr="008114B1">
              <w:rPr>
                <w:lang w:val="en-GB"/>
              </w:rPr>
              <w:t>Second</w:t>
            </w:r>
          </w:p>
        </w:tc>
        <w:tc>
          <w:tcPr>
            <w:tcW w:w="626" w:type="pct"/>
            <w:shd w:val="clear" w:color="auto" w:fill="D5FFE8"/>
            <w:vAlign w:val="center"/>
            <w:hideMark/>
          </w:tcPr>
          <w:p w14:paraId="23DAF30B" w14:textId="77777777" w:rsidR="00FB7579" w:rsidRPr="008114B1" w:rsidRDefault="00FB7579">
            <w:pPr>
              <w:spacing w:before="0" w:after="0"/>
              <w:cnfStyle w:val="000000010000" w:firstRow="0" w:lastRow="0" w:firstColumn="0" w:lastColumn="0" w:oddVBand="0" w:evenVBand="0" w:oddHBand="0" w:evenHBand="1" w:firstRowFirstColumn="0" w:firstRowLastColumn="0" w:lastRowFirstColumn="0" w:lastRowLastColumn="0"/>
              <w:rPr>
                <w:lang w:val="en-GB"/>
              </w:rPr>
            </w:pPr>
            <w:r w:rsidRPr="008114B1">
              <w:rPr>
                <w:lang w:val="en-GB"/>
              </w:rPr>
              <w:t>Low</w:t>
            </w:r>
          </w:p>
        </w:tc>
        <w:tc>
          <w:tcPr>
            <w:tcW w:w="627" w:type="pct"/>
            <w:shd w:val="clear" w:color="auto" w:fill="D5FFE8"/>
            <w:vAlign w:val="center"/>
            <w:hideMark/>
          </w:tcPr>
          <w:p w14:paraId="21AAA438" w14:textId="77777777" w:rsidR="00FB7579" w:rsidRPr="008114B1" w:rsidRDefault="00FB7579">
            <w:pPr>
              <w:spacing w:before="0" w:after="0"/>
              <w:cnfStyle w:val="000000010000" w:firstRow="0" w:lastRow="0" w:firstColumn="0" w:lastColumn="0" w:oddVBand="0" w:evenVBand="0" w:oddHBand="0" w:evenHBand="1" w:firstRowFirstColumn="0" w:firstRowLastColumn="0" w:lastRowFirstColumn="0" w:lastRowLastColumn="0"/>
              <w:rPr>
                <w:lang w:val="en-GB"/>
              </w:rPr>
            </w:pPr>
            <w:r w:rsidRPr="008114B1">
              <w:rPr>
                <w:lang w:val="en-GB"/>
              </w:rPr>
              <w:t>Low</w:t>
            </w:r>
          </w:p>
        </w:tc>
        <w:tc>
          <w:tcPr>
            <w:tcW w:w="471" w:type="pct"/>
            <w:shd w:val="clear" w:color="auto" w:fill="D5FFE8"/>
            <w:vAlign w:val="center"/>
            <w:hideMark/>
          </w:tcPr>
          <w:p w14:paraId="2A6ACD2A" w14:textId="77777777" w:rsidR="00FB7579" w:rsidRPr="008114B1" w:rsidRDefault="00FB7579">
            <w:pPr>
              <w:spacing w:before="0" w:after="0"/>
              <w:cnfStyle w:val="000000010000" w:firstRow="0" w:lastRow="0" w:firstColumn="0" w:lastColumn="0" w:oddVBand="0" w:evenVBand="0" w:oddHBand="0" w:evenHBand="1" w:firstRowFirstColumn="0" w:firstRowLastColumn="0" w:lastRowFirstColumn="0" w:lastRowLastColumn="0"/>
              <w:rPr>
                <w:lang w:val="en-GB"/>
              </w:rPr>
            </w:pPr>
            <w:r w:rsidRPr="008114B1">
              <w:rPr>
                <w:lang w:val="en-GB"/>
              </w:rPr>
              <w:t>Low</w:t>
            </w:r>
          </w:p>
        </w:tc>
        <w:tc>
          <w:tcPr>
            <w:tcW w:w="706" w:type="pct"/>
            <w:shd w:val="clear" w:color="auto" w:fill="D5FFE8"/>
            <w:vAlign w:val="center"/>
            <w:hideMark/>
          </w:tcPr>
          <w:p w14:paraId="5E4D8F69" w14:textId="77777777" w:rsidR="00FB7579" w:rsidRPr="008114B1" w:rsidRDefault="00FB7579">
            <w:pPr>
              <w:spacing w:before="0" w:after="0"/>
              <w:cnfStyle w:val="000000010000" w:firstRow="0" w:lastRow="0" w:firstColumn="0" w:lastColumn="0" w:oddVBand="0" w:evenVBand="0" w:oddHBand="0" w:evenHBand="1" w:firstRowFirstColumn="0" w:firstRowLastColumn="0" w:lastRowFirstColumn="0" w:lastRowLastColumn="0"/>
              <w:rPr>
                <w:lang w:val="en-GB"/>
              </w:rPr>
            </w:pPr>
            <w:r w:rsidRPr="008114B1">
              <w:rPr>
                <w:lang w:val="en-GB"/>
              </w:rPr>
              <w:t>Low</w:t>
            </w:r>
          </w:p>
        </w:tc>
        <w:tc>
          <w:tcPr>
            <w:tcW w:w="696" w:type="pct"/>
            <w:shd w:val="clear" w:color="auto" w:fill="D5FFE8"/>
            <w:vAlign w:val="center"/>
            <w:hideMark/>
          </w:tcPr>
          <w:p w14:paraId="6083901A" w14:textId="77777777" w:rsidR="00FB7579" w:rsidRPr="008114B1" w:rsidRDefault="00FB7579">
            <w:pPr>
              <w:spacing w:before="0" w:after="0"/>
              <w:cnfStyle w:val="000000010000" w:firstRow="0" w:lastRow="0" w:firstColumn="0" w:lastColumn="0" w:oddVBand="0" w:evenVBand="0" w:oddHBand="0" w:evenHBand="1" w:firstRowFirstColumn="0" w:firstRowLastColumn="0" w:lastRowFirstColumn="0" w:lastRowLastColumn="0"/>
              <w:rPr>
                <w:lang w:val="en-GB"/>
              </w:rPr>
            </w:pPr>
            <w:r w:rsidRPr="008114B1">
              <w:rPr>
                <w:lang w:val="en-GB"/>
              </w:rPr>
              <w:t>Low</w:t>
            </w:r>
          </w:p>
        </w:tc>
      </w:tr>
      <w:tr w:rsidR="004A3355" w:rsidRPr="006D3C55" w14:paraId="2750C98E" w14:textId="77777777" w:rsidTr="00B2036E">
        <w:trPr>
          <w:cnfStyle w:val="000000100000" w:firstRow="0" w:lastRow="0" w:firstColumn="0" w:lastColumn="0" w:oddVBand="0" w:evenVBand="0" w:oddHBand="1" w:evenHBand="0" w:firstRowFirstColumn="0" w:firstRowLastColumn="0" w:lastRowFirstColumn="0" w:lastRowLastColumn="0"/>
          <w:cantSplit/>
          <w:jc w:val="center"/>
        </w:trPr>
        <w:tc>
          <w:tcPr>
            <w:cnfStyle w:val="001000000000" w:firstRow="0" w:lastRow="0" w:firstColumn="1" w:lastColumn="0" w:oddVBand="0" w:evenVBand="0" w:oddHBand="0" w:evenHBand="0" w:firstRowFirstColumn="0" w:firstRowLastColumn="0" w:lastRowFirstColumn="0" w:lastRowLastColumn="0"/>
            <w:tcW w:w="1247" w:type="pct"/>
            <w:shd w:val="clear" w:color="auto" w:fill="FFFFFF" w:themeFill="background1"/>
            <w:vAlign w:val="center"/>
          </w:tcPr>
          <w:p w14:paraId="4D9229C3" w14:textId="2221EA74" w:rsidR="00D3223B" w:rsidRPr="008114B1" w:rsidRDefault="00D3223B" w:rsidP="00D3223B">
            <w:pPr>
              <w:spacing w:before="0" w:after="0"/>
              <w:rPr>
                <w:noProof/>
              </w:rPr>
            </w:pPr>
            <w:r w:rsidRPr="008114B1">
              <w:rPr>
                <w:noProof/>
              </w:rPr>
              <w:drawing>
                <wp:inline distT="0" distB="0" distL="0" distR="0" wp14:anchorId="0258E1A9" wp14:editId="6F60FC22">
                  <wp:extent cx="146685" cy="146685"/>
                  <wp:effectExtent l="0" t="0" r="5715" b="5715"/>
                  <wp:docPr id="582101100" name="Picture 1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2101100" name="Picture 16">
                            <a:extLst>
                              <a:ext uri="{C183D7F6-B498-43B3-948B-1728B52AA6E4}">
                                <adec:decorative xmlns:adec="http://schemas.microsoft.com/office/drawing/2017/decorative" val="1"/>
                              </a:ext>
                            </a:extLst>
                          </pic:cNvPr>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146685" cy="146685"/>
                          </a:xfrm>
                          <a:prstGeom prst="rect">
                            <a:avLst/>
                          </a:prstGeom>
                          <a:noFill/>
                          <a:ln>
                            <a:noFill/>
                          </a:ln>
                        </pic:spPr>
                      </pic:pic>
                    </a:graphicData>
                  </a:graphic>
                </wp:inline>
              </w:drawing>
            </w:r>
            <w:r w:rsidRPr="008114B1">
              <w:rPr>
                <w:lang w:val="en-GB"/>
              </w:rPr>
              <w:t>Cyprus</w:t>
            </w:r>
          </w:p>
        </w:tc>
        <w:tc>
          <w:tcPr>
            <w:tcW w:w="627" w:type="pct"/>
            <w:shd w:val="clear" w:color="auto" w:fill="FFFFFF" w:themeFill="background1"/>
            <w:vAlign w:val="center"/>
          </w:tcPr>
          <w:p w14:paraId="7B590430" w14:textId="63520C12" w:rsidR="00D3223B" w:rsidRPr="008114B1" w:rsidRDefault="00D3223B" w:rsidP="00D3223B">
            <w:pPr>
              <w:spacing w:before="0" w:after="0"/>
              <w:cnfStyle w:val="000000100000" w:firstRow="0" w:lastRow="0" w:firstColumn="0" w:lastColumn="0" w:oddVBand="0" w:evenVBand="0" w:oddHBand="1" w:evenHBand="0" w:firstRowFirstColumn="0" w:firstRowLastColumn="0" w:lastRowFirstColumn="0" w:lastRowLastColumn="0"/>
            </w:pPr>
            <w:r w:rsidRPr="008114B1">
              <w:rPr>
                <w:lang w:val="en-GB"/>
              </w:rPr>
              <w:t>Third</w:t>
            </w:r>
          </w:p>
        </w:tc>
        <w:tc>
          <w:tcPr>
            <w:tcW w:w="626" w:type="pct"/>
            <w:shd w:val="clear" w:color="auto" w:fill="D5FFE8"/>
            <w:vAlign w:val="center"/>
          </w:tcPr>
          <w:p w14:paraId="2102AA4A" w14:textId="122CB513" w:rsidR="00D3223B" w:rsidRPr="008114B1" w:rsidRDefault="00D3223B" w:rsidP="00D3223B">
            <w:pPr>
              <w:spacing w:before="0" w:after="0"/>
              <w:cnfStyle w:val="000000100000" w:firstRow="0" w:lastRow="0" w:firstColumn="0" w:lastColumn="0" w:oddVBand="0" w:evenVBand="0" w:oddHBand="1" w:evenHBand="0" w:firstRowFirstColumn="0" w:firstRowLastColumn="0" w:lastRowFirstColumn="0" w:lastRowLastColumn="0"/>
            </w:pPr>
            <w:r w:rsidRPr="008114B1">
              <w:rPr>
                <w:lang w:val="en-GB"/>
              </w:rPr>
              <w:t>Low</w:t>
            </w:r>
          </w:p>
        </w:tc>
        <w:tc>
          <w:tcPr>
            <w:tcW w:w="627" w:type="pct"/>
            <w:shd w:val="clear" w:color="auto" w:fill="D5FFE8"/>
            <w:vAlign w:val="center"/>
          </w:tcPr>
          <w:p w14:paraId="7E4B8E4E" w14:textId="582B552B" w:rsidR="00D3223B" w:rsidRPr="008114B1" w:rsidRDefault="00D3223B" w:rsidP="00D3223B">
            <w:pPr>
              <w:spacing w:before="0" w:after="0"/>
              <w:cnfStyle w:val="000000100000" w:firstRow="0" w:lastRow="0" w:firstColumn="0" w:lastColumn="0" w:oddVBand="0" w:evenVBand="0" w:oddHBand="1" w:evenHBand="0" w:firstRowFirstColumn="0" w:firstRowLastColumn="0" w:lastRowFirstColumn="0" w:lastRowLastColumn="0"/>
            </w:pPr>
            <w:r w:rsidRPr="008114B1">
              <w:rPr>
                <w:lang w:val="en-GB"/>
              </w:rPr>
              <w:t>Low</w:t>
            </w:r>
          </w:p>
        </w:tc>
        <w:tc>
          <w:tcPr>
            <w:tcW w:w="471" w:type="pct"/>
            <w:shd w:val="clear" w:color="auto" w:fill="D5FFE8"/>
            <w:vAlign w:val="center"/>
          </w:tcPr>
          <w:p w14:paraId="339F33BB" w14:textId="116F4677" w:rsidR="00D3223B" w:rsidRPr="008114B1" w:rsidRDefault="00D3223B" w:rsidP="00D3223B">
            <w:pPr>
              <w:spacing w:before="0" w:after="0"/>
              <w:cnfStyle w:val="000000100000" w:firstRow="0" w:lastRow="0" w:firstColumn="0" w:lastColumn="0" w:oddVBand="0" w:evenVBand="0" w:oddHBand="1" w:evenHBand="0" w:firstRowFirstColumn="0" w:firstRowLastColumn="0" w:lastRowFirstColumn="0" w:lastRowLastColumn="0"/>
            </w:pPr>
            <w:r w:rsidRPr="008114B1">
              <w:rPr>
                <w:lang w:val="en-GB"/>
              </w:rPr>
              <w:t>Low</w:t>
            </w:r>
          </w:p>
        </w:tc>
        <w:tc>
          <w:tcPr>
            <w:tcW w:w="706" w:type="pct"/>
            <w:shd w:val="clear" w:color="auto" w:fill="D5FFE8"/>
            <w:vAlign w:val="center"/>
          </w:tcPr>
          <w:p w14:paraId="7D906E43" w14:textId="74EEEFA9" w:rsidR="00D3223B" w:rsidRPr="008114B1" w:rsidRDefault="00D3223B" w:rsidP="00D3223B">
            <w:pPr>
              <w:spacing w:before="0" w:after="0"/>
              <w:cnfStyle w:val="000000100000" w:firstRow="0" w:lastRow="0" w:firstColumn="0" w:lastColumn="0" w:oddVBand="0" w:evenVBand="0" w:oddHBand="1" w:evenHBand="0" w:firstRowFirstColumn="0" w:firstRowLastColumn="0" w:lastRowFirstColumn="0" w:lastRowLastColumn="0"/>
            </w:pPr>
            <w:r w:rsidRPr="008114B1">
              <w:rPr>
                <w:lang w:val="en-GB"/>
              </w:rPr>
              <w:t>Low</w:t>
            </w:r>
          </w:p>
        </w:tc>
        <w:tc>
          <w:tcPr>
            <w:tcW w:w="696" w:type="pct"/>
            <w:shd w:val="clear" w:color="auto" w:fill="D5FFE8"/>
            <w:vAlign w:val="center"/>
          </w:tcPr>
          <w:p w14:paraId="28E2FEAC" w14:textId="0D6D1B96" w:rsidR="00D3223B" w:rsidRPr="008114B1" w:rsidRDefault="00D3223B" w:rsidP="00D3223B">
            <w:pPr>
              <w:spacing w:before="0" w:after="0"/>
              <w:cnfStyle w:val="000000100000" w:firstRow="0" w:lastRow="0" w:firstColumn="0" w:lastColumn="0" w:oddVBand="0" w:evenVBand="0" w:oddHBand="1" w:evenHBand="0" w:firstRowFirstColumn="0" w:firstRowLastColumn="0" w:lastRowFirstColumn="0" w:lastRowLastColumn="0"/>
            </w:pPr>
            <w:r w:rsidRPr="008114B1">
              <w:rPr>
                <w:lang w:val="en-GB"/>
              </w:rPr>
              <w:t>Low</w:t>
            </w:r>
          </w:p>
        </w:tc>
      </w:tr>
      <w:tr w:rsidR="004A3355" w:rsidRPr="006D3C55" w14:paraId="135721FC" w14:textId="77777777" w:rsidTr="00B2036E">
        <w:trPr>
          <w:cnfStyle w:val="000000010000" w:firstRow="0" w:lastRow="0" w:firstColumn="0" w:lastColumn="0" w:oddVBand="0" w:evenVBand="0" w:oddHBand="0" w:evenHBand="1" w:firstRowFirstColumn="0" w:firstRowLastColumn="0" w:lastRowFirstColumn="0" w:lastRowLastColumn="0"/>
          <w:cantSplit/>
          <w:jc w:val="center"/>
        </w:trPr>
        <w:tc>
          <w:tcPr>
            <w:cnfStyle w:val="001000000000" w:firstRow="0" w:lastRow="0" w:firstColumn="1" w:lastColumn="0" w:oddVBand="0" w:evenVBand="0" w:oddHBand="0" w:evenHBand="0" w:firstRowFirstColumn="0" w:firstRowLastColumn="0" w:lastRowFirstColumn="0" w:lastRowLastColumn="0"/>
            <w:tcW w:w="1247" w:type="pct"/>
            <w:shd w:val="clear" w:color="auto" w:fill="FFFFFF" w:themeFill="background1"/>
            <w:vAlign w:val="center"/>
          </w:tcPr>
          <w:p w14:paraId="27A62F5D" w14:textId="2553A14A" w:rsidR="00D3223B" w:rsidRPr="008114B1" w:rsidRDefault="00D3223B" w:rsidP="00D3223B">
            <w:pPr>
              <w:spacing w:before="0" w:after="0"/>
              <w:rPr>
                <w:noProof/>
              </w:rPr>
            </w:pPr>
            <w:r w:rsidRPr="008114B1">
              <w:rPr>
                <w:noProof/>
              </w:rPr>
              <w:drawing>
                <wp:inline distT="0" distB="0" distL="0" distR="0" wp14:anchorId="3B3C2172" wp14:editId="76B590C5">
                  <wp:extent cx="146685" cy="146685"/>
                  <wp:effectExtent l="0" t="0" r="5715" b="5715"/>
                  <wp:docPr id="685629641" name="Picture 1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5629641" name="Picture 16">
                            <a:extLst>
                              <a:ext uri="{C183D7F6-B498-43B3-948B-1728B52AA6E4}">
                                <adec:decorative xmlns:adec="http://schemas.microsoft.com/office/drawing/2017/decorative" val="1"/>
                              </a:ext>
                            </a:extLst>
                          </pic:cNvPr>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146685" cy="146685"/>
                          </a:xfrm>
                          <a:prstGeom prst="rect">
                            <a:avLst/>
                          </a:prstGeom>
                          <a:noFill/>
                          <a:ln>
                            <a:noFill/>
                          </a:ln>
                        </pic:spPr>
                      </pic:pic>
                    </a:graphicData>
                  </a:graphic>
                </wp:inline>
              </w:drawing>
            </w:r>
            <w:r w:rsidRPr="008114B1">
              <w:rPr>
                <w:lang w:val="en-GB"/>
              </w:rPr>
              <w:t>Cyprus</w:t>
            </w:r>
          </w:p>
        </w:tc>
        <w:tc>
          <w:tcPr>
            <w:tcW w:w="627" w:type="pct"/>
            <w:shd w:val="clear" w:color="auto" w:fill="FFFFFF" w:themeFill="background1"/>
            <w:vAlign w:val="center"/>
          </w:tcPr>
          <w:p w14:paraId="2D73C46C" w14:textId="50B41057" w:rsidR="00D3223B" w:rsidRPr="008114B1" w:rsidRDefault="00D3223B" w:rsidP="00D3223B">
            <w:pPr>
              <w:spacing w:before="0" w:after="0"/>
              <w:cnfStyle w:val="000000010000" w:firstRow="0" w:lastRow="0" w:firstColumn="0" w:lastColumn="0" w:oddVBand="0" w:evenVBand="0" w:oddHBand="0" w:evenHBand="1" w:firstRowFirstColumn="0" w:firstRowLastColumn="0" w:lastRowFirstColumn="0" w:lastRowLastColumn="0"/>
            </w:pPr>
            <w:r w:rsidRPr="008114B1">
              <w:rPr>
                <w:lang w:val="en-GB"/>
              </w:rPr>
              <w:t>Fourth</w:t>
            </w:r>
          </w:p>
        </w:tc>
        <w:tc>
          <w:tcPr>
            <w:tcW w:w="626" w:type="pct"/>
            <w:shd w:val="clear" w:color="auto" w:fill="D5FFE8"/>
            <w:vAlign w:val="center"/>
          </w:tcPr>
          <w:p w14:paraId="4D434192" w14:textId="01357407" w:rsidR="00D3223B" w:rsidRPr="008114B1" w:rsidRDefault="00D3223B" w:rsidP="00D3223B">
            <w:pPr>
              <w:spacing w:before="0" w:after="0"/>
              <w:cnfStyle w:val="000000010000" w:firstRow="0" w:lastRow="0" w:firstColumn="0" w:lastColumn="0" w:oddVBand="0" w:evenVBand="0" w:oddHBand="0" w:evenHBand="1" w:firstRowFirstColumn="0" w:firstRowLastColumn="0" w:lastRowFirstColumn="0" w:lastRowLastColumn="0"/>
            </w:pPr>
            <w:r w:rsidRPr="008114B1">
              <w:rPr>
                <w:lang w:val="en-GB"/>
              </w:rPr>
              <w:t>Low</w:t>
            </w:r>
          </w:p>
        </w:tc>
        <w:tc>
          <w:tcPr>
            <w:tcW w:w="627" w:type="pct"/>
            <w:shd w:val="clear" w:color="auto" w:fill="D5FFE8"/>
            <w:vAlign w:val="center"/>
          </w:tcPr>
          <w:p w14:paraId="28374BD1" w14:textId="7AB0EE95" w:rsidR="00D3223B" w:rsidRPr="008114B1" w:rsidRDefault="00D3223B" w:rsidP="00D3223B">
            <w:pPr>
              <w:spacing w:before="0" w:after="0"/>
              <w:cnfStyle w:val="000000010000" w:firstRow="0" w:lastRow="0" w:firstColumn="0" w:lastColumn="0" w:oddVBand="0" w:evenVBand="0" w:oddHBand="0" w:evenHBand="1" w:firstRowFirstColumn="0" w:firstRowLastColumn="0" w:lastRowFirstColumn="0" w:lastRowLastColumn="0"/>
            </w:pPr>
            <w:r w:rsidRPr="008114B1">
              <w:rPr>
                <w:lang w:val="en-GB"/>
              </w:rPr>
              <w:t>Low</w:t>
            </w:r>
          </w:p>
        </w:tc>
        <w:tc>
          <w:tcPr>
            <w:tcW w:w="471" w:type="pct"/>
            <w:shd w:val="clear" w:color="auto" w:fill="D5FFE8"/>
            <w:vAlign w:val="center"/>
          </w:tcPr>
          <w:p w14:paraId="6C64593B" w14:textId="70BDB340" w:rsidR="00D3223B" w:rsidRPr="008114B1" w:rsidRDefault="00D3223B" w:rsidP="00D3223B">
            <w:pPr>
              <w:spacing w:before="0" w:after="0"/>
              <w:cnfStyle w:val="000000010000" w:firstRow="0" w:lastRow="0" w:firstColumn="0" w:lastColumn="0" w:oddVBand="0" w:evenVBand="0" w:oddHBand="0" w:evenHBand="1" w:firstRowFirstColumn="0" w:firstRowLastColumn="0" w:lastRowFirstColumn="0" w:lastRowLastColumn="0"/>
            </w:pPr>
            <w:r w:rsidRPr="008114B1">
              <w:rPr>
                <w:lang w:val="en-GB"/>
              </w:rPr>
              <w:t>Low</w:t>
            </w:r>
          </w:p>
        </w:tc>
        <w:tc>
          <w:tcPr>
            <w:tcW w:w="706" w:type="pct"/>
            <w:shd w:val="clear" w:color="auto" w:fill="D5FFE8"/>
            <w:vAlign w:val="center"/>
          </w:tcPr>
          <w:p w14:paraId="60C01123" w14:textId="3892A3FF" w:rsidR="00D3223B" w:rsidRPr="008114B1" w:rsidRDefault="00D3223B" w:rsidP="00D3223B">
            <w:pPr>
              <w:spacing w:before="0" w:after="0"/>
              <w:cnfStyle w:val="000000010000" w:firstRow="0" w:lastRow="0" w:firstColumn="0" w:lastColumn="0" w:oddVBand="0" w:evenVBand="0" w:oddHBand="0" w:evenHBand="1" w:firstRowFirstColumn="0" w:firstRowLastColumn="0" w:lastRowFirstColumn="0" w:lastRowLastColumn="0"/>
            </w:pPr>
            <w:r w:rsidRPr="008114B1">
              <w:rPr>
                <w:lang w:val="en-GB"/>
              </w:rPr>
              <w:t>Low</w:t>
            </w:r>
          </w:p>
        </w:tc>
        <w:tc>
          <w:tcPr>
            <w:tcW w:w="696" w:type="pct"/>
            <w:shd w:val="clear" w:color="auto" w:fill="D5FFE8"/>
            <w:vAlign w:val="center"/>
          </w:tcPr>
          <w:p w14:paraId="435E4A59" w14:textId="6CAA5051" w:rsidR="00D3223B" w:rsidRPr="008114B1" w:rsidRDefault="00D3223B" w:rsidP="00D3223B">
            <w:pPr>
              <w:spacing w:before="0" w:after="0"/>
              <w:cnfStyle w:val="000000010000" w:firstRow="0" w:lastRow="0" w:firstColumn="0" w:lastColumn="0" w:oddVBand="0" w:evenVBand="0" w:oddHBand="0" w:evenHBand="1" w:firstRowFirstColumn="0" w:firstRowLastColumn="0" w:lastRowFirstColumn="0" w:lastRowLastColumn="0"/>
            </w:pPr>
            <w:r w:rsidRPr="008114B1">
              <w:rPr>
                <w:lang w:val="en-GB"/>
              </w:rPr>
              <w:t>Low</w:t>
            </w:r>
          </w:p>
        </w:tc>
      </w:tr>
      <w:tr w:rsidR="00820AA9" w:rsidRPr="006D3C55" w14:paraId="7F54679F" w14:textId="77777777" w:rsidTr="00B2036E">
        <w:trPr>
          <w:cnfStyle w:val="000000100000" w:firstRow="0" w:lastRow="0" w:firstColumn="0" w:lastColumn="0" w:oddVBand="0" w:evenVBand="0" w:oddHBand="1" w:evenHBand="0" w:firstRowFirstColumn="0" w:firstRowLastColumn="0" w:lastRowFirstColumn="0" w:lastRowLastColumn="0"/>
          <w:cantSplit/>
          <w:jc w:val="center"/>
        </w:trPr>
        <w:tc>
          <w:tcPr>
            <w:cnfStyle w:val="001000000000" w:firstRow="0" w:lastRow="0" w:firstColumn="1" w:lastColumn="0" w:oddVBand="0" w:evenVBand="0" w:oddHBand="0" w:evenHBand="0" w:firstRowFirstColumn="0" w:firstRowLastColumn="0" w:lastRowFirstColumn="0" w:lastRowLastColumn="0"/>
            <w:tcW w:w="1247" w:type="pct"/>
            <w:shd w:val="clear" w:color="auto" w:fill="F2F2F2" w:themeFill="background1" w:themeFillShade="F2"/>
            <w:vAlign w:val="center"/>
            <w:hideMark/>
          </w:tcPr>
          <w:p w14:paraId="45627259" w14:textId="0CAA4E0E" w:rsidR="00FB7579" w:rsidRPr="00814544" w:rsidRDefault="00FB7579">
            <w:pPr>
              <w:spacing w:before="0" w:after="0"/>
              <w:rPr>
                <w:lang w:val="en-GB"/>
              </w:rPr>
            </w:pPr>
            <w:r w:rsidRPr="00814544">
              <w:rPr>
                <w:noProof/>
              </w:rPr>
              <w:drawing>
                <wp:inline distT="0" distB="0" distL="0" distR="0" wp14:anchorId="2C72DC3B" wp14:editId="2E7FCF7A">
                  <wp:extent cx="146685" cy="129540"/>
                  <wp:effectExtent l="0" t="0" r="5715" b="3810"/>
                  <wp:docPr id="1969353720" name="Picture 1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9353720" name="Picture 15">
                            <a:extLst>
                              <a:ext uri="{C183D7F6-B498-43B3-948B-1728B52AA6E4}">
                                <adec:decorative xmlns:adec="http://schemas.microsoft.com/office/drawing/2017/decorative" val="1"/>
                              </a:ext>
                            </a:extLst>
                          </pic:cNvPr>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146685" cy="129540"/>
                          </a:xfrm>
                          <a:prstGeom prst="rect">
                            <a:avLst/>
                          </a:prstGeom>
                          <a:noFill/>
                          <a:ln>
                            <a:noFill/>
                          </a:ln>
                        </pic:spPr>
                      </pic:pic>
                    </a:graphicData>
                  </a:graphic>
                </wp:inline>
              </w:drawing>
            </w:r>
            <w:r w:rsidRPr="00814544">
              <w:rPr>
                <w:lang w:val="en-GB"/>
              </w:rPr>
              <w:t xml:space="preserve"> Latvia</w:t>
            </w:r>
          </w:p>
        </w:tc>
        <w:tc>
          <w:tcPr>
            <w:tcW w:w="627" w:type="pct"/>
            <w:shd w:val="clear" w:color="auto" w:fill="F2F2F2" w:themeFill="background1" w:themeFillShade="F2"/>
            <w:vAlign w:val="center"/>
            <w:hideMark/>
          </w:tcPr>
          <w:p w14:paraId="6CC98BC8" w14:textId="726CF176" w:rsidR="00FB7579" w:rsidRPr="00814544" w:rsidRDefault="00814544">
            <w:pPr>
              <w:spacing w:before="0" w:after="0"/>
              <w:cnfStyle w:val="000000100000" w:firstRow="0" w:lastRow="0" w:firstColumn="0" w:lastColumn="0" w:oddVBand="0" w:evenVBand="0" w:oddHBand="1" w:evenHBand="0" w:firstRowFirstColumn="0" w:firstRowLastColumn="0" w:lastRowFirstColumn="0" w:lastRowLastColumn="0"/>
              <w:rPr>
                <w:lang w:val="en-GB"/>
              </w:rPr>
            </w:pPr>
            <w:r w:rsidRPr="00814544">
              <w:rPr>
                <w:lang w:val="en-GB"/>
              </w:rPr>
              <w:t>Third</w:t>
            </w:r>
          </w:p>
        </w:tc>
        <w:tc>
          <w:tcPr>
            <w:tcW w:w="626" w:type="pct"/>
            <w:shd w:val="clear" w:color="auto" w:fill="D5FFE8"/>
            <w:vAlign w:val="center"/>
            <w:hideMark/>
          </w:tcPr>
          <w:p w14:paraId="0B04747E" w14:textId="77777777" w:rsidR="00FB7579" w:rsidRPr="00814544" w:rsidRDefault="00FB7579">
            <w:pPr>
              <w:spacing w:before="0" w:after="0"/>
              <w:cnfStyle w:val="000000100000" w:firstRow="0" w:lastRow="0" w:firstColumn="0" w:lastColumn="0" w:oddVBand="0" w:evenVBand="0" w:oddHBand="1" w:evenHBand="0" w:firstRowFirstColumn="0" w:firstRowLastColumn="0" w:lastRowFirstColumn="0" w:lastRowLastColumn="0"/>
              <w:rPr>
                <w:lang w:val="en-GB"/>
              </w:rPr>
            </w:pPr>
            <w:r w:rsidRPr="00814544">
              <w:rPr>
                <w:lang w:val="en-GB"/>
              </w:rPr>
              <w:t>Low</w:t>
            </w:r>
          </w:p>
        </w:tc>
        <w:tc>
          <w:tcPr>
            <w:tcW w:w="627" w:type="pct"/>
            <w:shd w:val="clear" w:color="auto" w:fill="D5FFE8"/>
            <w:vAlign w:val="center"/>
            <w:hideMark/>
          </w:tcPr>
          <w:p w14:paraId="44F5AA90" w14:textId="77777777" w:rsidR="00FB7579" w:rsidRPr="00814544" w:rsidRDefault="00FB7579">
            <w:pPr>
              <w:spacing w:before="0" w:after="0"/>
              <w:cnfStyle w:val="000000100000" w:firstRow="0" w:lastRow="0" w:firstColumn="0" w:lastColumn="0" w:oddVBand="0" w:evenVBand="0" w:oddHBand="1" w:evenHBand="0" w:firstRowFirstColumn="0" w:firstRowLastColumn="0" w:lastRowFirstColumn="0" w:lastRowLastColumn="0"/>
              <w:rPr>
                <w:lang w:val="en-GB"/>
              </w:rPr>
            </w:pPr>
            <w:r w:rsidRPr="00814544">
              <w:rPr>
                <w:lang w:val="en-GB"/>
              </w:rPr>
              <w:t>Low</w:t>
            </w:r>
          </w:p>
        </w:tc>
        <w:tc>
          <w:tcPr>
            <w:tcW w:w="471" w:type="pct"/>
            <w:shd w:val="clear" w:color="auto" w:fill="D5FFE8"/>
            <w:vAlign w:val="center"/>
            <w:hideMark/>
          </w:tcPr>
          <w:p w14:paraId="1F9D3746" w14:textId="77777777" w:rsidR="00FB7579" w:rsidRPr="00814544" w:rsidRDefault="00FB7579">
            <w:pPr>
              <w:spacing w:before="0" w:after="0"/>
              <w:cnfStyle w:val="000000100000" w:firstRow="0" w:lastRow="0" w:firstColumn="0" w:lastColumn="0" w:oddVBand="0" w:evenVBand="0" w:oddHBand="1" w:evenHBand="0" w:firstRowFirstColumn="0" w:firstRowLastColumn="0" w:lastRowFirstColumn="0" w:lastRowLastColumn="0"/>
              <w:rPr>
                <w:lang w:val="en-GB"/>
              </w:rPr>
            </w:pPr>
            <w:r w:rsidRPr="00814544">
              <w:rPr>
                <w:lang w:val="en-GB"/>
              </w:rPr>
              <w:t>Low</w:t>
            </w:r>
          </w:p>
        </w:tc>
        <w:tc>
          <w:tcPr>
            <w:tcW w:w="706" w:type="pct"/>
            <w:shd w:val="clear" w:color="auto" w:fill="D5FFE8"/>
            <w:vAlign w:val="center"/>
            <w:hideMark/>
          </w:tcPr>
          <w:p w14:paraId="6D5E2D8D" w14:textId="77777777" w:rsidR="00FB7579" w:rsidRPr="00814544" w:rsidRDefault="00FB7579">
            <w:pPr>
              <w:spacing w:before="0" w:after="0"/>
              <w:cnfStyle w:val="000000100000" w:firstRow="0" w:lastRow="0" w:firstColumn="0" w:lastColumn="0" w:oddVBand="0" w:evenVBand="0" w:oddHBand="1" w:evenHBand="0" w:firstRowFirstColumn="0" w:firstRowLastColumn="0" w:lastRowFirstColumn="0" w:lastRowLastColumn="0"/>
              <w:rPr>
                <w:lang w:val="en-GB"/>
              </w:rPr>
            </w:pPr>
            <w:r w:rsidRPr="00814544">
              <w:rPr>
                <w:lang w:val="en-GB"/>
              </w:rPr>
              <w:t>Low</w:t>
            </w:r>
          </w:p>
        </w:tc>
        <w:tc>
          <w:tcPr>
            <w:tcW w:w="696" w:type="pct"/>
            <w:shd w:val="clear" w:color="auto" w:fill="D5FFE8"/>
            <w:vAlign w:val="center"/>
            <w:hideMark/>
          </w:tcPr>
          <w:p w14:paraId="5106721B" w14:textId="77777777" w:rsidR="00FB7579" w:rsidRPr="00814544" w:rsidRDefault="00FB7579">
            <w:pPr>
              <w:spacing w:before="0" w:after="0"/>
              <w:cnfStyle w:val="000000100000" w:firstRow="0" w:lastRow="0" w:firstColumn="0" w:lastColumn="0" w:oddVBand="0" w:evenVBand="0" w:oddHBand="1" w:evenHBand="0" w:firstRowFirstColumn="0" w:firstRowLastColumn="0" w:lastRowFirstColumn="0" w:lastRowLastColumn="0"/>
              <w:rPr>
                <w:lang w:val="en-GB"/>
              </w:rPr>
            </w:pPr>
            <w:r w:rsidRPr="00814544">
              <w:rPr>
                <w:lang w:val="en-GB"/>
              </w:rPr>
              <w:t>Low</w:t>
            </w:r>
          </w:p>
        </w:tc>
      </w:tr>
      <w:tr w:rsidR="004A3355" w:rsidRPr="006D3C55" w14:paraId="21AED7A8" w14:textId="77777777" w:rsidTr="00B2036E">
        <w:trPr>
          <w:cnfStyle w:val="000000010000" w:firstRow="0" w:lastRow="0" w:firstColumn="0" w:lastColumn="0" w:oddVBand="0" w:evenVBand="0" w:oddHBand="0" w:evenHBand="1" w:firstRowFirstColumn="0" w:firstRowLastColumn="0" w:lastRowFirstColumn="0" w:lastRowLastColumn="0"/>
          <w:cantSplit/>
          <w:jc w:val="center"/>
        </w:trPr>
        <w:tc>
          <w:tcPr>
            <w:cnfStyle w:val="001000000000" w:firstRow="0" w:lastRow="0" w:firstColumn="1" w:lastColumn="0" w:oddVBand="0" w:evenVBand="0" w:oddHBand="0" w:evenHBand="0" w:firstRowFirstColumn="0" w:firstRowLastColumn="0" w:lastRowFirstColumn="0" w:lastRowLastColumn="0"/>
            <w:tcW w:w="1247" w:type="pct"/>
            <w:shd w:val="clear" w:color="auto" w:fill="FFFFFF" w:themeFill="background1"/>
            <w:vAlign w:val="center"/>
          </w:tcPr>
          <w:p w14:paraId="6FD3C91A" w14:textId="2E4830AD" w:rsidR="000929E3" w:rsidRPr="000929E3" w:rsidRDefault="00665749" w:rsidP="00D3223B">
            <w:pPr>
              <w:spacing w:before="0" w:after="0"/>
              <w:rPr>
                <w:b w:val="0"/>
                <w:noProof/>
              </w:rPr>
            </w:pPr>
            <w:r w:rsidRPr="0074525F">
              <w:rPr>
                <w:noProof/>
              </w:rPr>
              <mc:AlternateContent>
                <mc:Choice Requires="wpg">
                  <w:drawing>
                    <wp:inline distT="0" distB="0" distL="0" distR="0" wp14:anchorId="045C76C4" wp14:editId="7FCAFE40">
                      <wp:extent cx="129600" cy="129600"/>
                      <wp:effectExtent l="0" t="0" r="3810" b="3810"/>
                      <wp:docPr id="20" name="Group 19">
                        <a:extLst xmlns:a="http://schemas.openxmlformats.org/drawingml/2006/main">
                          <a:ext uri="{FF2B5EF4-FFF2-40B4-BE49-F238E27FC236}">
                            <a16:creationId xmlns:a16="http://schemas.microsoft.com/office/drawing/2014/main" id="{F527586E-1DB8-A115-F35A-B2CB32BAA074}"/>
                          </a:ext>
                        </a:extLst>
                      </wp:docPr>
                      <wp:cNvGraphicFramePr/>
                      <a:graphic xmlns:a="http://schemas.openxmlformats.org/drawingml/2006/main">
                        <a:graphicData uri="http://schemas.microsoft.com/office/word/2010/wordprocessingGroup">
                          <wpg:wgp>
                            <wpg:cNvGrpSpPr/>
                            <wpg:grpSpPr>
                              <a:xfrm>
                                <a:off x="0" y="0"/>
                                <a:ext cx="129600" cy="129600"/>
                                <a:chOff x="0" y="0"/>
                                <a:chExt cx="334963" cy="333375"/>
                              </a:xfrm>
                            </wpg:grpSpPr>
                            <wps:wsp>
                              <wps:cNvPr id="1969071024" name="Freeform 382">
                                <a:extLst>
                                  <a:ext uri="{FF2B5EF4-FFF2-40B4-BE49-F238E27FC236}">
                                    <a16:creationId xmlns:a16="http://schemas.microsoft.com/office/drawing/2014/main" id="{9C5BCE4D-348C-AEF0-D288-8653E936E768}"/>
                                  </a:ext>
                                </a:extLst>
                              </wps:cNvPr>
                              <wps:cNvSpPr>
                                <a:spLocks noEditPoints="1"/>
                              </wps:cNvSpPr>
                              <wps:spPr bwMode="auto">
                                <a:xfrm>
                                  <a:off x="0" y="0"/>
                                  <a:ext cx="334963" cy="333375"/>
                                </a:xfrm>
                                <a:custGeom>
                                  <a:avLst/>
                                  <a:gdLst>
                                    <a:gd name="T0" fmla="*/ 1638 w 1638"/>
                                    <a:gd name="T1" fmla="*/ 819 h 1638"/>
                                    <a:gd name="T2" fmla="*/ 819 w 1638"/>
                                    <a:gd name="T3" fmla="*/ 1638 h 1638"/>
                                    <a:gd name="T4" fmla="*/ 0 w 1638"/>
                                    <a:gd name="T5" fmla="*/ 819 h 1638"/>
                                    <a:gd name="T6" fmla="*/ 819 w 1638"/>
                                    <a:gd name="T7" fmla="*/ 0 h 1638"/>
                                    <a:gd name="T8" fmla="*/ 1638 w 1638"/>
                                    <a:gd name="T9" fmla="*/ 819 h 1638"/>
                                    <a:gd name="T10" fmla="*/ 1638 w 1638"/>
                                    <a:gd name="T11" fmla="*/ 819 h 1638"/>
                                    <a:gd name="T12" fmla="*/ 1638 w 1638"/>
                                    <a:gd name="T13" fmla="*/ 819 h 1638"/>
                                  </a:gdLst>
                                  <a:ahLst/>
                                  <a:cxnLst>
                                    <a:cxn ang="0">
                                      <a:pos x="T0" y="T1"/>
                                    </a:cxn>
                                    <a:cxn ang="0">
                                      <a:pos x="T2" y="T3"/>
                                    </a:cxn>
                                    <a:cxn ang="0">
                                      <a:pos x="T4" y="T5"/>
                                    </a:cxn>
                                    <a:cxn ang="0">
                                      <a:pos x="T6" y="T7"/>
                                    </a:cxn>
                                    <a:cxn ang="0">
                                      <a:pos x="T8" y="T9"/>
                                    </a:cxn>
                                    <a:cxn ang="0">
                                      <a:pos x="T10" y="T11"/>
                                    </a:cxn>
                                    <a:cxn ang="0">
                                      <a:pos x="T12" y="T13"/>
                                    </a:cxn>
                                  </a:cxnLst>
                                  <a:rect l="0" t="0" r="r" b="b"/>
                                  <a:pathLst>
                                    <a:path w="1638" h="1638">
                                      <a:moveTo>
                                        <a:pt x="1638" y="819"/>
                                      </a:moveTo>
                                      <a:cubicBezTo>
                                        <a:pt x="1638" y="1271"/>
                                        <a:pt x="1271" y="1638"/>
                                        <a:pt x="819" y="1638"/>
                                      </a:cubicBezTo>
                                      <a:cubicBezTo>
                                        <a:pt x="367" y="1638"/>
                                        <a:pt x="0" y="1271"/>
                                        <a:pt x="0" y="819"/>
                                      </a:cubicBezTo>
                                      <a:cubicBezTo>
                                        <a:pt x="0" y="367"/>
                                        <a:pt x="367" y="0"/>
                                        <a:pt x="819" y="0"/>
                                      </a:cubicBezTo>
                                      <a:cubicBezTo>
                                        <a:pt x="1271" y="0"/>
                                        <a:pt x="1638" y="367"/>
                                        <a:pt x="1638" y="819"/>
                                      </a:cubicBezTo>
                                      <a:close/>
                                      <a:moveTo>
                                        <a:pt x="1638" y="819"/>
                                      </a:moveTo>
                                      <a:cubicBezTo>
                                        <a:pt x="1638" y="819"/>
                                        <a:pt x="1638" y="819"/>
                                        <a:pt x="1638" y="819"/>
                                      </a:cubicBezTo>
                                    </a:path>
                                  </a:pathLst>
                                </a:custGeom>
                                <a:solidFill>
                                  <a:srgbClr val="F0F0F0"/>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47478" tIns="23739" rIns="47478" bIns="23739" numCol="1" anchor="t" anchorCtr="0" compatLnSpc="1">
                                <a:prstTxWarp prst="textNoShape">
                                  <a:avLst/>
                                </a:prstTxWarp>
                              </wps:bodyPr>
                            </wps:wsp>
                            <wps:wsp>
                              <wps:cNvPr id="239766003" name="Freeform 383">
                                <a:extLst>
                                  <a:ext uri="{FF2B5EF4-FFF2-40B4-BE49-F238E27FC236}">
                                    <a16:creationId xmlns:a16="http://schemas.microsoft.com/office/drawing/2014/main" id="{6813E19A-6982-1998-277A-BA375187EF2B}"/>
                                  </a:ext>
                                </a:extLst>
                              </wps:cNvPr>
                              <wps:cNvSpPr>
                                <a:spLocks noEditPoints="1"/>
                              </wps:cNvSpPr>
                              <wps:spPr bwMode="auto">
                                <a:xfrm>
                                  <a:off x="11113" y="0"/>
                                  <a:ext cx="312738" cy="107950"/>
                                </a:xfrm>
                                <a:custGeom>
                                  <a:avLst/>
                                  <a:gdLst>
                                    <a:gd name="T0" fmla="*/ 768 w 1536"/>
                                    <a:gd name="T1" fmla="*/ 0 h 534"/>
                                    <a:gd name="T2" fmla="*/ 0 w 1536"/>
                                    <a:gd name="T3" fmla="*/ 534 h 534"/>
                                    <a:gd name="T4" fmla="*/ 1536 w 1536"/>
                                    <a:gd name="T5" fmla="*/ 534 h 534"/>
                                    <a:gd name="T6" fmla="*/ 768 w 1536"/>
                                    <a:gd name="T7" fmla="*/ 0 h 534"/>
                                    <a:gd name="T8" fmla="*/ 768 w 1536"/>
                                    <a:gd name="T9" fmla="*/ 0 h 534"/>
                                    <a:gd name="T10" fmla="*/ 768 w 1536"/>
                                    <a:gd name="T11" fmla="*/ 0 h 534"/>
                                  </a:gdLst>
                                  <a:ahLst/>
                                  <a:cxnLst>
                                    <a:cxn ang="0">
                                      <a:pos x="T0" y="T1"/>
                                    </a:cxn>
                                    <a:cxn ang="0">
                                      <a:pos x="T2" y="T3"/>
                                    </a:cxn>
                                    <a:cxn ang="0">
                                      <a:pos x="T4" y="T5"/>
                                    </a:cxn>
                                    <a:cxn ang="0">
                                      <a:pos x="T6" y="T7"/>
                                    </a:cxn>
                                    <a:cxn ang="0">
                                      <a:pos x="T8" y="T9"/>
                                    </a:cxn>
                                    <a:cxn ang="0">
                                      <a:pos x="T10" y="T11"/>
                                    </a:cxn>
                                  </a:cxnLst>
                                  <a:rect l="0" t="0" r="r" b="b"/>
                                  <a:pathLst>
                                    <a:path w="1536" h="534">
                                      <a:moveTo>
                                        <a:pt x="768" y="0"/>
                                      </a:moveTo>
                                      <a:cubicBezTo>
                                        <a:pt x="416" y="0"/>
                                        <a:pt x="115" y="222"/>
                                        <a:pt x="0" y="534"/>
                                      </a:cubicBezTo>
                                      <a:cubicBezTo>
                                        <a:pt x="1536" y="534"/>
                                        <a:pt x="1536" y="534"/>
                                        <a:pt x="1536" y="534"/>
                                      </a:cubicBezTo>
                                      <a:cubicBezTo>
                                        <a:pt x="1420" y="222"/>
                                        <a:pt x="1120" y="0"/>
                                        <a:pt x="768" y="0"/>
                                      </a:cubicBezTo>
                                      <a:close/>
                                      <a:moveTo>
                                        <a:pt x="768" y="0"/>
                                      </a:moveTo>
                                      <a:cubicBezTo>
                                        <a:pt x="768" y="0"/>
                                        <a:pt x="768" y="0"/>
                                        <a:pt x="768" y="0"/>
                                      </a:cubicBezTo>
                                    </a:path>
                                  </a:pathLst>
                                </a:custGeom>
                                <a:solidFill>
                                  <a:srgbClr val="D80027"/>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47478" tIns="23739" rIns="47478" bIns="23739" numCol="1" anchor="t" anchorCtr="0" compatLnSpc="1">
                                <a:prstTxWarp prst="textNoShape">
                                  <a:avLst/>
                                </a:prstTxWarp>
                              </wps:bodyPr>
                            </wps:wsp>
                            <wps:wsp>
                              <wps:cNvPr id="1494305600" name="Freeform 384">
                                <a:extLst>
                                  <a:ext uri="{FF2B5EF4-FFF2-40B4-BE49-F238E27FC236}">
                                    <a16:creationId xmlns:a16="http://schemas.microsoft.com/office/drawing/2014/main" id="{04A32843-2772-3BD1-DF7A-0FC58933E4A7}"/>
                                  </a:ext>
                                </a:extLst>
                              </wps:cNvPr>
                              <wps:cNvSpPr>
                                <a:spLocks noEditPoints="1"/>
                              </wps:cNvSpPr>
                              <wps:spPr bwMode="auto">
                                <a:xfrm>
                                  <a:off x="11113" y="225425"/>
                                  <a:ext cx="312738" cy="107950"/>
                                </a:xfrm>
                                <a:custGeom>
                                  <a:avLst/>
                                  <a:gdLst>
                                    <a:gd name="T0" fmla="*/ 768 w 1536"/>
                                    <a:gd name="T1" fmla="*/ 534 h 534"/>
                                    <a:gd name="T2" fmla="*/ 1536 w 1536"/>
                                    <a:gd name="T3" fmla="*/ 0 h 534"/>
                                    <a:gd name="T4" fmla="*/ 0 w 1536"/>
                                    <a:gd name="T5" fmla="*/ 0 h 534"/>
                                    <a:gd name="T6" fmla="*/ 768 w 1536"/>
                                    <a:gd name="T7" fmla="*/ 534 h 534"/>
                                    <a:gd name="T8" fmla="*/ 768 w 1536"/>
                                    <a:gd name="T9" fmla="*/ 534 h 534"/>
                                    <a:gd name="T10" fmla="*/ 768 w 1536"/>
                                    <a:gd name="T11" fmla="*/ 534 h 534"/>
                                  </a:gdLst>
                                  <a:ahLst/>
                                  <a:cxnLst>
                                    <a:cxn ang="0">
                                      <a:pos x="T0" y="T1"/>
                                    </a:cxn>
                                    <a:cxn ang="0">
                                      <a:pos x="T2" y="T3"/>
                                    </a:cxn>
                                    <a:cxn ang="0">
                                      <a:pos x="T4" y="T5"/>
                                    </a:cxn>
                                    <a:cxn ang="0">
                                      <a:pos x="T6" y="T7"/>
                                    </a:cxn>
                                    <a:cxn ang="0">
                                      <a:pos x="T8" y="T9"/>
                                    </a:cxn>
                                    <a:cxn ang="0">
                                      <a:pos x="T10" y="T11"/>
                                    </a:cxn>
                                  </a:cxnLst>
                                  <a:rect l="0" t="0" r="r" b="b"/>
                                  <a:pathLst>
                                    <a:path w="1536" h="534">
                                      <a:moveTo>
                                        <a:pt x="768" y="534"/>
                                      </a:moveTo>
                                      <a:cubicBezTo>
                                        <a:pt x="1120" y="534"/>
                                        <a:pt x="1420" y="312"/>
                                        <a:pt x="1536" y="0"/>
                                      </a:cubicBezTo>
                                      <a:cubicBezTo>
                                        <a:pt x="0" y="0"/>
                                        <a:pt x="0" y="0"/>
                                        <a:pt x="0" y="0"/>
                                      </a:cubicBezTo>
                                      <a:cubicBezTo>
                                        <a:pt x="115" y="312"/>
                                        <a:pt x="416" y="534"/>
                                        <a:pt x="768" y="534"/>
                                      </a:cubicBezTo>
                                      <a:close/>
                                      <a:moveTo>
                                        <a:pt x="768" y="534"/>
                                      </a:moveTo>
                                      <a:cubicBezTo>
                                        <a:pt x="768" y="534"/>
                                        <a:pt x="768" y="534"/>
                                        <a:pt x="768" y="534"/>
                                      </a:cubicBezTo>
                                    </a:path>
                                  </a:pathLst>
                                </a:custGeom>
                                <a:solidFill>
                                  <a:srgbClr val="338AF3"/>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47478" tIns="23739" rIns="47478" bIns="23739" numCol="1" anchor="t" anchorCtr="0" compatLnSpc="1">
                                <a:prstTxWarp prst="textNoShape">
                                  <a:avLst/>
                                </a:prstTxWarp>
                              </wps:bodyPr>
                            </wps:wsp>
                          </wpg:wgp>
                        </a:graphicData>
                      </a:graphic>
                    </wp:inline>
                  </w:drawing>
                </mc:Choice>
                <mc:Fallback xmlns:arto="http://schemas.microsoft.com/office/word/2006/arto">
                  <w:pict>
                    <v:group w14:anchorId="698A56B4" id="Group 19" o:spid="_x0000_s1026" style="width:10.2pt;height:10.2pt;mso-position-horizontal-relative:char;mso-position-vertical-relative:line" coordsize="334963,3333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">
                      <v:shape id="Freeform 382" o:spid="_x0000_s1027" style="position:absolute;width:334963;height:333375;visibility:visible;mso-wrap-style:square;v-text-anchor:top" coordsize="1638,16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" path="m1638,819v,452,-367,819,-819,819c367,1638,,1271,,819,,367,367,,819,v452,,819,367,819,819xm1638,819v,,,,,e" fillcolor="#f0f0f0" stroked="f">
                        <v:path arrowok="t" o:connecttype="custom" o:connectlocs="334963,166688;167482,333375;0,166688;167482,0;334963,166688;334963,166688;334963,166688" o:connectangles="0,0,0,0,0,0,0"/>
                        <o:lock v:ext="edit" verticies="t"/>
                      </v:shape>
                      <v:shape id="Freeform 383" o:spid="_x0000_s1028" style="position:absolute;left:11113;width:312738;height:107950;visibility:visible;mso-wrap-style:square;v-text-anchor:top" coordsize="1536,5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" path="m768,c416,,115,222,,534v1536,,1536,,1536,c1420,222,1120,,768,xm768,v,,,,,e" fillcolor="#d80027" stroked="f">
                        <v:path arrowok="t" o:connecttype="custom" o:connectlocs="156369,0;0,107950;312738,107950;156369,0;156369,0;156369,0" o:connectangles="0,0,0,0,0,0"/>
                        <o:lock v:ext="edit" verticies="t"/>
                      </v:shape>
                      <v:shape id="Freeform 384" o:spid="_x0000_s1029" style="position:absolute;left:11113;top:225425;width:312738;height:107950;visibility:visible;mso-wrap-style:square;v-text-anchor:top" coordsize="1536,5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" path="m768,534v352,,652,-222,768,-534c,,,,,,115,312,416,534,768,534xm768,534v,,,,,e" fillcolor="#338af3" stroked="f">
                        <v:path arrowok="t" o:connecttype="custom" o:connectlocs="156369,107950;312738,0;0,0;156369,107950;156369,107950;156369,107950" o:connectangles="0,0,0,0,0,0"/>
                        <o:lock v:ext="edit" verticies="t"/>
                      </v:shape>
                      <w10:anchorlock/>
                    </v:group>
                  </w:pict>
                </mc:Fallback>
              </mc:AlternateContent>
            </w:r>
            <w:r w:rsidRPr="0074525F">
              <w:rPr>
                <w:noProof/>
              </w:rPr>
              <w:t xml:space="preserve"> </w:t>
            </w:r>
            <w:r w:rsidR="000929E3" w:rsidRPr="0074525F">
              <w:t>Luxembourg</w:t>
            </w:r>
          </w:p>
        </w:tc>
        <w:tc>
          <w:tcPr>
            <w:tcW w:w="627" w:type="pct"/>
            <w:shd w:val="clear" w:color="auto" w:fill="FFFFFF" w:themeFill="background1"/>
            <w:vAlign w:val="center"/>
          </w:tcPr>
          <w:p w14:paraId="2AD6CCAE" w14:textId="2AF81E35" w:rsidR="000929E3" w:rsidRPr="00814544" w:rsidRDefault="00EC0021" w:rsidP="00D3223B">
            <w:pPr>
              <w:spacing w:before="0" w:after="0"/>
              <w:cnfStyle w:val="000000010000" w:firstRow="0" w:lastRow="0" w:firstColumn="0" w:lastColumn="0" w:oddVBand="0" w:evenVBand="0" w:oddHBand="0" w:evenHBand="1" w:firstRowFirstColumn="0" w:firstRowLastColumn="0" w:lastRowFirstColumn="0" w:lastRowLastColumn="0"/>
            </w:pPr>
            <w:r>
              <w:t>Second</w:t>
            </w:r>
          </w:p>
        </w:tc>
        <w:tc>
          <w:tcPr>
            <w:tcW w:w="626" w:type="pct"/>
            <w:shd w:val="clear" w:color="auto" w:fill="D5FFE8"/>
            <w:vAlign w:val="center"/>
          </w:tcPr>
          <w:p w14:paraId="0D76E7C9" w14:textId="5BCA79EE" w:rsidR="000929E3" w:rsidRPr="00814544" w:rsidRDefault="00EC0021" w:rsidP="00D3223B">
            <w:pPr>
              <w:spacing w:before="0" w:after="0"/>
              <w:cnfStyle w:val="000000010000" w:firstRow="0" w:lastRow="0" w:firstColumn="0" w:lastColumn="0" w:oddVBand="0" w:evenVBand="0" w:oddHBand="0" w:evenHBand="1" w:firstRowFirstColumn="0" w:firstRowLastColumn="0" w:lastRowFirstColumn="0" w:lastRowLastColumn="0"/>
            </w:pPr>
            <w:r w:rsidRPr="00814544">
              <w:rPr>
                <w:lang w:val="en-GB"/>
              </w:rPr>
              <w:t>Low</w:t>
            </w:r>
          </w:p>
        </w:tc>
        <w:tc>
          <w:tcPr>
            <w:tcW w:w="627" w:type="pct"/>
            <w:shd w:val="clear" w:color="auto" w:fill="D5FFE8"/>
            <w:vAlign w:val="center"/>
          </w:tcPr>
          <w:p w14:paraId="25A6C2D1" w14:textId="01B492C8" w:rsidR="000929E3" w:rsidRPr="00814544" w:rsidRDefault="00EC0021" w:rsidP="00D3223B">
            <w:pPr>
              <w:spacing w:before="0" w:after="0"/>
              <w:cnfStyle w:val="000000010000" w:firstRow="0" w:lastRow="0" w:firstColumn="0" w:lastColumn="0" w:oddVBand="0" w:evenVBand="0" w:oddHBand="0" w:evenHBand="1" w:firstRowFirstColumn="0" w:firstRowLastColumn="0" w:lastRowFirstColumn="0" w:lastRowLastColumn="0"/>
            </w:pPr>
            <w:r w:rsidRPr="00814544">
              <w:rPr>
                <w:lang w:val="en-GB"/>
              </w:rPr>
              <w:t>Low</w:t>
            </w:r>
          </w:p>
        </w:tc>
        <w:tc>
          <w:tcPr>
            <w:tcW w:w="471" w:type="pct"/>
            <w:shd w:val="clear" w:color="auto" w:fill="D5FFE8"/>
            <w:vAlign w:val="center"/>
          </w:tcPr>
          <w:p w14:paraId="098C99A1" w14:textId="076FA4AD" w:rsidR="000929E3" w:rsidRPr="00814544" w:rsidRDefault="00EC0021" w:rsidP="00D3223B">
            <w:pPr>
              <w:spacing w:before="0" w:after="0"/>
              <w:cnfStyle w:val="000000010000" w:firstRow="0" w:lastRow="0" w:firstColumn="0" w:lastColumn="0" w:oddVBand="0" w:evenVBand="0" w:oddHBand="0" w:evenHBand="1" w:firstRowFirstColumn="0" w:firstRowLastColumn="0" w:lastRowFirstColumn="0" w:lastRowLastColumn="0"/>
            </w:pPr>
            <w:r w:rsidRPr="00814544">
              <w:rPr>
                <w:lang w:val="en-GB"/>
              </w:rPr>
              <w:t>Low</w:t>
            </w:r>
          </w:p>
        </w:tc>
        <w:tc>
          <w:tcPr>
            <w:tcW w:w="706" w:type="pct"/>
            <w:shd w:val="clear" w:color="auto" w:fill="D5FFE8"/>
            <w:vAlign w:val="center"/>
          </w:tcPr>
          <w:p w14:paraId="71EE76D3" w14:textId="610D4628" w:rsidR="000929E3" w:rsidRPr="00814544" w:rsidRDefault="00EC0021" w:rsidP="00D3223B">
            <w:pPr>
              <w:spacing w:before="0" w:after="0"/>
              <w:cnfStyle w:val="000000010000" w:firstRow="0" w:lastRow="0" w:firstColumn="0" w:lastColumn="0" w:oddVBand="0" w:evenVBand="0" w:oddHBand="0" w:evenHBand="1" w:firstRowFirstColumn="0" w:firstRowLastColumn="0" w:lastRowFirstColumn="0" w:lastRowLastColumn="0"/>
            </w:pPr>
            <w:r w:rsidRPr="00814544">
              <w:rPr>
                <w:lang w:val="en-GB"/>
              </w:rPr>
              <w:t>Low</w:t>
            </w:r>
          </w:p>
        </w:tc>
        <w:tc>
          <w:tcPr>
            <w:tcW w:w="696" w:type="pct"/>
            <w:shd w:val="clear" w:color="auto" w:fill="D5FFE8"/>
            <w:vAlign w:val="center"/>
          </w:tcPr>
          <w:p w14:paraId="6451657A" w14:textId="55495E0A" w:rsidR="000929E3" w:rsidRPr="00814544" w:rsidRDefault="00EC0021" w:rsidP="00D3223B">
            <w:pPr>
              <w:spacing w:before="0" w:after="0"/>
              <w:cnfStyle w:val="000000010000" w:firstRow="0" w:lastRow="0" w:firstColumn="0" w:lastColumn="0" w:oddVBand="0" w:evenVBand="0" w:oddHBand="0" w:evenHBand="1" w:firstRowFirstColumn="0" w:firstRowLastColumn="0" w:lastRowFirstColumn="0" w:lastRowLastColumn="0"/>
            </w:pPr>
            <w:r w:rsidRPr="00814544">
              <w:rPr>
                <w:lang w:val="en-GB"/>
              </w:rPr>
              <w:t>Low</w:t>
            </w:r>
          </w:p>
        </w:tc>
      </w:tr>
      <w:tr w:rsidR="00820AA9" w:rsidRPr="006D3C55" w14:paraId="0FB43FD0" w14:textId="77777777" w:rsidTr="00B2036E">
        <w:trPr>
          <w:cnfStyle w:val="000000100000" w:firstRow="0" w:lastRow="0" w:firstColumn="0" w:lastColumn="0" w:oddVBand="0" w:evenVBand="0" w:oddHBand="1" w:evenHBand="0" w:firstRowFirstColumn="0" w:firstRowLastColumn="0" w:lastRowFirstColumn="0" w:lastRowLastColumn="0"/>
          <w:cantSplit/>
          <w:jc w:val="center"/>
        </w:trPr>
        <w:tc>
          <w:tcPr>
            <w:cnfStyle w:val="001000000000" w:firstRow="0" w:lastRow="0" w:firstColumn="1" w:lastColumn="0" w:oddVBand="0" w:evenVBand="0" w:oddHBand="0" w:evenHBand="0" w:firstRowFirstColumn="0" w:firstRowLastColumn="0" w:lastRowFirstColumn="0" w:lastRowLastColumn="0"/>
            <w:tcW w:w="1247" w:type="pct"/>
            <w:shd w:val="clear" w:color="auto" w:fill="F2F2F2" w:themeFill="background1" w:themeFillShade="F2"/>
            <w:vAlign w:val="center"/>
            <w:hideMark/>
          </w:tcPr>
          <w:p w14:paraId="29E7BC02" w14:textId="6B3D5F8D" w:rsidR="00FB7579" w:rsidRPr="00715FA3" w:rsidRDefault="00FB7579">
            <w:pPr>
              <w:spacing w:before="0" w:after="0"/>
              <w:rPr>
                <w:lang w:val="en-GB"/>
              </w:rPr>
            </w:pPr>
            <w:r w:rsidRPr="00715FA3">
              <w:rPr>
                <w:noProof/>
              </w:rPr>
              <w:drawing>
                <wp:inline distT="0" distB="0" distL="0" distR="0" wp14:anchorId="317C13F1" wp14:editId="7847432C">
                  <wp:extent cx="129540" cy="129540"/>
                  <wp:effectExtent l="0" t="0" r="3810" b="3810"/>
                  <wp:docPr id="1040392118" name="Picture 1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0392118" name="Picture 11">
                            <a:extLst>
                              <a:ext uri="{C183D7F6-B498-43B3-948B-1728B52AA6E4}">
                                <adec:decorative xmlns:adec="http://schemas.microsoft.com/office/drawing/2017/decorative" val="1"/>
                              </a:ext>
                            </a:extLst>
                          </pic:cNvPr>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129540" cy="129540"/>
                          </a:xfrm>
                          <a:prstGeom prst="rect">
                            <a:avLst/>
                          </a:prstGeom>
                          <a:noFill/>
                          <a:ln>
                            <a:noFill/>
                          </a:ln>
                        </pic:spPr>
                      </pic:pic>
                    </a:graphicData>
                  </a:graphic>
                </wp:inline>
              </w:drawing>
            </w:r>
            <w:r w:rsidRPr="00715FA3">
              <w:rPr>
                <w:lang w:val="en-GB"/>
              </w:rPr>
              <w:t xml:space="preserve"> Malta</w:t>
            </w:r>
          </w:p>
        </w:tc>
        <w:tc>
          <w:tcPr>
            <w:tcW w:w="627" w:type="pct"/>
            <w:shd w:val="clear" w:color="auto" w:fill="F2F2F2" w:themeFill="background1" w:themeFillShade="F2"/>
            <w:vAlign w:val="center"/>
            <w:hideMark/>
          </w:tcPr>
          <w:p w14:paraId="3A244F5A" w14:textId="7747C157" w:rsidR="00FB7579" w:rsidRPr="00715FA3" w:rsidRDefault="00062E0F">
            <w:pPr>
              <w:spacing w:before="0" w:after="0"/>
              <w:cnfStyle w:val="000000100000" w:firstRow="0" w:lastRow="0" w:firstColumn="0" w:lastColumn="0" w:oddVBand="0" w:evenVBand="0" w:oddHBand="1" w:evenHBand="0" w:firstRowFirstColumn="0" w:firstRowLastColumn="0" w:lastRowFirstColumn="0" w:lastRowLastColumn="0"/>
              <w:rPr>
                <w:lang w:val="en-GB"/>
              </w:rPr>
            </w:pPr>
            <w:r w:rsidRPr="00715FA3">
              <w:rPr>
                <w:lang w:val="en-GB"/>
              </w:rPr>
              <w:t>Third</w:t>
            </w:r>
          </w:p>
        </w:tc>
        <w:tc>
          <w:tcPr>
            <w:tcW w:w="626" w:type="pct"/>
            <w:shd w:val="clear" w:color="auto" w:fill="D5FFE8"/>
            <w:vAlign w:val="center"/>
            <w:hideMark/>
          </w:tcPr>
          <w:p w14:paraId="1E04F322" w14:textId="77777777" w:rsidR="00FB7579" w:rsidRPr="00715FA3" w:rsidRDefault="00FB7579">
            <w:pPr>
              <w:spacing w:before="0" w:after="0"/>
              <w:cnfStyle w:val="000000100000" w:firstRow="0" w:lastRow="0" w:firstColumn="0" w:lastColumn="0" w:oddVBand="0" w:evenVBand="0" w:oddHBand="1" w:evenHBand="0" w:firstRowFirstColumn="0" w:firstRowLastColumn="0" w:lastRowFirstColumn="0" w:lastRowLastColumn="0"/>
              <w:rPr>
                <w:lang w:val="en-GB"/>
              </w:rPr>
            </w:pPr>
            <w:r w:rsidRPr="00715FA3">
              <w:rPr>
                <w:lang w:val="en-GB"/>
              </w:rPr>
              <w:t>Low</w:t>
            </w:r>
          </w:p>
        </w:tc>
        <w:tc>
          <w:tcPr>
            <w:tcW w:w="627" w:type="pct"/>
            <w:shd w:val="clear" w:color="auto" w:fill="D5FFE8"/>
            <w:vAlign w:val="center"/>
            <w:hideMark/>
          </w:tcPr>
          <w:p w14:paraId="3EF0251C" w14:textId="77777777" w:rsidR="00FB7579" w:rsidRPr="00715FA3" w:rsidRDefault="00FB7579">
            <w:pPr>
              <w:spacing w:before="0" w:after="0"/>
              <w:cnfStyle w:val="000000100000" w:firstRow="0" w:lastRow="0" w:firstColumn="0" w:lastColumn="0" w:oddVBand="0" w:evenVBand="0" w:oddHBand="1" w:evenHBand="0" w:firstRowFirstColumn="0" w:firstRowLastColumn="0" w:lastRowFirstColumn="0" w:lastRowLastColumn="0"/>
              <w:rPr>
                <w:lang w:val="en-GB"/>
              </w:rPr>
            </w:pPr>
            <w:r w:rsidRPr="00715FA3">
              <w:rPr>
                <w:lang w:val="en-GB"/>
              </w:rPr>
              <w:t>Low</w:t>
            </w:r>
          </w:p>
        </w:tc>
        <w:tc>
          <w:tcPr>
            <w:tcW w:w="471" w:type="pct"/>
            <w:shd w:val="clear" w:color="auto" w:fill="D5FFE8"/>
            <w:vAlign w:val="center"/>
            <w:hideMark/>
          </w:tcPr>
          <w:p w14:paraId="1DCC8122" w14:textId="77777777" w:rsidR="00FB7579" w:rsidRPr="00715FA3" w:rsidRDefault="00FB7579">
            <w:pPr>
              <w:spacing w:before="0" w:after="0"/>
              <w:cnfStyle w:val="000000100000" w:firstRow="0" w:lastRow="0" w:firstColumn="0" w:lastColumn="0" w:oddVBand="0" w:evenVBand="0" w:oddHBand="1" w:evenHBand="0" w:firstRowFirstColumn="0" w:firstRowLastColumn="0" w:lastRowFirstColumn="0" w:lastRowLastColumn="0"/>
              <w:rPr>
                <w:lang w:val="en-GB"/>
              </w:rPr>
            </w:pPr>
            <w:r w:rsidRPr="00715FA3">
              <w:rPr>
                <w:lang w:val="en-GB"/>
              </w:rPr>
              <w:t>Low</w:t>
            </w:r>
          </w:p>
        </w:tc>
        <w:tc>
          <w:tcPr>
            <w:tcW w:w="706" w:type="pct"/>
            <w:shd w:val="clear" w:color="auto" w:fill="FEDD9B" w:themeFill="accent4" w:themeFillTint="66"/>
            <w:vAlign w:val="center"/>
            <w:hideMark/>
          </w:tcPr>
          <w:p w14:paraId="4982C6A6" w14:textId="77777777" w:rsidR="00FB7579" w:rsidRPr="00715FA3" w:rsidRDefault="00FB7579">
            <w:pPr>
              <w:spacing w:before="0" w:after="0"/>
              <w:cnfStyle w:val="000000100000" w:firstRow="0" w:lastRow="0" w:firstColumn="0" w:lastColumn="0" w:oddVBand="0" w:evenVBand="0" w:oddHBand="1" w:evenHBand="0" w:firstRowFirstColumn="0" w:firstRowLastColumn="0" w:lastRowFirstColumn="0" w:lastRowLastColumn="0"/>
              <w:rPr>
                <w:lang w:val="en-GB"/>
              </w:rPr>
            </w:pPr>
            <w:r w:rsidRPr="00715FA3">
              <w:rPr>
                <w:lang w:val="en-GB"/>
              </w:rPr>
              <w:t>Medium</w:t>
            </w:r>
          </w:p>
        </w:tc>
        <w:tc>
          <w:tcPr>
            <w:tcW w:w="696" w:type="pct"/>
            <w:shd w:val="clear" w:color="auto" w:fill="D5FFE8"/>
            <w:vAlign w:val="center"/>
            <w:hideMark/>
          </w:tcPr>
          <w:p w14:paraId="390BAB37" w14:textId="31827EB7" w:rsidR="00FB7579" w:rsidRPr="00715FA3" w:rsidRDefault="00062E0F">
            <w:pPr>
              <w:spacing w:before="0" w:after="0"/>
              <w:cnfStyle w:val="000000100000" w:firstRow="0" w:lastRow="0" w:firstColumn="0" w:lastColumn="0" w:oddVBand="0" w:evenVBand="0" w:oddHBand="1" w:evenHBand="0" w:firstRowFirstColumn="0" w:firstRowLastColumn="0" w:lastRowFirstColumn="0" w:lastRowLastColumn="0"/>
              <w:rPr>
                <w:lang w:val="en-GB"/>
              </w:rPr>
            </w:pPr>
            <w:r>
              <w:rPr>
                <w:lang w:val="en-GB"/>
              </w:rPr>
              <w:t>Low</w:t>
            </w:r>
          </w:p>
        </w:tc>
      </w:tr>
      <w:tr w:rsidR="004A3355" w:rsidRPr="006D3C55" w14:paraId="7CBC3212" w14:textId="77777777" w:rsidTr="00B2036E">
        <w:trPr>
          <w:cnfStyle w:val="000000010000" w:firstRow="0" w:lastRow="0" w:firstColumn="0" w:lastColumn="0" w:oddVBand="0" w:evenVBand="0" w:oddHBand="0" w:evenHBand="1" w:firstRowFirstColumn="0" w:firstRowLastColumn="0" w:lastRowFirstColumn="0" w:lastRowLastColumn="0"/>
          <w:cantSplit/>
          <w:jc w:val="center"/>
        </w:trPr>
        <w:tc>
          <w:tcPr>
            <w:cnfStyle w:val="001000000000" w:firstRow="0" w:lastRow="0" w:firstColumn="1" w:lastColumn="0" w:oddVBand="0" w:evenVBand="0" w:oddHBand="0" w:evenHBand="0" w:firstRowFirstColumn="0" w:firstRowLastColumn="0" w:lastRowFirstColumn="0" w:lastRowLastColumn="0"/>
            <w:tcW w:w="1247" w:type="pct"/>
            <w:shd w:val="clear" w:color="auto" w:fill="FFFFFF" w:themeFill="background1"/>
            <w:vAlign w:val="center"/>
            <w:hideMark/>
          </w:tcPr>
          <w:p w14:paraId="1100D872" w14:textId="63FE9C1F" w:rsidR="00FB7579" w:rsidRPr="003177E9" w:rsidRDefault="00FB7579">
            <w:pPr>
              <w:spacing w:before="0" w:after="0"/>
              <w:rPr>
                <w:lang w:val="en-GB"/>
              </w:rPr>
            </w:pPr>
            <w:r w:rsidRPr="003177E9">
              <w:rPr>
                <w:noProof/>
              </w:rPr>
              <w:drawing>
                <wp:inline distT="0" distB="0" distL="0" distR="0" wp14:anchorId="5FC84D9B" wp14:editId="60E8F69A">
                  <wp:extent cx="129540" cy="129540"/>
                  <wp:effectExtent l="0" t="0" r="3810" b="3810"/>
                  <wp:docPr id="1200231706" name="Picture 1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0231706" name="Picture 10">
                            <a:extLst>
                              <a:ext uri="{C183D7F6-B498-43B3-948B-1728B52AA6E4}">
                                <adec:decorative xmlns:adec="http://schemas.microsoft.com/office/drawing/2017/decorative" val="1"/>
                              </a:ext>
                            </a:extLst>
                          </pic:cNvPr>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129540" cy="129540"/>
                          </a:xfrm>
                          <a:prstGeom prst="rect">
                            <a:avLst/>
                          </a:prstGeom>
                          <a:noFill/>
                          <a:ln>
                            <a:noFill/>
                          </a:ln>
                        </pic:spPr>
                      </pic:pic>
                    </a:graphicData>
                  </a:graphic>
                </wp:inline>
              </w:drawing>
            </w:r>
            <w:r w:rsidRPr="003177E9">
              <w:rPr>
                <w:lang w:val="en-GB"/>
              </w:rPr>
              <w:t xml:space="preserve"> Netherlands</w:t>
            </w:r>
          </w:p>
        </w:tc>
        <w:tc>
          <w:tcPr>
            <w:tcW w:w="627" w:type="pct"/>
            <w:shd w:val="clear" w:color="auto" w:fill="FFFFFF" w:themeFill="background1"/>
            <w:vAlign w:val="center"/>
            <w:hideMark/>
          </w:tcPr>
          <w:p w14:paraId="687C44A2" w14:textId="2788AE4C" w:rsidR="00FB7579" w:rsidRPr="003177E9" w:rsidRDefault="00062E0F">
            <w:pPr>
              <w:spacing w:before="0" w:after="0"/>
              <w:cnfStyle w:val="000000010000" w:firstRow="0" w:lastRow="0" w:firstColumn="0" w:lastColumn="0" w:oddVBand="0" w:evenVBand="0" w:oddHBand="0" w:evenHBand="1" w:firstRowFirstColumn="0" w:firstRowLastColumn="0" w:lastRowFirstColumn="0" w:lastRowLastColumn="0"/>
              <w:rPr>
                <w:lang w:val="en-GB"/>
              </w:rPr>
            </w:pPr>
            <w:r w:rsidRPr="003177E9">
              <w:rPr>
                <w:lang w:val="en-GB"/>
              </w:rPr>
              <w:t>Second</w:t>
            </w:r>
          </w:p>
        </w:tc>
        <w:tc>
          <w:tcPr>
            <w:tcW w:w="626" w:type="pct"/>
            <w:shd w:val="clear" w:color="auto" w:fill="D5FFE8"/>
            <w:vAlign w:val="center"/>
            <w:hideMark/>
          </w:tcPr>
          <w:p w14:paraId="0261F60A" w14:textId="77777777" w:rsidR="00FB7579" w:rsidRPr="0093273E" w:rsidRDefault="00FB7579">
            <w:pPr>
              <w:spacing w:before="0" w:after="0"/>
              <w:cnfStyle w:val="000000010000" w:firstRow="0" w:lastRow="0" w:firstColumn="0" w:lastColumn="0" w:oddVBand="0" w:evenVBand="0" w:oddHBand="0" w:evenHBand="1" w:firstRowFirstColumn="0" w:firstRowLastColumn="0" w:lastRowFirstColumn="0" w:lastRowLastColumn="0"/>
              <w:rPr>
                <w:lang w:val="en-GB"/>
              </w:rPr>
            </w:pPr>
            <w:r w:rsidRPr="0093273E">
              <w:rPr>
                <w:lang w:val="en-GB"/>
              </w:rPr>
              <w:t>Low</w:t>
            </w:r>
          </w:p>
        </w:tc>
        <w:tc>
          <w:tcPr>
            <w:tcW w:w="627" w:type="pct"/>
            <w:shd w:val="clear" w:color="auto" w:fill="D5FFE8"/>
            <w:vAlign w:val="center"/>
            <w:hideMark/>
          </w:tcPr>
          <w:p w14:paraId="0328826D" w14:textId="77777777" w:rsidR="00FB7579" w:rsidRPr="0093273E" w:rsidRDefault="00FB7579">
            <w:pPr>
              <w:spacing w:before="0" w:after="0"/>
              <w:cnfStyle w:val="000000010000" w:firstRow="0" w:lastRow="0" w:firstColumn="0" w:lastColumn="0" w:oddVBand="0" w:evenVBand="0" w:oddHBand="0" w:evenHBand="1" w:firstRowFirstColumn="0" w:firstRowLastColumn="0" w:lastRowFirstColumn="0" w:lastRowLastColumn="0"/>
              <w:rPr>
                <w:lang w:val="en-GB"/>
              </w:rPr>
            </w:pPr>
            <w:r w:rsidRPr="0093273E">
              <w:rPr>
                <w:lang w:val="en-GB"/>
              </w:rPr>
              <w:t>Low</w:t>
            </w:r>
          </w:p>
        </w:tc>
        <w:tc>
          <w:tcPr>
            <w:tcW w:w="471" w:type="pct"/>
            <w:shd w:val="clear" w:color="auto" w:fill="D5FFE8"/>
            <w:vAlign w:val="center"/>
            <w:hideMark/>
          </w:tcPr>
          <w:p w14:paraId="44204A32" w14:textId="77777777" w:rsidR="00FB7579" w:rsidRPr="0093273E" w:rsidRDefault="00FB7579">
            <w:pPr>
              <w:spacing w:before="0" w:after="0"/>
              <w:cnfStyle w:val="000000010000" w:firstRow="0" w:lastRow="0" w:firstColumn="0" w:lastColumn="0" w:oddVBand="0" w:evenVBand="0" w:oddHBand="0" w:evenHBand="1" w:firstRowFirstColumn="0" w:firstRowLastColumn="0" w:lastRowFirstColumn="0" w:lastRowLastColumn="0"/>
              <w:rPr>
                <w:lang w:val="en-GB"/>
              </w:rPr>
            </w:pPr>
            <w:r w:rsidRPr="0093273E">
              <w:rPr>
                <w:lang w:val="en-GB"/>
              </w:rPr>
              <w:t>Low</w:t>
            </w:r>
          </w:p>
        </w:tc>
        <w:tc>
          <w:tcPr>
            <w:tcW w:w="706" w:type="pct"/>
            <w:shd w:val="clear" w:color="auto" w:fill="B2FFD4" w:themeFill="accent1" w:themeFillTint="33"/>
            <w:vAlign w:val="center"/>
            <w:hideMark/>
          </w:tcPr>
          <w:p w14:paraId="25CB2C4A" w14:textId="77777777" w:rsidR="00FB7579" w:rsidRPr="0093273E" w:rsidRDefault="00FB7579">
            <w:pPr>
              <w:spacing w:before="0" w:after="0"/>
              <w:cnfStyle w:val="000000010000" w:firstRow="0" w:lastRow="0" w:firstColumn="0" w:lastColumn="0" w:oddVBand="0" w:evenVBand="0" w:oddHBand="0" w:evenHBand="1" w:firstRowFirstColumn="0" w:firstRowLastColumn="0" w:lastRowFirstColumn="0" w:lastRowLastColumn="0"/>
              <w:rPr>
                <w:lang w:val="en-GB"/>
              </w:rPr>
            </w:pPr>
            <w:r w:rsidRPr="0093273E">
              <w:rPr>
                <w:lang w:val="en-GB"/>
              </w:rPr>
              <w:t>Low</w:t>
            </w:r>
          </w:p>
        </w:tc>
        <w:tc>
          <w:tcPr>
            <w:tcW w:w="696" w:type="pct"/>
            <w:shd w:val="clear" w:color="auto" w:fill="FEDD9B" w:themeFill="accent4" w:themeFillTint="66"/>
            <w:vAlign w:val="center"/>
            <w:hideMark/>
          </w:tcPr>
          <w:p w14:paraId="7E6ED3B1" w14:textId="77777777" w:rsidR="00FB7579" w:rsidRPr="0093273E" w:rsidRDefault="00FB7579">
            <w:pPr>
              <w:spacing w:before="0" w:after="0"/>
              <w:cnfStyle w:val="000000010000" w:firstRow="0" w:lastRow="0" w:firstColumn="0" w:lastColumn="0" w:oddVBand="0" w:evenVBand="0" w:oddHBand="0" w:evenHBand="1" w:firstRowFirstColumn="0" w:firstRowLastColumn="0" w:lastRowFirstColumn="0" w:lastRowLastColumn="0"/>
              <w:rPr>
                <w:lang w:val="en-GB"/>
              </w:rPr>
            </w:pPr>
            <w:r w:rsidRPr="0093273E">
              <w:rPr>
                <w:lang w:val="en-GB"/>
              </w:rPr>
              <w:t>Medium</w:t>
            </w:r>
          </w:p>
        </w:tc>
      </w:tr>
      <w:tr w:rsidR="00820AA9" w:rsidRPr="006D3C55" w14:paraId="432D55F6" w14:textId="77777777" w:rsidTr="00B2036E">
        <w:trPr>
          <w:cnfStyle w:val="000000100000" w:firstRow="0" w:lastRow="0" w:firstColumn="0" w:lastColumn="0" w:oddVBand="0" w:evenVBand="0" w:oddHBand="1" w:evenHBand="0" w:firstRowFirstColumn="0" w:firstRowLastColumn="0" w:lastRowFirstColumn="0" w:lastRowLastColumn="0"/>
          <w:cantSplit/>
          <w:jc w:val="center"/>
        </w:trPr>
        <w:tc>
          <w:tcPr>
            <w:cnfStyle w:val="001000000000" w:firstRow="0" w:lastRow="0" w:firstColumn="1" w:lastColumn="0" w:oddVBand="0" w:evenVBand="0" w:oddHBand="0" w:evenHBand="0" w:firstRowFirstColumn="0" w:firstRowLastColumn="0" w:lastRowFirstColumn="0" w:lastRowLastColumn="0"/>
            <w:tcW w:w="1247" w:type="pct"/>
            <w:shd w:val="clear" w:color="auto" w:fill="F2F2F2" w:themeFill="background1" w:themeFillShade="F2"/>
          </w:tcPr>
          <w:p w14:paraId="5E901D03" w14:textId="3CA74BB6" w:rsidR="00D3223B" w:rsidRPr="006D3C55" w:rsidRDefault="00E65B85" w:rsidP="00D3223B">
            <w:pPr>
              <w:spacing w:before="0" w:after="0"/>
              <w:rPr>
                <w:noProof/>
                <w:highlight w:val="yellow"/>
              </w:rPr>
            </w:pPr>
            <w:r w:rsidRPr="00E65B85">
              <w:rPr>
                <w:noProof/>
              </w:rPr>
              <mc:AlternateContent>
                <mc:Choice Requires="wpg">
                  <w:drawing>
                    <wp:inline distT="0" distB="0" distL="0" distR="0" wp14:anchorId="19239E71" wp14:editId="64496974">
                      <wp:extent cx="129600" cy="129600"/>
                      <wp:effectExtent l="0" t="0" r="3810" b="3810"/>
                      <wp:docPr id="6" name="Group 5">
                        <a:extLst xmlns:a="http://schemas.openxmlformats.org/drawingml/2006/main">
                          <a:ext uri="{FF2B5EF4-FFF2-40B4-BE49-F238E27FC236}">
                            <a16:creationId xmlns:a16="http://schemas.microsoft.com/office/drawing/2014/main" id="{13DB7F65-6DE2-C341-0626-CA7A2574BA72}"/>
                          </a:ext>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129600" cy="129600"/>
                                <a:chOff x="0" y="0"/>
                                <a:chExt cx="334963" cy="334963"/>
                              </a:xfrm>
                            </wpg:grpSpPr>
                            <wps:wsp>
                              <wps:cNvPr id="1736571333" name="Freeform 303">
                                <a:extLst>
                                  <a:ext uri="{FF2B5EF4-FFF2-40B4-BE49-F238E27FC236}">
                                    <a16:creationId xmlns:a16="http://schemas.microsoft.com/office/drawing/2014/main" id="{6B879A4B-40C2-87D2-F26A-D399A001C93D}"/>
                                  </a:ext>
                                </a:extLst>
                              </wps:cNvPr>
                              <wps:cNvSpPr>
                                <a:spLocks noEditPoints="1"/>
                              </wps:cNvSpPr>
                              <wps:spPr bwMode="auto">
                                <a:xfrm>
                                  <a:off x="0" y="95250"/>
                                  <a:ext cx="334963" cy="146050"/>
                                </a:xfrm>
                                <a:custGeom>
                                  <a:avLst/>
                                  <a:gdLst>
                                    <a:gd name="T0" fmla="*/ 1587 w 1638"/>
                                    <a:gd name="T1" fmla="*/ 641 h 712"/>
                                    <a:gd name="T2" fmla="*/ 1638 w 1638"/>
                                    <a:gd name="T3" fmla="*/ 356 h 712"/>
                                    <a:gd name="T4" fmla="*/ 1587 w 1638"/>
                                    <a:gd name="T5" fmla="*/ 71 h 712"/>
                                    <a:gd name="T6" fmla="*/ 819 w 1638"/>
                                    <a:gd name="T7" fmla="*/ 0 h 712"/>
                                    <a:gd name="T8" fmla="*/ 51 w 1638"/>
                                    <a:gd name="T9" fmla="*/ 71 h 712"/>
                                    <a:gd name="T10" fmla="*/ 0 w 1638"/>
                                    <a:gd name="T11" fmla="*/ 356 h 712"/>
                                    <a:gd name="T12" fmla="*/ 51 w 1638"/>
                                    <a:gd name="T13" fmla="*/ 641 h 712"/>
                                    <a:gd name="T14" fmla="*/ 819 w 1638"/>
                                    <a:gd name="T15" fmla="*/ 712 h 712"/>
                                    <a:gd name="T16" fmla="*/ 1587 w 1638"/>
                                    <a:gd name="T17" fmla="*/ 641 h 712"/>
                                    <a:gd name="T18" fmla="*/ 1587 w 1638"/>
                                    <a:gd name="T19" fmla="*/ 641 h 712"/>
                                    <a:gd name="T20" fmla="*/ 1587 w 1638"/>
                                    <a:gd name="T21" fmla="*/ 641 h 71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0" t="0" r="r" b="b"/>
                                  <a:pathLst>
                                    <a:path w="1638" h="712">
                                      <a:moveTo>
                                        <a:pt x="1587" y="641"/>
                                      </a:moveTo>
                                      <a:cubicBezTo>
                                        <a:pt x="1620" y="552"/>
                                        <a:pt x="1638" y="456"/>
                                        <a:pt x="1638" y="356"/>
                                      </a:cubicBezTo>
                                      <a:cubicBezTo>
                                        <a:pt x="1638" y="256"/>
                                        <a:pt x="1620" y="160"/>
                                        <a:pt x="1587" y="71"/>
                                      </a:cubicBezTo>
                                      <a:cubicBezTo>
                                        <a:pt x="819" y="0"/>
                                        <a:pt x="819" y="0"/>
                                        <a:pt x="819" y="0"/>
                                      </a:cubicBezTo>
                                      <a:cubicBezTo>
                                        <a:pt x="51" y="71"/>
                                        <a:pt x="51" y="71"/>
                                        <a:pt x="51" y="71"/>
                                      </a:cubicBezTo>
                                      <a:cubicBezTo>
                                        <a:pt x="18" y="160"/>
                                        <a:pt x="0" y="256"/>
                                        <a:pt x="0" y="356"/>
                                      </a:cubicBezTo>
                                      <a:cubicBezTo>
                                        <a:pt x="0" y="456"/>
                                        <a:pt x="18" y="552"/>
                                        <a:pt x="51" y="641"/>
                                      </a:cubicBezTo>
                                      <a:cubicBezTo>
                                        <a:pt x="819" y="712"/>
                                        <a:pt x="819" y="712"/>
                                        <a:pt x="819" y="712"/>
                                      </a:cubicBezTo>
                                      <a:lnTo>
                                        <a:pt x="1587" y="641"/>
                                      </a:lnTo>
                                      <a:close/>
                                      <a:moveTo>
                                        <a:pt x="1587" y="641"/>
                                      </a:moveTo>
                                      <a:cubicBezTo>
                                        <a:pt x="1587" y="641"/>
                                        <a:pt x="1587" y="641"/>
                                        <a:pt x="1587" y="641"/>
                                      </a:cubicBezTo>
                                    </a:path>
                                  </a:pathLst>
                                </a:custGeom>
                                <a:solidFill>
                                  <a:schemeClr val="bg1"/>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47478" tIns="23739" rIns="47478" bIns="23739" numCol="1" anchor="t" anchorCtr="0" compatLnSpc="1">
                                <a:prstTxWarp prst="textNoShape">
                                  <a:avLst/>
                                </a:prstTxWarp>
                              </wps:bodyPr>
                            </wps:wsp>
                            <wps:wsp>
                              <wps:cNvPr id="720150225" name="Freeform 304">
                                <a:extLst>
                                  <a:ext uri="{FF2B5EF4-FFF2-40B4-BE49-F238E27FC236}">
                                    <a16:creationId xmlns:a16="http://schemas.microsoft.com/office/drawing/2014/main" id="{FE243558-F2C2-315B-A193-A00EDA87EEAE}"/>
                                  </a:ext>
                                </a:extLst>
                              </wps:cNvPr>
                              <wps:cNvSpPr>
                                <a:spLocks noEditPoints="1"/>
                              </wps:cNvSpPr>
                              <wps:spPr bwMode="auto">
                                <a:xfrm>
                                  <a:off x="11113" y="225425"/>
                                  <a:ext cx="312738" cy="109538"/>
                                </a:xfrm>
                                <a:custGeom>
                                  <a:avLst/>
                                  <a:gdLst>
                                    <a:gd name="T0" fmla="*/ 768 w 1536"/>
                                    <a:gd name="T1" fmla="*/ 534 h 534"/>
                                    <a:gd name="T2" fmla="*/ 1536 w 1536"/>
                                    <a:gd name="T3" fmla="*/ 0 h 534"/>
                                    <a:gd name="T4" fmla="*/ 0 w 1536"/>
                                    <a:gd name="T5" fmla="*/ 0 h 534"/>
                                    <a:gd name="T6" fmla="*/ 768 w 1536"/>
                                    <a:gd name="T7" fmla="*/ 534 h 534"/>
                                    <a:gd name="T8" fmla="*/ 768 w 1536"/>
                                    <a:gd name="T9" fmla="*/ 534 h 534"/>
                                    <a:gd name="T10" fmla="*/ 768 w 1536"/>
                                    <a:gd name="T11" fmla="*/ 534 h 534"/>
                                  </a:gdLst>
                                  <a:ahLst/>
                                  <a:cxnLst>
                                    <a:cxn ang="0">
                                      <a:pos x="T0" y="T1"/>
                                    </a:cxn>
                                    <a:cxn ang="0">
                                      <a:pos x="T2" y="T3"/>
                                    </a:cxn>
                                    <a:cxn ang="0">
                                      <a:pos x="T4" y="T5"/>
                                    </a:cxn>
                                    <a:cxn ang="0">
                                      <a:pos x="T6" y="T7"/>
                                    </a:cxn>
                                    <a:cxn ang="0">
                                      <a:pos x="T8" y="T9"/>
                                    </a:cxn>
                                    <a:cxn ang="0">
                                      <a:pos x="T10" y="T11"/>
                                    </a:cxn>
                                  </a:cxnLst>
                                  <a:rect l="0" t="0" r="r" b="b"/>
                                  <a:pathLst>
                                    <a:path w="1536" h="534">
                                      <a:moveTo>
                                        <a:pt x="768" y="534"/>
                                      </a:moveTo>
                                      <a:cubicBezTo>
                                        <a:pt x="1120" y="534"/>
                                        <a:pt x="1420" y="312"/>
                                        <a:pt x="1536" y="0"/>
                                      </a:cubicBezTo>
                                      <a:cubicBezTo>
                                        <a:pt x="0" y="0"/>
                                        <a:pt x="0" y="0"/>
                                        <a:pt x="0" y="0"/>
                                      </a:cubicBezTo>
                                      <a:cubicBezTo>
                                        <a:pt x="115" y="312"/>
                                        <a:pt x="416" y="534"/>
                                        <a:pt x="768" y="534"/>
                                      </a:cubicBezTo>
                                      <a:close/>
                                      <a:moveTo>
                                        <a:pt x="768" y="534"/>
                                      </a:moveTo>
                                      <a:cubicBezTo>
                                        <a:pt x="768" y="534"/>
                                        <a:pt x="768" y="534"/>
                                        <a:pt x="768" y="534"/>
                                      </a:cubicBezTo>
                                    </a:path>
                                  </a:pathLst>
                                </a:custGeom>
                                <a:solidFill>
                                  <a:srgbClr val="D80027"/>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47478" tIns="23739" rIns="47478" bIns="23739" numCol="1" anchor="t" anchorCtr="0" compatLnSpc="1">
                                <a:prstTxWarp prst="textNoShape">
                                  <a:avLst/>
                                </a:prstTxWarp>
                              </wps:bodyPr>
                            </wps:wsp>
                            <wps:wsp>
                              <wps:cNvPr id="607294732" name="Freeform 305">
                                <a:extLst>
                                  <a:ext uri="{FF2B5EF4-FFF2-40B4-BE49-F238E27FC236}">
                                    <a16:creationId xmlns:a16="http://schemas.microsoft.com/office/drawing/2014/main" id="{7D02FE03-2DB2-CC74-09A8-454F2531CD23}"/>
                                  </a:ext>
                                </a:extLst>
                              </wps:cNvPr>
                              <wps:cNvSpPr>
                                <a:spLocks noEditPoints="1"/>
                              </wps:cNvSpPr>
                              <wps:spPr bwMode="auto">
                                <a:xfrm>
                                  <a:off x="11113" y="0"/>
                                  <a:ext cx="312738" cy="109538"/>
                                </a:xfrm>
                                <a:custGeom>
                                  <a:avLst/>
                                  <a:gdLst>
                                    <a:gd name="T0" fmla="*/ 768 w 1536"/>
                                    <a:gd name="T1" fmla="*/ 0 h 534"/>
                                    <a:gd name="T2" fmla="*/ 0 w 1536"/>
                                    <a:gd name="T3" fmla="*/ 534 h 534"/>
                                    <a:gd name="T4" fmla="*/ 1536 w 1536"/>
                                    <a:gd name="T5" fmla="*/ 534 h 534"/>
                                    <a:gd name="T6" fmla="*/ 768 w 1536"/>
                                    <a:gd name="T7" fmla="*/ 0 h 534"/>
                                    <a:gd name="T8" fmla="*/ 768 w 1536"/>
                                    <a:gd name="T9" fmla="*/ 0 h 534"/>
                                    <a:gd name="T10" fmla="*/ 768 w 1536"/>
                                    <a:gd name="T11" fmla="*/ 0 h 534"/>
                                  </a:gdLst>
                                  <a:ahLst/>
                                  <a:cxnLst>
                                    <a:cxn ang="0">
                                      <a:pos x="T0" y="T1"/>
                                    </a:cxn>
                                    <a:cxn ang="0">
                                      <a:pos x="T2" y="T3"/>
                                    </a:cxn>
                                    <a:cxn ang="0">
                                      <a:pos x="T4" y="T5"/>
                                    </a:cxn>
                                    <a:cxn ang="0">
                                      <a:pos x="T6" y="T7"/>
                                    </a:cxn>
                                    <a:cxn ang="0">
                                      <a:pos x="T8" y="T9"/>
                                    </a:cxn>
                                    <a:cxn ang="0">
                                      <a:pos x="T10" y="T11"/>
                                    </a:cxn>
                                  </a:cxnLst>
                                  <a:rect l="0" t="0" r="r" b="b"/>
                                  <a:pathLst>
                                    <a:path w="1536" h="534">
                                      <a:moveTo>
                                        <a:pt x="768" y="0"/>
                                      </a:moveTo>
                                      <a:cubicBezTo>
                                        <a:pt x="416" y="0"/>
                                        <a:pt x="115" y="222"/>
                                        <a:pt x="0" y="534"/>
                                      </a:cubicBezTo>
                                      <a:cubicBezTo>
                                        <a:pt x="1536" y="534"/>
                                        <a:pt x="1536" y="534"/>
                                        <a:pt x="1536" y="534"/>
                                      </a:cubicBezTo>
                                      <a:cubicBezTo>
                                        <a:pt x="1420" y="222"/>
                                        <a:pt x="1120" y="0"/>
                                        <a:pt x="768" y="0"/>
                                      </a:cubicBezTo>
                                      <a:close/>
                                      <a:moveTo>
                                        <a:pt x="768" y="0"/>
                                      </a:moveTo>
                                      <a:cubicBezTo>
                                        <a:pt x="768" y="0"/>
                                        <a:pt x="768" y="0"/>
                                        <a:pt x="768" y="0"/>
                                      </a:cubicBezTo>
                                    </a:path>
                                  </a:pathLst>
                                </a:custGeom>
                                <a:solidFill>
                                  <a:srgbClr val="D80027"/>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47478" tIns="23739" rIns="47478" bIns="23739" numCol="1" anchor="t" anchorCtr="0" compatLnSpc="1">
                                <a:prstTxWarp prst="textNoShape">
                                  <a:avLst/>
                                </a:prstTxWarp>
                              </wps:bodyPr>
                            </wps:wsp>
                          </wpg:wgp>
                        </a:graphicData>
                      </a:graphic>
                    </wp:inline>
                  </w:drawing>
                </mc:Choice>
                <mc:Fallback xmlns:arto="http://schemas.microsoft.com/office/word/2006/arto">
                  <w:pict>
                    <v:group w14:anchorId="4E226DD9" id="Group 5" o:spid="_x0000_s1026" alt="&quot;&quot;" style="width:10.2pt;height:10.2pt;mso-position-horizontal-relative:char;mso-position-vertical-relative:line" coordsize="334963,3349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">
                      <v:shape id="Freeform 303" o:spid="_x0000_s1027" style="position:absolute;top:95250;width:334963;height:146050;visibility:visible;mso-wrap-style:square;v-text-anchor:top" coordsize="1638,7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" path="m1587,641v33,-89,51,-185,51,-285c1638,256,1620,160,1587,71,819,,819,,819,,51,71,51,71,51,71,18,160,,256,,356,,456,18,552,51,641v768,71,768,71,768,71l1587,641xm1587,641v,,,,,e" fillcolor="white [3212]" stroked="f">
                        <v:path arrowok="t" o:connecttype="custom" o:connectlocs="324534,131486;334963,73025;324534,14564;167482,0;10429,14564;0,73025;10429,131486;167482,146050;324534,131486;324534,131486;324534,131486" o:connectangles="0,0,0,0,0,0,0,0,0,0,0"/>
                        <o:lock v:ext="edit" verticies="t"/>
                      </v:shape>
                      <v:shape id="Freeform 304" o:spid="_x0000_s1028" style="position:absolute;left:11113;top:225425;width:312738;height:109538;visibility:visible;mso-wrap-style:square;v-text-anchor:top" coordsize="1536,5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" path="m768,534v352,,652,-222,768,-534c,,,,,,115,312,416,534,768,534xm768,534v,,,,,e" fillcolor="#d80027" stroked="f">
                        <v:path arrowok="t" o:connecttype="custom" o:connectlocs="156369,109538;312738,0;0,0;156369,109538;156369,109538;156369,109538" o:connectangles="0,0,0,0,0,0"/>
                        <o:lock v:ext="edit" verticies="t"/>
                      </v:shape>
                      <v:shape id="Freeform 305" o:spid="_x0000_s1029" style="position:absolute;left:11113;width:312738;height:109538;visibility:visible;mso-wrap-style:square;v-text-anchor:top" coordsize="1536,5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" path="m768,c416,,115,222,,534v1536,,1536,,1536,c1420,222,1120,,768,xm768,v,,,,,e" fillcolor="#d80027" stroked="f">
                        <v:path arrowok="t" o:connecttype="custom" o:connectlocs="156369,0;0,109538;312738,109538;156369,0;156369,0;156369,0" o:connectangles="0,0,0,0,0,0"/>
                        <o:lock v:ext="edit" verticies="t"/>
                      </v:shape>
                      <w10:anchorlock/>
                    </v:group>
                  </w:pict>
                </mc:Fallback>
              </mc:AlternateContent>
            </w:r>
            <w:r>
              <w:t xml:space="preserve"> </w:t>
            </w:r>
            <w:r w:rsidR="00D3223B" w:rsidRPr="00D47AC8">
              <w:t>Austria</w:t>
            </w:r>
          </w:p>
        </w:tc>
        <w:tc>
          <w:tcPr>
            <w:tcW w:w="627" w:type="pct"/>
            <w:shd w:val="clear" w:color="auto" w:fill="F2F2F2" w:themeFill="background1" w:themeFillShade="F2"/>
          </w:tcPr>
          <w:p w14:paraId="59B5DAA6" w14:textId="185B5004" w:rsidR="00D3223B" w:rsidRPr="006D3C55" w:rsidRDefault="00D3223B" w:rsidP="00D3223B">
            <w:pPr>
              <w:spacing w:before="0" w:after="0"/>
              <w:cnfStyle w:val="000000100000" w:firstRow="0" w:lastRow="0" w:firstColumn="0" w:lastColumn="0" w:oddVBand="0" w:evenVBand="0" w:oddHBand="1" w:evenHBand="0" w:firstRowFirstColumn="0" w:firstRowLastColumn="0" w:lastRowFirstColumn="0" w:lastRowLastColumn="0"/>
              <w:rPr>
                <w:highlight w:val="yellow"/>
              </w:rPr>
            </w:pPr>
            <w:r w:rsidRPr="00D47AC8">
              <w:t>Second</w:t>
            </w:r>
          </w:p>
        </w:tc>
        <w:tc>
          <w:tcPr>
            <w:tcW w:w="626" w:type="pct"/>
            <w:shd w:val="clear" w:color="auto" w:fill="D5FFE8"/>
          </w:tcPr>
          <w:p w14:paraId="3091F4FD" w14:textId="02195F2E" w:rsidR="00D3223B" w:rsidRPr="006D3C55" w:rsidRDefault="00D3223B" w:rsidP="00D3223B">
            <w:pPr>
              <w:spacing w:before="0" w:after="0"/>
              <w:cnfStyle w:val="000000100000" w:firstRow="0" w:lastRow="0" w:firstColumn="0" w:lastColumn="0" w:oddVBand="0" w:evenVBand="0" w:oddHBand="1" w:evenHBand="0" w:firstRowFirstColumn="0" w:firstRowLastColumn="0" w:lastRowFirstColumn="0" w:lastRowLastColumn="0"/>
              <w:rPr>
                <w:highlight w:val="yellow"/>
              </w:rPr>
            </w:pPr>
            <w:r w:rsidRPr="00D47AC8">
              <w:t>Low</w:t>
            </w:r>
          </w:p>
        </w:tc>
        <w:tc>
          <w:tcPr>
            <w:tcW w:w="627" w:type="pct"/>
            <w:shd w:val="clear" w:color="auto" w:fill="D5FFE8"/>
          </w:tcPr>
          <w:p w14:paraId="6A7049DA" w14:textId="22652441" w:rsidR="00D3223B" w:rsidRPr="006D3C55" w:rsidRDefault="00D3223B" w:rsidP="00D3223B">
            <w:pPr>
              <w:spacing w:before="0" w:after="0"/>
              <w:cnfStyle w:val="000000100000" w:firstRow="0" w:lastRow="0" w:firstColumn="0" w:lastColumn="0" w:oddVBand="0" w:evenVBand="0" w:oddHBand="1" w:evenHBand="0" w:firstRowFirstColumn="0" w:firstRowLastColumn="0" w:lastRowFirstColumn="0" w:lastRowLastColumn="0"/>
              <w:rPr>
                <w:highlight w:val="yellow"/>
              </w:rPr>
            </w:pPr>
            <w:r w:rsidRPr="00D47AC8">
              <w:t>Low</w:t>
            </w:r>
          </w:p>
        </w:tc>
        <w:tc>
          <w:tcPr>
            <w:tcW w:w="471" w:type="pct"/>
            <w:shd w:val="clear" w:color="auto" w:fill="D5FFE8"/>
          </w:tcPr>
          <w:p w14:paraId="70CE1605" w14:textId="1D2CA277" w:rsidR="00D3223B" w:rsidRPr="006D3C55" w:rsidRDefault="00D3223B" w:rsidP="00D3223B">
            <w:pPr>
              <w:spacing w:before="0" w:after="0"/>
              <w:cnfStyle w:val="000000100000" w:firstRow="0" w:lastRow="0" w:firstColumn="0" w:lastColumn="0" w:oddVBand="0" w:evenVBand="0" w:oddHBand="1" w:evenHBand="0" w:firstRowFirstColumn="0" w:firstRowLastColumn="0" w:lastRowFirstColumn="0" w:lastRowLastColumn="0"/>
              <w:rPr>
                <w:highlight w:val="yellow"/>
              </w:rPr>
            </w:pPr>
            <w:r w:rsidRPr="00D47AC8">
              <w:t>Low</w:t>
            </w:r>
          </w:p>
        </w:tc>
        <w:tc>
          <w:tcPr>
            <w:tcW w:w="706" w:type="pct"/>
            <w:shd w:val="clear" w:color="auto" w:fill="FEDD9B" w:themeFill="accent4" w:themeFillTint="66"/>
          </w:tcPr>
          <w:p w14:paraId="2D2FB840" w14:textId="54617955" w:rsidR="00D3223B" w:rsidRPr="006D3C55" w:rsidRDefault="00D3223B" w:rsidP="00D3223B">
            <w:pPr>
              <w:spacing w:before="0" w:after="0"/>
              <w:cnfStyle w:val="000000100000" w:firstRow="0" w:lastRow="0" w:firstColumn="0" w:lastColumn="0" w:oddVBand="0" w:evenVBand="0" w:oddHBand="1" w:evenHBand="0" w:firstRowFirstColumn="0" w:firstRowLastColumn="0" w:lastRowFirstColumn="0" w:lastRowLastColumn="0"/>
              <w:rPr>
                <w:highlight w:val="yellow"/>
              </w:rPr>
            </w:pPr>
            <w:r w:rsidRPr="00D47AC8">
              <w:t>Medium</w:t>
            </w:r>
          </w:p>
        </w:tc>
        <w:tc>
          <w:tcPr>
            <w:tcW w:w="696" w:type="pct"/>
            <w:shd w:val="clear" w:color="auto" w:fill="FEDD9B" w:themeFill="accent4" w:themeFillTint="66"/>
          </w:tcPr>
          <w:p w14:paraId="1ABC4199" w14:textId="3A78A45F" w:rsidR="00D3223B" w:rsidRPr="006D3C55" w:rsidRDefault="00D3223B" w:rsidP="00D3223B">
            <w:pPr>
              <w:spacing w:before="0" w:after="0"/>
              <w:cnfStyle w:val="000000100000" w:firstRow="0" w:lastRow="0" w:firstColumn="0" w:lastColumn="0" w:oddVBand="0" w:evenVBand="0" w:oddHBand="1" w:evenHBand="0" w:firstRowFirstColumn="0" w:firstRowLastColumn="0" w:lastRowFirstColumn="0" w:lastRowLastColumn="0"/>
              <w:rPr>
                <w:highlight w:val="yellow"/>
              </w:rPr>
            </w:pPr>
            <w:r w:rsidRPr="00D47AC8">
              <w:t>Medium</w:t>
            </w:r>
          </w:p>
        </w:tc>
      </w:tr>
      <w:tr w:rsidR="00820AA9" w:rsidRPr="006D3C55" w14:paraId="3AE10FC6" w14:textId="77777777" w:rsidTr="00B2036E">
        <w:trPr>
          <w:cnfStyle w:val="000000010000" w:firstRow="0" w:lastRow="0" w:firstColumn="0" w:lastColumn="0" w:oddVBand="0" w:evenVBand="0" w:oddHBand="0" w:evenHBand="1" w:firstRowFirstColumn="0" w:firstRowLastColumn="0" w:lastRowFirstColumn="0" w:lastRowLastColumn="0"/>
          <w:cantSplit/>
          <w:jc w:val="center"/>
        </w:trPr>
        <w:tc>
          <w:tcPr>
            <w:cnfStyle w:val="001000000000" w:firstRow="0" w:lastRow="0" w:firstColumn="1" w:lastColumn="0" w:oddVBand="0" w:evenVBand="0" w:oddHBand="0" w:evenHBand="0" w:firstRowFirstColumn="0" w:firstRowLastColumn="0" w:lastRowFirstColumn="0" w:lastRowLastColumn="0"/>
            <w:tcW w:w="1247" w:type="pct"/>
            <w:shd w:val="clear" w:color="auto" w:fill="F2F2F2" w:themeFill="background1" w:themeFillShade="F2"/>
          </w:tcPr>
          <w:p w14:paraId="1CB62B79" w14:textId="016667E6" w:rsidR="00D3223B" w:rsidRPr="006D3C55" w:rsidRDefault="00E65B85" w:rsidP="00D3223B">
            <w:pPr>
              <w:spacing w:before="0" w:after="0"/>
              <w:rPr>
                <w:noProof/>
                <w:highlight w:val="yellow"/>
              </w:rPr>
            </w:pPr>
            <w:r w:rsidRPr="00E65B85">
              <w:rPr>
                <w:noProof/>
              </w:rPr>
              <mc:AlternateContent>
                <mc:Choice Requires="wpg">
                  <w:drawing>
                    <wp:inline distT="0" distB="0" distL="0" distR="0" wp14:anchorId="20E33F3A" wp14:editId="6F5F7C7A">
                      <wp:extent cx="129600" cy="129600"/>
                      <wp:effectExtent l="0" t="0" r="3810" b="3810"/>
                      <wp:docPr id="1252342700" name="Group 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129600" cy="129600"/>
                                <a:chOff x="0" y="0"/>
                                <a:chExt cx="334963" cy="334963"/>
                              </a:xfrm>
                            </wpg:grpSpPr>
                            <wps:wsp>
                              <wps:cNvPr id="83876123" name="Freeform 303"/>
                              <wps:cNvSpPr>
                                <a:spLocks noEditPoints="1"/>
                              </wps:cNvSpPr>
                              <wps:spPr bwMode="auto">
                                <a:xfrm>
                                  <a:off x="0" y="95250"/>
                                  <a:ext cx="334963" cy="146050"/>
                                </a:xfrm>
                                <a:custGeom>
                                  <a:avLst/>
                                  <a:gdLst>
                                    <a:gd name="T0" fmla="*/ 1587 w 1638"/>
                                    <a:gd name="T1" fmla="*/ 641 h 712"/>
                                    <a:gd name="T2" fmla="*/ 1638 w 1638"/>
                                    <a:gd name="T3" fmla="*/ 356 h 712"/>
                                    <a:gd name="T4" fmla="*/ 1587 w 1638"/>
                                    <a:gd name="T5" fmla="*/ 71 h 712"/>
                                    <a:gd name="T6" fmla="*/ 819 w 1638"/>
                                    <a:gd name="T7" fmla="*/ 0 h 712"/>
                                    <a:gd name="T8" fmla="*/ 51 w 1638"/>
                                    <a:gd name="T9" fmla="*/ 71 h 712"/>
                                    <a:gd name="T10" fmla="*/ 0 w 1638"/>
                                    <a:gd name="T11" fmla="*/ 356 h 712"/>
                                    <a:gd name="T12" fmla="*/ 51 w 1638"/>
                                    <a:gd name="T13" fmla="*/ 641 h 712"/>
                                    <a:gd name="T14" fmla="*/ 819 w 1638"/>
                                    <a:gd name="T15" fmla="*/ 712 h 712"/>
                                    <a:gd name="T16" fmla="*/ 1587 w 1638"/>
                                    <a:gd name="T17" fmla="*/ 641 h 712"/>
                                    <a:gd name="T18" fmla="*/ 1587 w 1638"/>
                                    <a:gd name="T19" fmla="*/ 641 h 712"/>
                                    <a:gd name="T20" fmla="*/ 1587 w 1638"/>
                                    <a:gd name="T21" fmla="*/ 641 h 71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0" t="0" r="r" b="b"/>
                                  <a:pathLst>
                                    <a:path w="1638" h="712">
                                      <a:moveTo>
                                        <a:pt x="1587" y="641"/>
                                      </a:moveTo>
                                      <a:cubicBezTo>
                                        <a:pt x="1620" y="552"/>
                                        <a:pt x="1638" y="456"/>
                                        <a:pt x="1638" y="356"/>
                                      </a:cubicBezTo>
                                      <a:cubicBezTo>
                                        <a:pt x="1638" y="256"/>
                                        <a:pt x="1620" y="160"/>
                                        <a:pt x="1587" y="71"/>
                                      </a:cubicBezTo>
                                      <a:cubicBezTo>
                                        <a:pt x="819" y="0"/>
                                        <a:pt x="819" y="0"/>
                                        <a:pt x="819" y="0"/>
                                      </a:cubicBezTo>
                                      <a:cubicBezTo>
                                        <a:pt x="51" y="71"/>
                                        <a:pt x="51" y="71"/>
                                        <a:pt x="51" y="71"/>
                                      </a:cubicBezTo>
                                      <a:cubicBezTo>
                                        <a:pt x="18" y="160"/>
                                        <a:pt x="0" y="256"/>
                                        <a:pt x="0" y="356"/>
                                      </a:cubicBezTo>
                                      <a:cubicBezTo>
                                        <a:pt x="0" y="456"/>
                                        <a:pt x="18" y="552"/>
                                        <a:pt x="51" y="641"/>
                                      </a:cubicBezTo>
                                      <a:cubicBezTo>
                                        <a:pt x="819" y="712"/>
                                        <a:pt x="819" y="712"/>
                                        <a:pt x="819" y="712"/>
                                      </a:cubicBezTo>
                                      <a:lnTo>
                                        <a:pt x="1587" y="641"/>
                                      </a:lnTo>
                                      <a:close/>
                                      <a:moveTo>
                                        <a:pt x="1587" y="641"/>
                                      </a:moveTo>
                                      <a:cubicBezTo>
                                        <a:pt x="1587" y="641"/>
                                        <a:pt x="1587" y="641"/>
                                        <a:pt x="1587" y="641"/>
                                      </a:cubicBezTo>
                                    </a:path>
                                  </a:pathLst>
                                </a:custGeom>
                                <a:solidFill>
                                  <a:schemeClr val="bg1"/>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47478" tIns="23739" rIns="47478" bIns="23739" numCol="1" anchor="t" anchorCtr="0" compatLnSpc="1">
                                <a:prstTxWarp prst="textNoShape">
                                  <a:avLst/>
                                </a:prstTxWarp>
                              </wps:bodyPr>
                            </wps:wsp>
                            <wps:wsp>
                              <wps:cNvPr id="1789366039" name="Freeform 304"/>
                              <wps:cNvSpPr>
                                <a:spLocks noEditPoints="1"/>
                              </wps:cNvSpPr>
                              <wps:spPr bwMode="auto">
                                <a:xfrm>
                                  <a:off x="11113" y="225425"/>
                                  <a:ext cx="312738" cy="109538"/>
                                </a:xfrm>
                                <a:custGeom>
                                  <a:avLst/>
                                  <a:gdLst>
                                    <a:gd name="T0" fmla="*/ 768 w 1536"/>
                                    <a:gd name="T1" fmla="*/ 534 h 534"/>
                                    <a:gd name="T2" fmla="*/ 1536 w 1536"/>
                                    <a:gd name="T3" fmla="*/ 0 h 534"/>
                                    <a:gd name="T4" fmla="*/ 0 w 1536"/>
                                    <a:gd name="T5" fmla="*/ 0 h 534"/>
                                    <a:gd name="T6" fmla="*/ 768 w 1536"/>
                                    <a:gd name="T7" fmla="*/ 534 h 534"/>
                                    <a:gd name="T8" fmla="*/ 768 w 1536"/>
                                    <a:gd name="T9" fmla="*/ 534 h 534"/>
                                    <a:gd name="T10" fmla="*/ 768 w 1536"/>
                                    <a:gd name="T11" fmla="*/ 534 h 534"/>
                                  </a:gdLst>
                                  <a:ahLst/>
                                  <a:cxnLst>
                                    <a:cxn ang="0">
                                      <a:pos x="T0" y="T1"/>
                                    </a:cxn>
                                    <a:cxn ang="0">
                                      <a:pos x="T2" y="T3"/>
                                    </a:cxn>
                                    <a:cxn ang="0">
                                      <a:pos x="T4" y="T5"/>
                                    </a:cxn>
                                    <a:cxn ang="0">
                                      <a:pos x="T6" y="T7"/>
                                    </a:cxn>
                                    <a:cxn ang="0">
                                      <a:pos x="T8" y="T9"/>
                                    </a:cxn>
                                    <a:cxn ang="0">
                                      <a:pos x="T10" y="T11"/>
                                    </a:cxn>
                                  </a:cxnLst>
                                  <a:rect l="0" t="0" r="r" b="b"/>
                                  <a:pathLst>
                                    <a:path w="1536" h="534">
                                      <a:moveTo>
                                        <a:pt x="768" y="534"/>
                                      </a:moveTo>
                                      <a:cubicBezTo>
                                        <a:pt x="1120" y="534"/>
                                        <a:pt x="1420" y="312"/>
                                        <a:pt x="1536" y="0"/>
                                      </a:cubicBezTo>
                                      <a:cubicBezTo>
                                        <a:pt x="0" y="0"/>
                                        <a:pt x="0" y="0"/>
                                        <a:pt x="0" y="0"/>
                                      </a:cubicBezTo>
                                      <a:cubicBezTo>
                                        <a:pt x="115" y="312"/>
                                        <a:pt x="416" y="534"/>
                                        <a:pt x="768" y="534"/>
                                      </a:cubicBezTo>
                                      <a:close/>
                                      <a:moveTo>
                                        <a:pt x="768" y="534"/>
                                      </a:moveTo>
                                      <a:cubicBezTo>
                                        <a:pt x="768" y="534"/>
                                        <a:pt x="768" y="534"/>
                                        <a:pt x="768" y="534"/>
                                      </a:cubicBezTo>
                                    </a:path>
                                  </a:pathLst>
                                </a:custGeom>
                                <a:solidFill>
                                  <a:srgbClr val="D80027"/>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47478" tIns="23739" rIns="47478" bIns="23739" numCol="1" anchor="t" anchorCtr="0" compatLnSpc="1">
                                <a:prstTxWarp prst="textNoShape">
                                  <a:avLst/>
                                </a:prstTxWarp>
                              </wps:bodyPr>
                            </wps:wsp>
                            <wps:wsp>
                              <wps:cNvPr id="1782296167" name="Freeform 305"/>
                              <wps:cNvSpPr>
                                <a:spLocks noEditPoints="1"/>
                              </wps:cNvSpPr>
                              <wps:spPr bwMode="auto">
                                <a:xfrm>
                                  <a:off x="11113" y="0"/>
                                  <a:ext cx="312738" cy="109538"/>
                                </a:xfrm>
                                <a:custGeom>
                                  <a:avLst/>
                                  <a:gdLst>
                                    <a:gd name="T0" fmla="*/ 768 w 1536"/>
                                    <a:gd name="T1" fmla="*/ 0 h 534"/>
                                    <a:gd name="T2" fmla="*/ 0 w 1536"/>
                                    <a:gd name="T3" fmla="*/ 534 h 534"/>
                                    <a:gd name="T4" fmla="*/ 1536 w 1536"/>
                                    <a:gd name="T5" fmla="*/ 534 h 534"/>
                                    <a:gd name="T6" fmla="*/ 768 w 1536"/>
                                    <a:gd name="T7" fmla="*/ 0 h 534"/>
                                    <a:gd name="T8" fmla="*/ 768 w 1536"/>
                                    <a:gd name="T9" fmla="*/ 0 h 534"/>
                                    <a:gd name="T10" fmla="*/ 768 w 1536"/>
                                    <a:gd name="T11" fmla="*/ 0 h 534"/>
                                  </a:gdLst>
                                  <a:ahLst/>
                                  <a:cxnLst>
                                    <a:cxn ang="0">
                                      <a:pos x="T0" y="T1"/>
                                    </a:cxn>
                                    <a:cxn ang="0">
                                      <a:pos x="T2" y="T3"/>
                                    </a:cxn>
                                    <a:cxn ang="0">
                                      <a:pos x="T4" y="T5"/>
                                    </a:cxn>
                                    <a:cxn ang="0">
                                      <a:pos x="T6" y="T7"/>
                                    </a:cxn>
                                    <a:cxn ang="0">
                                      <a:pos x="T8" y="T9"/>
                                    </a:cxn>
                                    <a:cxn ang="0">
                                      <a:pos x="T10" y="T11"/>
                                    </a:cxn>
                                  </a:cxnLst>
                                  <a:rect l="0" t="0" r="r" b="b"/>
                                  <a:pathLst>
                                    <a:path w="1536" h="534">
                                      <a:moveTo>
                                        <a:pt x="768" y="0"/>
                                      </a:moveTo>
                                      <a:cubicBezTo>
                                        <a:pt x="416" y="0"/>
                                        <a:pt x="115" y="222"/>
                                        <a:pt x="0" y="534"/>
                                      </a:cubicBezTo>
                                      <a:cubicBezTo>
                                        <a:pt x="1536" y="534"/>
                                        <a:pt x="1536" y="534"/>
                                        <a:pt x="1536" y="534"/>
                                      </a:cubicBezTo>
                                      <a:cubicBezTo>
                                        <a:pt x="1420" y="222"/>
                                        <a:pt x="1120" y="0"/>
                                        <a:pt x="768" y="0"/>
                                      </a:cubicBezTo>
                                      <a:close/>
                                      <a:moveTo>
                                        <a:pt x="768" y="0"/>
                                      </a:moveTo>
                                      <a:cubicBezTo>
                                        <a:pt x="768" y="0"/>
                                        <a:pt x="768" y="0"/>
                                        <a:pt x="768" y="0"/>
                                      </a:cubicBezTo>
                                    </a:path>
                                  </a:pathLst>
                                </a:custGeom>
                                <a:solidFill>
                                  <a:srgbClr val="D80027"/>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47478" tIns="23739" rIns="47478" bIns="23739" numCol="1" anchor="t" anchorCtr="0" compatLnSpc="1">
                                <a:prstTxWarp prst="textNoShape">
                                  <a:avLst/>
                                </a:prstTxWarp>
                              </wps:bodyPr>
                            </wps:wsp>
                          </wpg:wgp>
                        </a:graphicData>
                      </a:graphic>
                    </wp:inline>
                  </w:drawing>
                </mc:Choice>
                <mc:Fallback xmlns:arto="http://schemas.microsoft.com/office/word/2006/arto">
                  <w:pict>
                    <v:group w14:anchorId="6E39FFEB" id="Group 5" o:spid="_x0000_s1026" alt="&quot;&quot;" style="width:10.2pt;height:10.2pt;mso-position-horizontal-relative:char;mso-position-vertical-relative:line" coordsize="334963,3349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">
                      <v:shape id="Freeform 303" o:spid="_x0000_s1027" style="position:absolute;top:95250;width:334963;height:146050;visibility:visible;mso-wrap-style:square;v-text-anchor:top" coordsize="1638,7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" path="m1587,641v33,-89,51,-185,51,-285c1638,256,1620,160,1587,71,819,,819,,819,,51,71,51,71,51,71,18,160,,256,,356,,456,18,552,51,641v768,71,768,71,768,71l1587,641xm1587,641v,,,,,e" fillcolor="white [3212]" stroked="f">
                        <v:path arrowok="t" o:connecttype="custom" o:connectlocs="324534,131486;334963,73025;324534,14564;167482,0;10429,14564;0,73025;10429,131486;167482,146050;324534,131486;324534,131486;324534,131486" o:connectangles="0,0,0,0,0,0,0,0,0,0,0"/>
                        <o:lock v:ext="edit" verticies="t"/>
                      </v:shape>
                      <v:shape id="Freeform 304" o:spid="_x0000_s1028" style="position:absolute;left:11113;top:225425;width:312738;height:109538;visibility:visible;mso-wrap-style:square;v-text-anchor:top" coordsize="1536,5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" path="m768,534v352,,652,-222,768,-534c,,,,,,115,312,416,534,768,534xm768,534v,,,,,e" fillcolor="#d80027" stroked="f">
                        <v:path arrowok="t" o:connecttype="custom" o:connectlocs="156369,109538;312738,0;0,0;156369,109538;156369,109538;156369,109538" o:connectangles="0,0,0,0,0,0"/>
                        <o:lock v:ext="edit" verticies="t"/>
                      </v:shape>
                      <v:shape id="Freeform 305" o:spid="_x0000_s1029" style="position:absolute;left:11113;width:312738;height:109538;visibility:visible;mso-wrap-style:square;v-text-anchor:top" coordsize="1536,5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" path="m768,c416,,115,222,,534v1536,,1536,,1536,c1420,222,1120,,768,xm768,v,,,,,e" fillcolor="#d80027" stroked="f">
                        <v:path arrowok="t" o:connecttype="custom" o:connectlocs="156369,0;0,109538;312738,109538;156369,0;156369,0;156369,0" o:connectangles="0,0,0,0,0,0"/>
                        <o:lock v:ext="edit" verticies="t"/>
                      </v:shape>
                      <w10:anchorlock/>
                    </v:group>
                  </w:pict>
                </mc:Fallback>
              </mc:AlternateContent>
            </w:r>
            <w:r>
              <w:t xml:space="preserve"> </w:t>
            </w:r>
            <w:r w:rsidR="00D3223B" w:rsidRPr="00D47AC8">
              <w:t>Austria</w:t>
            </w:r>
          </w:p>
        </w:tc>
        <w:tc>
          <w:tcPr>
            <w:tcW w:w="627" w:type="pct"/>
            <w:shd w:val="clear" w:color="auto" w:fill="F2F2F2" w:themeFill="background1" w:themeFillShade="F2"/>
          </w:tcPr>
          <w:p w14:paraId="13AE8FEF" w14:textId="4C672E5F" w:rsidR="00D3223B" w:rsidRPr="006D3C55" w:rsidRDefault="00D3223B" w:rsidP="00D3223B">
            <w:pPr>
              <w:spacing w:before="0" w:after="0"/>
              <w:cnfStyle w:val="000000010000" w:firstRow="0" w:lastRow="0" w:firstColumn="0" w:lastColumn="0" w:oddVBand="0" w:evenVBand="0" w:oddHBand="0" w:evenHBand="1" w:firstRowFirstColumn="0" w:firstRowLastColumn="0" w:lastRowFirstColumn="0" w:lastRowLastColumn="0"/>
              <w:rPr>
                <w:highlight w:val="yellow"/>
              </w:rPr>
            </w:pPr>
            <w:r w:rsidRPr="00D47AC8">
              <w:t>Third</w:t>
            </w:r>
          </w:p>
        </w:tc>
        <w:tc>
          <w:tcPr>
            <w:tcW w:w="626" w:type="pct"/>
            <w:shd w:val="clear" w:color="auto" w:fill="D5FFE8"/>
          </w:tcPr>
          <w:p w14:paraId="2AD48889" w14:textId="2D6AC8E8" w:rsidR="00D3223B" w:rsidRPr="006D3C55" w:rsidRDefault="00D3223B" w:rsidP="00D3223B">
            <w:pPr>
              <w:spacing w:before="0" w:after="0"/>
              <w:cnfStyle w:val="000000010000" w:firstRow="0" w:lastRow="0" w:firstColumn="0" w:lastColumn="0" w:oddVBand="0" w:evenVBand="0" w:oddHBand="0" w:evenHBand="1" w:firstRowFirstColumn="0" w:firstRowLastColumn="0" w:lastRowFirstColumn="0" w:lastRowLastColumn="0"/>
              <w:rPr>
                <w:highlight w:val="yellow"/>
              </w:rPr>
            </w:pPr>
            <w:r w:rsidRPr="00D47AC8">
              <w:t>Low</w:t>
            </w:r>
          </w:p>
        </w:tc>
        <w:tc>
          <w:tcPr>
            <w:tcW w:w="627" w:type="pct"/>
            <w:shd w:val="clear" w:color="auto" w:fill="D5FFE8"/>
          </w:tcPr>
          <w:p w14:paraId="3686B8E7" w14:textId="74AA3050" w:rsidR="00D3223B" w:rsidRPr="006D3C55" w:rsidRDefault="00D3223B" w:rsidP="00D3223B">
            <w:pPr>
              <w:spacing w:before="0" w:after="0"/>
              <w:cnfStyle w:val="000000010000" w:firstRow="0" w:lastRow="0" w:firstColumn="0" w:lastColumn="0" w:oddVBand="0" w:evenVBand="0" w:oddHBand="0" w:evenHBand="1" w:firstRowFirstColumn="0" w:firstRowLastColumn="0" w:lastRowFirstColumn="0" w:lastRowLastColumn="0"/>
              <w:rPr>
                <w:highlight w:val="yellow"/>
              </w:rPr>
            </w:pPr>
            <w:r w:rsidRPr="00D47AC8">
              <w:t>Low</w:t>
            </w:r>
          </w:p>
        </w:tc>
        <w:tc>
          <w:tcPr>
            <w:tcW w:w="471" w:type="pct"/>
            <w:shd w:val="clear" w:color="auto" w:fill="D5FFE8"/>
          </w:tcPr>
          <w:p w14:paraId="6970342E" w14:textId="400C6A91" w:rsidR="00D3223B" w:rsidRPr="006D3C55" w:rsidRDefault="00D3223B" w:rsidP="00D3223B">
            <w:pPr>
              <w:spacing w:before="0" w:after="0"/>
              <w:cnfStyle w:val="000000010000" w:firstRow="0" w:lastRow="0" w:firstColumn="0" w:lastColumn="0" w:oddVBand="0" w:evenVBand="0" w:oddHBand="0" w:evenHBand="1" w:firstRowFirstColumn="0" w:firstRowLastColumn="0" w:lastRowFirstColumn="0" w:lastRowLastColumn="0"/>
              <w:rPr>
                <w:highlight w:val="yellow"/>
              </w:rPr>
            </w:pPr>
            <w:r w:rsidRPr="00D47AC8">
              <w:t>Low</w:t>
            </w:r>
          </w:p>
        </w:tc>
        <w:tc>
          <w:tcPr>
            <w:tcW w:w="706" w:type="pct"/>
            <w:shd w:val="clear" w:color="auto" w:fill="FEDD9B" w:themeFill="accent4" w:themeFillTint="66"/>
          </w:tcPr>
          <w:p w14:paraId="108EC6BE" w14:textId="3761201B" w:rsidR="00D3223B" w:rsidRPr="006D3C55" w:rsidRDefault="00D3223B" w:rsidP="00D3223B">
            <w:pPr>
              <w:spacing w:before="0" w:after="0"/>
              <w:cnfStyle w:val="000000010000" w:firstRow="0" w:lastRow="0" w:firstColumn="0" w:lastColumn="0" w:oddVBand="0" w:evenVBand="0" w:oddHBand="0" w:evenHBand="1" w:firstRowFirstColumn="0" w:firstRowLastColumn="0" w:lastRowFirstColumn="0" w:lastRowLastColumn="0"/>
              <w:rPr>
                <w:highlight w:val="yellow"/>
              </w:rPr>
            </w:pPr>
            <w:r w:rsidRPr="00D47AC8">
              <w:t>Medium</w:t>
            </w:r>
          </w:p>
        </w:tc>
        <w:tc>
          <w:tcPr>
            <w:tcW w:w="696" w:type="pct"/>
            <w:shd w:val="clear" w:color="auto" w:fill="FEDD9B" w:themeFill="accent4" w:themeFillTint="66"/>
          </w:tcPr>
          <w:p w14:paraId="506B2E6E" w14:textId="24198713" w:rsidR="00D3223B" w:rsidRPr="006D3C55" w:rsidRDefault="00D3223B" w:rsidP="00D3223B">
            <w:pPr>
              <w:spacing w:before="0" w:after="0"/>
              <w:cnfStyle w:val="000000010000" w:firstRow="0" w:lastRow="0" w:firstColumn="0" w:lastColumn="0" w:oddVBand="0" w:evenVBand="0" w:oddHBand="0" w:evenHBand="1" w:firstRowFirstColumn="0" w:firstRowLastColumn="0" w:lastRowFirstColumn="0" w:lastRowLastColumn="0"/>
              <w:rPr>
                <w:highlight w:val="yellow"/>
              </w:rPr>
            </w:pPr>
            <w:r w:rsidRPr="00D47AC8">
              <w:t>Medium</w:t>
            </w:r>
          </w:p>
        </w:tc>
      </w:tr>
      <w:tr w:rsidR="004A3355" w:rsidRPr="006D3C55" w14:paraId="6E1D4AFB" w14:textId="77777777" w:rsidTr="00B2036E">
        <w:trPr>
          <w:cnfStyle w:val="000000100000" w:firstRow="0" w:lastRow="0" w:firstColumn="0" w:lastColumn="0" w:oddVBand="0" w:evenVBand="0" w:oddHBand="1" w:evenHBand="0" w:firstRowFirstColumn="0" w:firstRowLastColumn="0" w:lastRowFirstColumn="0" w:lastRowLastColumn="0"/>
          <w:cantSplit/>
          <w:jc w:val="center"/>
        </w:trPr>
        <w:tc>
          <w:tcPr>
            <w:cnfStyle w:val="001000000000" w:firstRow="0" w:lastRow="0" w:firstColumn="1" w:lastColumn="0" w:oddVBand="0" w:evenVBand="0" w:oddHBand="0" w:evenHBand="0" w:firstRowFirstColumn="0" w:firstRowLastColumn="0" w:lastRowFirstColumn="0" w:lastRowLastColumn="0"/>
            <w:tcW w:w="1247" w:type="pct"/>
            <w:shd w:val="clear" w:color="auto" w:fill="FFFFFF" w:themeFill="background1"/>
            <w:vAlign w:val="center"/>
            <w:hideMark/>
          </w:tcPr>
          <w:p w14:paraId="5AD9D7A5" w14:textId="55F9FF96" w:rsidR="00FB7579" w:rsidRPr="003177E9" w:rsidRDefault="00FB7579">
            <w:pPr>
              <w:spacing w:before="0" w:after="0"/>
              <w:rPr>
                <w:lang w:val="en-GB"/>
              </w:rPr>
            </w:pPr>
            <w:r w:rsidRPr="003177E9">
              <w:rPr>
                <w:noProof/>
              </w:rPr>
              <w:drawing>
                <wp:inline distT="0" distB="0" distL="0" distR="0" wp14:anchorId="5BBEB90B" wp14:editId="3D373F65">
                  <wp:extent cx="129540" cy="129540"/>
                  <wp:effectExtent l="0" t="0" r="3810" b="3810"/>
                  <wp:docPr id="179439031" name="Picture 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439031" name="Picture 9">
                            <a:extLst>
                              <a:ext uri="{C183D7F6-B498-43B3-948B-1728B52AA6E4}">
                                <adec:decorative xmlns:adec="http://schemas.microsoft.com/office/drawing/2017/decorative" val="1"/>
                              </a:ext>
                            </a:extLst>
                          </pic:cNvPr>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129540" cy="129540"/>
                          </a:xfrm>
                          <a:prstGeom prst="rect">
                            <a:avLst/>
                          </a:prstGeom>
                          <a:noFill/>
                          <a:ln>
                            <a:noFill/>
                          </a:ln>
                        </pic:spPr>
                      </pic:pic>
                    </a:graphicData>
                  </a:graphic>
                </wp:inline>
              </w:drawing>
            </w:r>
            <w:r w:rsidRPr="003177E9">
              <w:rPr>
                <w:lang w:val="en-GB"/>
              </w:rPr>
              <w:t xml:space="preserve"> Poland</w:t>
            </w:r>
          </w:p>
        </w:tc>
        <w:tc>
          <w:tcPr>
            <w:tcW w:w="627" w:type="pct"/>
            <w:shd w:val="clear" w:color="auto" w:fill="FFFFFF" w:themeFill="background1"/>
            <w:vAlign w:val="center"/>
            <w:hideMark/>
          </w:tcPr>
          <w:p w14:paraId="7232BF90" w14:textId="20961BC1" w:rsidR="00FB7579" w:rsidRPr="003177E9" w:rsidRDefault="00062E0F">
            <w:pPr>
              <w:spacing w:before="0" w:after="0"/>
              <w:cnfStyle w:val="000000100000" w:firstRow="0" w:lastRow="0" w:firstColumn="0" w:lastColumn="0" w:oddVBand="0" w:evenVBand="0" w:oddHBand="1" w:evenHBand="0" w:firstRowFirstColumn="0" w:firstRowLastColumn="0" w:lastRowFirstColumn="0" w:lastRowLastColumn="0"/>
              <w:rPr>
                <w:lang w:val="en-GB"/>
              </w:rPr>
            </w:pPr>
            <w:r w:rsidRPr="003177E9">
              <w:rPr>
                <w:lang w:val="en-GB"/>
              </w:rPr>
              <w:t>Third</w:t>
            </w:r>
          </w:p>
        </w:tc>
        <w:tc>
          <w:tcPr>
            <w:tcW w:w="626" w:type="pct"/>
            <w:shd w:val="clear" w:color="auto" w:fill="FD9C54" w:themeFill="accent2" w:themeFillTint="99"/>
            <w:vAlign w:val="center"/>
            <w:hideMark/>
          </w:tcPr>
          <w:p w14:paraId="1FEBE35D" w14:textId="58551AA1" w:rsidR="00FB7579" w:rsidRPr="000433DB" w:rsidRDefault="0093273E">
            <w:pPr>
              <w:spacing w:before="0" w:after="0"/>
              <w:cnfStyle w:val="000000100000" w:firstRow="0" w:lastRow="0" w:firstColumn="0" w:lastColumn="0" w:oddVBand="0" w:evenVBand="0" w:oddHBand="1" w:evenHBand="0" w:firstRowFirstColumn="0" w:firstRowLastColumn="0" w:lastRowFirstColumn="0" w:lastRowLastColumn="0"/>
              <w:rPr>
                <w:lang w:val="en-GB"/>
              </w:rPr>
            </w:pPr>
            <w:r w:rsidRPr="000433DB">
              <w:rPr>
                <w:lang w:val="en-GB"/>
              </w:rPr>
              <w:t>High</w:t>
            </w:r>
          </w:p>
        </w:tc>
        <w:tc>
          <w:tcPr>
            <w:tcW w:w="627" w:type="pct"/>
            <w:shd w:val="clear" w:color="auto" w:fill="FD9C54" w:themeFill="accent2" w:themeFillTint="99"/>
            <w:vAlign w:val="center"/>
            <w:hideMark/>
          </w:tcPr>
          <w:p w14:paraId="377E1790" w14:textId="0B2E929A" w:rsidR="00FB7579" w:rsidRPr="000433DB" w:rsidRDefault="0093273E">
            <w:pPr>
              <w:spacing w:before="0" w:after="0"/>
              <w:cnfStyle w:val="000000100000" w:firstRow="0" w:lastRow="0" w:firstColumn="0" w:lastColumn="0" w:oddVBand="0" w:evenVBand="0" w:oddHBand="1" w:evenHBand="0" w:firstRowFirstColumn="0" w:firstRowLastColumn="0" w:lastRowFirstColumn="0" w:lastRowLastColumn="0"/>
              <w:rPr>
                <w:lang w:val="en-GB"/>
              </w:rPr>
            </w:pPr>
            <w:r w:rsidRPr="000433DB">
              <w:rPr>
                <w:lang w:val="en-GB"/>
              </w:rPr>
              <w:t>High</w:t>
            </w:r>
          </w:p>
        </w:tc>
        <w:tc>
          <w:tcPr>
            <w:tcW w:w="471" w:type="pct"/>
            <w:shd w:val="clear" w:color="auto" w:fill="FD9C54" w:themeFill="accent2" w:themeFillTint="99"/>
            <w:vAlign w:val="center"/>
            <w:hideMark/>
          </w:tcPr>
          <w:p w14:paraId="7B5AD2AA" w14:textId="602E94D1" w:rsidR="00FB7579" w:rsidRPr="000433DB" w:rsidRDefault="0093273E">
            <w:pPr>
              <w:spacing w:before="0" w:after="0"/>
              <w:cnfStyle w:val="000000100000" w:firstRow="0" w:lastRow="0" w:firstColumn="0" w:lastColumn="0" w:oddVBand="0" w:evenVBand="0" w:oddHBand="1" w:evenHBand="0" w:firstRowFirstColumn="0" w:firstRowLastColumn="0" w:lastRowFirstColumn="0" w:lastRowLastColumn="0"/>
              <w:rPr>
                <w:lang w:val="en-GB"/>
              </w:rPr>
            </w:pPr>
            <w:r w:rsidRPr="000433DB">
              <w:rPr>
                <w:lang w:val="en-GB"/>
              </w:rPr>
              <w:t>High</w:t>
            </w:r>
          </w:p>
        </w:tc>
        <w:tc>
          <w:tcPr>
            <w:tcW w:w="706" w:type="pct"/>
            <w:shd w:val="clear" w:color="auto" w:fill="D5FFE8"/>
            <w:vAlign w:val="center"/>
            <w:hideMark/>
          </w:tcPr>
          <w:p w14:paraId="6650BE6A" w14:textId="61079994" w:rsidR="00FB7579" w:rsidRPr="00D97A1C" w:rsidRDefault="00D97A1C">
            <w:pPr>
              <w:spacing w:before="0" w:after="0"/>
              <w:cnfStyle w:val="000000100000" w:firstRow="0" w:lastRow="0" w:firstColumn="0" w:lastColumn="0" w:oddVBand="0" w:evenVBand="0" w:oddHBand="1" w:evenHBand="0" w:firstRowFirstColumn="0" w:firstRowLastColumn="0" w:lastRowFirstColumn="0" w:lastRowLastColumn="0"/>
              <w:rPr>
                <w:lang w:val="en-GB"/>
              </w:rPr>
            </w:pPr>
            <w:r w:rsidRPr="00D97A1C">
              <w:t>Low</w:t>
            </w:r>
          </w:p>
        </w:tc>
        <w:tc>
          <w:tcPr>
            <w:tcW w:w="696" w:type="pct"/>
            <w:shd w:val="clear" w:color="auto" w:fill="FEDD9B" w:themeFill="accent4" w:themeFillTint="66"/>
            <w:vAlign w:val="center"/>
            <w:hideMark/>
          </w:tcPr>
          <w:p w14:paraId="42A5CFAF" w14:textId="77777777" w:rsidR="00FB7579" w:rsidRPr="00D97A1C" w:rsidRDefault="00FB7579">
            <w:pPr>
              <w:spacing w:before="0" w:after="0"/>
              <w:cnfStyle w:val="000000100000" w:firstRow="0" w:lastRow="0" w:firstColumn="0" w:lastColumn="0" w:oddVBand="0" w:evenVBand="0" w:oddHBand="1" w:evenHBand="0" w:firstRowFirstColumn="0" w:firstRowLastColumn="0" w:lastRowFirstColumn="0" w:lastRowLastColumn="0"/>
              <w:rPr>
                <w:lang w:val="en-GB"/>
              </w:rPr>
            </w:pPr>
            <w:r w:rsidRPr="00D97A1C">
              <w:rPr>
                <w:lang w:val="en-GB"/>
              </w:rPr>
              <w:t>Medium</w:t>
            </w:r>
          </w:p>
        </w:tc>
      </w:tr>
      <w:tr w:rsidR="00820AA9" w:rsidRPr="006D3C55" w14:paraId="14DD5188" w14:textId="77777777" w:rsidTr="00B2036E">
        <w:trPr>
          <w:cnfStyle w:val="000000010000" w:firstRow="0" w:lastRow="0" w:firstColumn="0" w:lastColumn="0" w:oddVBand="0" w:evenVBand="0" w:oddHBand="0" w:evenHBand="1" w:firstRowFirstColumn="0" w:firstRowLastColumn="0" w:lastRowFirstColumn="0" w:lastRowLastColumn="0"/>
          <w:cantSplit/>
          <w:jc w:val="center"/>
        </w:trPr>
        <w:tc>
          <w:tcPr>
            <w:cnfStyle w:val="001000000000" w:firstRow="0" w:lastRow="0" w:firstColumn="1" w:lastColumn="0" w:oddVBand="0" w:evenVBand="0" w:oddHBand="0" w:evenHBand="0" w:firstRowFirstColumn="0" w:firstRowLastColumn="0" w:lastRowFirstColumn="0" w:lastRowLastColumn="0"/>
            <w:tcW w:w="1247" w:type="pct"/>
            <w:shd w:val="clear" w:color="auto" w:fill="F2F2F2" w:themeFill="background1" w:themeFillShade="F2"/>
            <w:vAlign w:val="center"/>
            <w:hideMark/>
          </w:tcPr>
          <w:p w14:paraId="15CACC84" w14:textId="5880388D" w:rsidR="00FB7579" w:rsidRPr="003177E9" w:rsidRDefault="00FB7579">
            <w:pPr>
              <w:spacing w:before="0" w:after="0"/>
              <w:rPr>
                <w:lang w:val="en-GB"/>
              </w:rPr>
            </w:pPr>
            <w:r w:rsidRPr="003177E9">
              <w:rPr>
                <w:noProof/>
              </w:rPr>
              <w:drawing>
                <wp:inline distT="0" distB="0" distL="0" distR="0" wp14:anchorId="7995A610" wp14:editId="0B87CEE6">
                  <wp:extent cx="129540" cy="129540"/>
                  <wp:effectExtent l="0" t="0" r="3810" b="3810"/>
                  <wp:docPr id="1661700241" name="Picture 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1700241" name="Picture 6">
                            <a:extLst>
                              <a:ext uri="{C183D7F6-B498-43B3-948B-1728B52AA6E4}">
                                <adec:decorative xmlns:adec="http://schemas.microsoft.com/office/drawing/2017/decorative" val="1"/>
                              </a:ext>
                            </a:extLst>
                          </pic:cNvPr>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129540" cy="129540"/>
                          </a:xfrm>
                          <a:prstGeom prst="rect">
                            <a:avLst/>
                          </a:prstGeom>
                          <a:noFill/>
                          <a:ln>
                            <a:noFill/>
                          </a:ln>
                        </pic:spPr>
                      </pic:pic>
                    </a:graphicData>
                  </a:graphic>
                </wp:inline>
              </w:drawing>
            </w:r>
            <w:r w:rsidRPr="003177E9">
              <w:rPr>
                <w:lang w:val="en-GB"/>
              </w:rPr>
              <w:t xml:space="preserve"> Portugal</w:t>
            </w:r>
          </w:p>
        </w:tc>
        <w:tc>
          <w:tcPr>
            <w:tcW w:w="627" w:type="pct"/>
            <w:shd w:val="clear" w:color="auto" w:fill="F2F2F2" w:themeFill="background1" w:themeFillShade="F2"/>
            <w:vAlign w:val="center"/>
            <w:hideMark/>
          </w:tcPr>
          <w:p w14:paraId="20149269" w14:textId="2180CDBE" w:rsidR="00FB7579" w:rsidRPr="003177E9" w:rsidRDefault="00062E0F">
            <w:pPr>
              <w:spacing w:before="0" w:after="0"/>
              <w:cnfStyle w:val="000000010000" w:firstRow="0" w:lastRow="0" w:firstColumn="0" w:lastColumn="0" w:oddVBand="0" w:evenVBand="0" w:oddHBand="0" w:evenHBand="1" w:firstRowFirstColumn="0" w:firstRowLastColumn="0" w:lastRowFirstColumn="0" w:lastRowLastColumn="0"/>
              <w:rPr>
                <w:lang w:val="en-GB"/>
              </w:rPr>
            </w:pPr>
            <w:r w:rsidRPr="003177E9">
              <w:rPr>
                <w:lang w:val="en-GB"/>
              </w:rPr>
              <w:t>Sixth</w:t>
            </w:r>
          </w:p>
        </w:tc>
        <w:tc>
          <w:tcPr>
            <w:tcW w:w="626" w:type="pct"/>
            <w:shd w:val="clear" w:color="auto" w:fill="D5FFE8"/>
            <w:vAlign w:val="center"/>
            <w:hideMark/>
          </w:tcPr>
          <w:p w14:paraId="5041914C" w14:textId="77777777" w:rsidR="00FB7579" w:rsidRPr="00D97A1C" w:rsidRDefault="00FB7579">
            <w:pPr>
              <w:spacing w:before="0" w:after="0"/>
              <w:cnfStyle w:val="000000010000" w:firstRow="0" w:lastRow="0" w:firstColumn="0" w:lastColumn="0" w:oddVBand="0" w:evenVBand="0" w:oddHBand="0" w:evenHBand="1" w:firstRowFirstColumn="0" w:firstRowLastColumn="0" w:lastRowFirstColumn="0" w:lastRowLastColumn="0"/>
              <w:rPr>
                <w:lang w:val="en-GB"/>
              </w:rPr>
            </w:pPr>
            <w:r w:rsidRPr="00D97A1C">
              <w:rPr>
                <w:lang w:val="en-GB"/>
              </w:rPr>
              <w:t>Low</w:t>
            </w:r>
          </w:p>
        </w:tc>
        <w:tc>
          <w:tcPr>
            <w:tcW w:w="627" w:type="pct"/>
            <w:shd w:val="clear" w:color="auto" w:fill="D5FFE8"/>
            <w:vAlign w:val="center"/>
            <w:hideMark/>
          </w:tcPr>
          <w:p w14:paraId="7E6FF190" w14:textId="77777777" w:rsidR="00FB7579" w:rsidRPr="00D97A1C" w:rsidRDefault="00FB7579">
            <w:pPr>
              <w:spacing w:before="0" w:after="0"/>
              <w:cnfStyle w:val="000000010000" w:firstRow="0" w:lastRow="0" w:firstColumn="0" w:lastColumn="0" w:oddVBand="0" w:evenVBand="0" w:oddHBand="0" w:evenHBand="1" w:firstRowFirstColumn="0" w:firstRowLastColumn="0" w:lastRowFirstColumn="0" w:lastRowLastColumn="0"/>
              <w:rPr>
                <w:lang w:val="en-GB"/>
              </w:rPr>
            </w:pPr>
            <w:r w:rsidRPr="00D97A1C">
              <w:rPr>
                <w:lang w:val="en-GB"/>
              </w:rPr>
              <w:t>Low</w:t>
            </w:r>
          </w:p>
        </w:tc>
        <w:tc>
          <w:tcPr>
            <w:tcW w:w="471" w:type="pct"/>
            <w:shd w:val="clear" w:color="auto" w:fill="D5FFE8"/>
            <w:vAlign w:val="center"/>
            <w:hideMark/>
          </w:tcPr>
          <w:p w14:paraId="2793232A" w14:textId="77777777" w:rsidR="00FB7579" w:rsidRPr="00D97A1C" w:rsidRDefault="00FB7579">
            <w:pPr>
              <w:spacing w:before="0" w:after="0"/>
              <w:cnfStyle w:val="000000010000" w:firstRow="0" w:lastRow="0" w:firstColumn="0" w:lastColumn="0" w:oddVBand="0" w:evenVBand="0" w:oddHBand="0" w:evenHBand="1" w:firstRowFirstColumn="0" w:firstRowLastColumn="0" w:lastRowFirstColumn="0" w:lastRowLastColumn="0"/>
              <w:rPr>
                <w:lang w:val="en-GB"/>
              </w:rPr>
            </w:pPr>
            <w:r w:rsidRPr="00D97A1C">
              <w:rPr>
                <w:lang w:val="en-GB"/>
              </w:rPr>
              <w:t>Low</w:t>
            </w:r>
          </w:p>
        </w:tc>
        <w:tc>
          <w:tcPr>
            <w:tcW w:w="706" w:type="pct"/>
            <w:shd w:val="clear" w:color="auto" w:fill="D5FFE8"/>
            <w:vAlign w:val="center"/>
            <w:hideMark/>
          </w:tcPr>
          <w:p w14:paraId="52B8D3DB" w14:textId="1002D8B1" w:rsidR="00FB7579" w:rsidRPr="00D97A1C" w:rsidRDefault="00D97A1C">
            <w:pPr>
              <w:spacing w:before="0" w:after="0"/>
              <w:cnfStyle w:val="000000010000" w:firstRow="0" w:lastRow="0" w:firstColumn="0" w:lastColumn="0" w:oddVBand="0" w:evenVBand="0" w:oddHBand="0" w:evenHBand="1" w:firstRowFirstColumn="0" w:firstRowLastColumn="0" w:lastRowFirstColumn="0" w:lastRowLastColumn="0"/>
              <w:rPr>
                <w:lang w:val="en-GB"/>
              </w:rPr>
            </w:pPr>
            <w:r w:rsidRPr="00D97A1C">
              <w:t>Low</w:t>
            </w:r>
          </w:p>
        </w:tc>
        <w:tc>
          <w:tcPr>
            <w:tcW w:w="696" w:type="pct"/>
            <w:shd w:val="clear" w:color="auto" w:fill="FEDD9B" w:themeFill="accent4" w:themeFillTint="66"/>
            <w:vAlign w:val="center"/>
            <w:hideMark/>
          </w:tcPr>
          <w:p w14:paraId="17A44AFC" w14:textId="77777777" w:rsidR="00FB7579" w:rsidRPr="00D97A1C" w:rsidRDefault="00FB7579">
            <w:pPr>
              <w:spacing w:before="0" w:after="0"/>
              <w:cnfStyle w:val="000000010000" w:firstRow="0" w:lastRow="0" w:firstColumn="0" w:lastColumn="0" w:oddVBand="0" w:evenVBand="0" w:oddHBand="0" w:evenHBand="1" w:firstRowFirstColumn="0" w:firstRowLastColumn="0" w:lastRowFirstColumn="0" w:lastRowLastColumn="0"/>
              <w:rPr>
                <w:lang w:val="en-GB"/>
              </w:rPr>
            </w:pPr>
            <w:r w:rsidRPr="00D97A1C">
              <w:rPr>
                <w:lang w:val="en-GB"/>
              </w:rPr>
              <w:t>Medium</w:t>
            </w:r>
          </w:p>
        </w:tc>
      </w:tr>
      <w:tr w:rsidR="00820AA9" w:rsidRPr="006D3C55" w14:paraId="792BED49" w14:textId="77777777" w:rsidTr="00B2036E">
        <w:trPr>
          <w:cnfStyle w:val="000000100000" w:firstRow="0" w:lastRow="0" w:firstColumn="0" w:lastColumn="0" w:oddVBand="0" w:evenVBand="0" w:oddHBand="1" w:evenHBand="0" w:firstRowFirstColumn="0" w:firstRowLastColumn="0" w:lastRowFirstColumn="0" w:lastRowLastColumn="0"/>
          <w:cantSplit/>
          <w:jc w:val="center"/>
        </w:trPr>
        <w:tc>
          <w:tcPr>
            <w:cnfStyle w:val="001000000000" w:firstRow="0" w:lastRow="0" w:firstColumn="1" w:lastColumn="0" w:oddVBand="0" w:evenVBand="0" w:oddHBand="0" w:evenHBand="0" w:firstRowFirstColumn="0" w:firstRowLastColumn="0" w:lastRowFirstColumn="0" w:lastRowLastColumn="0"/>
            <w:tcW w:w="1247" w:type="pct"/>
            <w:shd w:val="clear" w:color="auto" w:fill="F2F2F2" w:themeFill="background1" w:themeFillShade="F2"/>
            <w:vAlign w:val="center"/>
            <w:hideMark/>
          </w:tcPr>
          <w:p w14:paraId="098D99CA" w14:textId="78B1EF34" w:rsidR="00FB7579" w:rsidRPr="003177E9" w:rsidRDefault="00FB7579">
            <w:pPr>
              <w:spacing w:before="0" w:after="0"/>
              <w:rPr>
                <w:lang w:val="en-GB"/>
              </w:rPr>
            </w:pPr>
            <w:r w:rsidRPr="003177E9">
              <w:rPr>
                <w:noProof/>
              </w:rPr>
              <w:drawing>
                <wp:inline distT="0" distB="0" distL="0" distR="0" wp14:anchorId="052A2B61" wp14:editId="741912C9">
                  <wp:extent cx="129540" cy="129540"/>
                  <wp:effectExtent l="0" t="0" r="3810" b="3810"/>
                  <wp:docPr id="1957574582" name="Pictur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7574582" name="Picture 5">
                            <a:extLst>
                              <a:ext uri="{C183D7F6-B498-43B3-948B-1728B52AA6E4}">
                                <adec:decorative xmlns:adec="http://schemas.microsoft.com/office/drawing/2017/decorative" val="1"/>
                              </a:ext>
                            </a:extLst>
                          </pic:cNvPr>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129540" cy="129540"/>
                          </a:xfrm>
                          <a:prstGeom prst="rect">
                            <a:avLst/>
                          </a:prstGeom>
                          <a:noFill/>
                          <a:ln>
                            <a:noFill/>
                          </a:ln>
                        </pic:spPr>
                      </pic:pic>
                    </a:graphicData>
                  </a:graphic>
                </wp:inline>
              </w:drawing>
            </w:r>
            <w:r w:rsidRPr="003177E9">
              <w:rPr>
                <w:lang w:val="en-GB"/>
              </w:rPr>
              <w:t xml:space="preserve"> Portugal</w:t>
            </w:r>
          </w:p>
        </w:tc>
        <w:tc>
          <w:tcPr>
            <w:tcW w:w="627" w:type="pct"/>
            <w:shd w:val="clear" w:color="auto" w:fill="F2F2F2" w:themeFill="background1" w:themeFillShade="F2"/>
            <w:vAlign w:val="center"/>
            <w:hideMark/>
          </w:tcPr>
          <w:p w14:paraId="18518385" w14:textId="43BBB31B" w:rsidR="00FB7579" w:rsidRPr="003177E9" w:rsidRDefault="00062E0F">
            <w:pPr>
              <w:spacing w:before="0" w:after="0"/>
              <w:cnfStyle w:val="000000100000" w:firstRow="0" w:lastRow="0" w:firstColumn="0" w:lastColumn="0" w:oddVBand="0" w:evenVBand="0" w:oddHBand="1" w:evenHBand="0" w:firstRowFirstColumn="0" w:firstRowLastColumn="0" w:lastRowFirstColumn="0" w:lastRowLastColumn="0"/>
              <w:rPr>
                <w:lang w:val="en-GB"/>
              </w:rPr>
            </w:pPr>
            <w:r w:rsidRPr="003177E9">
              <w:rPr>
                <w:lang w:val="en-GB"/>
              </w:rPr>
              <w:t>Seventh</w:t>
            </w:r>
          </w:p>
        </w:tc>
        <w:tc>
          <w:tcPr>
            <w:tcW w:w="626" w:type="pct"/>
            <w:shd w:val="clear" w:color="auto" w:fill="D5FFE8"/>
            <w:vAlign w:val="center"/>
            <w:hideMark/>
          </w:tcPr>
          <w:p w14:paraId="0A2F5472" w14:textId="77777777" w:rsidR="00FB7579" w:rsidRPr="00D97A1C" w:rsidRDefault="00FB7579">
            <w:pPr>
              <w:spacing w:before="0" w:after="0"/>
              <w:cnfStyle w:val="000000100000" w:firstRow="0" w:lastRow="0" w:firstColumn="0" w:lastColumn="0" w:oddVBand="0" w:evenVBand="0" w:oddHBand="1" w:evenHBand="0" w:firstRowFirstColumn="0" w:firstRowLastColumn="0" w:lastRowFirstColumn="0" w:lastRowLastColumn="0"/>
              <w:rPr>
                <w:lang w:val="en-GB"/>
              </w:rPr>
            </w:pPr>
            <w:r w:rsidRPr="00D97A1C">
              <w:rPr>
                <w:lang w:val="en-GB"/>
              </w:rPr>
              <w:t>Low</w:t>
            </w:r>
          </w:p>
        </w:tc>
        <w:tc>
          <w:tcPr>
            <w:tcW w:w="627" w:type="pct"/>
            <w:shd w:val="clear" w:color="auto" w:fill="D5FFE8"/>
            <w:vAlign w:val="center"/>
            <w:hideMark/>
          </w:tcPr>
          <w:p w14:paraId="54C745B2" w14:textId="77777777" w:rsidR="00FB7579" w:rsidRPr="00D97A1C" w:rsidRDefault="00FB7579">
            <w:pPr>
              <w:spacing w:before="0" w:after="0"/>
              <w:cnfStyle w:val="000000100000" w:firstRow="0" w:lastRow="0" w:firstColumn="0" w:lastColumn="0" w:oddVBand="0" w:evenVBand="0" w:oddHBand="1" w:evenHBand="0" w:firstRowFirstColumn="0" w:firstRowLastColumn="0" w:lastRowFirstColumn="0" w:lastRowLastColumn="0"/>
              <w:rPr>
                <w:lang w:val="en-GB"/>
              </w:rPr>
            </w:pPr>
            <w:r w:rsidRPr="00D97A1C">
              <w:rPr>
                <w:lang w:val="en-GB"/>
              </w:rPr>
              <w:t>Low</w:t>
            </w:r>
          </w:p>
        </w:tc>
        <w:tc>
          <w:tcPr>
            <w:tcW w:w="471" w:type="pct"/>
            <w:shd w:val="clear" w:color="auto" w:fill="D5FFE8"/>
            <w:vAlign w:val="center"/>
            <w:hideMark/>
          </w:tcPr>
          <w:p w14:paraId="7BC9A4E9" w14:textId="77777777" w:rsidR="00FB7579" w:rsidRPr="00D97A1C" w:rsidRDefault="00FB7579">
            <w:pPr>
              <w:spacing w:before="0" w:after="0"/>
              <w:cnfStyle w:val="000000100000" w:firstRow="0" w:lastRow="0" w:firstColumn="0" w:lastColumn="0" w:oddVBand="0" w:evenVBand="0" w:oddHBand="1" w:evenHBand="0" w:firstRowFirstColumn="0" w:firstRowLastColumn="0" w:lastRowFirstColumn="0" w:lastRowLastColumn="0"/>
              <w:rPr>
                <w:lang w:val="en-GB"/>
              </w:rPr>
            </w:pPr>
            <w:r w:rsidRPr="00D97A1C">
              <w:rPr>
                <w:lang w:val="en-GB"/>
              </w:rPr>
              <w:t>Low</w:t>
            </w:r>
          </w:p>
        </w:tc>
        <w:tc>
          <w:tcPr>
            <w:tcW w:w="706" w:type="pct"/>
            <w:shd w:val="clear" w:color="auto" w:fill="D5FFE8"/>
            <w:hideMark/>
          </w:tcPr>
          <w:p w14:paraId="01C88A64" w14:textId="5994303A" w:rsidR="00FB7579" w:rsidRPr="00D97A1C" w:rsidRDefault="00D97A1C">
            <w:pPr>
              <w:spacing w:before="0" w:after="0"/>
              <w:cnfStyle w:val="000000100000" w:firstRow="0" w:lastRow="0" w:firstColumn="0" w:lastColumn="0" w:oddVBand="0" w:evenVBand="0" w:oddHBand="1" w:evenHBand="0" w:firstRowFirstColumn="0" w:firstRowLastColumn="0" w:lastRowFirstColumn="0" w:lastRowLastColumn="0"/>
              <w:rPr>
                <w:lang w:val="en-GB"/>
              </w:rPr>
            </w:pPr>
            <w:r w:rsidRPr="00D97A1C">
              <w:t>Low</w:t>
            </w:r>
          </w:p>
        </w:tc>
        <w:tc>
          <w:tcPr>
            <w:tcW w:w="696" w:type="pct"/>
            <w:shd w:val="clear" w:color="auto" w:fill="FEDD9B" w:themeFill="accent4" w:themeFillTint="66"/>
            <w:hideMark/>
          </w:tcPr>
          <w:p w14:paraId="0571C8AB" w14:textId="77777777" w:rsidR="00FB7579" w:rsidRPr="00D97A1C" w:rsidRDefault="00FB7579">
            <w:pPr>
              <w:spacing w:before="0" w:after="0"/>
              <w:cnfStyle w:val="000000100000" w:firstRow="0" w:lastRow="0" w:firstColumn="0" w:lastColumn="0" w:oddVBand="0" w:evenVBand="0" w:oddHBand="1" w:evenHBand="0" w:firstRowFirstColumn="0" w:firstRowLastColumn="0" w:lastRowFirstColumn="0" w:lastRowLastColumn="0"/>
              <w:rPr>
                <w:lang w:val="en-GB"/>
              </w:rPr>
            </w:pPr>
            <w:r w:rsidRPr="00D97A1C">
              <w:rPr>
                <w:lang w:val="en-GB"/>
              </w:rPr>
              <w:t>Medium</w:t>
            </w:r>
          </w:p>
        </w:tc>
      </w:tr>
      <w:tr w:rsidR="004A3355" w:rsidRPr="006D3C55" w14:paraId="234AC64B" w14:textId="77777777" w:rsidTr="00B2036E">
        <w:trPr>
          <w:cnfStyle w:val="000000010000" w:firstRow="0" w:lastRow="0" w:firstColumn="0" w:lastColumn="0" w:oddVBand="0" w:evenVBand="0" w:oddHBand="0" w:evenHBand="1" w:firstRowFirstColumn="0" w:firstRowLastColumn="0" w:lastRowFirstColumn="0" w:lastRowLastColumn="0"/>
          <w:cantSplit/>
          <w:jc w:val="center"/>
        </w:trPr>
        <w:tc>
          <w:tcPr>
            <w:cnfStyle w:val="001000000000" w:firstRow="0" w:lastRow="0" w:firstColumn="1" w:lastColumn="0" w:oddVBand="0" w:evenVBand="0" w:oddHBand="0" w:evenHBand="0" w:firstRowFirstColumn="0" w:firstRowLastColumn="0" w:lastRowFirstColumn="0" w:lastRowLastColumn="0"/>
            <w:tcW w:w="1247" w:type="pct"/>
            <w:shd w:val="clear" w:color="auto" w:fill="FFFFFF" w:themeFill="background1"/>
            <w:vAlign w:val="center"/>
            <w:hideMark/>
          </w:tcPr>
          <w:p w14:paraId="253AFDF3" w14:textId="01603B67" w:rsidR="00FB7579" w:rsidRPr="000B42C4" w:rsidRDefault="00FB7579">
            <w:pPr>
              <w:spacing w:before="0" w:after="0"/>
              <w:rPr>
                <w:lang w:val="en-GB"/>
              </w:rPr>
            </w:pPr>
            <w:r w:rsidRPr="000B42C4">
              <w:rPr>
                <w:noProof/>
              </w:rPr>
              <w:drawing>
                <wp:inline distT="0" distB="0" distL="0" distR="0" wp14:anchorId="4317D56E" wp14:editId="00F2A2EF">
                  <wp:extent cx="129540" cy="129540"/>
                  <wp:effectExtent l="0" t="0" r="3810" b="3810"/>
                  <wp:docPr id="943029465"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3029465" name="Picture 4">
                            <a:extLst>
                              <a:ext uri="{C183D7F6-B498-43B3-948B-1728B52AA6E4}">
                                <adec:decorative xmlns:adec="http://schemas.microsoft.com/office/drawing/2017/decorative" val="1"/>
                              </a:ext>
                            </a:extLst>
                          </pic:cNvPr>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129540" cy="129540"/>
                          </a:xfrm>
                          <a:prstGeom prst="rect">
                            <a:avLst/>
                          </a:prstGeom>
                          <a:noFill/>
                          <a:ln>
                            <a:noFill/>
                          </a:ln>
                        </pic:spPr>
                      </pic:pic>
                    </a:graphicData>
                  </a:graphic>
                </wp:inline>
              </w:drawing>
            </w:r>
            <w:r w:rsidRPr="000B42C4">
              <w:rPr>
                <w:lang w:val="en-GB"/>
              </w:rPr>
              <w:t xml:space="preserve"> Romania</w:t>
            </w:r>
          </w:p>
        </w:tc>
        <w:tc>
          <w:tcPr>
            <w:tcW w:w="627" w:type="pct"/>
            <w:shd w:val="clear" w:color="auto" w:fill="FFFFFF" w:themeFill="background1"/>
            <w:vAlign w:val="center"/>
            <w:hideMark/>
          </w:tcPr>
          <w:p w14:paraId="632D2852" w14:textId="3EEF5781" w:rsidR="00FB7579" w:rsidRPr="000B42C4" w:rsidRDefault="00062E0F">
            <w:pPr>
              <w:spacing w:before="0" w:after="0"/>
              <w:cnfStyle w:val="000000010000" w:firstRow="0" w:lastRow="0" w:firstColumn="0" w:lastColumn="0" w:oddVBand="0" w:evenVBand="0" w:oddHBand="0" w:evenHBand="1" w:firstRowFirstColumn="0" w:firstRowLastColumn="0" w:lastRowFirstColumn="0" w:lastRowLastColumn="0"/>
              <w:rPr>
                <w:lang w:val="en-GB"/>
              </w:rPr>
            </w:pPr>
            <w:r w:rsidRPr="000B42C4">
              <w:rPr>
                <w:lang w:val="en-GB"/>
              </w:rPr>
              <w:t>Second</w:t>
            </w:r>
          </w:p>
        </w:tc>
        <w:tc>
          <w:tcPr>
            <w:tcW w:w="626" w:type="pct"/>
            <w:shd w:val="clear" w:color="auto" w:fill="D5FFE8"/>
            <w:vAlign w:val="center"/>
            <w:hideMark/>
          </w:tcPr>
          <w:p w14:paraId="5670B1D9" w14:textId="77777777" w:rsidR="00FB7579" w:rsidRPr="000B42C4" w:rsidRDefault="00FB7579">
            <w:pPr>
              <w:spacing w:before="0" w:after="0"/>
              <w:cnfStyle w:val="000000010000" w:firstRow="0" w:lastRow="0" w:firstColumn="0" w:lastColumn="0" w:oddVBand="0" w:evenVBand="0" w:oddHBand="0" w:evenHBand="1" w:firstRowFirstColumn="0" w:firstRowLastColumn="0" w:lastRowFirstColumn="0" w:lastRowLastColumn="0"/>
              <w:rPr>
                <w:lang w:val="en-GB"/>
              </w:rPr>
            </w:pPr>
            <w:r w:rsidRPr="000B42C4">
              <w:rPr>
                <w:lang w:val="en-GB"/>
              </w:rPr>
              <w:t>Low</w:t>
            </w:r>
          </w:p>
        </w:tc>
        <w:tc>
          <w:tcPr>
            <w:tcW w:w="627" w:type="pct"/>
            <w:shd w:val="clear" w:color="auto" w:fill="D5FFE8"/>
            <w:vAlign w:val="center"/>
            <w:hideMark/>
          </w:tcPr>
          <w:p w14:paraId="3C63A66D" w14:textId="77777777" w:rsidR="00FB7579" w:rsidRPr="000B42C4" w:rsidRDefault="00FB7579">
            <w:pPr>
              <w:spacing w:before="0" w:after="0"/>
              <w:cnfStyle w:val="000000010000" w:firstRow="0" w:lastRow="0" w:firstColumn="0" w:lastColumn="0" w:oddVBand="0" w:evenVBand="0" w:oddHBand="0" w:evenHBand="1" w:firstRowFirstColumn="0" w:firstRowLastColumn="0" w:lastRowFirstColumn="0" w:lastRowLastColumn="0"/>
              <w:rPr>
                <w:lang w:val="en-GB"/>
              </w:rPr>
            </w:pPr>
            <w:r w:rsidRPr="000B42C4">
              <w:rPr>
                <w:lang w:val="en-GB"/>
              </w:rPr>
              <w:t>Low</w:t>
            </w:r>
          </w:p>
        </w:tc>
        <w:tc>
          <w:tcPr>
            <w:tcW w:w="471" w:type="pct"/>
            <w:shd w:val="clear" w:color="auto" w:fill="D5FFE8"/>
            <w:vAlign w:val="center"/>
            <w:hideMark/>
          </w:tcPr>
          <w:p w14:paraId="55F48035" w14:textId="77777777" w:rsidR="00FB7579" w:rsidRPr="000B42C4" w:rsidRDefault="00FB7579">
            <w:pPr>
              <w:spacing w:before="0" w:after="0"/>
              <w:cnfStyle w:val="000000010000" w:firstRow="0" w:lastRow="0" w:firstColumn="0" w:lastColumn="0" w:oddVBand="0" w:evenVBand="0" w:oddHBand="0" w:evenHBand="1" w:firstRowFirstColumn="0" w:firstRowLastColumn="0" w:lastRowFirstColumn="0" w:lastRowLastColumn="0"/>
              <w:rPr>
                <w:lang w:val="en-GB"/>
              </w:rPr>
            </w:pPr>
            <w:r w:rsidRPr="000B42C4">
              <w:rPr>
                <w:lang w:val="en-GB"/>
              </w:rPr>
              <w:t>Low</w:t>
            </w:r>
          </w:p>
        </w:tc>
        <w:tc>
          <w:tcPr>
            <w:tcW w:w="706" w:type="pct"/>
            <w:shd w:val="clear" w:color="auto" w:fill="FEDD9B" w:themeFill="accent4" w:themeFillTint="66"/>
            <w:vAlign w:val="center"/>
            <w:hideMark/>
          </w:tcPr>
          <w:p w14:paraId="1FE75E94" w14:textId="77777777" w:rsidR="00FB7579" w:rsidRPr="000B42C4" w:rsidRDefault="00FB7579">
            <w:pPr>
              <w:spacing w:before="0" w:after="0"/>
              <w:cnfStyle w:val="000000010000" w:firstRow="0" w:lastRow="0" w:firstColumn="0" w:lastColumn="0" w:oddVBand="0" w:evenVBand="0" w:oddHBand="0" w:evenHBand="1" w:firstRowFirstColumn="0" w:firstRowLastColumn="0" w:lastRowFirstColumn="0" w:lastRowLastColumn="0"/>
              <w:rPr>
                <w:lang w:val="en-GB"/>
              </w:rPr>
            </w:pPr>
            <w:r w:rsidRPr="000B42C4">
              <w:rPr>
                <w:lang w:val="en-GB"/>
              </w:rPr>
              <w:t>Medium</w:t>
            </w:r>
          </w:p>
        </w:tc>
        <w:tc>
          <w:tcPr>
            <w:tcW w:w="696" w:type="pct"/>
            <w:shd w:val="clear" w:color="auto" w:fill="FEDD9B" w:themeFill="accent4" w:themeFillTint="66"/>
            <w:vAlign w:val="center"/>
            <w:hideMark/>
          </w:tcPr>
          <w:p w14:paraId="0A2407C5" w14:textId="77777777" w:rsidR="00FB7579" w:rsidRPr="000B42C4" w:rsidRDefault="00FB7579">
            <w:pPr>
              <w:spacing w:before="0" w:after="0"/>
              <w:cnfStyle w:val="000000010000" w:firstRow="0" w:lastRow="0" w:firstColumn="0" w:lastColumn="0" w:oddVBand="0" w:evenVBand="0" w:oddHBand="0" w:evenHBand="1" w:firstRowFirstColumn="0" w:firstRowLastColumn="0" w:lastRowFirstColumn="0" w:lastRowLastColumn="0"/>
              <w:rPr>
                <w:lang w:val="en-GB"/>
              </w:rPr>
            </w:pPr>
            <w:r w:rsidRPr="000B42C4">
              <w:rPr>
                <w:lang w:val="en-GB"/>
              </w:rPr>
              <w:t>Medium</w:t>
            </w:r>
          </w:p>
        </w:tc>
      </w:tr>
      <w:tr w:rsidR="00820AA9" w:rsidRPr="006D3C55" w14:paraId="107B957C" w14:textId="77777777" w:rsidTr="00B2036E">
        <w:trPr>
          <w:cnfStyle w:val="000000100000" w:firstRow="0" w:lastRow="0" w:firstColumn="0" w:lastColumn="0" w:oddVBand="0" w:evenVBand="0" w:oddHBand="1" w:evenHBand="0" w:firstRowFirstColumn="0" w:firstRowLastColumn="0" w:lastRowFirstColumn="0" w:lastRowLastColumn="0"/>
          <w:cantSplit/>
          <w:jc w:val="center"/>
        </w:trPr>
        <w:tc>
          <w:tcPr>
            <w:cnfStyle w:val="001000000000" w:firstRow="0" w:lastRow="0" w:firstColumn="1" w:lastColumn="0" w:oddVBand="0" w:evenVBand="0" w:oddHBand="0" w:evenHBand="0" w:firstRowFirstColumn="0" w:firstRowLastColumn="0" w:lastRowFirstColumn="0" w:lastRowLastColumn="0"/>
            <w:tcW w:w="1247" w:type="pct"/>
            <w:shd w:val="clear" w:color="auto" w:fill="F2F2F2" w:themeFill="background1" w:themeFillShade="F2"/>
            <w:vAlign w:val="center"/>
            <w:hideMark/>
          </w:tcPr>
          <w:p w14:paraId="06A5E7CB" w14:textId="2DCD8A63" w:rsidR="00FB7579" w:rsidRPr="001F0223" w:rsidRDefault="00FB7579">
            <w:pPr>
              <w:spacing w:before="0" w:after="0"/>
              <w:rPr>
                <w:lang w:val="en-GB"/>
              </w:rPr>
            </w:pPr>
            <w:r w:rsidRPr="001F0223">
              <w:rPr>
                <w:noProof/>
              </w:rPr>
              <w:drawing>
                <wp:inline distT="0" distB="0" distL="0" distR="0" wp14:anchorId="7F9F7132" wp14:editId="77614C50">
                  <wp:extent cx="129540" cy="129540"/>
                  <wp:effectExtent l="0" t="0" r="3810" b="3810"/>
                  <wp:docPr id="691997964"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1997964" name="Picture 3">
                            <a:extLst>
                              <a:ext uri="{C183D7F6-B498-43B3-948B-1728B52AA6E4}">
                                <adec:decorative xmlns:adec="http://schemas.microsoft.com/office/drawing/2017/decorative" val="1"/>
                              </a:ext>
                            </a:extLst>
                          </pic:cNvPr>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129540" cy="129540"/>
                          </a:xfrm>
                          <a:prstGeom prst="rect">
                            <a:avLst/>
                          </a:prstGeom>
                          <a:noFill/>
                          <a:ln>
                            <a:noFill/>
                          </a:ln>
                        </pic:spPr>
                      </pic:pic>
                    </a:graphicData>
                  </a:graphic>
                </wp:inline>
              </w:drawing>
            </w:r>
            <w:r w:rsidRPr="001F0223">
              <w:rPr>
                <w:lang w:val="en-GB"/>
              </w:rPr>
              <w:t xml:space="preserve"> Slovenia</w:t>
            </w:r>
          </w:p>
        </w:tc>
        <w:tc>
          <w:tcPr>
            <w:tcW w:w="627" w:type="pct"/>
            <w:shd w:val="clear" w:color="auto" w:fill="F2F2F2" w:themeFill="background1" w:themeFillShade="F2"/>
            <w:vAlign w:val="center"/>
            <w:hideMark/>
          </w:tcPr>
          <w:p w14:paraId="25BA013B" w14:textId="21343531" w:rsidR="00FB7579" w:rsidRPr="001F0223" w:rsidRDefault="00062E0F">
            <w:pPr>
              <w:spacing w:before="0" w:after="0"/>
              <w:cnfStyle w:val="000000100000" w:firstRow="0" w:lastRow="0" w:firstColumn="0" w:lastColumn="0" w:oddVBand="0" w:evenVBand="0" w:oddHBand="1" w:evenHBand="0" w:firstRowFirstColumn="0" w:firstRowLastColumn="0" w:lastRowFirstColumn="0" w:lastRowLastColumn="0"/>
              <w:rPr>
                <w:lang w:val="en-GB"/>
              </w:rPr>
            </w:pPr>
            <w:r w:rsidRPr="001F0223">
              <w:rPr>
                <w:lang w:val="en-GB"/>
              </w:rPr>
              <w:t>Fourth</w:t>
            </w:r>
          </w:p>
        </w:tc>
        <w:tc>
          <w:tcPr>
            <w:tcW w:w="626" w:type="pct"/>
            <w:shd w:val="clear" w:color="auto" w:fill="D5FFE8"/>
            <w:vAlign w:val="center"/>
            <w:hideMark/>
          </w:tcPr>
          <w:p w14:paraId="6BCE0DE5" w14:textId="77777777" w:rsidR="00FB7579" w:rsidRPr="001F0223" w:rsidRDefault="00FB7579">
            <w:pPr>
              <w:spacing w:before="0" w:after="0"/>
              <w:cnfStyle w:val="000000100000" w:firstRow="0" w:lastRow="0" w:firstColumn="0" w:lastColumn="0" w:oddVBand="0" w:evenVBand="0" w:oddHBand="1" w:evenHBand="0" w:firstRowFirstColumn="0" w:firstRowLastColumn="0" w:lastRowFirstColumn="0" w:lastRowLastColumn="0"/>
              <w:rPr>
                <w:lang w:val="en-GB"/>
              </w:rPr>
            </w:pPr>
            <w:r w:rsidRPr="001F0223">
              <w:rPr>
                <w:lang w:val="en-GB"/>
              </w:rPr>
              <w:t>Low</w:t>
            </w:r>
          </w:p>
        </w:tc>
        <w:tc>
          <w:tcPr>
            <w:tcW w:w="627" w:type="pct"/>
            <w:shd w:val="clear" w:color="auto" w:fill="D5FFE8"/>
            <w:vAlign w:val="center"/>
            <w:hideMark/>
          </w:tcPr>
          <w:p w14:paraId="5AF805BF" w14:textId="77777777" w:rsidR="00FB7579" w:rsidRPr="001F0223" w:rsidRDefault="00FB7579">
            <w:pPr>
              <w:spacing w:before="0" w:after="0"/>
              <w:cnfStyle w:val="000000100000" w:firstRow="0" w:lastRow="0" w:firstColumn="0" w:lastColumn="0" w:oddVBand="0" w:evenVBand="0" w:oddHBand="1" w:evenHBand="0" w:firstRowFirstColumn="0" w:firstRowLastColumn="0" w:lastRowFirstColumn="0" w:lastRowLastColumn="0"/>
              <w:rPr>
                <w:lang w:val="en-GB"/>
              </w:rPr>
            </w:pPr>
            <w:r w:rsidRPr="001F0223">
              <w:rPr>
                <w:lang w:val="en-GB"/>
              </w:rPr>
              <w:t>Low</w:t>
            </w:r>
          </w:p>
        </w:tc>
        <w:tc>
          <w:tcPr>
            <w:tcW w:w="471" w:type="pct"/>
            <w:shd w:val="clear" w:color="auto" w:fill="D5FFE8"/>
            <w:vAlign w:val="center"/>
            <w:hideMark/>
          </w:tcPr>
          <w:p w14:paraId="78015E74" w14:textId="77777777" w:rsidR="00FB7579" w:rsidRPr="001F0223" w:rsidRDefault="00FB7579">
            <w:pPr>
              <w:spacing w:before="0" w:after="0"/>
              <w:cnfStyle w:val="000000100000" w:firstRow="0" w:lastRow="0" w:firstColumn="0" w:lastColumn="0" w:oddVBand="0" w:evenVBand="0" w:oddHBand="1" w:evenHBand="0" w:firstRowFirstColumn="0" w:firstRowLastColumn="0" w:lastRowFirstColumn="0" w:lastRowLastColumn="0"/>
              <w:rPr>
                <w:lang w:val="en-GB"/>
              </w:rPr>
            </w:pPr>
            <w:r w:rsidRPr="001F0223">
              <w:rPr>
                <w:lang w:val="en-GB"/>
              </w:rPr>
              <w:t>Low</w:t>
            </w:r>
          </w:p>
        </w:tc>
        <w:tc>
          <w:tcPr>
            <w:tcW w:w="706" w:type="pct"/>
            <w:shd w:val="clear" w:color="auto" w:fill="D5FFE8"/>
            <w:hideMark/>
          </w:tcPr>
          <w:p w14:paraId="679181D2" w14:textId="0BB0BC84" w:rsidR="00FB7579" w:rsidRPr="001F0223" w:rsidRDefault="00FA4EEB">
            <w:pPr>
              <w:spacing w:before="0" w:after="0"/>
              <w:cnfStyle w:val="000000100000" w:firstRow="0" w:lastRow="0" w:firstColumn="0" w:lastColumn="0" w:oddVBand="0" w:evenVBand="0" w:oddHBand="1" w:evenHBand="0" w:firstRowFirstColumn="0" w:firstRowLastColumn="0" w:lastRowFirstColumn="0" w:lastRowLastColumn="0"/>
              <w:rPr>
                <w:lang w:val="en-GB"/>
              </w:rPr>
            </w:pPr>
            <w:r w:rsidRPr="00D97A1C">
              <w:t>L</w:t>
            </w:r>
            <w:r w:rsidRPr="005C1823">
              <w:rPr>
                <w:shd w:val="clear" w:color="auto" w:fill="D5FFE8"/>
              </w:rPr>
              <w:t>ow</w:t>
            </w:r>
          </w:p>
        </w:tc>
        <w:tc>
          <w:tcPr>
            <w:tcW w:w="696" w:type="pct"/>
            <w:shd w:val="clear" w:color="auto" w:fill="FEDD9B" w:themeFill="accent4" w:themeFillTint="66"/>
            <w:hideMark/>
          </w:tcPr>
          <w:p w14:paraId="542E54E4" w14:textId="32C5FF34" w:rsidR="00FB7579" w:rsidRPr="001F0223" w:rsidRDefault="00FA4EEB">
            <w:pPr>
              <w:spacing w:before="0" w:after="0"/>
              <w:cnfStyle w:val="000000100000" w:firstRow="0" w:lastRow="0" w:firstColumn="0" w:lastColumn="0" w:oddVBand="0" w:evenVBand="0" w:oddHBand="1" w:evenHBand="0" w:firstRowFirstColumn="0" w:firstRowLastColumn="0" w:lastRowFirstColumn="0" w:lastRowLastColumn="0"/>
              <w:rPr>
                <w:lang w:val="en-GB"/>
              </w:rPr>
            </w:pPr>
            <w:r w:rsidRPr="00D97A1C">
              <w:rPr>
                <w:lang w:val="en-GB"/>
              </w:rPr>
              <w:t>Medium</w:t>
            </w:r>
          </w:p>
        </w:tc>
      </w:tr>
      <w:tr w:rsidR="00820AA9" w:rsidRPr="006D3C55" w14:paraId="0C2D56C5" w14:textId="77777777" w:rsidTr="00B2036E">
        <w:trPr>
          <w:cnfStyle w:val="000000010000" w:firstRow="0" w:lastRow="0" w:firstColumn="0" w:lastColumn="0" w:oddVBand="0" w:evenVBand="0" w:oddHBand="0" w:evenHBand="1" w:firstRowFirstColumn="0" w:firstRowLastColumn="0" w:lastRowFirstColumn="0" w:lastRowLastColumn="0"/>
          <w:cantSplit/>
          <w:jc w:val="center"/>
        </w:trPr>
        <w:tc>
          <w:tcPr>
            <w:cnfStyle w:val="001000000000" w:firstRow="0" w:lastRow="0" w:firstColumn="1" w:lastColumn="0" w:oddVBand="0" w:evenVBand="0" w:oddHBand="0" w:evenHBand="0" w:firstRowFirstColumn="0" w:firstRowLastColumn="0" w:lastRowFirstColumn="0" w:lastRowLastColumn="0"/>
            <w:tcW w:w="1247" w:type="pct"/>
            <w:shd w:val="clear" w:color="auto" w:fill="F2F2F2" w:themeFill="background1" w:themeFillShade="F2"/>
            <w:vAlign w:val="center"/>
            <w:hideMark/>
          </w:tcPr>
          <w:p w14:paraId="702263AD" w14:textId="187C5E09" w:rsidR="00FB7579" w:rsidRPr="001F0223" w:rsidRDefault="00FB7579">
            <w:pPr>
              <w:spacing w:before="0" w:after="0"/>
              <w:rPr>
                <w:lang w:val="en-GB"/>
              </w:rPr>
            </w:pPr>
            <w:r w:rsidRPr="001F0223">
              <w:rPr>
                <w:noProof/>
              </w:rPr>
              <w:drawing>
                <wp:inline distT="0" distB="0" distL="0" distR="0" wp14:anchorId="3309077D" wp14:editId="6AB9A0AE">
                  <wp:extent cx="129540" cy="129540"/>
                  <wp:effectExtent l="0" t="0" r="3810" b="3810"/>
                  <wp:docPr id="471691619"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1691619" name="Picture 2">
                            <a:extLst>
                              <a:ext uri="{C183D7F6-B498-43B3-948B-1728B52AA6E4}">
                                <adec:decorative xmlns:adec="http://schemas.microsoft.com/office/drawing/2017/decorative" val="1"/>
                              </a:ext>
                            </a:extLst>
                          </pic:cNvPr>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0" y="0"/>
                            <a:ext cx="129540" cy="129540"/>
                          </a:xfrm>
                          <a:prstGeom prst="rect">
                            <a:avLst/>
                          </a:prstGeom>
                          <a:noFill/>
                          <a:ln>
                            <a:noFill/>
                          </a:ln>
                        </pic:spPr>
                      </pic:pic>
                    </a:graphicData>
                  </a:graphic>
                </wp:inline>
              </w:drawing>
            </w:r>
            <w:r w:rsidRPr="001F0223">
              <w:rPr>
                <w:lang w:val="en-GB"/>
              </w:rPr>
              <w:t xml:space="preserve"> Slovakia</w:t>
            </w:r>
          </w:p>
        </w:tc>
        <w:tc>
          <w:tcPr>
            <w:tcW w:w="627" w:type="pct"/>
            <w:shd w:val="clear" w:color="auto" w:fill="F2F2F2" w:themeFill="background1" w:themeFillShade="F2"/>
            <w:vAlign w:val="center"/>
            <w:hideMark/>
          </w:tcPr>
          <w:p w14:paraId="7256D570" w14:textId="2F1E09EC" w:rsidR="00FB7579" w:rsidRPr="001F0223" w:rsidRDefault="00062E0F">
            <w:pPr>
              <w:spacing w:before="0" w:after="0"/>
              <w:cnfStyle w:val="000000010000" w:firstRow="0" w:lastRow="0" w:firstColumn="0" w:lastColumn="0" w:oddVBand="0" w:evenVBand="0" w:oddHBand="0" w:evenHBand="1" w:firstRowFirstColumn="0" w:firstRowLastColumn="0" w:lastRowFirstColumn="0" w:lastRowLastColumn="0"/>
              <w:rPr>
                <w:lang w:val="en-GB"/>
              </w:rPr>
            </w:pPr>
            <w:r w:rsidRPr="001F0223">
              <w:rPr>
                <w:lang w:val="en-GB"/>
              </w:rPr>
              <w:t>Fifths</w:t>
            </w:r>
          </w:p>
        </w:tc>
        <w:tc>
          <w:tcPr>
            <w:tcW w:w="626" w:type="pct"/>
            <w:shd w:val="clear" w:color="auto" w:fill="D5FFE8"/>
            <w:vAlign w:val="center"/>
            <w:hideMark/>
          </w:tcPr>
          <w:p w14:paraId="0847119E" w14:textId="77777777" w:rsidR="00FB7579" w:rsidRPr="001F0223" w:rsidRDefault="00FB7579">
            <w:pPr>
              <w:spacing w:before="0" w:after="0"/>
              <w:cnfStyle w:val="000000010000" w:firstRow="0" w:lastRow="0" w:firstColumn="0" w:lastColumn="0" w:oddVBand="0" w:evenVBand="0" w:oddHBand="0" w:evenHBand="1" w:firstRowFirstColumn="0" w:firstRowLastColumn="0" w:lastRowFirstColumn="0" w:lastRowLastColumn="0"/>
              <w:rPr>
                <w:lang w:val="en-GB"/>
              </w:rPr>
            </w:pPr>
            <w:r w:rsidRPr="001F0223">
              <w:rPr>
                <w:lang w:val="en-GB"/>
              </w:rPr>
              <w:t>Low</w:t>
            </w:r>
          </w:p>
        </w:tc>
        <w:tc>
          <w:tcPr>
            <w:tcW w:w="627" w:type="pct"/>
            <w:shd w:val="clear" w:color="auto" w:fill="D5FFE8"/>
            <w:vAlign w:val="center"/>
            <w:hideMark/>
          </w:tcPr>
          <w:p w14:paraId="297B8B7A" w14:textId="77777777" w:rsidR="00FB7579" w:rsidRPr="001F0223" w:rsidRDefault="00FB7579">
            <w:pPr>
              <w:spacing w:before="0" w:after="0"/>
              <w:cnfStyle w:val="000000010000" w:firstRow="0" w:lastRow="0" w:firstColumn="0" w:lastColumn="0" w:oddVBand="0" w:evenVBand="0" w:oddHBand="0" w:evenHBand="1" w:firstRowFirstColumn="0" w:firstRowLastColumn="0" w:lastRowFirstColumn="0" w:lastRowLastColumn="0"/>
              <w:rPr>
                <w:lang w:val="en-GB"/>
              </w:rPr>
            </w:pPr>
            <w:r w:rsidRPr="001F0223">
              <w:rPr>
                <w:lang w:val="en-GB"/>
              </w:rPr>
              <w:t>Low</w:t>
            </w:r>
          </w:p>
        </w:tc>
        <w:tc>
          <w:tcPr>
            <w:tcW w:w="471" w:type="pct"/>
            <w:shd w:val="clear" w:color="auto" w:fill="D5FFE8"/>
            <w:vAlign w:val="center"/>
            <w:hideMark/>
          </w:tcPr>
          <w:p w14:paraId="03A2A030" w14:textId="77777777" w:rsidR="00FB7579" w:rsidRPr="001F0223" w:rsidRDefault="00FB7579">
            <w:pPr>
              <w:spacing w:before="0" w:after="0"/>
              <w:cnfStyle w:val="000000010000" w:firstRow="0" w:lastRow="0" w:firstColumn="0" w:lastColumn="0" w:oddVBand="0" w:evenVBand="0" w:oddHBand="0" w:evenHBand="1" w:firstRowFirstColumn="0" w:firstRowLastColumn="0" w:lastRowFirstColumn="0" w:lastRowLastColumn="0"/>
              <w:rPr>
                <w:lang w:val="en-GB"/>
              </w:rPr>
            </w:pPr>
            <w:r w:rsidRPr="001F0223">
              <w:rPr>
                <w:lang w:val="en-GB"/>
              </w:rPr>
              <w:t>Low</w:t>
            </w:r>
          </w:p>
        </w:tc>
        <w:tc>
          <w:tcPr>
            <w:tcW w:w="706" w:type="pct"/>
            <w:shd w:val="clear" w:color="auto" w:fill="FEDD9B" w:themeFill="accent4" w:themeFillTint="66"/>
            <w:vAlign w:val="center"/>
            <w:hideMark/>
          </w:tcPr>
          <w:p w14:paraId="10E81540" w14:textId="77777777" w:rsidR="00FB7579" w:rsidRPr="001F0223" w:rsidRDefault="00FB7579">
            <w:pPr>
              <w:spacing w:before="0" w:after="0"/>
              <w:cnfStyle w:val="000000010000" w:firstRow="0" w:lastRow="0" w:firstColumn="0" w:lastColumn="0" w:oddVBand="0" w:evenVBand="0" w:oddHBand="0" w:evenHBand="1" w:firstRowFirstColumn="0" w:firstRowLastColumn="0" w:lastRowFirstColumn="0" w:lastRowLastColumn="0"/>
              <w:rPr>
                <w:lang w:val="en-GB"/>
              </w:rPr>
            </w:pPr>
            <w:r w:rsidRPr="001F0223">
              <w:rPr>
                <w:lang w:val="en-GB"/>
              </w:rPr>
              <w:t>Medium</w:t>
            </w:r>
          </w:p>
        </w:tc>
        <w:tc>
          <w:tcPr>
            <w:tcW w:w="696" w:type="pct"/>
            <w:shd w:val="clear" w:color="auto" w:fill="FEDD9B" w:themeFill="accent4" w:themeFillTint="66"/>
            <w:vAlign w:val="center"/>
            <w:hideMark/>
          </w:tcPr>
          <w:p w14:paraId="3283FA7D" w14:textId="77777777" w:rsidR="00FB7579" w:rsidRPr="001F0223" w:rsidRDefault="00FB7579">
            <w:pPr>
              <w:spacing w:before="0" w:after="0"/>
              <w:cnfStyle w:val="000000010000" w:firstRow="0" w:lastRow="0" w:firstColumn="0" w:lastColumn="0" w:oddVBand="0" w:evenVBand="0" w:oddHBand="0" w:evenHBand="1" w:firstRowFirstColumn="0" w:firstRowLastColumn="0" w:lastRowFirstColumn="0" w:lastRowLastColumn="0"/>
              <w:rPr>
                <w:lang w:val="en-GB"/>
              </w:rPr>
            </w:pPr>
            <w:r w:rsidRPr="001F0223">
              <w:rPr>
                <w:lang w:val="en-GB"/>
              </w:rPr>
              <w:t>Medium</w:t>
            </w:r>
          </w:p>
        </w:tc>
      </w:tr>
      <w:tr w:rsidR="004A3355" w:rsidRPr="006D3C55" w14:paraId="1B213828" w14:textId="77777777" w:rsidTr="00B2036E">
        <w:trPr>
          <w:cnfStyle w:val="000000100000" w:firstRow="0" w:lastRow="0" w:firstColumn="0" w:lastColumn="0" w:oddVBand="0" w:evenVBand="0" w:oddHBand="1" w:evenHBand="0" w:firstRowFirstColumn="0" w:firstRowLastColumn="0" w:lastRowFirstColumn="0" w:lastRowLastColumn="0"/>
          <w:cantSplit/>
          <w:jc w:val="center"/>
        </w:trPr>
        <w:tc>
          <w:tcPr>
            <w:cnfStyle w:val="001000000000" w:firstRow="0" w:lastRow="0" w:firstColumn="1" w:lastColumn="0" w:oddVBand="0" w:evenVBand="0" w:oddHBand="0" w:evenHBand="0" w:firstRowFirstColumn="0" w:firstRowLastColumn="0" w:lastRowFirstColumn="0" w:lastRowLastColumn="0"/>
            <w:tcW w:w="1247" w:type="pct"/>
            <w:shd w:val="clear" w:color="auto" w:fill="FFFFFF" w:themeFill="background1"/>
            <w:vAlign w:val="center"/>
            <w:hideMark/>
          </w:tcPr>
          <w:p w14:paraId="42667060" w14:textId="0D0F3809" w:rsidR="00FB7579" w:rsidRPr="00EA727F" w:rsidRDefault="00FA4EEB">
            <w:pPr>
              <w:spacing w:before="0" w:after="0"/>
              <w:rPr>
                <w:lang w:val="en-GB"/>
              </w:rPr>
            </w:pPr>
            <w:r w:rsidRPr="00AF7D5B">
              <w:rPr>
                <w:noProof/>
              </w:rPr>
              <mc:AlternateContent>
                <mc:Choice Requires="wpg">
                  <w:drawing>
                    <wp:inline distT="0" distB="0" distL="0" distR="0" wp14:anchorId="464BE00C" wp14:editId="0B751151">
                      <wp:extent cx="129600" cy="129600"/>
                      <wp:effectExtent l="0" t="0" r="3810" b="3810"/>
                      <wp:docPr id="656845332" name="Group 30">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129600" cy="129600"/>
                                <a:chOff x="0" y="0"/>
                                <a:chExt cx="180000" cy="180000"/>
                              </a:xfrm>
                              <a:effectLst>
                                <a:outerShdw algn="ctr" rotWithShape="0">
                                  <a:prstClr val="black"/>
                                </a:outerShdw>
                              </a:effectLst>
                            </wpg:grpSpPr>
                            <wps:wsp>
                              <wps:cNvPr id="1934618038" name="Oval 1934618038"/>
                              <wps:cNvSpPr/>
                              <wps:spPr>
                                <a:xfrm>
                                  <a:off x="0" y="0"/>
                                  <a:ext cx="180000" cy="180000"/>
                                </a:xfrm>
                                <a:prstGeom prst="ellipse">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924376233" name="Freeform 532"/>
                              <wps:cNvSpPr>
                                <a:spLocks noEditPoints="1"/>
                              </wps:cNvSpPr>
                              <wps:spPr bwMode="auto">
                                <a:xfrm>
                                  <a:off x="0" y="0"/>
                                  <a:ext cx="180000" cy="180000"/>
                                </a:xfrm>
                                <a:custGeom>
                                  <a:avLst/>
                                  <a:gdLst>
                                    <a:gd name="T0" fmla="*/ 1632 w 1639"/>
                                    <a:gd name="T1" fmla="*/ 693 h 1600"/>
                                    <a:gd name="T2" fmla="*/ 641 w 1639"/>
                                    <a:gd name="T3" fmla="*/ 693 h 1600"/>
                                    <a:gd name="T4" fmla="*/ 641 w 1639"/>
                                    <a:gd name="T5" fmla="*/ 0 h 1600"/>
                                    <a:gd name="T6" fmla="*/ 428 w 1639"/>
                                    <a:gd name="T7" fmla="*/ 80 h 1600"/>
                                    <a:gd name="T8" fmla="*/ 428 w 1639"/>
                                    <a:gd name="T9" fmla="*/ 693 h 1600"/>
                                    <a:gd name="T10" fmla="*/ 7 w 1639"/>
                                    <a:gd name="T11" fmla="*/ 693 h 1600"/>
                                    <a:gd name="T12" fmla="*/ 0 w 1639"/>
                                    <a:gd name="T13" fmla="*/ 800 h 1600"/>
                                    <a:gd name="T14" fmla="*/ 7 w 1639"/>
                                    <a:gd name="T15" fmla="*/ 907 h 1600"/>
                                    <a:gd name="T16" fmla="*/ 428 w 1639"/>
                                    <a:gd name="T17" fmla="*/ 907 h 1600"/>
                                    <a:gd name="T18" fmla="*/ 428 w 1639"/>
                                    <a:gd name="T19" fmla="*/ 1519 h 1600"/>
                                    <a:gd name="T20" fmla="*/ 641 w 1639"/>
                                    <a:gd name="T21" fmla="*/ 1600 h 1600"/>
                                    <a:gd name="T22" fmla="*/ 641 w 1639"/>
                                    <a:gd name="T23" fmla="*/ 907 h 1600"/>
                                    <a:gd name="T24" fmla="*/ 1632 w 1639"/>
                                    <a:gd name="T25" fmla="*/ 907 h 1600"/>
                                    <a:gd name="T26" fmla="*/ 1639 w 1639"/>
                                    <a:gd name="T27" fmla="*/ 800 h 1600"/>
                                    <a:gd name="T28" fmla="*/ 1632 w 1639"/>
                                    <a:gd name="T29" fmla="*/ 693 h 1600"/>
                                    <a:gd name="T30" fmla="*/ 1632 w 1639"/>
                                    <a:gd name="T31" fmla="*/ 693 h 1600"/>
                                    <a:gd name="T32" fmla="*/ 1632 w 1639"/>
                                    <a:gd name="T33" fmla="*/ 693 h 160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1639" h="1600">
                                      <a:moveTo>
                                        <a:pt x="1632" y="693"/>
                                      </a:moveTo>
                                      <a:cubicBezTo>
                                        <a:pt x="641" y="693"/>
                                        <a:pt x="641" y="693"/>
                                        <a:pt x="641" y="693"/>
                                      </a:cubicBezTo>
                                      <a:cubicBezTo>
                                        <a:pt x="641" y="0"/>
                                        <a:pt x="641" y="0"/>
                                        <a:pt x="641" y="0"/>
                                      </a:cubicBezTo>
                                      <a:cubicBezTo>
                                        <a:pt x="566" y="17"/>
                                        <a:pt x="494" y="44"/>
                                        <a:pt x="428" y="80"/>
                                      </a:cubicBezTo>
                                      <a:cubicBezTo>
                                        <a:pt x="428" y="693"/>
                                        <a:pt x="428" y="693"/>
                                        <a:pt x="428" y="693"/>
                                      </a:cubicBezTo>
                                      <a:cubicBezTo>
                                        <a:pt x="7" y="693"/>
                                        <a:pt x="7" y="693"/>
                                        <a:pt x="7" y="693"/>
                                      </a:cubicBezTo>
                                      <a:cubicBezTo>
                                        <a:pt x="3" y="728"/>
                                        <a:pt x="0" y="764"/>
                                        <a:pt x="0" y="800"/>
                                      </a:cubicBezTo>
                                      <a:cubicBezTo>
                                        <a:pt x="0" y="836"/>
                                        <a:pt x="3" y="872"/>
                                        <a:pt x="7" y="907"/>
                                      </a:cubicBezTo>
                                      <a:cubicBezTo>
                                        <a:pt x="428" y="907"/>
                                        <a:pt x="428" y="907"/>
                                        <a:pt x="428" y="907"/>
                                      </a:cubicBezTo>
                                      <a:cubicBezTo>
                                        <a:pt x="428" y="1519"/>
                                        <a:pt x="428" y="1519"/>
                                        <a:pt x="428" y="1519"/>
                                      </a:cubicBezTo>
                                      <a:cubicBezTo>
                                        <a:pt x="494" y="1556"/>
                                        <a:pt x="566" y="1583"/>
                                        <a:pt x="641" y="1600"/>
                                      </a:cubicBezTo>
                                      <a:cubicBezTo>
                                        <a:pt x="641" y="907"/>
                                        <a:pt x="641" y="907"/>
                                        <a:pt x="641" y="907"/>
                                      </a:cubicBezTo>
                                      <a:cubicBezTo>
                                        <a:pt x="1632" y="907"/>
                                        <a:pt x="1632" y="907"/>
                                        <a:pt x="1632" y="907"/>
                                      </a:cubicBezTo>
                                      <a:cubicBezTo>
                                        <a:pt x="1636" y="872"/>
                                        <a:pt x="1639" y="836"/>
                                        <a:pt x="1639" y="800"/>
                                      </a:cubicBezTo>
                                      <a:cubicBezTo>
                                        <a:pt x="1639" y="764"/>
                                        <a:pt x="1636" y="728"/>
                                        <a:pt x="1632" y="693"/>
                                      </a:cubicBezTo>
                                      <a:close/>
                                      <a:moveTo>
                                        <a:pt x="1632" y="693"/>
                                      </a:moveTo>
                                      <a:cubicBezTo>
                                        <a:pt x="1632" y="693"/>
                                        <a:pt x="1632" y="693"/>
                                        <a:pt x="1632" y="693"/>
                                      </a:cubicBezTo>
                                    </a:path>
                                  </a:pathLst>
                                </a:custGeom>
                                <a:solidFill>
                                  <a:srgbClr val="0052B4"/>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60DC1E87" w14:textId="77777777" w:rsidR="00FA4EEB" w:rsidRDefault="00FA4EEB" w:rsidP="00AF7D5B">
                                    <w:pPr>
                                      <w:rPr>
                                        <w:rFonts w:ascii="Arial" w:hAnsi="Arial" w:cstheme="minorBidi"/>
                                        <w:color w:val="4D4D4D"/>
                                        <w:kern w:val="24"/>
                                        <w:sz w:val="19"/>
                                        <w:szCs w:val="19"/>
                                        <w:lang w:val="fr-BE"/>
                                      </w:rPr>
                                    </w:pPr>
                                    <w:r>
                                      <w:rPr>
                                        <w:rFonts w:ascii="Arial" w:hAnsi="Arial" w:cstheme="minorBidi"/>
                                        <w:color w:val="4D4D4D"/>
                                        <w:kern w:val="24"/>
                                        <w:sz w:val="19"/>
                                        <w:szCs w:val="19"/>
                                        <w:lang w:val="fr-BE"/>
                                      </w:rPr>
                                      <w:t xml:space="preserve"> </w:t>
                                    </w:r>
                                  </w:p>
                                </w:txbxContent>
                              </wps:txbx>
                              <wps:bodyPr vert="horz" wrap="square" lIns="47478" tIns="23739" rIns="47478" bIns="23739" numCol="1" anchor="t" anchorCtr="0" compatLnSpc="1">
                                <a:prstTxWarp prst="textNoShape">
                                  <a:avLst/>
                                </a:prstTxWarp>
                              </wps:bodyPr>
                            </wps:wsp>
                          </wpg:wgp>
                        </a:graphicData>
                      </a:graphic>
                    </wp:inline>
                  </w:drawing>
                </mc:Choice>
                <mc:Fallback>
                  <w:pict>
                    <v:group w14:anchorId="464BE00C" id="Group 30" o:spid="_x0000_s1027" alt="&quot;&quot;" style="width:10.2pt;height:10.2pt;mso-position-horizontal-relative:char;mso-position-vertical-relative:line" coordsize="180000,18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">
                      <v:oval id="Oval 1934618038" o:spid="_x0000_s1028" style="position:absolute;width:180000;height:1800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" fillcolor="white [3212]" stroked="f" strokeweight="1pt">
                        <v:stroke joinstyle="miter"/>
                      </v:oval>
                      <v:shape id="Freeform 532" o:spid="_x0000_s1029" style="position:absolute;width:180000;height:180000;visibility:visible;mso-wrap-style:square;v-text-anchor:top" coordsize="1639,16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" adj="-11796480,,5400" path="m1632,693v-991,,-991,,-991,c641,,641,,641,,566,17,494,44,428,80v,613,,613,,613c7,693,7,693,7,693,3,728,,764,,800v,36,3,72,7,107c428,907,428,907,428,907v,612,,612,,612c494,1556,566,1583,641,1600v,-693,,-693,,-693c1632,907,1632,907,1632,907v4,-35,7,-71,7,-107c1639,764,1636,728,1632,693xm1632,693v,,,,,e" fillcolor="#0052b4" stroked="f">
                        <v:stroke joinstyle="round"/>
                        <v:formulas/>
                        <v:path arrowok="t" o:connecttype="custom" o:connectlocs="179231,77963;70397,77963;70397,0;47004,9000;47004,77963;769,77963;0,90000;769,102038;47004,102038;47004,170888;70397,180000;70397,102038;179231,102038;180000,90000;179231,77963;179231,77963;179231,77963" o:connectangles="0,0,0,0,0,0,0,0,0,0,0,0,0,0,0,0,0" textboxrect="0,0,1639,1600"/>
                        <o:lock v:ext="edit" verticies="t"/>
                        <v:textbox inset="1.3188mm,.65942mm,1.3188mm,.65942mm">
                          <w:txbxContent>
                            <w:p w14:paraId="60DC1E87" w14:textId="77777777" w:rsidR="00FA4EEB" w:rsidRDefault="00FA4EEB" w:rsidP="00AF7D5B">
                              <w:pPr>
                                <w:rPr>
                                  <w:rFonts w:ascii="Arial" w:hAnsi="Arial" w:cstheme="minorBidi"/>
                                  <w:color w:val="4D4D4D"/>
                                  <w:kern w:val="24"/>
                                  <w:sz w:val="19"/>
                                  <w:szCs w:val="19"/>
                                  <w:lang w:val="fr-BE"/>
                                </w:rPr>
                              </w:pPr>
                              <w:r>
                                <w:rPr>
                                  <w:rFonts w:ascii="Arial" w:hAnsi="Arial" w:cstheme="minorBidi"/>
                                  <w:color w:val="4D4D4D"/>
                                  <w:kern w:val="24"/>
                                  <w:sz w:val="19"/>
                                  <w:szCs w:val="19"/>
                                  <w:lang w:val="fr-BE"/>
                                </w:rPr>
                                <w:t xml:space="preserve"> </w:t>
                              </w:r>
                            </w:p>
                          </w:txbxContent>
                        </v:textbox>
                      </v:shape>
                      <w10:anchorlock/>
                    </v:group>
                  </w:pict>
                </mc:Fallback>
              </mc:AlternateContent>
            </w:r>
            <w:r w:rsidR="00FB7579" w:rsidRPr="00EA727F">
              <w:rPr>
                <w:lang w:val="en-GB"/>
              </w:rPr>
              <w:t xml:space="preserve"> Finland</w:t>
            </w:r>
          </w:p>
        </w:tc>
        <w:tc>
          <w:tcPr>
            <w:tcW w:w="627" w:type="pct"/>
            <w:shd w:val="clear" w:color="auto" w:fill="FFFFFF" w:themeFill="background1"/>
            <w:vAlign w:val="center"/>
            <w:hideMark/>
          </w:tcPr>
          <w:p w14:paraId="6EF1DE2D" w14:textId="1E431F29" w:rsidR="00FB7579" w:rsidRPr="00EA727F" w:rsidRDefault="00D3223B">
            <w:pPr>
              <w:spacing w:before="0" w:after="0"/>
              <w:cnfStyle w:val="000000100000" w:firstRow="0" w:lastRow="0" w:firstColumn="0" w:lastColumn="0" w:oddVBand="0" w:evenVBand="0" w:oddHBand="1" w:evenHBand="0" w:firstRowFirstColumn="0" w:firstRowLastColumn="0" w:lastRowFirstColumn="0" w:lastRowLastColumn="0"/>
              <w:rPr>
                <w:lang w:val="en-GB"/>
              </w:rPr>
            </w:pPr>
            <w:r w:rsidRPr="00EA727F">
              <w:rPr>
                <w:lang w:val="en-GB"/>
              </w:rPr>
              <w:t>Second</w:t>
            </w:r>
          </w:p>
        </w:tc>
        <w:tc>
          <w:tcPr>
            <w:tcW w:w="626" w:type="pct"/>
            <w:shd w:val="clear" w:color="auto" w:fill="D5FFE8"/>
            <w:vAlign w:val="center"/>
            <w:hideMark/>
          </w:tcPr>
          <w:p w14:paraId="4FE5533E" w14:textId="77777777" w:rsidR="00FB7579" w:rsidRPr="00EA727F" w:rsidRDefault="00FB7579">
            <w:pPr>
              <w:spacing w:before="0" w:after="0"/>
              <w:cnfStyle w:val="000000100000" w:firstRow="0" w:lastRow="0" w:firstColumn="0" w:lastColumn="0" w:oddVBand="0" w:evenVBand="0" w:oddHBand="1" w:evenHBand="0" w:firstRowFirstColumn="0" w:firstRowLastColumn="0" w:lastRowFirstColumn="0" w:lastRowLastColumn="0"/>
              <w:rPr>
                <w:lang w:val="en-GB"/>
              </w:rPr>
            </w:pPr>
            <w:r w:rsidRPr="00EA727F">
              <w:rPr>
                <w:lang w:val="en-GB"/>
              </w:rPr>
              <w:t>Low</w:t>
            </w:r>
          </w:p>
        </w:tc>
        <w:tc>
          <w:tcPr>
            <w:tcW w:w="627" w:type="pct"/>
            <w:shd w:val="clear" w:color="auto" w:fill="D5FFE8"/>
            <w:vAlign w:val="center"/>
            <w:hideMark/>
          </w:tcPr>
          <w:p w14:paraId="2BB744C5" w14:textId="77777777" w:rsidR="00FB7579" w:rsidRPr="00EA727F" w:rsidRDefault="00FB7579">
            <w:pPr>
              <w:spacing w:before="0" w:after="0"/>
              <w:cnfStyle w:val="000000100000" w:firstRow="0" w:lastRow="0" w:firstColumn="0" w:lastColumn="0" w:oddVBand="0" w:evenVBand="0" w:oddHBand="1" w:evenHBand="0" w:firstRowFirstColumn="0" w:firstRowLastColumn="0" w:lastRowFirstColumn="0" w:lastRowLastColumn="0"/>
              <w:rPr>
                <w:lang w:val="en-GB"/>
              </w:rPr>
            </w:pPr>
            <w:r w:rsidRPr="00EA727F">
              <w:rPr>
                <w:lang w:val="en-GB"/>
              </w:rPr>
              <w:t>Low</w:t>
            </w:r>
          </w:p>
        </w:tc>
        <w:tc>
          <w:tcPr>
            <w:tcW w:w="471" w:type="pct"/>
            <w:shd w:val="clear" w:color="auto" w:fill="D5FFE8"/>
            <w:vAlign w:val="center"/>
            <w:hideMark/>
          </w:tcPr>
          <w:p w14:paraId="30D60BD7" w14:textId="77777777" w:rsidR="00FB7579" w:rsidRPr="00EA727F" w:rsidRDefault="00FB7579">
            <w:pPr>
              <w:spacing w:before="0" w:after="0"/>
              <w:cnfStyle w:val="000000100000" w:firstRow="0" w:lastRow="0" w:firstColumn="0" w:lastColumn="0" w:oddVBand="0" w:evenVBand="0" w:oddHBand="1" w:evenHBand="0" w:firstRowFirstColumn="0" w:firstRowLastColumn="0" w:lastRowFirstColumn="0" w:lastRowLastColumn="0"/>
              <w:rPr>
                <w:lang w:val="en-GB"/>
              </w:rPr>
            </w:pPr>
            <w:r w:rsidRPr="00EA727F">
              <w:rPr>
                <w:lang w:val="en-GB"/>
              </w:rPr>
              <w:t>Low</w:t>
            </w:r>
          </w:p>
        </w:tc>
        <w:tc>
          <w:tcPr>
            <w:tcW w:w="706" w:type="pct"/>
            <w:shd w:val="clear" w:color="auto" w:fill="D5FFE8"/>
            <w:hideMark/>
          </w:tcPr>
          <w:p w14:paraId="1E90FB84" w14:textId="57C45CDC" w:rsidR="00FB7579" w:rsidRPr="00EA727F" w:rsidRDefault="00FA4EEB">
            <w:pPr>
              <w:spacing w:before="0" w:after="0"/>
              <w:cnfStyle w:val="000000100000" w:firstRow="0" w:lastRow="0" w:firstColumn="0" w:lastColumn="0" w:oddVBand="0" w:evenVBand="0" w:oddHBand="1" w:evenHBand="0" w:firstRowFirstColumn="0" w:firstRowLastColumn="0" w:lastRowFirstColumn="0" w:lastRowLastColumn="0"/>
              <w:rPr>
                <w:lang w:val="en-GB"/>
              </w:rPr>
            </w:pPr>
            <w:r w:rsidRPr="00D97A1C">
              <w:t>Low</w:t>
            </w:r>
          </w:p>
        </w:tc>
        <w:tc>
          <w:tcPr>
            <w:tcW w:w="696" w:type="pct"/>
            <w:shd w:val="clear" w:color="auto" w:fill="FEDD9B" w:themeFill="accent4" w:themeFillTint="66"/>
            <w:hideMark/>
          </w:tcPr>
          <w:p w14:paraId="3B0DCA93" w14:textId="4BD93FED" w:rsidR="00FB7579" w:rsidRPr="00EA727F" w:rsidRDefault="00FA4EEB">
            <w:pPr>
              <w:spacing w:before="0" w:after="0"/>
              <w:cnfStyle w:val="000000100000" w:firstRow="0" w:lastRow="0" w:firstColumn="0" w:lastColumn="0" w:oddVBand="0" w:evenVBand="0" w:oddHBand="1" w:evenHBand="0" w:firstRowFirstColumn="0" w:firstRowLastColumn="0" w:lastRowFirstColumn="0" w:lastRowLastColumn="0"/>
              <w:rPr>
                <w:lang w:val="en-GB"/>
              </w:rPr>
            </w:pPr>
            <w:r w:rsidRPr="00D97A1C">
              <w:rPr>
                <w:lang w:val="en-GB"/>
              </w:rPr>
              <w:t>Medium</w:t>
            </w:r>
          </w:p>
        </w:tc>
      </w:tr>
      <w:tr w:rsidR="004A3355" w:rsidRPr="006D3C55" w14:paraId="3BE4ED2B" w14:textId="77777777" w:rsidTr="00B2036E">
        <w:trPr>
          <w:cnfStyle w:val="000000010000" w:firstRow="0" w:lastRow="0" w:firstColumn="0" w:lastColumn="0" w:oddVBand="0" w:evenVBand="0" w:oddHBand="0" w:evenHBand="1" w:firstRowFirstColumn="0" w:firstRowLastColumn="0" w:lastRowFirstColumn="0" w:lastRowLastColumn="0"/>
          <w:cantSplit/>
          <w:jc w:val="center"/>
        </w:trPr>
        <w:tc>
          <w:tcPr>
            <w:cnfStyle w:val="001000000000" w:firstRow="0" w:lastRow="0" w:firstColumn="1" w:lastColumn="0" w:oddVBand="0" w:evenVBand="0" w:oddHBand="0" w:evenHBand="0" w:firstRowFirstColumn="0" w:firstRowLastColumn="0" w:lastRowFirstColumn="0" w:lastRowLastColumn="0"/>
            <w:tcW w:w="1247" w:type="pct"/>
            <w:shd w:val="clear" w:color="auto" w:fill="FFFFFF" w:themeFill="background1"/>
            <w:vAlign w:val="center"/>
          </w:tcPr>
          <w:p w14:paraId="246182AA" w14:textId="72CE0D9E" w:rsidR="00D3223B" w:rsidRPr="00EA727F" w:rsidRDefault="00FA4EEB" w:rsidP="00D3223B">
            <w:pPr>
              <w:spacing w:before="0" w:after="0"/>
              <w:rPr>
                <w:noProof/>
              </w:rPr>
            </w:pPr>
            <w:r w:rsidRPr="00AF7D5B">
              <w:rPr>
                <w:noProof/>
              </w:rPr>
              <mc:AlternateContent>
                <mc:Choice Requires="wpg">
                  <w:drawing>
                    <wp:inline distT="0" distB="0" distL="0" distR="0" wp14:anchorId="34500D7F" wp14:editId="7C66B685">
                      <wp:extent cx="129600" cy="129600"/>
                      <wp:effectExtent l="0" t="0" r="3810" b="3810"/>
                      <wp:docPr id="31" name="Group 30">
                        <a:extLst xmlns:a="http://schemas.openxmlformats.org/drawingml/2006/main">
                          <a:ext uri="{FF2B5EF4-FFF2-40B4-BE49-F238E27FC236}">
                            <a16:creationId xmlns:a16="http://schemas.microsoft.com/office/drawing/2014/main" id="{6C230D8D-0F62-FD55-36FE-AF2EE12A964F}"/>
                          </a:ext>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129600" cy="129600"/>
                                <a:chOff x="0" y="0"/>
                                <a:chExt cx="180000" cy="180000"/>
                              </a:xfrm>
                              <a:effectLst>
                                <a:outerShdw algn="ctr" rotWithShape="0">
                                  <a:prstClr val="black"/>
                                </a:outerShdw>
                              </a:effectLst>
                            </wpg:grpSpPr>
                            <wps:wsp>
                              <wps:cNvPr id="1091868992" name="Oval 1091868992">
                                <a:extLst>
                                  <a:ext uri="{FF2B5EF4-FFF2-40B4-BE49-F238E27FC236}">
                                    <a16:creationId xmlns:a16="http://schemas.microsoft.com/office/drawing/2014/main" id="{01160803-A679-717C-E4D7-DB454EAE8263}"/>
                                  </a:ext>
                                </a:extLst>
                              </wps:cNvPr>
                              <wps:cNvSpPr/>
                              <wps:spPr>
                                <a:xfrm>
                                  <a:off x="0" y="0"/>
                                  <a:ext cx="180000" cy="180000"/>
                                </a:xfrm>
                                <a:prstGeom prst="ellipse">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351481103" name="Freeform 532">
                                <a:extLst>
                                  <a:ext uri="{FF2B5EF4-FFF2-40B4-BE49-F238E27FC236}">
                                    <a16:creationId xmlns:a16="http://schemas.microsoft.com/office/drawing/2014/main" id="{34EBC52B-AC21-0C17-36DE-3084B930C91F}"/>
                                  </a:ext>
                                </a:extLst>
                              </wps:cNvPr>
                              <wps:cNvSpPr>
                                <a:spLocks noEditPoints="1"/>
                              </wps:cNvSpPr>
                              <wps:spPr bwMode="auto">
                                <a:xfrm>
                                  <a:off x="0" y="0"/>
                                  <a:ext cx="180000" cy="180000"/>
                                </a:xfrm>
                                <a:custGeom>
                                  <a:avLst/>
                                  <a:gdLst>
                                    <a:gd name="T0" fmla="*/ 1632 w 1639"/>
                                    <a:gd name="T1" fmla="*/ 693 h 1600"/>
                                    <a:gd name="T2" fmla="*/ 641 w 1639"/>
                                    <a:gd name="T3" fmla="*/ 693 h 1600"/>
                                    <a:gd name="T4" fmla="*/ 641 w 1639"/>
                                    <a:gd name="T5" fmla="*/ 0 h 1600"/>
                                    <a:gd name="T6" fmla="*/ 428 w 1639"/>
                                    <a:gd name="T7" fmla="*/ 80 h 1600"/>
                                    <a:gd name="T8" fmla="*/ 428 w 1639"/>
                                    <a:gd name="T9" fmla="*/ 693 h 1600"/>
                                    <a:gd name="T10" fmla="*/ 7 w 1639"/>
                                    <a:gd name="T11" fmla="*/ 693 h 1600"/>
                                    <a:gd name="T12" fmla="*/ 0 w 1639"/>
                                    <a:gd name="T13" fmla="*/ 800 h 1600"/>
                                    <a:gd name="T14" fmla="*/ 7 w 1639"/>
                                    <a:gd name="T15" fmla="*/ 907 h 1600"/>
                                    <a:gd name="T16" fmla="*/ 428 w 1639"/>
                                    <a:gd name="T17" fmla="*/ 907 h 1600"/>
                                    <a:gd name="T18" fmla="*/ 428 w 1639"/>
                                    <a:gd name="T19" fmla="*/ 1519 h 1600"/>
                                    <a:gd name="T20" fmla="*/ 641 w 1639"/>
                                    <a:gd name="T21" fmla="*/ 1600 h 1600"/>
                                    <a:gd name="T22" fmla="*/ 641 w 1639"/>
                                    <a:gd name="T23" fmla="*/ 907 h 1600"/>
                                    <a:gd name="T24" fmla="*/ 1632 w 1639"/>
                                    <a:gd name="T25" fmla="*/ 907 h 1600"/>
                                    <a:gd name="T26" fmla="*/ 1639 w 1639"/>
                                    <a:gd name="T27" fmla="*/ 800 h 1600"/>
                                    <a:gd name="T28" fmla="*/ 1632 w 1639"/>
                                    <a:gd name="T29" fmla="*/ 693 h 1600"/>
                                    <a:gd name="T30" fmla="*/ 1632 w 1639"/>
                                    <a:gd name="T31" fmla="*/ 693 h 1600"/>
                                    <a:gd name="T32" fmla="*/ 1632 w 1639"/>
                                    <a:gd name="T33" fmla="*/ 693 h 160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1639" h="1600">
                                      <a:moveTo>
                                        <a:pt x="1632" y="693"/>
                                      </a:moveTo>
                                      <a:cubicBezTo>
                                        <a:pt x="641" y="693"/>
                                        <a:pt x="641" y="693"/>
                                        <a:pt x="641" y="693"/>
                                      </a:cubicBezTo>
                                      <a:cubicBezTo>
                                        <a:pt x="641" y="0"/>
                                        <a:pt x="641" y="0"/>
                                        <a:pt x="641" y="0"/>
                                      </a:cubicBezTo>
                                      <a:cubicBezTo>
                                        <a:pt x="566" y="17"/>
                                        <a:pt x="494" y="44"/>
                                        <a:pt x="428" y="80"/>
                                      </a:cubicBezTo>
                                      <a:cubicBezTo>
                                        <a:pt x="428" y="693"/>
                                        <a:pt x="428" y="693"/>
                                        <a:pt x="428" y="693"/>
                                      </a:cubicBezTo>
                                      <a:cubicBezTo>
                                        <a:pt x="7" y="693"/>
                                        <a:pt x="7" y="693"/>
                                        <a:pt x="7" y="693"/>
                                      </a:cubicBezTo>
                                      <a:cubicBezTo>
                                        <a:pt x="3" y="728"/>
                                        <a:pt x="0" y="764"/>
                                        <a:pt x="0" y="800"/>
                                      </a:cubicBezTo>
                                      <a:cubicBezTo>
                                        <a:pt x="0" y="836"/>
                                        <a:pt x="3" y="872"/>
                                        <a:pt x="7" y="907"/>
                                      </a:cubicBezTo>
                                      <a:cubicBezTo>
                                        <a:pt x="428" y="907"/>
                                        <a:pt x="428" y="907"/>
                                        <a:pt x="428" y="907"/>
                                      </a:cubicBezTo>
                                      <a:cubicBezTo>
                                        <a:pt x="428" y="1519"/>
                                        <a:pt x="428" y="1519"/>
                                        <a:pt x="428" y="1519"/>
                                      </a:cubicBezTo>
                                      <a:cubicBezTo>
                                        <a:pt x="494" y="1556"/>
                                        <a:pt x="566" y="1583"/>
                                        <a:pt x="641" y="1600"/>
                                      </a:cubicBezTo>
                                      <a:cubicBezTo>
                                        <a:pt x="641" y="907"/>
                                        <a:pt x="641" y="907"/>
                                        <a:pt x="641" y="907"/>
                                      </a:cubicBezTo>
                                      <a:cubicBezTo>
                                        <a:pt x="1632" y="907"/>
                                        <a:pt x="1632" y="907"/>
                                        <a:pt x="1632" y="907"/>
                                      </a:cubicBezTo>
                                      <a:cubicBezTo>
                                        <a:pt x="1636" y="872"/>
                                        <a:pt x="1639" y="836"/>
                                        <a:pt x="1639" y="800"/>
                                      </a:cubicBezTo>
                                      <a:cubicBezTo>
                                        <a:pt x="1639" y="764"/>
                                        <a:pt x="1636" y="728"/>
                                        <a:pt x="1632" y="693"/>
                                      </a:cubicBezTo>
                                      <a:close/>
                                      <a:moveTo>
                                        <a:pt x="1632" y="693"/>
                                      </a:moveTo>
                                      <a:cubicBezTo>
                                        <a:pt x="1632" y="693"/>
                                        <a:pt x="1632" y="693"/>
                                        <a:pt x="1632" y="693"/>
                                      </a:cubicBezTo>
                                    </a:path>
                                  </a:pathLst>
                                </a:custGeom>
                                <a:solidFill>
                                  <a:srgbClr val="0052B4"/>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154F2DB0" w14:textId="77777777" w:rsidR="00FA4EEB" w:rsidRDefault="00FA4EEB" w:rsidP="00AF7D5B">
                                    <w:pPr>
                                      <w:rPr>
                                        <w:rFonts w:ascii="Arial" w:hAnsi="Arial" w:cstheme="minorBidi"/>
                                        <w:color w:val="4D4D4D"/>
                                        <w:kern w:val="24"/>
                                        <w:sz w:val="19"/>
                                        <w:szCs w:val="19"/>
                                        <w:lang w:val="fr-BE"/>
                                      </w:rPr>
                                    </w:pPr>
                                    <w:r>
                                      <w:rPr>
                                        <w:rFonts w:ascii="Arial" w:hAnsi="Arial" w:cstheme="minorBidi"/>
                                        <w:color w:val="4D4D4D"/>
                                        <w:kern w:val="24"/>
                                        <w:sz w:val="19"/>
                                        <w:szCs w:val="19"/>
                                        <w:lang w:val="fr-BE"/>
                                      </w:rPr>
                                      <w:t xml:space="preserve"> </w:t>
                                    </w:r>
                                  </w:p>
                                </w:txbxContent>
                              </wps:txbx>
                              <wps:bodyPr vert="horz" wrap="square" lIns="47478" tIns="23739" rIns="47478" bIns="23739" numCol="1" anchor="t" anchorCtr="0" compatLnSpc="1">
                                <a:prstTxWarp prst="textNoShape">
                                  <a:avLst/>
                                </a:prstTxWarp>
                              </wps:bodyPr>
                            </wps:wsp>
                          </wpg:wgp>
                        </a:graphicData>
                      </a:graphic>
                    </wp:inline>
                  </w:drawing>
                </mc:Choice>
                <mc:Fallback>
                  <w:pict>
                    <v:group w14:anchorId="34500D7F" id="_x0000_s1030" alt="&quot;&quot;" style="width:10.2pt;height:10.2pt;mso-position-horizontal-relative:char;mso-position-vertical-relative:line" coordsize="180000,18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">
                      <v:oval id="Oval 1091868992" o:spid="_x0000_s1031" style="position:absolute;width:180000;height:1800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" fillcolor="white [3212]" stroked="f" strokeweight="1pt">
                        <v:stroke joinstyle="miter"/>
                      </v:oval>
                      <v:shape id="Freeform 532" o:spid="_x0000_s1032" style="position:absolute;width:180000;height:180000;visibility:visible;mso-wrap-style:square;v-text-anchor:top" coordsize="1639,16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" adj="-11796480,,5400" path="m1632,693v-991,,-991,,-991,c641,,641,,641,,566,17,494,44,428,80v,613,,613,,613c7,693,7,693,7,693,3,728,,764,,800v,36,3,72,7,107c428,907,428,907,428,907v,612,,612,,612c494,1556,566,1583,641,1600v,-693,,-693,,-693c1632,907,1632,907,1632,907v4,-35,7,-71,7,-107c1639,764,1636,728,1632,693xm1632,693v,,,,,e" fillcolor="#0052b4" stroked="f">
                        <v:stroke joinstyle="round"/>
                        <v:formulas/>
                        <v:path arrowok="t" o:connecttype="custom" o:connectlocs="179231,77963;70397,77963;70397,0;47004,9000;47004,77963;769,77963;0,90000;769,102038;47004,102038;47004,170888;70397,180000;70397,102038;179231,102038;180000,90000;179231,77963;179231,77963;179231,77963" o:connectangles="0,0,0,0,0,0,0,0,0,0,0,0,0,0,0,0,0" textboxrect="0,0,1639,1600"/>
                        <o:lock v:ext="edit" verticies="t"/>
                        <v:textbox inset="1.3188mm,.65942mm,1.3188mm,.65942mm">
                          <w:txbxContent>
                            <w:p w14:paraId="154F2DB0" w14:textId="77777777" w:rsidR="00FA4EEB" w:rsidRDefault="00FA4EEB" w:rsidP="00AF7D5B">
                              <w:pPr>
                                <w:rPr>
                                  <w:rFonts w:ascii="Arial" w:hAnsi="Arial" w:cstheme="minorBidi"/>
                                  <w:color w:val="4D4D4D"/>
                                  <w:kern w:val="24"/>
                                  <w:sz w:val="19"/>
                                  <w:szCs w:val="19"/>
                                  <w:lang w:val="fr-BE"/>
                                </w:rPr>
                              </w:pPr>
                              <w:r>
                                <w:rPr>
                                  <w:rFonts w:ascii="Arial" w:hAnsi="Arial" w:cstheme="minorBidi"/>
                                  <w:color w:val="4D4D4D"/>
                                  <w:kern w:val="24"/>
                                  <w:sz w:val="19"/>
                                  <w:szCs w:val="19"/>
                                  <w:lang w:val="fr-BE"/>
                                </w:rPr>
                                <w:t xml:space="preserve"> </w:t>
                              </w:r>
                            </w:p>
                          </w:txbxContent>
                        </v:textbox>
                      </v:shape>
                      <w10:anchorlock/>
                    </v:group>
                  </w:pict>
                </mc:Fallback>
              </mc:AlternateContent>
            </w:r>
            <w:r w:rsidR="00D3223B" w:rsidRPr="00EA727F">
              <w:rPr>
                <w:lang w:val="en-GB"/>
              </w:rPr>
              <w:t xml:space="preserve"> Finland</w:t>
            </w:r>
          </w:p>
        </w:tc>
        <w:tc>
          <w:tcPr>
            <w:tcW w:w="627" w:type="pct"/>
            <w:shd w:val="clear" w:color="auto" w:fill="FFFFFF" w:themeFill="background1"/>
            <w:vAlign w:val="center"/>
          </w:tcPr>
          <w:p w14:paraId="4BDE7E9C" w14:textId="403E751C" w:rsidR="00D3223B" w:rsidRPr="00EA727F" w:rsidRDefault="00D3223B" w:rsidP="00D3223B">
            <w:pPr>
              <w:spacing w:before="0" w:after="0"/>
              <w:cnfStyle w:val="000000010000" w:firstRow="0" w:lastRow="0" w:firstColumn="0" w:lastColumn="0" w:oddVBand="0" w:evenVBand="0" w:oddHBand="0" w:evenHBand="1" w:firstRowFirstColumn="0" w:firstRowLastColumn="0" w:lastRowFirstColumn="0" w:lastRowLastColumn="0"/>
            </w:pPr>
            <w:r w:rsidRPr="00EA727F">
              <w:rPr>
                <w:lang w:val="en-GB"/>
              </w:rPr>
              <w:t>Third</w:t>
            </w:r>
          </w:p>
        </w:tc>
        <w:tc>
          <w:tcPr>
            <w:tcW w:w="626" w:type="pct"/>
            <w:shd w:val="clear" w:color="auto" w:fill="D5FFE8"/>
            <w:vAlign w:val="center"/>
          </w:tcPr>
          <w:p w14:paraId="31AC121F" w14:textId="0025C5FA" w:rsidR="00D3223B" w:rsidRPr="00EA727F" w:rsidRDefault="00D3223B" w:rsidP="00D3223B">
            <w:pPr>
              <w:spacing w:before="0" w:after="0"/>
              <w:cnfStyle w:val="000000010000" w:firstRow="0" w:lastRow="0" w:firstColumn="0" w:lastColumn="0" w:oddVBand="0" w:evenVBand="0" w:oddHBand="0" w:evenHBand="1" w:firstRowFirstColumn="0" w:firstRowLastColumn="0" w:lastRowFirstColumn="0" w:lastRowLastColumn="0"/>
            </w:pPr>
            <w:r w:rsidRPr="00EA727F">
              <w:rPr>
                <w:lang w:val="en-GB"/>
              </w:rPr>
              <w:t>Low</w:t>
            </w:r>
          </w:p>
        </w:tc>
        <w:tc>
          <w:tcPr>
            <w:tcW w:w="627" w:type="pct"/>
            <w:shd w:val="clear" w:color="auto" w:fill="D5FFE8"/>
            <w:vAlign w:val="center"/>
          </w:tcPr>
          <w:p w14:paraId="313FF4DF" w14:textId="4428C0B1" w:rsidR="00D3223B" w:rsidRPr="00EA727F" w:rsidRDefault="00D3223B" w:rsidP="00D3223B">
            <w:pPr>
              <w:spacing w:before="0" w:after="0"/>
              <w:cnfStyle w:val="000000010000" w:firstRow="0" w:lastRow="0" w:firstColumn="0" w:lastColumn="0" w:oddVBand="0" w:evenVBand="0" w:oddHBand="0" w:evenHBand="1" w:firstRowFirstColumn="0" w:firstRowLastColumn="0" w:lastRowFirstColumn="0" w:lastRowLastColumn="0"/>
            </w:pPr>
            <w:r w:rsidRPr="00EA727F">
              <w:rPr>
                <w:lang w:val="en-GB"/>
              </w:rPr>
              <w:t>Low</w:t>
            </w:r>
          </w:p>
        </w:tc>
        <w:tc>
          <w:tcPr>
            <w:tcW w:w="471" w:type="pct"/>
            <w:shd w:val="clear" w:color="auto" w:fill="D5FFE8"/>
            <w:vAlign w:val="center"/>
          </w:tcPr>
          <w:p w14:paraId="7DA1DF08" w14:textId="6A751AF8" w:rsidR="00D3223B" w:rsidRPr="00EA727F" w:rsidRDefault="00D3223B" w:rsidP="00D3223B">
            <w:pPr>
              <w:spacing w:before="0" w:after="0"/>
              <w:cnfStyle w:val="000000010000" w:firstRow="0" w:lastRow="0" w:firstColumn="0" w:lastColumn="0" w:oddVBand="0" w:evenVBand="0" w:oddHBand="0" w:evenHBand="1" w:firstRowFirstColumn="0" w:firstRowLastColumn="0" w:lastRowFirstColumn="0" w:lastRowLastColumn="0"/>
            </w:pPr>
            <w:r w:rsidRPr="00EA727F">
              <w:rPr>
                <w:lang w:val="en-GB"/>
              </w:rPr>
              <w:t>Low</w:t>
            </w:r>
          </w:p>
        </w:tc>
        <w:tc>
          <w:tcPr>
            <w:tcW w:w="706" w:type="pct"/>
            <w:shd w:val="clear" w:color="auto" w:fill="D5FFE8"/>
          </w:tcPr>
          <w:p w14:paraId="45F635CF" w14:textId="032564B6" w:rsidR="00D3223B" w:rsidRPr="00EA727F" w:rsidRDefault="00FA4EEB" w:rsidP="00D3223B">
            <w:pPr>
              <w:spacing w:before="0" w:after="0"/>
              <w:cnfStyle w:val="000000010000" w:firstRow="0" w:lastRow="0" w:firstColumn="0" w:lastColumn="0" w:oddVBand="0" w:evenVBand="0" w:oddHBand="0" w:evenHBand="1" w:firstRowFirstColumn="0" w:firstRowLastColumn="0" w:lastRowFirstColumn="0" w:lastRowLastColumn="0"/>
            </w:pPr>
            <w:r w:rsidRPr="00D97A1C">
              <w:t>Low</w:t>
            </w:r>
          </w:p>
        </w:tc>
        <w:tc>
          <w:tcPr>
            <w:tcW w:w="696" w:type="pct"/>
            <w:shd w:val="clear" w:color="auto" w:fill="FEDD9B" w:themeFill="accent4" w:themeFillTint="66"/>
          </w:tcPr>
          <w:p w14:paraId="117B2270" w14:textId="16EE3079" w:rsidR="00D3223B" w:rsidRPr="00EA727F" w:rsidRDefault="00FA4EEB" w:rsidP="00D3223B">
            <w:pPr>
              <w:spacing w:before="0" w:after="0"/>
              <w:cnfStyle w:val="000000010000" w:firstRow="0" w:lastRow="0" w:firstColumn="0" w:lastColumn="0" w:oddVBand="0" w:evenVBand="0" w:oddHBand="0" w:evenHBand="1" w:firstRowFirstColumn="0" w:firstRowLastColumn="0" w:lastRowFirstColumn="0" w:lastRowLastColumn="0"/>
            </w:pPr>
            <w:r w:rsidRPr="00D97A1C">
              <w:rPr>
                <w:lang w:val="en-GB"/>
              </w:rPr>
              <w:t>Medium</w:t>
            </w:r>
          </w:p>
        </w:tc>
      </w:tr>
      <w:tr w:rsidR="00820AA9" w:rsidRPr="006D3C55" w14:paraId="6D14EF24" w14:textId="77777777" w:rsidTr="00B2036E">
        <w:trPr>
          <w:cnfStyle w:val="000000100000" w:firstRow="0" w:lastRow="0" w:firstColumn="0" w:lastColumn="0" w:oddVBand="0" w:evenVBand="0" w:oddHBand="1" w:evenHBand="0" w:firstRowFirstColumn="0" w:firstRowLastColumn="0" w:lastRowFirstColumn="0" w:lastRowLastColumn="0"/>
          <w:cantSplit/>
          <w:jc w:val="center"/>
        </w:trPr>
        <w:tc>
          <w:tcPr>
            <w:cnfStyle w:val="001000000000" w:firstRow="0" w:lastRow="0" w:firstColumn="1" w:lastColumn="0" w:oddVBand="0" w:evenVBand="0" w:oddHBand="0" w:evenHBand="0" w:firstRowFirstColumn="0" w:firstRowLastColumn="0" w:lastRowFirstColumn="0" w:lastRowLastColumn="0"/>
            <w:tcW w:w="1247" w:type="pct"/>
            <w:shd w:val="clear" w:color="auto" w:fill="F2F2F2" w:themeFill="background1" w:themeFillShade="F2"/>
            <w:vAlign w:val="center"/>
          </w:tcPr>
          <w:p w14:paraId="0EE9F9AE" w14:textId="65644E83" w:rsidR="006824FE" w:rsidRPr="00EA727F" w:rsidRDefault="00225F54" w:rsidP="006824FE">
            <w:pPr>
              <w:spacing w:before="0" w:after="0"/>
              <w:rPr>
                <w:noProof/>
              </w:rPr>
            </w:pPr>
            <w:r w:rsidRPr="00225F54">
              <w:rPr>
                <w:noProof/>
              </w:rPr>
              <mc:AlternateContent>
                <mc:Choice Requires="wpg">
                  <w:drawing>
                    <wp:inline distT="0" distB="0" distL="0" distR="0" wp14:anchorId="3B95E123" wp14:editId="6E56361C">
                      <wp:extent cx="129600" cy="129600"/>
                      <wp:effectExtent l="0" t="0" r="3810" b="3810"/>
                      <wp:docPr id="14" name="Group 13">
                        <a:extLst xmlns:a="http://schemas.openxmlformats.org/drawingml/2006/main">
                          <a:ext uri="{FF2B5EF4-FFF2-40B4-BE49-F238E27FC236}">
                            <a16:creationId xmlns:a16="http://schemas.microsoft.com/office/drawing/2014/main" id="{A33B07C8-E922-7A4A-218E-DEC318E75B55}"/>
                          </a:ext>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129600" cy="129600"/>
                                <a:chOff x="0" y="0"/>
                                <a:chExt cx="333375" cy="334963"/>
                              </a:xfrm>
                            </wpg:grpSpPr>
                            <wps:wsp>
                              <wps:cNvPr id="17043442" name="Freeform 350">
                                <a:extLst>
                                  <a:ext uri="{FF2B5EF4-FFF2-40B4-BE49-F238E27FC236}">
                                    <a16:creationId xmlns:a16="http://schemas.microsoft.com/office/drawing/2014/main" id="{EE9FF8F3-3823-31EE-00D1-DDCCAFF47F05}"/>
                                  </a:ext>
                                </a:extLst>
                              </wps:cNvPr>
                              <wps:cNvSpPr>
                                <a:spLocks noEditPoints="1"/>
                              </wps:cNvSpPr>
                              <wps:spPr bwMode="auto">
                                <a:xfrm>
                                  <a:off x="0" y="0"/>
                                  <a:ext cx="333375" cy="334963"/>
                                </a:xfrm>
                                <a:custGeom>
                                  <a:avLst/>
                                  <a:gdLst>
                                    <a:gd name="T0" fmla="*/ 1638 w 1638"/>
                                    <a:gd name="T1" fmla="*/ 819 h 1638"/>
                                    <a:gd name="T2" fmla="*/ 819 w 1638"/>
                                    <a:gd name="T3" fmla="*/ 1638 h 1638"/>
                                    <a:gd name="T4" fmla="*/ 0 w 1638"/>
                                    <a:gd name="T5" fmla="*/ 819 h 1638"/>
                                    <a:gd name="T6" fmla="*/ 819 w 1638"/>
                                    <a:gd name="T7" fmla="*/ 0 h 1638"/>
                                    <a:gd name="T8" fmla="*/ 1638 w 1638"/>
                                    <a:gd name="T9" fmla="*/ 819 h 1638"/>
                                    <a:gd name="T10" fmla="*/ 1638 w 1638"/>
                                    <a:gd name="T11" fmla="*/ 819 h 1638"/>
                                    <a:gd name="T12" fmla="*/ 1638 w 1638"/>
                                    <a:gd name="T13" fmla="*/ 819 h 1638"/>
                                  </a:gdLst>
                                  <a:ahLst/>
                                  <a:cxnLst>
                                    <a:cxn ang="0">
                                      <a:pos x="T0" y="T1"/>
                                    </a:cxn>
                                    <a:cxn ang="0">
                                      <a:pos x="T2" y="T3"/>
                                    </a:cxn>
                                    <a:cxn ang="0">
                                      <a:pos x="T4" y="T5"/>
                                    </a:cxn>
                                    <a:cxn ang="0">
                                      <a:pos x="T6" y="T7"/>
                                    </a:cxn>
                                    <a:cxn ang="0">
                                      <a:pos x="T8" y="T9"/>
                                    </a:cxn>
                                    <a:cxn ang="0">
                                      <a:pos x="T10" y="T11"/>
                                    </a:cxn>
                                    <a:cxn ang="0">
                                      <a:pos x="T12" y="T13"/>
                                    </a:cxn>
                                  </a:cxnLst>
                                  <a:rect l="0" t="0" r="r" b="b"/>
                                  <a:pathLst>
                                    <a:path w="1638" h="1638">
                                      <a:moveTo>
                                        <a:pt x="1638" y="819"/>
                                      </a:moveTo>
                                      <a:cubicBezTo>
                                        <a:pt x="1638" y="1271"/>
                                        <a:pt x="1272" y="1638"/>
                                        <a:pt x="819" y="1638"/>
                                      </a:cubicBezTo>
                                      <a:cubicBezTo>
                                        <a:pt x="367" y="1638"/>
                                        <a:pt x="0" y="1271"/>
                                        <a:pt x="0" y="819"/>
                                      </a:cubicBezTo>
                                      <a:cubicBezTo>
                                        <a:pt x="0" y="367"/>
                                        <a:pt x="367" y="0"/>
                                        <a:pt x="819" y="0"/>
                                      </a:cubicBezTo>
                                      <a:cubicBezTo>
                                        <a:pt x="1272" y="0"/>
                                        <a:pt x="1638" y="367"/>
                                        <a:pt x="1638" y="819"/>
                                      </a:cubicBezTo>
                                      <a:close/>
                                      <a:moveTo>
                                        <a:pt x="1638" y="819"/>
                                      </a:moveTo>
                                      <a:cubicBezTo>
                                        <a:pt x="1638" y="819"/>
                                        <a:pt x="1638" y="819"/>
                                        <a:pt x="1638" y="819"/>
                                      </a:cubicBezTo>
                                    </a:path>
                                  </a:pathLst>
                                </a:custGeom>
                                <a:solidFill>
                                  <a:srgbClr val="FFDA44"/>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47478" tIns="23739" rIns="47478" bIns="23739" numCol="1" anchor="t" anchorCtr="0" compatLnSpc="1">
                                <a:prstTxWarp prst="textNoShape">
                                  <a:avLst/>
                                </a:prstTxWarp>
                              </wps:bodyPr>
                            </wps:wsp>
                            <wps:wsp>
                              <wps:cNvPr id="1886639758" name="Freeform 351">
                                <a:extLst>
                                  <a:ext uri="{FF2B5EF4-FFF2-40B4-BE49-F238E27FC236}">
                                    <a16:creationId xmlns:a16="http://schemas.microsoft.com/office/drawing/2014/main" id="{8BEF6BDF-0531-C447-6D42-6DBD924978EE}"/>
                                  </a:ext>
                                </a:extLst>
                              </wps:cNvPr>
                              <wps:cNvSpPr>
                                <a:spLocks noEditPoints="1"/>
                              </wps:cNvSpPr>
                              <wps:spPr bwMode="auto">
                                <a:xfrm>
                                  <a:off x="130175" y="0"/>
                                  <a:ext cx="201613" cy="146050"/>
                                </a:xfrm>
                                <a:custGeom>
                                  <a:avLst/>
                                  <a:gdLst>
                                    <a:gd name="T0" fmla="*/ 0 w 990"/>
                                    <a:gd name="T1" fmla="*/ 712 h 712"/>
                                    <a:gd name="T2" fmla="*/ 990 w 990"/>
                                    <a:gd name="T3" fmla="*/ 712 h 712"/>
                                    <a:gd name="T4" fmla="*/ 178 w 990"/>
                                    <a:gd name="T5" fmla="*/ 0 h 712"/>
                                    <a:gd name="T6" fmla="*/ 0 w 990"/>
                                    <a:gd name="T7" fmla="*/ 19 h 712"/>
                                    <a:gd name="T8" fmla="*/ 0 w 990"/>
                                    <a:gd name="T9" fmla="*/ 712 h 712"/>
                                    <a:gd name="T10" fmla="*/ 0 w 990"/>
                                    <a:gd name="T11" fmla="*/ 712 h 712"/>
                                    <a:gd name="T12" fmla="*/ 0 w 990"/>
                                    <a:gd name="T13" fmla="*/ 712 h 712"/>
                                  </a:gdLst>
                                  <a:ahLst/>
                                  <a:cxnLst>
                                    <a:cxn ang="0">
                                      <a:pos x="T0" y="T1"/>
                                    </a:cxn>
                                    <a:cxn ang="0">
                                      <a:pos x="T2" y="T3"/>
                                    </a:cxn>
                                    <a:cxn ang="0">
                                      <a:pos x="T4" y="T5"/>
                                    </a:cxn>
                                    <a:cxn ang="0">
                                      <a:pos x="T6" y="T7"/>
                                    </a:cxn>
                                    <a:cxn ang="0">
                                      <a:pos x="T8" y="T9"/>
                                    </a:cxn>
                                    <a:cxn ang="0">
                                      <a:pos x="T10" y="T11"/>
                                    </a:cxn>
                                    <a:cxn ang="0">
                                      <a:pos x="T12" y="T13"/>
                                    </a:cxn>
                                  </a:cxnLst>
                                  <a:rect l="0" t="0" r="r" b="b"/>
                                  <a:pathLst>
                                    <a:path w="990" h="712">
                                      <a:moveTo>
                                        <a:pt x="0" y="712"/>
                                      </a:moveTo>
                                      <a:cubicBezTo>
                                        <a:pt x="990" y="712"/>
                                        <a:pt x="990" y="712"/>
                                        <a:pt x="990" y="712"/>
                                      </a:cubicBezTo>
                                      <a:cubicBezTo>
                                        <a:pt x="938" y="310"/>
                                        <a:pt x="594" y="0"/>
                                        <a:pt x="178" y="0"/>
                                      </a:cubicBezTo>
                                      <a:cubicBezTo>
                                        <a:pt x="117" y="0"/>
                                        <a:pt x="57" y="7"/>
                                        <a:pt x="0" y="19"/>
                                      </a:cubicBezTo>
                                      <a:lnTo>
                                        <a:pt x="0" y="712"/>
                                      </a:lnTo>
                                      <a:close/>
                                      <a:moveTo>
                                        <a:pt x="0" y="712"/>
                                      </a:moveTo>
                                      <a:cubicBezTo>
                                        <a:pt x="0" y="712"/>
                                        <a:pt x="0" y="712"/>
                                        <a:pt x="0" y="712"/>
                                      </a:cubicBezTo>
                                    </a:path>
                                  </a:pathLst>
                                </a:custGeom>
                                <a:solidFill>
                                  <a:srgbClr val="0052B4"/>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47478" tIns="23739" rIns="47478" bIns="23739" numCol="1" anchor="t" anchorCtr="0" compatLnSpc="1">
                                <a:prstTxWarp prst="textNoShape">
                                  <a:avLst/>
                                </a:prstTxWarp>
                              </wps:bodyPr>
                            </wps:wsp>
                            <wps:wsp>
                              <wps:cNvPr id="120422025" name="Freeform 352">
                                <a:extLst>
                                  <a:ext uri="{FF2B5EF4-FFF2-40B4-BE49-F238E27FC236}">
                                    <a16:creationId xmlns:a16="http://schemas.microsoft.com/office/drawing/2014/main" id="{21F1998F-3DE4-DAD4-5A47-1B921621D592}"/>
                                  </a:ext>
                                </a:extLst>
                              </wps:cNvPr>
                              <wps:cNvSpPr>
                                <a:spLocks noEditPoints="1"/>
                              </wps:cNvSpPr>
                              <wps:spPr bwMode="auto">
                                <a:xfrm>
                                  <a:off x="0" y="20637"/>
                                  <a:ext cx="85725" cy="125413"/>
                                </a:xfrm>
                                <a:custGeom>
                                  <a:avLst/>
                                  <a:gdLst>
                                    <a:gd name="T0" fmla="*/ 420 w 420"/>
                                    <a:gd name="T1" fmla="*/ 613 h 613"/>
                                    <a:gd name="T2" fmla="*/ 420 w 420"/>
                                    <a:gd name="T3" fmla="*/ 0 h 613"/>
                                    <a:gd name="T4" fmla="*/ 0 w 420"/>
                                    <a:gd name="T5" fmla="*/ 613 h 613"/>
                                    <a:gd name="T6" fmla="*/ 420 w 420"/>
                                    <a:gd name="T7" fmla="*/ 613 h 613"/>
                                    <a:gd name="T8" fmla="*/ 420 w 420"/>
                                    <a:gd name="T9" fmla="*/ 613 h 613"/>
                                    <a:gd name="T10" fmla="*/ 420 w 420"/>
                                    <a:gd name="T11" fmla="*/ 613 h 613"/>
                                  </a:gdLst>
                                  <a:ahLst/>
                                  <a:cxnLst>
                                    <a:cxn ang="0">
                                      <a:pos x="T0" y="T1"/>
                                    </a:cxn>
                                    <a:cxn ang="0">
                                      <a:pos x="T2" y="T3"/>
                                    </a:cxn>
                                    <a:cxn ang="0">
                                      <a:pos x="T4" y="T5"/>
                                    </a:cxn>
                                    <a:cxn ang="0">
                                      <a:pos x="T6" y="T7"/>
                                    </a:cxn>
                                    <a:cxn ang="0">
                                      <a:pos x="T8" y="T9"/>
                                    </a:cxn>
                                    <a:cxn ang="0">
                                      <a:pos x="T10" y="T11"/>
                                    </a:cxn>
                                  </a:cxnLst>
                                  <a:rect l="0" t="0" r="r" b="b"/>
                                  <a:pathLst>
                                    <a:path w="420" h="613">
                                      <a:moveTo>
                                        <a:pt x="420" y="613"/>
                                      </a:moveTo>
                                      <a:cubicBezTo>
                                        <a:pt x="420" y="0"/>
                                        <a:pt x="420" y="0"/>
                                        <a:pt x="420" y="0"/>
                                      </a:cubicBezTo>
                                      <a:cubicBezTo>
                                        <a:pt x="195" y="123"/>
                                        <a:pt x="34" y="348"/>
                                        <a:pt x="0" y="613"/>
                                      </a:cubicBezTo>
                                      <a:lnTo>
                                        <a:pt x="420" y="613"/>
                                      </a:lnTo>
                                      <a:close/>
                                      <a:moveTo>
                                        <a:pt x="420" y="613"/>
                                      </a:moveTo>
                                      <a:cubicBezTo>
                                        <a:pt x="420" y="613"/>
                                        <a:pt x="420" y="613"/>
                                        <a:pt x="420" y="613"/>
                                      </a:cubicBezTo>
                                    </a:path>
                                  </a:pathLst>
                                </a:custGeom>
                                <a:solidFill>
                                  <a:srgbClr val="0052B4"/>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47478" tIns="23739" rIns="47478" bIns="23739" numCol="1" anchor="t" anchorCtr="0" compatLnSpc="1">
                                <a:prstTxWarp prst="textNoShape">
                                  <a:avLst/>
                                </a:prstTxWarp>
                              </wps:bodyPr>
                            </wps:wsp>
                            <wps:wsp>
                              <wps:cNvPr id="285677365" name="Freeform 353">
                                <a:extLst>
                                  <a:ext uri="{FF2B5EF4-FFF2-40B4-BE49-F238E27FC236}">
                                    <a16:creationId xmlns:a16="http://schemas.microsoft.com/office/drawing/2014/main" id="{2180DBB0-30E7-ED6B-3021-0FAB0BE22F0F}"/>
                                  </a:ext>
                                </a:extLst>
                              </wps:cNvPr>
                              <wps:cNvSpPr>
                                <a:spLocks noEditPoints="1"/>
                              </wps:cNvSpPr>
                              <wps:spPr bwMode="auto">
                                <a:xfrm>
                                  <a:off x="0" y="188912"/>
                                  <a:ext cx="85725" cy="125413"/>
                                </a:xfrm>
                                <a:custGeom>
                                  <a:avLst/>
                                  <a:gdLst>
                                    <a:gd name="T0" fmla="*/ 420 w 420"/>
                                    <a:gd name="T1" fmla="*/ 0 h 613"/>
                                    <a:gd name="T2" fmla="*/ 0 w 420"/>
                                    <a:gd name="T3" fmla="*/ 0 h 613"/>
                                    <a:gd name="T4" fmla="*/ 420 w 420"/>
                                    <a:gd name="T5" fmla="*/ 613 h 613"/>
                                    <a:gd name="T6" fmla="*/ 420 w 420"/>
                                    <a:gd name="T7" fmla="*/ 0 h 613"/>
                                    <a:gd name="T8" fmla="*/ 420 w 420"/>
                                    <a:gd name="T9" fmla="*/ 0 h 613"/>
                                    <a:gd name="T10" fmla="*/ 420 w 420"/>
                                    <a:gd name="T11" fmla="*/ 0 h 613"/>
                                  </a:gdLst>
                                  <a:ahLst/>
                                  <a:cxnLst>
                                    <a:cxn ang="0">
                                      <a:pos x="T0" y="T1"/>
                                    </a:cxn>
                                    <a:cxn ang="0">
                                      <a:pos x="T2" y="T3"/>
                                    </a:cxn>
                                    <a:cxn ang="0">
                                      <a:pos x="T4" y="T5"/>
                                    </a:cxn>
                                    <a:cxn ang="0">
                                      <a:pos x="T6" y="T7"/>
                                    </a:cxn>
                                    <a:cxn ang="0">
                                      <a:pos x="T8" y="T9"/>
                                    </a:cxn>
                                    <a:cxn ang="0">
                                      <a:pos x="T10" y="T11"/>
                                    </a:cxn>
                                  </a:cxnLst>
                                  <a:rect l="0" t="0" r="r" b="b"/>
                                  <a:pathLst>
                                    <a:path w="420" h="613">
                                      <a:moveTo>
                                        <a:pt x="420" y="0"/>
                                      </a:moveTo>
                                      <a:cubicBezTo>
                                        <a:pt x="0" y="0"/>
                                        <a:pt x="0" y="0"/>
                                        <a:pt x="0" y="0"/>
                                      </a:cubicBezTo>
                                      <a:cubicBezTo>
                                        <a:pt x="34" y="265"/>
                                        <a:pt x="195" y="490"/>
                                        <a:pt x="420" y="613"/>
                                      </a:cubicBezTo>
                                      <a:lnTo>
                                        <a:pt x="420" y="0"/>
                                      </a:lnTo>
                                      <a:close/>
                                      <a:moveTo>
                                        <a:pt x="420" y="0"/>
                                      </a:moveTo>
                                      <a:cubicBezTo>
                                        <a:pt x="420" y="0"/>
                                        <a:pt x="420" y="0"/>
                                        <a:pt x="420" y="0"/>
                                      </a:cubicBezTo>
                                    </a:path>
                                  </a:pathLst>
                                </a:custGeom>
                                <a:solidFill>
                                  <a:srgbClr val="0052B4"/>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47478" tIns="23739" rIns="47478" bIns="23739" numCol="1" anchor="t" anchorCtr="0" compatLnSpc="1">
                                <a:prstTxWarp prst="textNoShape">
                                  <a:avLst/>
                                </a:prstTxWarp>
                              </wps:bodyPr>
                            </wps:wsp>
                            <wps:wsp>
                              <wps:cNvPr id="35504573" name="Freeform 354">
                                <a:extLst>
                                  <a:ext uri="{FF2B5EF4-FFF2-40B4-BE49-F238E27FC236}">
                                    <a16:creationId xmlns:a16="http://schemas.microsoft.com/office/drawing/2014/main" id="{8243BCEF-3300-B165-4A2A-9530F0B7AF89}"/>
                                  </a:ext>
                                </a:extLst>
                              </wps:cNvPr>
                              <wps:cNvSpPr>
                                <a:spLocks noEditPoints="1"/>
                              </wps:cNvSpPr>
                              <wps:spPr bwMode="auto">
                                <a:xfrm>
                                  <a:off x="130175" y="188912"/>
                                  <a:ext cx="201613" cy="146050"/>
                                </a:xfrm>
                                <a:custGeom>
                                  <a:avLst/>
                                  <a:gdLst>
                                    <a:gd name="T0" fmla="*/ 0 w 990"/>
                                    <a:gd name="T1" fmla="*/ 0 h 712"/>
                                    <a:gd name="T2" fmla="*/ 0 w 990"/>
                                    <a:gd name="T3" fmla="*/ 693 h 712"/>
                                    <a:gd name="T4" fmla="*/ 178 w 990"/>
                                    <a:gd name="T5" fmla="*/ 712 h 712"/>
                                    <a:gd name="T6" fmla="*/ 990 w 990"/>
                                    <a:gd name="T7" fmla="*/ 0 h 712"/>
                                    <a:gd name="T8" fmla="*/ 0 w 990"/>
                                    <a:gd name="T9" fmla="*/ 0 h 712"/>
                                    <a:gd name="T10" fmla="*/ 0 w 990"/>
                                    <a:gd name="T11" fmla="*/ 0 h 712"/>
                                    <a:gd name="T12" fmla="*/ 0 w 990"/>
                                    <a:gd name="T13" fmla="*/ 0 h 712"/>
                                  </a:gdLst>
                                  <a:ahLst/>
                                  <a:cxnLst>
                                    <a:cxn ang="0">
                                      <a:pos x="T0" y="T1"/>
                                    </a:cxn>
                                    <a:cxn ang="0">
                                      <a:pos x="T2" y="T3"/>
                                    </a:cxn>
                                    <a:cxn ang="0">
                                      <a:pos x="T4" y="T5"/>
                                    </a:cxn>
                                    <a:cxn ang="0">
                                      <a:pos x="T6" y="T7"/>
                                    </a:cxn>
                                    <a:cxn ang="0">
                                      <a:pos x="T8" y="T9"/>
                                    </a:cxn>
                                    <a:cxn ang="0">
                                      <a:pos x="T10" y="T11"/>
                                    </a:cxn>
                                    <a:cxn ang="0">
                                      <a:pos x="T12" y="T13"/>
                                    </a:cxn>
                                  </a:cxnLst>
                                  <a:rect l="0" t="0" r="r" b="b"/>
                                  <a:pathLst>
                                    <a:path w="990" h="712">
                                      <a:moveTo>
                                        <a:pt x="0" y="0"/>
                                      </a:moveTo>
                                      <a:cubicBezTo>
                                        <a:pt x="0" y="693"/>
                                        <a:pt x="0" y="693"/>
                                        <a:pt x="0" y="693"/>
                                      </a:cubicBezTo>
                                      <a:cubicBezTo>
                                        <a:pt x="57" y="705"/>
                                        <a:pt x="117" y="712"/>
                                        <a:pt x="178" y="712"/>
                                      </a:cubicBezTo>
                                      <a:cubicBezTo>
                                        <a:pt x="594" y="712"/>
                                        <a:pt x="938" y="402"/>
                                        <a:pt x="990" y="0"/>
                                      </a:cubicBezTo>
                                      <a:lnTo>
                                        <a:pt x="0" y="0"/>
                                      </a:lnTo>
                                      <a:close/>
                                      <a:moveTo>
                                        <a:pt x="0" y="0"/>
                                      </a:moveTo>
                                      <a:cubicBezTo>
                                        <a:pt x="0" y="0"/>
                                        <a:pt x="0" y="0"/>
                                        <a:pt x="0" y="0"/>
                                      </a:cubicBezTo>
                                    </a:path>
                                  </a:pathLst>
                                </a:custGeom>
                                <a:solidFill>
                                  <a:srgbClr val="0052B4"/>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47478" tIns="23739" rIns="47478" bIns="23739" numCol="1" anchor="t" anchorCtr="0" compatLnSpc="1">
                                <a:prstTxWarp prst="textNoShape">
                                  <a:avLst/>
                                </a:prstTxWarp>
                              </wps:bodyPr>
                            </wps:wsp>
                          </wpg:wgp>
                        </a:graphicData>
                      </a:graphic>
                    </wp:inline>
                  </w:drawing>
                </mc:Choice>
                <mc:Fallback xmlns:arto="http://schemas.microsoft.com/office/word/2006/arto">
                  <w:pict>
                    <v:group w14:anchorId="621FA0D0" id="Group 13" o:spid="_x0000_s1026" alt="&quot;&quot;" style="width:10.2pt;height:10.2pt;mso-position-horizontal-relative:char;mso-position-vertical-relative:line" coordsize="333375,3349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">
                      <v:shape id="Freeform 350" o:spid="_x0000_s1027" style="position:absolute;width:333375;height:334963;visibility:visible;mso-wrap-style:square;v-text-anchor:top" coordsize="1638,16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" path="m1638,819v,452,-366,819,-819,819c367,1638,,1271,,819,,367,367,,819,v453,,819,367,819,819xm1638,819v,,,,,e" fillcolor="#ffda44" stroked="f">
                        <v:path arrowok="t" o:connecttype="custom" o:connectlocs="333375,167482;166688,334963;0,167482;166688,0;333375,167482;333375,167482;333375,167482" o:connectangles="0,0,0,0,0,0,0"/>
                        <o:lock v:ext="edit" verticies="t"/>
                      </v:shape>
                      <v:shape id="Freeform 351" o:spid="_x0000_s1028" style="position:absolute;left:130175;width:201613;height:146050;visibility:visible;mso-wrap-style:square;v-text-anchor:top" coordsize="990,7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" path="m,712v990,,990,,990,c938,310,594,,178,,117,,57,7,,19l,712xm,712v,,,,,e" fillcolor="#0052b4" stroked="f">
                        <v:path arrowok="t" o:connecttype="custom" o:connectlocs="0,146050;201613,146050;36250,0;0,3897;0,146050;0,146050;0,146050" o:connectangles="0,0,0,0,0,0,0"/>
                        <o:lock v:ext="edit" verticies="t"/>
                      </v:shape>
                      <v:shape id="Freeform 352" o:spid="_x0000_s1029" style="position:absolute;top:20637;width:85725;height:125413;visibility:visible;mso-wrap-style:square;v-text-anchor:top" coordsize="420,6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" path="m420,613c420,,420,,420,,195,123,34,348,,613r420,xm420,613v,,,,,e" fillcolor="#0052b4" stroked="f">
                        <v:path arrowok="t" o:connecttype="custom" o:connectlocs="85725,125413;85725,0;0,125413;85725,125413;85725,125413;85725,125413" o:connectangles="0,0,0,0,0,0"/>
                        <o:lock v:ext="edit" verticies="t"/>
                      </v:shape>
                      <v:shape id="Freeform 353" o:spid="_x0000_s1030" style="position:absolute;top:188912;width:85725;height:125413;visibility:visible;mso-wrap-style:square;v-text-anchor:top" coordsize="420,6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" path="m420,c,,,,,,34,265,195,490,420,613l420,xm420,v,,,,,e" fillcolor="#0052b4" stroked="f">
                        <v:path arrowok="t" o:connecttype="custom" o:connectlocs="85725,0;0,0;85725,125413;85725,0;85725,0;85725,0" o:connectangles="0,0,0,0,0,0"/>
                        <o:lock v:ext="edit" verticies="t"/>
                      </v:shape>
                      <v:shape id="Freeform 354" o:spid="_x0000_s1031" style="position:absolute;left:130175;top:188912;width:201613;height:146050;visibility:visible;mso-wrap-style:square;v-text-anchor:top" coordsize="990,7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" path="m,c,693,,693,,693v57,12,117,19,178,19c594,712,938,402,990,l,xm,c,,,,,e" fillcolor="#0052b4" stroked="f">
                        <v:path arrowok="t" o:connecttype="custom" o:connectlocs="0,0;0,142153;36250,146050;201613,0;0,0;0,0;0,0" o:connectangles="0,0,0,0,0,0,0"/>
                        <o:lock v:ext="edit" verticies="t"/>
                      </v:shape>
                      <w10:anchorlock/>
                    </v:group>
                  </w:pict>
                </mc:Fallback>
              </mc:AlternateContent>
            </w:r>
            <w:r>
              <w:rPr>
                <w:noProof/>
              </w:rPr>
              <w:t xml:space="preserve"> </w:t>
            </w:r>
            <w:r w:rsidR="006824FE">
              <w:rPr>
                <w:noProof/>
              </w:rPr>
              <w:t>Sweden</w:t>
            </w:r>
          </w:p>
        </w:tc>
        <w:tc>
          <w:tcPr>
            <w:tcW w:w="627" w:type="pct"/>
            <w:shd w:val="clear" w:color="auto" w:fill="F2F2F2" w:themeFill="background1" w:themeFillShade="F2"/>
            <w:vAlign w:val="center"/>
          </w:tcPr>
          <w:p w14:paraId="411C352B" w14:textId="7BDFC9F2" w:rsidR="006824FE" w:rsidRPr="00EA727F" w:rsidRDefault="006824FE" w:rsidP="006824FE">
            <w:pPr>
              <w:spacing w:before="0" w:after="0"/>
              <w:cnfStyle w:val="000000100000" w:firstRow="0" w:lastRow="0" w:firstColumn="0" w:lastColumn="0" w:oddVBand="0" w:evenVBand="0" w:oddHBand="1" w:evenHBand="0" w:firstRowFirstColumn="0" w:firstRowLastColumn="0" w:lastRowFirstColumn="0" w:lastRowLastColumn="0"/>
            </w:pPr>
            <w:r>
              <w:t>First</w:t>
            </w:r>
          </w:p>
        </w:tc>
        <w:tc>
          <w:tcPr>
            <w:tcW w:w="626" w:type="pct"/>
            <w:shd w:val="clear" w:color="auto" w:fill="D5FFE8"/>
            <w:vAlign w:val="center"/>
          </w:tcPr>
          <w:p w14:paraId="72308BDC" w14:textId="70942C61" w:rsidR="006824FE" w:rsidRPr="00EA727F" w:rsidRDefault="006824FE" w:rsidP="006824FE">
            <w:pPr>
              <w:spacing w:before="0" w:after="0"/>
              <w:cnfStyle w:val="000000100000" w:firstRow="0" w:lastRow="0" w:firstColumn="0" w:lastColumn="0" w:oddVBand="0" w:evenVBand="0" w:oddHBand="1" w:evenHBand="0" w:firstRowFirstColumn="0" w:firstRowLastColumn="0" w:lastRowFirstColumn="0" w:lastRowLastColumn="0"/>
            </w:pPr>
            <w:r w:rsidRPr="00EA727F">
              <w:rPr>
                <w:lang w:val="en-GB"/>
              </w:rPr>
              <w:t>Low</w:t>
            </w:r>
          </w:p>
        </w:tc>
        <w:tc>
          <w:tcPr>
            <w:tcW w:w="627" w:type="pct"/>
            <w:shd w:val="clear" w:color="auto" w:fill="D5FFE8"/>
            <w:vAlign w:val="center"/>
          </w:tcPr>
          <w:p w14:paraId="4B725D93" w14:textId="7F777660" w:rsidR="006824FE" w:rsidRPr="00EA727F" w:rsidRDefault="006824FE" w:rsidP="006824FE">
            <w:pPr>
              <w:spacing w:before="0" w:after="0"/>
              <w:cnfStyle w:val="000000100000" w:firstRow="0" w:lastRow="0" w:firstColumn="0" w:lastColumn="0" w:oddVBand="0" w:evenVBand="0" w:oddHBand="1" w:evenHBand="0" w:firstRowFirstColumn="0" w:firstRowLastColumn="0" w:lastRowFirstColumn="0" w:lastRowLastColumn="0"/>
            </w:pPr>
            <w:r w:rsidRPr="00EA727F">
              <w:rPr>
                <w:lang w:val="en-GB"/>
              </w:rPr>
              <w:t>Low</w:t>
            </w:r>
          </w:p>
        </w:tc>
        <w:tc>
          <w:tcPr>
            <w:tcW w:w="471" w:type="pct"/>
            <w:shd w:val="clear" w:color="auto" w:fill="D5FFE8"/>
            <w:vAlign w:val="center"/>
          </w:tcPr>
          <w:p w14:paraId="7D7CA48B" w14:textId="25054BDE" w:rsidR="006824FE" w:rsidRPr="00EA727F" w:rsidRDefault="006824FE" w:rsidP="006824FE">
            <w:pPr>
              <w:spacing w:before="0" w:after="0"/>
              <w:cnfStyle w:val="000000100000" w:firstRow="0" w:lastRow="0" w:firstColumn="0" w:lastColumn="0" w:oddVBand="0" w:evenVBand="0" w:oddHBand="1" w:evenHBand="0" w:firstRowFirstColumn="0" w:firstRowLastColumn="0" w:lastRowFirstColumn="0" w:lastRowLastColumn="0"/>
            </w:pPr>
            <w:r w:rsidRPr="00EA727F">
              <w:rPr>
                <w:lang w:val="en-GB"/>
              </w:rPr>
              <w:t>Low</w:t>
            </w:r>
          </w:p>
        </w:tc>
        <w:tc>
          <w:tcPr>
            <w:tcW w:w="706" w:type="pct"/>
            <w:shd w:val="clear" w:color="auto" w:fill="FEDD9B" w:themeFill="accent4" w:themeFillTint="66"/>
            <w:vAlign w:val="center"/>
          </w:tcPr>
          <w:p w14:paraId="31C16806" w14:textId="573C5B63" w:rsidR="006824FE" w:rsidRPr="00EA727F" w:rsidRDefault="006824FE" w:rsidP="006824FE">
            <w:pPr>
              <w:spacing w:before="0" w:after="0"/>
              <w:cnfStyle w:val="000000100000" w:firstRow="0" w:lastRow="0" w:firstColumn="0" w:lastColumn="0" w:oddVBand="0" w:evenVBand="0" w:oddHBand="1" w:evenHBand="0" w:firstRowFirstColumn="0" w:firstRowLastColumn="0" w:lastRowFirstColumn="0" w:lastRowLastColumn="0"/>
            </w:pPr>
            <w:r w:rsidRPr="00EA727F">
              <w:rPr>
                <w:lang w:val="en-GB"/>
              </w:rPr>
              <w:t>Medium</w:t>
            </w:r>
          </w:p>
        </w:tc>
        <w:tc>
          <w:tcPr>
            <w:tcW w:w="696" w:type="pct"/>
            <w:shd w:val="clear" w:color="auto" w:fill="FEDD9B" w:themeFill="accent4" w:themeFillTint="66"/>
            <w:vAlign w:val="center"/>
          </w:tcPr>
          <w:p w14:paraId="63C08E03" w14:textId="15D3BFE0" w:rsidR="006824FE" w:rsidRPr="00EA727F" w:rsidRDefault="00545B3C" w:rsidP="006824FE">
            <w:pPr>
              <w:spacing w:before="0" w:after="0"/>
              <w:cnfStyle w:val="000000100000" w:firstRow="0" w:lastRow="0" w:firstColumn="0" w:lastColumn="0" w:oddVBand="0" w:evenVBand="0" w:oddHBand="1" w:evenHBand="0" w:firstRowFirstColumn="0" w:firstRowLastColumn="0" w:lastRowFirstColumn="0" w:lastRowLastColumn="0"/>
            </w:pPr>
            <w:r>
              <w:rPr>
                <w:lang w:val="en-GB"/>
              </w:rPr>
              <w:t>Medium</w:t>
            </w:r>
          </w:p>
        </w:tc>
      </w:tr>
    </w:tbl>
    <w:p w14:paraId="51C1B941" w14:textId="713ACF09" w:rsidR="001301C1" w:rsidRPr="00745CBB" w:rsidRDefault="0023214B" w:rsidP="00AD4275">
      <w:pPr>
        <w:pStyle w:val="TableNotes"/>
      </w:pPr>
      <w:r w:rsidRPr="00745CBB">
        <w:t>NB</w:t>
      </w:r>
      <w:r w:rsidR="001301C1" w:rsidRPr="00745CBB">
        <w:t>: Applicable rules: Article</w:t>
      </w:r>
      <w:r w:rsidR="001301C1" w:rsidRPr="00745CBB">
        <w:rPr>
          <w:rFonts w:ascii="Calibri" w:hAnsi="Calibri" w:cs="Calibri"/>
        </w:rPr>
        <w:t> </w:t>
      </w:r>
      <w:r w:rsidR="001301C1" w:rsidRPr="00745CBB">
        <w:t xml:space="preserve">22(2)a of the Recovery and Resilience Facility </w:t>
      </w:r>
      <w:r w:rsidR="00EF5B45" w:rsidRPr="00745CBB">
        <w:t>R</w:t>
      </w:r>
      <w:r w:rsidR="001301C1" w:rsidRPr="00745CBB">
        <w:t>egulation. Obligation to correct: Article</w:t>
      </w:r>
      <w:r w:rsidR="001301C1" w:rsidRPr="00745CBB">
        <w:rPr>
          <w:rFonts w:ascii="Calibri" w:hAnsi="Calibri" w:cs="Calibri"/>
        </w:rPr>
        <w:t> </w:t>
      </w:r>
      <w:r w:rsidR="001301C1" w:rsidRPr="00745CBB">
        <w:t xml:space="preserve">22(5) of the Recovery and Resilience Facility </w:t>
      </w:r>
      <w:r w:rsidR="00760912" w:rsidRPr="00745CBB">
        <w:t>R</w:t>
      </w:r>
      <w:r w:rsidR="001301C1" w:rsidRPr="00745CBB">
        <w:t>egulation.</w:t>
      </w:r>
    </w:p>
    <w:p w14:paraId="0FECD572" w14:textId="77777777" w:rsidR="001301C1" w:rsidRPr="00745CBB" w:rsidRDefault="001301C1" w:rsidP="001301C1">
      <w:pPr>
        <w:pStyle w:val="TableSource"/>
        <w:spacing w:before="0"/>
        <w:rPr>
          <w:rFonts w:ascii="EC Square Sans Pro" w:hAnsi="EC Square Sans Pro"/>
        </w:rPr>
      </w:pPr>
      <w:r w:rsidRPr="00745CBB">
        <w:rPr>
          <w:rStyle w:val="Italic"/>
        </w:rPr>
        <w:t>Source:</w:t>
      </w:r>
      <w:r w:rsidRPr="00745CBB">
        <w:rPr>
          <w:rFonts w:ascii="EC Square Sans Pro" w:hAnsi="EC Square Sans Pro"/>
        </w:rPr>
        <w:t xml:space="preserve"> European Commission.</w:t>
      </w:r>
    </w:p>
    <w:p w14:paraId="15025709" w14:textId="77777777" w:rsidR="007B53F4" w:rsidRDefault="007B53F4">
      <w:pPr>
        <w:suppressAutoHyphens w:val="0"/>
      </w:pPr>
      <w:r>
        <w:br w:type="page"/>
      </w:r>
    </w:p>
    <w:p w14:paraId="0BC5404C" w14:textId="77777777" w:rsidR="001301C1" w:rsidRPr="00745CBB" w:rsidRDefault="001301C1" w:rsidP="007B53F4">
      <w:pPr>
        <w:spacing w:after="120"/>
        <w:rPr>
          <w:rFonts w:eastAsia="Calibri"/>
        </w:rPr>
      </w:pPr>
      <w:r w:rsidRPr="00745CBB">
        <w:t>Overall, the Commission concludes th</w:t>
      </w:r>
      <w:r w:rsidRPr="00745CBB">
        <w:rPr>
          <w:rFonts w:eastAsia="Calibri"/>
        </w:rPr>
        <w:t>e following</w:t>
      </w:r>
      <w:r w:rsidRPr="00745CBB">
        <w:t>.</w:t>
      </w:r>
    </w:p>
    <w:p w14:paraId="29405AD5" w14:textId="159325E4" w:rsidR="001301C1" w:rsidRPr="00745CBB" w:rsidRDefault="001301C1" w:rsidP="00EC3610">
      <w:pPr>
        <w:pStyle w:val="ListBulletorangeLevel1"/>
      </w:pPr>
      <w:r w:rsidRPr="00DA3E81">
        <w:t xml:space="preserve">Regarding </w:t>
      </w:r>
      <w:r w:rsidRPr="00745CBB">
        <w:t>legality and regularity</w:t>
      </w:r>
      <w:r w:rsidR="00760912" w:rsidRPr="00DA3E81">
        <w:t>,</w:t>
      </w:r>
      <w:r w:rsidRPr="00DA3E81">
        <w:t xml:space="preserve"> the level of risk</w:t>
      </w:r>
      <w:r>
        <w:t xml:space="preserve"> </w:t>
      </w:r>
      <w:r w:rsidRPr="001873FA">
        <w:rPr>
          <w:color w:val="000000"/>
        </w:rPr>
        <w:t xml:space="preserve">is </w:t>
      </w:r>
      <w:r w:rsidR="00926C2C" w:rsidRPr="001873FA">
        <w:rPr>
          <w:color w:val="000000"/>
        </w:rPr>
        <w:t>high for the 3rd payment to Poland</w:t>
      </w:r>
      <w:r w:rsidR="00926C2C">
        <w:rPr>
          <w:color w:val="000000"/>
        </w:rPr>
        <w:t xml:space="preserve"> and </w:t>
      </w:r>
      <w:r w:rsidRPr="00DA3E81">
        <w:t xml:space="preserve">is </w:t>
      </w:r>
      <w:r w:rsidR="00EE4B33" w:rsidRPr="001873FA">
        <w:t xml:space="preserve">medium for the 7th payment request to Italy and </w:t>
      </w:r>
      <w:r w:rsidRPr="00DA3E81">
        <w:t xml:space="preserve">low for all </w:t>
      </w:r>
      <w:r w:rsidR="008B79A6" w:rsidRPr="00DA3E81">
        <w:t xml:space="preserve">of </w:t>
      </w:r>
      <w:r w:rsidRPr="00DA3E81">
        <w:t>the</w:t>
      </w:r>
      <w:r>
        <w:t xml:space="preserve"> </w:t>
      </w:r>
      <w:r w:rsidR="00926C2C">
        <w:t>other</w:t>
      </w:r>
      <w:r w:rsidRPr="00DA3E81">
        <w:t xml:space="preserve"> payments made</w:t>
      </w:r>
      <w:r w:rsidRPr="00745CBB">
        <w:t xml:space="preserve">. </w:t>
      </w:r>
      <w:r w:rsidRPr="00DA3E81">
        <w:t xml:space="preserve">Based on the audits and controls carried out, none of the milestones and targets included in the payments made were assessed as not satisfactorily fulfilled. </w:t>
      </w:r>
      <w:r w:rsidRPr="00745CBB">
        <w:t xml:space="preserve">The Commission carefully analysed the results of the </w:t>
      </w:r>
      <w:r w:rsidRPr="00745CBB">
        <w:rPr>
          <w:rFonts w:eastAsia="EC Square Sans Pro" w:cs="EC Square Sans Pro"/>
          <w:color w:val="000000" w:themeColor="text1"/>
        </w:rPr>
        <w:t>Court of Auditors</w:t>
      </w:r>
      <w:r w:rsidR="008B79A6" w:rsidRPr="00745CBB">
        <w:rPr>
          <w:rFonts w:eastAsia="EC Square Sans Pro" w:cs="EC Square Sans Pro"/>
          <w:color w:val="000000" w:themeColor="text1"/>
        </w:rPr>
        <w:t>’</w:t>
      </w:r>
      <w:r w:rsidRPr="00745CBB">
        <w:rPr>
          <w:rFonts w:eastAsia="EC Square Sans Pro" w:cs="EC Square Sans Pro"/>
          <w:color w:val="000000" w:themeColor="text1"/>
        </w:rPr>
        <w:t xml:space="preserve"> </w:t>
      </w:r>
      <w:r w:rsidRPr="00745CBB">
        <w:t>audits for payments made in 202</w:t>
      </w:r>
      <w:r w:rsidR="00765535" w:rsidRPr="00745CBB">
        <w:t>5</w:t>
      </w:r>
      <w:r w:rsidR="008B79A6" w:rsidRPr="00745CBB">
        <w:t>,</w:t>
      </w:r>
      <w:r w:rsidRPr="00745CBB">
        <w:t xml:space="preserve"> and maintained its position that the milestones and targets included in the corresponding payment requests were satisfactorily achieved</w:t>
      </w:r>
      <w:r w:rsidR="00250CE5">
        <w:t xml:space="preserve"> with the exception of the 3</w:t>
      </w:r>
      <w:r w:rsidR="00250CE5" w:rsidRPr="00250CE5">
        <w:rPr>
          <w:vertAlign w:val="superscript"/>
        </w:rPr>
        <w:t>rd</w:t>
      </w:r>
      <w:r w:rsidR="00250CE5">
        <w:t xml:space="preserve"> payment to </w:t>
      </w:r>
      <w:r w:rsidR="00B466DC">
        <w:t xml:space="preserve">Poland. </w:t>
      </w:r>
      <w:r w:rsidR="00B466DC" w:rsidRPr="00057552">
        <w:t>A financial reservation was therefore introduced.</w:t>
      </w:r>
      <w:r w:rsidR="00064DB6">
        <w:t xml:space="preserve"> </w:t>
      </w:r>
      <w:r w:rsidR="00064DB6" w:rsidRPr="00057552">
        <w:t xml:space="preserve">The </w:t>
      </w:r>
      <w:r w:rsidR="000F7A3F">
        <w:t>financial impact</w:t>
      </w:r>
      <w:r w:rsidR="00064DB6" w:rsidRPr="00057552">
        <w:t xml:space="preserve"> amounts to EUR</w:t>
      </w:r>
      <w:r w:rsidR="000F7A3F">
        <w:rPr>
          <w:rFonts w:ascii="Calibri" w:hAnsi="Calibri" w:cs="Calibri"/>
        </w:rPr>
        <w:t> </w:t>
      </w:r>
      <w:r w:rsidR="00983AC6" w:rsidRPr="00057552">
        <w:t>326</w:t>
      </w:r>
      <w:r w:rsidR="000F7A3F">
        <w:t>.1</w:t>
      </w:r>
      <w:r w:rsidR="000F7A3F">
        <w:rPr>
          <w:rFonts w:ascii="Calibri" w:hAnsi="Calibri" w:cs="Calibri"/>
        </w:rPr>
        <w:t> </w:t>
      </w:r>
      <w:r w:rsidR="000F7A3F">
        <w:t>million</w:t>
      </w:r>
      <w:r w:rsidR="00983AC6" w:rsidRPr="00057552">
        <w:t>.</w:t>
      </w:r>
      <w:r w:rsidR="00064DB6" w:rsidRPr="00057552">
        <w:t xml:space="preserve"> This corresponds to a financial exposure representing </w:t>
      </w:r>
      <w:r w:rsidR="00057552" w:rsidRPr="00057552">
        <w:t>14.39%</w:t>
      </w:r>
      <w:r w:rsidR="00064DB6" w:rsidRPr="00057552">
        <w:t xml:space="preserve"> of the </w:t>
      </w:r>
      <w:r w:rsidR="000F7A3F">
        <w:t>non-repayable support paid</w:t>
      </w:r>
      <w:r w:rsidR="00064DB6" w:rsidRPr="00057552">
        <w:t xml:space="preserve"> to Poland in 2025 and </w:t>
      </w:r>
      <w:r w:rsidR="00057552" w:rsidRPr="00057552">
        <w:t>0.</w:t>
      </w:r>
      <w:r w:rsidR="00105CF6">
        <w:t>72</w:t>
      </w:r>
      <w:r w:rsidR="00057552" w:rsidRPr="00057552">
        <w:t>%</w:t>
      </w:r>
      <w:r w:rsidR="00064DB6" w:rsidRPr="00057552">
        <w:t xml:space="preserve"> of total </w:t>
      </w:r>
      <w:r w:rsidR="000F7A3F">
        <w:t>amount of non-repayable support paid</w:t>
      </w:r>
      <w:r w:rsidR="00064DB6" w:rsidRPr="00057552">
        <w:t xml:space="preserve"> in 2025.</w:t>
      </w:r>
    </w:p>
    <w:p w14:paraId="4E54E07F" w14:textId="43340C3C" w:rsidR="00C16A41" w:rsidRPr="007B03F0" w:rsidRDefault="001301C1" w:rsidP="00EC3610">
      <w:pPr>
        <w:pStyle w:val="ListBulletorangeLevel1"/>
        <w:rPr>
          <w:rFonts w:eastAsia="Calibri"/>
        </w:rPr>
      </w:pPr>
      <w:r w:rsidRPr="00922F69">
        <w:rPr>
          <w:rFonts w:eastAsia="Calibri"/>
        </w:rPr>
        <w:t>Regarding compliance with all applicable rules, namely public procurement and State aid</w:t>
      </w:r>
      <w:r w:rsidRPr="00922F69">
        <w:rPr>
          <w:rFonts w:ascii="Calibri" w:eastAsia="Calibri" w:hAnsi="Calibri" w:cs="Calibri"/>
        </w:rPr>
        <w:t> </w:t>
      </w:r>
      <w:r w:rsidRPr="00922F69">
        <w:rPr>
          <w:rFonts w:eastAsia="Calibri"/>
        </w:rPr>
        <w:t>(</w:t>
      </w:r>
      <w:r w:rsidRPr="00352191">
        <w:rPr>
          <w:rStyle w:val="FootnoteReference"/>
          <w:rFonts w:eastAsia="Calibri"/>
        </w:rPr>
        <w:footnoteReference w:id="79"/>
      </w:r>
      <w:r w:rsidRPr="00922F69">
        <w:rPr>
          <w:rFonts w:eastAsia="Calibri"/>
        </w:rPr>
        <w:t>)</w:t>
      </w:r>
      <w:r w:rsidR="00760912" w:rsidRPr="00922F69">
        <w:rPr>
          <w:rFonts w:eastAsia="Calibri"/>
        </w:rPr>
        <w:t>,</w:t>
      </w:r>
      <w:r w:rsidRPr="00922F69">
        <w:rPr>
          <w:rFonts w:eastAsia="Calibri"/>
        </w:rPr>
        <w:t xml:space="preserve"> </w:t>
      </w:r>
      <w:r w:rsidRPr="00922F69">
        <w:t xml:space="preserve">the </w:t>
      </w:r>
      <w:r w:rsidR="00760912" w:rsidRPr="00922F69">
        <w:t xml:space="preserve">level of </w:t>
      </w:r>
      <w:r w:rsidRPr="00922F69">
        <w:t xml:space="preserve">risk is medium for </w:t>
      </w:r>
      <w:r w:rsidR="00AA5E79">
        <w:t>9</w:t>
      </w:r>
      <w:r w:rsidRPr="00922F69">
        <w:t xml:space="preserve"> Member States and low for the </w:t>
      </w:r>
      <w:r w:rsidR="008B79A6" w:rsidRPr="00922F69">
        <w:t xml:space="preserve">remaining </w:t>
      </w:r>
      <w:r w:rsidRPr="00922F69">
        <w:t xml:space="preserve">Member States. Regarding the obligation to make corrections in cases of </w:t>
      </w:r>
      <w:r w:rsidRPr="00922F69">
        <w:rPr>
          <w:rFonts w:eastAsia="Calibri"/>
        </w:rPr>
        <w:t>fraud, corruption or conflict of interest</w:t>
      </w:r>
      <w:r w:rsidR="008B79A6" w:rsidRPr="00922F69">
        <w:rPr>
          <w:rFonts w:eastAsia="Calibri"/>
        </w:rPr>
        <w:t>,</w:t>
      </w:r>
      <w:r w:rsidRPr="00922F69">
        <w:rPr>
          <w:rFonts w:eastAsia="Calibri"/>
        </w:rPr>
        <w:t xml:space="preserve"> or a serious breach of obligations resulting from the financing and loan agreements</w:t>
      </w:r>
      <w:r w:rsidRPr="00922F69">
        <w:rPr>
          <w:rFonts w:ascii="Calibri" w:eastAsia="Calibri" w:hAnsi="Calibri" w:cs="Calibri"/>
        </w:rPr>
        <w:t> </w:t>
      </w:r>
      <w:r w:rsidRPr="00922F69">
        <w:rPr>
          <w:rFonts w:eastAsia="Calibri"/>
        </w:rPr>
        <w:t>(</w:t>
      </w:r>
      <w:r w:rsidRPr="00352191">
        <w:rPr>
          <w:rStyle w:val="FootnoteReference"/>
          <w:rFonts w:eastAsia="Calibri"/>
        </w:rPr>
        <w:footnoteReference w:id="80"/>
      </w:r>
      <w:r w:rsidRPr="00922F69">
        <w:rPr>
          <w:rFonts w:eastAsia="Calibri"/>
        </w:rPr>
        <w:t>)</w:t>
      </w:r>
      <w:r w:rsidR="008B79A6" w:rsidRPr="00922F69">
        <w:rPr>
          <w:rFonts w:eastAsia="Calibri"/>
        </w:rPr>
        <w:t>,</w:t>
      </w:r>
      <w:r w:rsidRPr="00922F69">
        <w:rPr>
          <w:rFonts w:eastAsia="Calibri"/>
        </w:rPr>
        <w:t xml:space="preserve"> the level of risk is </w:t>
      </w:r>
      <w:r w:rsidR="00777884">
        <w:rPr>
          <w:rFonts w:eastAsia="Calibri"/>
        </w:rPr>
        <w:t xml:space="preserve">high for </w:t>
      </w:r>
      <w:r w:rsidR="00605663">
        <w:rPr>
          <w:rFonts w:eastAsia="Calibri"/>
        </w:rPr>
        <w:t>Czechia</w:t>
      </w:r>
      <w:r w:rsidR="006A37D1">
        <w:rPr>
          <w:rFonts w:eastAsia="Calibri"/>
        </w:rPr>
        <w:t>,</w:t>
      </w:r>
      <w:r w:rsidR="00605663">
        <w:rPr>
          <w:rFonts w:eastAsia="Calibri"/>
        </w:rPr>
        <w:t xml:space="preserve"> </w:t>
      </w:r>
      <w:r w:rsidRPr="00922F69">
        <w:t xml:space="preserve">medium for </w:t>
      </w:r>
      <w:r w:rsidR="00632944">
        <w:br/>
      </w:r>
      <w:r w:rsidRPr="005B2F78">
        <w:t>1</w:t>
      </w:r>
      <w:r w:rsidR="00605663">
        <w:t>7</w:t>
      </w:r>
      <w:r w:rsidRPr="00922F69">
        <w:t xml:space="preserve"> Member States</w:t>
      </w:r>
      <w:r w:rsidRPr="00922F69">
        <w:rPr>
          <w:rFonts w:ascii="Calibri" w:hAnsi="Calibri" w:cs="Calibri"/>
        </w:rPr>
        <w:t> </w:t>
      </w:r>
      <w:r w:rsidRPr="00922F69">
        <w:t xml:space="preserve">and low for the </w:t>
      </w:r>
      <w:r w:rsidR="008B79A6" w:rsidRPr="00922F69">
        <w:t xml:space="preserve">remaining </w:t>
      </w:r>
      <w:r w:rsidR="00605663">
        <w:t>6</w:t>
      </w:r>
      <w:r w:rsidR="008B79A6" w:rsidRPr="00922F69">
        <w:t xml:space="preserve"> </w:t>
      </w:r>
      <w:r w:rsidRPr="00922F69">
        <w:t>Member States</w:t>
      </w:r>
      <w:r w:rsidR="00754B5D">
        <w:rPr>
          <w:rFonts w:ascii="Calibri" w:hAnsi="Calibri" w:cs="Calibri"/>
        </w:rPr>
        <w:t xml:space="preserve">. </w:t>
      </w:r>
      <w:r w:rsidR="00327CFF">
        <w:t>For CZ</w:t>
      </w:r>
      <w:r w:rsidRPr="00922F69">
        <w:t xml:space="preserve"> on the basis of the audit results obtained</w:t>
      </w:r>
      <w:r w:rsidR="007E3451">
        <w:t xml:space="preserve"> </w:t>
      </w:r>
      <w:r w:rsidR="007E3451" w:rsidRPr="00922F69">
        <w:t>in 2024</w:t>
      </w:r>
      <w:r w:rsidR="002B5BD9" w:rsidRPr="00922F69">
        <w:t>,</w:t>
      </w:r>
      <w:r w:rsidRPr="00922F69">
        <w:t xml:space="preserve"> which identified two individual cases of conflict</w:t>
      </w:r>
      <w:r w:rsidR="002B5BD9" w:rsidRPr="00922F69">
        <w:t>s</w:t>
      </w:r>
      <w:r w:rsidRPr="00922F69">
        <w:t xml:space="preserve"> of interest</w:t>
      </w:r>
      <w:r w:rsidR="006A37D1">
        <w:t>,</w:t>
      </w:r>
      <w:r w:rsidR="00144B84" w:rsidRPr="00922F69">
        <w:t xml:space="preserve"> </w:t>
      </w:r>
      <w:r w:rsidR="007E3451">
        <w:t>a</w:t>
      </w:r>
      <w:r w:rsidRPr="00922F69">
        <w:t xml:space="preserve"> financial reservation was introduced</w:t>
      </w:r>
      <w:r w:rsidR="00C9092A" w:rsidRPr="00922F69">
        <w:t xml:space="preserve"> in 2024 and </w:t>
      </w:r>
      <w:r w:rsidR="00F52E8E" w:rsidRPr="00922F69">
        <w:t>maintained in 2025</w:t>
      </w:r>
      <w:r w:rsidR="00CF6FCB" w:rsidRPr="00C82760">
        <w:t>, as no corrective actions had been taken by the Czech authorities neither at national level or at the level of the final recipients</w:t>
      </w:r>
      <w:r w:rsidR="00744E68" w:rsidRPr="00C82760">
        <w:rPr>
          <w:rFonts w:ascii="Calibri" w:hAnsi="Calibri" w:cs="Calibri"/>
        </w:rPr>
        <w:t> </w:t>
      </w:r>
      <w:r w:rsidR="00744E68" w:rsidRPr="00C82760">
        <w:t>(</w:t>
      </w:r>
      <w:r w:rsidR="00744E68" w:rsidRPr="00352191">
        <w:rPr>
          <w:rStyle w:val="FootnoteReference"/>
        </w:rPr>
        <w:footnoteReference w:id="81"/>
      </w:r>
      <w:r w:rsidR="00744E68" w:rsidRPr="00C82760">
        <w:t>)</w:t>
      </w:r>
      <w:r w:rsidR="00CF6FCB" w:rsidRPr="00C82760">
        <w:t>.</w:t>
      </w:r>
      <w:r w:rsidRPr="00C82760">
        <w:t xml:space="preserve"> </w:t>
      </w:r>
      <w:r w:rsidR="00B067C4" w:rsidRPr="00C82760">
        <w:t xml:space="preserve"> </w:t>
      </w:r>
      <w:r w:rsidR="00C16A41" w:rsidRPr="00922F69">
        <w:t xml:space="preserve">The financial </w:t>
      </w:r>
      <w:r w:rsidR="006A37D1">
        <w:t xml:space="preserve">impact </w:t>
      </w:r>
      <w:r w:rsidR="00C16A41" w:rsidRPr="00922F69">
        <w:t>amounts to EUR</w:t>
      </w:r>
      <w:r w:rsidR="004A6B1F">
        <w:rPr>
          <w:rFonts w:ascii="Calibri" w:hAnsi="Calibri" w:cs="Calibri"/>
        </w:rPr>
        <w:t> </w:t>
      </w:r>
      <w:r w:rsidR="00C16A41" w:rsidRPr="00922F69">
        <w:t>16.85</w:t>
      </w:r>
      <w:r w:rsidR="004A6B1F">
        <w:rPr>
          <w:rFonts w:ascii="Calibri" w:hAnsi="Calibri" w:cs="Calibri"/>
        </w:rPr>
        <w:t> </w:t>
      </w:r>
      <w:r w:rsidR="00C16A41" w:rsidRPr="00922F69">
        <w:t xml:space="preserve">million, </w:t>
      </w:r>
      <w:bookmarkStart w:id="80" w:name="_Hlk230716509"/>
      <w:r w:rsidR="00C16A41" w:rsidRPr="00922F69">
        <w:t xml:space="preserve">representing 0.96% of </w:t>
      </w:r>
      <w:r w:rsidR="004A6B1F">
        <w:t>non-repayable support paid</w:t>
      </w:r>
      <w:r w:rsidR="004A6B1F" w:rsidRPr="00922F69" w:rsidDel="004A6B1F">
        <w:t xml:space="preserve"> </w:t>
      </w:r>
      <w:r w:rsidR="00C16A41" w:rsidRPr="00922F69">
        <w:t xml:space="preserve">to Czechia in 2025 and 0.04% of total </w:t>
      </w:r>
      <w:r w:rsidR="004A6B1F">
        <w:t>non-repayable support paid</w:t>
      </w:r>
      <w:r w:rsidR="004A6B1F" w:rsidRPr="00922F69" w:rsidDel="004A6B1F">
        <w:t xml:space="preserve"> </w:t>
      </w:r>
      <w:r w:rsidR="00C16A41" w:rsidRPr="00922F69">
        <w:t>in 2025</w:t>
      </w:r>
      <w:bookmarkEnd w:id="80"/>
      <w:r w:rsidR="00AA322C" w:rsidRPr="00AA322C">
        <w:rPr>
          <w:rFonts w:ascii="Calibri" w:eastAsia="EC Square Sans Pro" w:hAnsi="Calibri" w:cs="Calibri"/>
        </w:rPr>
        <w:t> </w:t>
      </w:r>
      <w:r w:rsidR="00AA322C" w:rsidRPr="00AA322C">
        <w:rPr>
          <w:rFonts w:eastAsia="EC Square Sans Pro" w:cs="EC Square Sans Pro"/>
        </w:rPr>
        <w:t>(</w:t>
      </w:r>
      <w:r w:rsidR="00AA322C" w:rsidRPr="00352191">
        <w:rPr>
          <w:rStyle w:val="FootnoteReference"/>
          <w:rFonts w:eastAsia="EC Square Sans Pro"/>
        </w:rPr>
        <w:footnoteReference w:id="82"/>
      </w:r>
      <w:r w:rsidR="00AA322C">
        <w:rPr>
          <w:rFonts w:eastAsia="EC Square Sans Pro" w:cs="EC Square Sans Pro"/>
        </w:rPr>
        <w:t>)</w:t>
      </w:r>
      <w:r w:rsidR="00C16A41" w:rsidRPr="00922F69">
        <w:rPr>
          <w:rFonts w:eastAsia="EC Square Sans Pro" w:cs="EC Square Sans Pro"/>
        </w:rPr>
        <w:t>.</w:t>
      </w:r>
    </w:p>
    <w:p w14:paraId="2ACED9AF" w14:textId="77777777" w:rsidR="001301C1" w:rsidRPr="0037456E" w:rsidRDefault="001301C1" w:rsidP="00951D4A">
      <w:pPr>
        <w:pStyle w:val="HNum-fromh2Heading4-111"/>
        <w:spacing w:before="720"/>
        <w:ind w:left="907"/>
      </w:pPr>
      <w:r w:rsidRPr="0037456E">
        <w:t>The authorising officer by delegation for the facility confirmed they had reasonable assurance</w:t>
      </w:r>
    </w:p>
    <w:p w14:paraId="5C81C92B" w14:textId="3C557D5B" w:rsidR="001301C1" w:rsidRPr="0037456E" w:rsidRDefault="001301C1" w:rsidP="001301C1">
      <w:pPr>
        <w:rPr>
          <w:rFonts w:eastAsia="Times New Roman"/>
        </w:rPr>
      </w:pPr>
      <w:r w:rsidRPr="0037456E">
        <w:t>In</w:t>
      </w:r>
      <w:r w:rsidRPr="0037456E">
        <w:rPr>
          <w:rFonts w:eastAsia="Times New Roman"/>
        </w:rPr>
        <w:t xml:space="preserve"> their conclusions on the assurance for the Recovery and Resilience Facility, the officer</w:t>
      </w:r>
      <w:r w:rsidRPr="0037456E">
        <w:rPr>
          <w:rFonts w:ascii="Calibri" w:eastAsia="Times New Roman" w:hAnsi="Calibri" w:cs="Calibri"/>
        </w:rPr>
        <w:t> </w:t>
      </w:r>
      <w:r w:rsidRPr="0037456E">
        <w:rPr>
          <w:rFonts w:eastAsia="Times New Roman"/>
        </w:rPr>
        <w:t>(</w:t>
      </w:r>
      <w:r w:rsidRPr="00352191">
        <w:rPr>
          <w:rStyle w:val="FootnoteReference"/>
        </w:rPr>
        <w:footnoteReference w:id="83"/>
      </w:r>
      <w:r w:rsidRPr="0037456E">
        <w:rPr>
          <w:rFonts w:eastAsia="Times New Roman"/>
        </w:rPr>
        <w:t>) confirmed they had reasonable assurance on:</w:t>
      </w:r>
    </w:p>
    <w:p w14:paraId="7A0F521B" w14:textId="3230D77C" w:rsidR="001301C1" w:rsidRPr="00DA3E81" w:rsidRDefault="001301C1" w:rsidP="00EC3610">
      <w:pPr>
        <w:pStyle w:val="ListBulletorangeLevel1"/>
      </w:pPr>
      <w:r w:rsidRPr="00DA3E81">
        <w:t>the legality and regularity of the payments made in 202</w:t>
      </w:r>
      <w:r w:rsidR="007D493A" w:rsidRPr="0037456E">
        <w:t>5</w:t>
      </w:r>
      <w:r w:rsidRPr="00DA3E81">
        <w:t xml:space="preserve"> for the </w:t>
      </w:r>
      <w:r w:rsidRPr="0037456E">
        <w:t>Recovery and Resilience Facility</w:t>
      </w:r>
      <w:r w:rsidRPr="00DA3E81">
        <w:t xml:space="preserve">, based on the positive assessment of the evidence of the satisfactory fulfilment of the milestones and targets provided in the payment requests, on </w:t>
      </w:r>
      <w:r w:rsidRPr="0037456E">
        <w:rPr>
          <w:rStyle w:val="Italic"/>
          <w:rFonts w:eastAsia="Calibri"/>
        </w:rPr>
        <w:t>ex post</w:t>
      </w:r>
      <w:r w:rsidRPr="00DA3E81">
        <w:t xml:space="preserve"> audit work on the milestones and targets</w:t>
      </w:r>
      <w:r w:rsidR="00CE2640" w:rsidRPr="00DA3E81">
        <w:t>,</w:t>
      </w:r>
      <w:r w:rsidRPr="00DA3E81">
        <w:t xml:space="preserve"> and considering the outcomes of the audit work carried out by the </w:t>
      </w:r>
      <w:r w:rsidRPr="0037456E">
        <w:rPr>
          <w:rFonts w:eastAsia="EC Square Sans Pro" w:cs="EC Square Sans Pro"/>
          <w:color w:val="000000" w:themeColor="text1"/>
        </w:rPr>
        <w:t xml:space="preserve">Court of Auditors </w:t>
      </w:r>
      <w:r w:rsidRPr="00DA3E81">
        <w:t>in the context of its statement of assurance 202</w:t>
      </w:r>
      <w:r w:rsidR="00723822">
        <w:t>5</w:t>
      </w:r>
      <w:r w:rsidRPr="00DA3E81">
        <w:t xml:space="preserve"> </w:t>
      </w:r>
      <w:r w:rsidRPr="0037456E">
        <w:t xml:space="preserve">(for </w:t>
      </w:r>
      <w:r w:rsidRPr="00DA3E81">
        <w:t xml:space="preserve">clearing letters received and </w:t>
      </w:r>
      <w:r w:rsidRPr="0037456E">
        <w:t>assessed</w:t>
      </w:r>
      <w:r w:rsidRPr="00DA3E81">
        <w:t xml:space="preserve"> by 2</w:t>
      </w:r>
      <w:r w:rsidR="00723822">
        <w:t>8</w:t>
      </w:r>
      <w:r w:rsidR="001532FD" w:rsidRPr="0037456E">
        <w:rPr>
          <w:rFonts w:ascii="Calibri" w:hAnsi="Calibri" w:cs="Calibri"/>
        </w:rPr>
        <w:t> </w:t>
      </w:r>
      <w:r w:rsidRPr="00DA3E81">
        <w:t>May 202</w:t>
      </w:r>
      <w:r w:rsidR="00723822">
        <w:t>6</w:t>
      </w:r>
      <w:r w:rsidRPr="00DA3E81">
        <w:t>)</w:t>
      </w:r>
      <w:r w:rsidR="0037456E" w:rsidRPr="0037456E">
        <w:t xml:space="preserve"> with the exception of </w:t>
      </w:r>
      <w:r w:rsidR="00723822">
        <w:t>one payment for one</w:t>
      </w:r>
      <w:r w:rsidR="0037456E" w:rsidRPr="0037456E">
        <w:t xml:space="preserve"> Member State, as described in Section</w:t>
      </w:r>
      <w:r w:rsidR="0037456E" w:rsidRPr="0037456E">
        <w:rPr>
          <w:rFonts w:ascii="Calibri" w:hAnsi="Calibri" w:cs="Calibri"/>
        </w:rPr>
        <w:t> </w:t>
      </w:r>
      <w:r w:rsidR="0037456E" w:rsidRPr="0037456E">
        <w:t>2.2.10, for which a reservation was issued.</w:t>
      </w:r>
    </w:p>
    <w:p w14:paraId="38CDCDB2" w14:textId="5EE9968B" w:rsidR="001301C1" w:rsidRPr="0037456E" w:rsidRDefault="001301C1" w:rsidP="00951D4A">
      <w:pPr>
        <w:pStyle w:val="ListBulletorangeLevel1"/>
        <w:keepLines/>
      </w:pPr>
      <w:r w:rsidRPr="0037456E">
        <w:t>public procurement and State aid</w:t>
      </w:r>
      <w:r w:rsidR="003372CE" w:rsidRPr="0037456E">
        <w:t xml:space="preserve"> and</w:t>
      </w:r>
      <w:r w:rsidRPr="0037456E">
        <w:t xml:space="preserve"> the respect of the obligation of Member States laid down in Article</w:t>
      </w:r>
      <w:r w:rsidRPr="0037456E">
        <w:rPr>
          <w:rFonts w:ascii="Calibri" w:hAnsi="Calibri" w:cs="Calibri"/>
        </w:rPr>
        <w:t> </w:t>
      </w:r>
      <w:r w:rsidRPr="0037456E">
        <w:t xml:space="preserve">22(2)(a) of the </w:t>
      </w:r>
      <w:r w:rsidR="00DD0D13" w:rsidRPr="006D3C55">
        <w:rPr>
          <w:rFonts w:eastAsiaTheme="majorEastAsia"/>
        </w:rPr>
        <w:t>Recovery and Resilience Facility</w:t>
      </w:r>
      <w:r w:rsidRPr="006D3C55">
        <w:rPr>
          <w:rFonts w:eastAsiaTheme="majorEastAsia"/>
        </w:rPr>
        <w:t xml:space="preserve"> </w:t>
      </w:r>
      <w:r w:rsidRPr="0037456E">
        <w:t>Regulation to regularly check that the financing provided in the context of the underlying transactions has been properly used in accordance with all applicable rules, including the effectiveness of these checks, and that any measure for the implementation of reforms and investment projects under the recovery and resilience plan has been properly implemented in accordance with all applicable rules</w:t>
      </w:r>
      <w:r w:rsidR="00595F51" w:rsidRPr="0037456E">
        <w:t>,</w:t>
      </w:r>
      <w:r w:rsidRPr="0037456E">
        <w:t xml:space="preserve"> in particular regarding the prevention, detection and correction of fraud, corruption and conflicts of interest; </w:t>
      </w:r>
    </w:p>
    <w:p w14:paraId="3D2F0E14" w14:textId="4250056F" w:rsidR="00DB5F48" w:rsidRDefault="001301C1" w:rsidP="00CE2240">
      <w:pPr>
        <w:pStyle w:val="ListBullet"/>
        <w:ind w:left="426"/>
      </w:pPr>
      <w:r w:rsidRPr="0037456E">
        <w:t>the implementation of Article</w:t>
      </w:r>
      <w:r w:rsidRPr="0037456E">
        <w:rPr>
          <w:rFonts w:ascii="Calibri" w:hAnsi="Calibri" w:cs="Calibri"/>
        </w:rPr>
        <w:t> </w:t>
      </w:r>
      <w:r w:rsidRPr="0037456E">
        <w:t xml:space="preserve">22(5) of the </w:t>
      </w:r>
      <w:r w:rsidR="00DD0D13" w:rsidRPr="006D3C55">
        <w:rPr>
          <w:rFonts w:eastAsiaTheme="majorEastAsia"/>
        </w:rPr>
        <w:t>Recovery and Resilience Facility</w:t>
      </w:r>
      <w:r w:rsidRPr="006D3C55">
        <w:rPr>
          <w:rFonts w:eastAsiaTheme="majorEastAsia"/>
        </w:rPr>
        <w:t xml:space="preserve"> </w:t>
      </w:r>
      <w:r w:rsidRPr="0037456E">
        <w:t xml:space="preserve">Regulation on the proportionate reduction of the support under the </w:t>
      </w:r>
      <w:r w:rsidR="00112B9D" w:rsidRPr="0037456E">
        <w:t>f</w:t>
      </w:r>
      <w:r w:rsidRPr="0037456E">
        <w:t xml:space="preserve">acility and </w:t>
      </w:r>
      <w:r w:rsidR="00816D9E" w:rsidRPr="0037456E">
        <w:t xml:space="preserve">the </w:t>
      </w:r>
      <w:r w:rsidRPr="0037456E">
        <w:t xml:space="preserve">recovery of any amount due to the </w:t>
      </w:r>
      <w:r w:rsidR="00B066E0" w:rsidRPr="0037456E">
        <w:t xml:space="preserve">EU </w:t>
      </w:r>
      <w:r w:rsidRPr="0037456E">
        <w:t>budget</w:t>
      </w:r>
      <w:r w:rsidR="00816D9E" w:rsidRPr="0037456E">
        <w:t>,</w:t>
      </w:r>
      <w:r w:rsidRPr="0037456E">
        <w:t xml:space="preserve"> or the request for early repayment of the loan, in </w:t>
      </w:r>
      <w:r w:rsidR="00E275E3" w:rsidRPr="0037456E">
        <w:t xml:space="preserve">the </w:t>
      </w:r>
      <w:r w:rsidRPr="0037456E">
        <w:t xml:space="preserve">case of fraud, corruption </w:t>
      </w:r>
      <w:r w:rsidR="00816D9E" w:rsidRPr="0037456E">
        <w:t xml:space="preserve">or </w:t>
      </w:r>
      <w:r w:rsidRPr="0037456E">
        <w:t xml:space="preserve">conflicts of interest affecting the financial interests of the </w:t>
      </w:r>
      <w:r w:rsidR="00B066E0" w:rsidRPr="0037456E">
        <w:t xml:space="preserve">EU </w:t>
      </w:r>
      <w:r w:rsidRPr="0037456E">
        <w:t>that have not been corrected by the Member State, or a serious breach of an obligation resulting from the agreements referred to in Articles</w:t>
      </w:r>
      <w:r w:rsidRPr="0037456E">
        <w:rPr>
          <w:rFonts w:ascii="Calibri" w:hAnsi="Calibri" w:cs="Calibri"/>
        </w:rPr>
        <w:t> </w:t>
      </w:r>
      <w:r w:rsidRPr="0037456E">
        <w:t xml:space="preserve">15(2) and 23(1) of the </w:t>
      </w:r>
      <w:r w:rsidR="00E275E3">
        <w:rPr>
          <w:rFonts w:eastAsiaTheme="majorEastAsia"/>
        </w:rPr>
        <w:t>r</w:t>
      </w:r>
      <w:r w:rsidRPr="0037456E">
        <w:t>egulation</w:t>
      </w:r>
      <w:r w:rsidR="00E275E3" w:rsidRPr="0037456E">
        <w:t>,</w:t>
      </w:r>
      <w:r w:rsidRPr="0037456E">
        <w:t xml:space="preserve"> with the exception of </w:t>
      </w:r>
      <w:r w:rsidR="007D493A" w:rsidRPr="0037456E">
        <w:t>a</w:t>
      </w:r>
      <w:r w:rsidRPr="0037456E">
        <w:t xml:space="preserve"> Member State, as described in Section</w:t>
      </w:r>
      <w:r w:rsidR="00E275E3" w:rsidRPr="0037456E">
        <w:rPr>
          <w:rFonts w:ascii="Calibri" w:hAnsi="Calibri" w:cs="Calibri"/>
        </w:rPr>
        <w:t> </w:t>
      </w:r>
      <w:r w:rsidRPr="0037456E">
        <w:t>2.2.</w:t>
      </w:r>
      <w:r w:rsidR="00360CEE" w:rsidRPr="0037456E">
        <w:t>10</w:t>
      </w:r>
      <w:r w:rsidR="00E275E3" w:rsidRPr="0037456E">
        <w:t>,</w:t>
      </w:r>
      <w:r w:rsidRPr="0037456E">
        <w:t xml:space="preserve"> for which a reservation was </w:t>
      </w:r>
      <w:r w:rsidR="007B03F0">
        <w:t>maintained</w:t>
      </w:r>
      <w:r w:rsidRPr="0037456E">
        <w:t>.</w:t>
      </w:r>
      <w:bookmarkEnd w:id="13"/>
    </w:p>
    <w:p w14:paraId="12607DB0" w14:textId="77777777" w:rsidR="00DB5F48" w:rsidRPr="0037456E" w:rsidRDefault="00DB5F48" w:rsidP="006325B5"/>
    <w:sectPr w:rsidR="00DB5F48" w:rsidRPr="0037456E" w:rsidSect="001301C1">
      <w:headerReference w:type="even" r:id="rId130"/>
      <w:headerReference w:type="default" r:id="rId131"/>
      <w:footerReference w:type="even" r:id="rId132"/>
      <w:footerReference w:type="default" r:id="rId133"/>
      <w:headerReference w:type="first" r:id="rId134"/>
      <w:footerReference w:type="first" r:id="rId135"/>
      <w:endnotePr>
        <w:pos w:val="sectEnd"/>
        <w:numFmt w:val="lowerLetter"/>
      </w:endnotePr>
      <w:pgSz w:w="11907" w:h="16839" w:code="9"/>
      <w:pgMar w:top="1418" w:right="1418" w:bottom="1418" w:left="1418" w:header="680" w:footer="567" w:gutter="0"/>
      <w:cols w:space="720"/>
      <w:docGrid w:linePitch="280" w:charSpace="126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67955C" w14:textId="77777777" w:rsidR="00C25C59" w:rsidRPr="006D3C55" w:rsidRDefault="00C25C59">
      <w:pPr>
        <w:spacing w:before="0" w:after="0" w:line="240" w:lineRule="auto"/>
      </w:pPr>
      <w:r w:rsidRPr="006D3C55">
        <w:separator/>
      </w:r>
    </w:p>
  </w:endnote>
  <w:endnote w:type="continuationSeparator" w:id="0">
    <w:p w14:paraId="0986BF42" w14:textId="77777777" w:rsidR="00C25C59" w:rsidRPr="006D3C55" w:rsidRDefault="00C25C59">
      <w:pPr>
        <w:spacing w:before="0" w:after="0" w:line="240" w:lineRule="auto"/>
      </w:pPr>
      <w:r w:rsidRPr="006D3C5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EC Square Sans Pro">
    <w:panose1 w:val="020B0506040000020004"/>
    <w:charset w:val="00"/>
    <w:family w:val="swiss"/>
    <w:pitch w:val="variable"/>
    <w:sig w:usb0="20000287" w:usb1="00000001"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EC Square Sans Pro Medium">
    <w:altName w:val="Corbel"/>
    <w:panose1 w:val="020B0500000000020004"/>
    <w:charset w:val="00"/>
    <w:family w:val="swiss"/>
    <w:pitch w:val="variable"/>
    <w:sig w:usb0="20000287" w:usb1="00000001" w:usb2="00000000" w:usb3="00000000" w:csb0="0000019F" w:csb1="00000000"/>
  </w:font>
  <w:font w:name="Tunga">
    <w:panose1 w:val="00000400000000000000"/>
    <w:charset w:val="00"/>
    <w:family w:val="swiss"/>
    <w:pitch w:val="variable"/>
    <w:sig w:usb0="00400003" w:usb1="00000000" w:usb2="00000000" w:usb3="00000000" w:csb0="00000001" w:csb1="00000000"/>
  </w:font>
  <w:font w:name="EC Square Sans Cond Pro">
    <w:panose1 w:val="020B0506040000020004"/>
    <w:charset w:val="00"/>
    <w:family w:val="swiss"/>
    <w:pitch w:val="variable"/>
    <w:sig w:usb0="20000287" w:usb1="00000001"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C4779C" w14:textId="1C09E19D" w:rsidR="00F21062" w:rsidRPr="00F21062" w:rsidRDefault="00F21062" w:rsidP="00F21062">
    <w:pPr>
      <w:pStyle w:val="FooterCoverPage"/>
      <w:rPr>
        <w:rFonts w:ascii="Arial" w:hAnsi="Arial" w:cs="Arial"/>
        <w:b/>
        <w:sz w:val="48"/>
      </w:rPr>
    </w:pPr>
    <w:r w:rsidRPr="00F21062">
      <w:rPr>
        <w:rFonts w:ascii="Arial" w:hAnsi="Arial" w:cs="Arial"/>
        <w:b/>
        <w:sz w:val="48"/>
      </w:rPr>
      <w:t>EN</w:t>
    </w:r>
    <w:r w:rsidRPr="00F21062">
      <w:rPr>
        <w:rFonts w:ascii="Arial" w:hAnsi="Arial" w:cs="Arial"/>
        <w:b/>
        <w:sz w:val="48"/>
      </w:rPr>
      <w:tab/>
    </w:r>
    <w:r w:rsidRPr="00F21062">
      <w:rPr>
        <w:rFonts w:ascii="Arial" w:hAnsi="Arial" w:cs="Arial"/>
        <w:b/>
        <w:sz w:val="48"/>
      </w:rPr>
      <w:tab/>
    </w:r>
    <w:r w:rsidRPr="00F21062">
      <w:tab/>
    </w:r>
    <w:r w:rsidRPr="00F21062">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D44D5A" w14:textId="73FC299E" w:rsidR="00F21062" w:rsidRPr="00F21062" w:rsidRDefault="00F21062" w:rsidP="00F21062">
    <w:pPr>
      <w:pStyle w:val="FooterCoverPage"/>
      <w:rPr>
        <w:rFonts w:ascii="Arial" w:hAnsi="Arial" w:cs="Arial"/>
        <w:b/>
        <w:sz w:val="48"/>
      </w:rPr>
    </w:pPr>
    <w:r w:rsidRPr="00F21062">
      <w:rPr>
        <w:rFonts w:ascii="Arial" w:hAnsi="Arial" w:cs="Arial"/>
        <w:b/>
        <w:sz w:val="48"/>
      </w:rPr>
      <w:t>EN</w:t>
    </w:r>
    <w:r w:rsidRPr="00F21062">
      <w:rPr>
        <w:rFonts w:ascii="Arial" w:hAnsi="Arial" w:cs="Arial"/>
        <w:b/>
        <w:sz w:val="48"/>
      </w:rPr>
      <w:tab/>
    </w:r>
    <w:r w:rsidRPr="00F21062">
      <w:rPr>
        <w:rFonts w:ascii="Arial" w:hAnsi="Arial" w:cs="Arial"/>
        <w:b/>
        <w:sz w:val="48"/>
      </w:rPr>
      <w:tab/>
    </w:r>
    <w:r w:rsidRPr="00F21062">
      <w:tab/>
    </w:r>
    <w:r w:rsidRPr="00F21062">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4EFF2D" w14:textId="77777777" w:rsidR="00F21062" w:rsidRPr="00F21062" w:rsidRDefault="00F21062" w:rsidP="00F21062">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9860F0" w14:textId="19A616F1" w:rsidR="001301C1" w:rsidRPr="006D3C55" w:rsidRDefault="001301C1" w:rsidP="00DE62EF">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25DB54" w14:textId="6848FCE7" w:rsidR="001301C1" w:rsidRPr="006D3C55" w:rsidRDefault="001301C1">
    <w:pPr>
      <w:pStyle w:val="amprFooter-Right"/>
    </w:pPr>
    <w:r w:rsidRPr="006D3C55">
      <w:fldChar w:fldCharType="begin"/>
    </w:r>
    <w:r w:rsidRPr="006D3C55">
      <w:instrText xml:space="preserve"> PAGE   \* MERGEFORMAT </w:instrText>
    </w:r>
    <w:r w:rsidRPr="006D3C55">
      <w:fldChar w:fldCharType="separate"/>
    </w:r>
    <w:r w:rsidRPr="006D3C55">
      <w:t>13</w:t>
    </w:r>
    <w:r w:rsidRPr="006D3C55">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18C34B" w14:textId="5CFC110C" w:rsidR="001301C1" w:rsidRPr="006D3C55" w:rsidRDefault="001301C1">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DCE4B6" w14:textId="2D4158CB" w:rsidR="001301C1" w:rsidRPr="006D3C55" w:rsidRDefault="001301C1">
    <w:pPr>
      <w:pStyle w:val="amprFooter-Left"/>
    </w:pPr>
    <w:r w:rsidRPr="006D3C55">
      <w:fldChar w:fldCharType="begin"/>
    </w:r>
    <w:r w:rsidRPr="006D3C55">
      <w:instrText xml:space="preserve"> PAGE   \* MERGEFORMAT </w:instrText>
    </w:r>
    <w:r w:rsidRPr="006D3C55">
      <w:fldChar w:fldCharType="separate"/>
    </w:r>
    <w:r w:rsidRPr="006D3C55">
      <w:t>10</w:t>
    </w:r>
    <w:r w:rsidRPr="006D3C55">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18AD89" w14:textId="0FA19FC5" w:rsidR="001301C1" w:rsidRPr="006D3C55" w:rsidRDefault="001301C1">
    <w:pPr>
      <w:pStyle w:val="amprFooter-Right"/>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C6BA1F" w14:textId="066A95DA" w:rsidR="001301C1" w:rsidRPr="006D3C55" w:rsidRDefault="001301C1">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47D084" w14:textId="166DCA13" w:rsidR="001301C1" w:rsidRPr="006D3C55" w:rsidRDefault="001301C1">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D745B0" w14:textId="78991711" w:rsidR="001301C1" w:rsidRPr="006D3C55" w:rsidRDefault="001301C1">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840389" w14:textId="1822E0CA" w:rsidR="001301C1" w:rsidRPr="006D3C55" w:rsidRDefault="001301C1">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9F5532" w14:textId="32673742" w:rsidR="001301C1" w:rsidRPr="006D3C55" w:rsidRDefault="001301C1">
    <w:pPr>
      <w:pStyle w:val="amprFooter-Left"/>
    </w:pPr>
    <w:r w:rsidRPr="006D3C55">
      <w:fldChar w:fldCharType="begin"/>
    </w:r>
    <w:r w:rsidRPr="006D3C55">
      <w:instrText xml:space="preserve"> PAGE   \* MERGEFORMAT </w:instrText>
    </w:r>
    <w:r w:rsidRPr="006D3C55">
      <w:fldChar w:fldCharType="separate"/>
    </w:r>
    <w:r w:rsidRPr="006D3C55">
      <w:t>74</w:t>
    </w:r>
    <w:r w:rsidRPr="006D3C55">
      <w:fldChar w:fldCharType="end"/>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6E7033" w14:textId="3F073E0B" w:rsidR="001301C1" w:rsidRPr="006D3C55" w:rsidRDefault="001301C1">
    <w:pPr>
      <w:pStyle w:val="amprFooter-Right"/>
    </w:pPr>
    <w:r w:rsidRPr="006D3C55">
      <w:fldChar w:fldCharType="begin"/>
    </w:r>
    <w:r w:rsidRPr="006D3C55">
      <w:instrText xml:space="preserve"> PAGE   \* MERGEFORMAT </w:instrText>
    </w:r>
    <w:r w:rsidRPr="006D3C55">
      <w:fldChar w:fldCharType="separate"/>
    </w:r>
    <w:r w:rsidRPr="006D3C55">
      <w:t>75</w:t>
    </w:r>
    <w:r w:rsidRPr="006D3C55">
      <w:fldChar w:fldCharType="end"/>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970F66" w14:textId="152477B6" w:rsidR="001301C1" w:rsidRPr="006D3C55" w:rsidRDefault="001301C1">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EBD500" w14:textId="56C5F19C" w:rsidR="001301C1" w:rsidRPr="006D3C55" w:rsidRDefault="001301C1">
    <w:pPr>
      <w:pStyle w:val="amprFooter-Left"/>
    </w:pPr>
    <w:r w:rsidRPr="006D3C55">
      <w:fldChar w:fldCharType="begin"/>
    </w:r>
    <w:r w:rsidRPr="006D3C55">
      <w:instrText xml:space="preserve"> PAGE   \* MERGEFORMAT </w:instrText>
    </w:r>
    <w:r w:rsidRPr="006D3C55">
      <w:fldChar w:fldCharType="separate"/>
    </w:r>
    <w:r w:rsidRPr="006D3C55">
      <w:t>74</w:t>
    </w:r>
    <w:r w:rsidRPr="006D3C55">
      <w:fldChar w:fldCharType="end"/>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95AEFA" w14:textId="357BD692" w:rsidR="001301C1" w:rsidRPr="006D3C55" w:rsidRDefault="001301C1">
    <w:pPr>
      <w:pStyle w:val="amprFooter-Right"/>
    </w:pPr>
    <w:r w:rsidRPr="006D3C55">
      <w:fldChar w:fldCharType="begin"/>
    </w:r>
    <w:r w:rsidRPr="006D3C55">
      <w:instrText xml:space="preserve"> PAGE   \* MERGEFORMAT </w:instrText>
    </w:r>
    <w:r w:rsidRPr="006D3C55">
      <w:fldChar w:fldCharType="separate"/>
    </w:r>
    <w:r w:rsidRPr="006D3C55">
      <w:t>75</w:t>
    </w:r>
    <w:r w:rsidRPr="006D3C55">
      <w:fldChar w:fldCharType="end"/>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0131CA" w14:textId="735DA71C" w:rsidR="001301C1" w:rsidRPr="006D3C55" w:rsidRDefault="001301C1">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3441AF" w14:textId="69C42852" w:rsidR="001301C1" w:rsidRPr="006D3C55" w:rsidRDefault="001301C1">
    <w:pPr>
      <w:pStyle w:val="amprFooter-Left"/>
    </w:pPr>
    <w:r w:rsidRPr="006D3C55">
      <w:fldChar w:fldCharType="begin"/>
    </w:r>
    <w:r w:rsidRPr="006D3C55">
      <w:instrText xml:space="preserve"> PAGE   \* MERGEFORMAT </w:instrText>
    </w:r>
    <w:r w:rsidRPr="006D3C55">
      <w:fldChar w:fldCharType="separate"/>
    </w:r>
    <w:r w:rsidRPr="006D3C55">
      <w:t>74</w:t>
    </w:r>
    <w:r w:rsidRPr="006D3C55">
      <w:fldChar w:fldCharType="end"/>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9FE798" w14:textId="517E6AA4" w:rsidR="001301C1" w:rsidRPr="006D3C55" w:rsidRDefault="001301C1">
    <w:pPr>
      <w:pStyle w:val="amprFooter-Right"/>
    </w:pPr>
    <w:r w:rsidRPr="006D3C55">
      <w:fldChar w:fldCharType="begin"/>
    </w:r>
    <w:r w:rsidRPr="006D3C55">
      <w:instrText xml:space="preserve"> PAGE   \* MERGEFORMAT </w:instrText>
    </w:r>
    <w:r w:rsidRPr="006D3C55">
      <w:fldChar w:fldCharType="separate"/>
    </w:r>
    <w:r w:rsidRPr="006D3C55">
      <w:t>75</w:t>
    </w:r>
    <w:r w:rsidRPr="006D3C55">
      <w:fldChar w:fldCharType="end"/>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9E7B6C" w14:textId="1B3C7CF4" w:rsidR="001301C1" w:rsidRPr="006D3C55" w:rsidRDefault="001301C1">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9CD6A1" w14:textId="767834E0" w:rsidR="001301C1" w:rsidRPr="006D3C55" w:rsidRDefault="001301C1">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239822" w14:textId="23468AAF" w:rsidR="001301C1" w:rsidRPr="006D3C55" w:rsidRDefault="001301C1">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149265" w14:textId="6F2A0AAA" w:rsidR="001301C1" w:rsidRPr="006D3C55" w:rsidRDefault="001301C1">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EB8FF9" w14:textId="3FE14A6E" w:rsidR="001301C1" w:rsidRPr="006D3C55" w:rsidRDefault="001301C1">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B22E31" w14:textId="3709A6E6" w:rsidR="001301C1" w:rsidRPr="006D3C55" w:rsidRDefault="001301C1">
    <w:pPr>
      <w:pStyle w:val="amprFooter-Right"/>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E00F26" w14:textId="571A1B60" w:rsidR="001301C1" w:rsidRPr="006D3C55" w:rsidRDefault="001301C1">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2D01B9" w14:textId="3D89D596" w:rsidR="001301C1" w:rsidRPr="006D3C55" w:rsidRDefault="001301C1">
    <w:pPr>
      <w:pStyle w:val="amprFooter-Left"/>
    </w:pPr>
    <w:r w:rsidRPr="006D3C55">
      <w:fldChar w:fldCharType="begin"/>
    </w:r>
    <w:r w:rsidRPr="006D3C55">
      <w:instrText xml:space="preserve"> PAGE   \* MERGEFORMAT </w:instrText>
    </w:r>
    <w:r w:rsidRPr="006D3C55">
      <w:fldChar w:fldCharType="separate"/>
    </w:r>
    <w:r w:rsidRPr="006D3C55">
      <w:t>126</w:t>
    </w:r>
    <w:r w:rsidRPr="006D3C55">
      <w:fldChar w:fldCharType="end"/>
    </w: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4FC077" w14:textId="58C03BF0" w:rsidR="001301C1" w:rsidRPr="006D3C55" w:rsidRDefault="001301C1">
    <w:pPr>
      <w:pStyle w:val="amprFooter-Right"/>
    </w:pPr>
    <w:r w:rsidRPr="006D3C55">
      <w:fldChar w:fldCharType="begin"/>
    </w:r>
    <w:r w:rsidRPr="006D3C55">
      <w:instrText xml:space="preserve"> PAGE   \* MERGEFORMAT </w:instrText>
    </w:r>
    <w:r w:rsidRPr="006D3C55">
      <w:fldChar w:fldCharType="separate"/>
    </w:r>
    <w:r w:rsidRPr="006D3C55">
      <w:t>125</w:t>
    </w:r>
    <w:r w:rsidRPr="006D3C55">
      <w:fldChar w:fldCharType="end"/>
    </w: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C27C7E" w14:textId="0EC52510" w:rsidR="001301C1" w:rsidRPr="006D3C55" w:rsidRDefault="001301C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23A378" w14:textId="77777777" w:rsidR="00C25C59" w:rsidRPr="006D3C55" w:rsidRDefault="00C25C59">
      <w:pPr>
        <w:spacing w:before="0" w:after="0" w:line="240" w:lineRule="auto"/>
      </w:pPr>
      <w:r w:rsidRPr="006D3C55">
        <w:separator/>
      </w:r>
    </w:p>
  </w:footnote>
  <w:footnote w:type="continuationSeparator" w:id="0">
    <w:p w14:paraId="42CB4C52" w14:textId="77777777" w:rsidR="00C25C59" w:rsidRPr="006D3C55" w:rsidRDefault="00C25C59">
      <w:pPr>
        <w:spacing w:before="0" w:after="0" w:line="240" w:lineRule="auto"/>
      </w:pPr>
      <w:r w:rsidRPr="006D3C55">
        <w:continuationSeparator/>
      </w:r>
    </w:p>
  </w:footnote>
  <w:footnote w:id="1">
    <w:p w14:paraId="5A818301" w14:textId="7D69F205" w:rsidR="001301C1" w:rsidRPr="006D3C55" w:rsidRDefault="001301C1" w:rsidP="00352191">
      <w:pPr>
        <w:pStyle w:val="FootnoteText"/>
      </w:pPr>
      <w:r w:rsidRPr="006D3C55">
        <w:t>(</w:t>
      </w:r>
      <w:r w:rsidRPr="00352191">
        <w:rPr>
          <w:rStyle w:val="FootnoteReference"/>
        </w:rPr>
        <w:footnoteRef/>
      </w:r>
      <w:r w:rsidRPr="006D3C55">
        <w:t>)</w:t>
      </w:r>
      <w:r w:rsidR="00352191">
        <w:tab/>
      </w:r>
      <w:r w:rsidRPr="006D3C55">
        <w:t xml:space="preserve">The amount of the Commission’s relevant expenditure corresponds to the payments made in </w:t>
      </w:r>
      <w:r w:rsidR="006917A0" w:rsidRPr="006D3C55">
        <w:t xml:space="preserve">2025 </w:t>
      </w:r>
      <w:r w:rsidRPr="006D3C55">
        <w:t xml:space="preserve">minus the pre-financing paid out in </w:t>
      </w:r>
      <w:r w:rsidR="006917A0" w:rsidRPr="006D3C55">
        <w:t>2025</w:t>
      </w:r>
      <w:r w:rsidRPr="006D3C55">
        <w:t xml:space="preserve">, plus the pre-financing paid out in previous years and cleared in </w:t>
      </w:r>
      <w:r w:rsidR="006917A0" w:rsidRPr="006D3C55">
        <w:t xml:space="preserve">2025 </w:t>
      </w:r>
      <w:r w:rsidRPr="006D3C55">
        <w:t>(for definitions and more details, see Annex</w:t>
      </w:r>
      <w:r w:rsidRPr="006D3C55">
        <w:rPr>
          <w:rFonts w:ascii="Calibri" w:hAnsi="Calibri" w:cs="Calibri"/>
        </w:rPr>
        <w:t> </w:t>
      </w:r>
      <w:r w:rsidRPr="006D3C55">
        <w:t xml:space="preserve">5). This amount </w:t>
      </w:r>
      <w:r w:rsidR="00E71BA4" w:rsidRPr="006D3C55">
        <w:t>only</w:t>
      </w:r>
      <w:r w:rsidRPr="006D3C55">
        <w:t xml:space="preserve"> include</w:t>
      </w:r>
      <w:r w:rsidR="00E71BA4" w:rsidRPr="006D3C55">
        <w:t>s</w:t>
      </w:r>
      <w:r w:rsidRPr="006D3C55">
        <w:t xml:space="preserve"> the payments made </w:t>
      </w:r>
      <w:r w:rsidR="00E71BA4" w:rsidRPr="006D3C55">
        <w:t>from the EU budget</w:t>
      </w:r>
      <w:r w:rsidRPr="006D3C55">
        <w:t>.</w:t>
      </w:r>
    </w:p>
  </w:footnote>
  <w:footnote w:id="2">
    <w:p w14:paraId="358BB061" w14:textId="370F1772" w:rsidR="001301C1" w:rsidRPr="006D3C55" w:rsidRDefault="001301C1" w:rsidP="00352191">
      <w:pPr>
        <w:pStyle w:val="FootnoteText"/>
        <w:rPr>
          <w:highlight w:val="lightGray"/>
        </w:rPr>
      </w:pPr>
      <w:r w:rsidRPr="006D3C55">
        <w:t>(</w:t>
      </w:r>
      <w:r w:rsidRPr="00352191">
        <w:rPr>
          <w:rStyle w:val="FootnoteReference"/>
        </w:rPr>
        <w:footnoteRef/>
      </w:r>
      <w:r w:rsidRPr="006D3C55">
        <w:t>)</w:t>
      </w:r>
      <w:r w:rsidR="00352191">
        <w:tab/>
      </w:r>
      <w:r w:rsidR="001734C6" w:rsidRPr="006D3C55">
        <w:t>T</w:t>
      </w:r>
      <w:r w:rsidRPr="006D3C55">
        <w:t>he European Development Fund has been incorporated into the EU’s general budget for the 2021-2027 multiannual financial framework.</w:t>
      </w:r>
    </w:p>
  </w:footnote>
  <w:footnote w:id="3">
    <w:p w14:paraId="000F6629" w14:textId="6AC67981" w:rsidR="00C32C89" w:rsidRPr="006D3C55" w:rsidRDefault="00C32C89" w:rsidP="00352191">
      <w:pPr>
        <w:pStyle w:val="FootnoteText"/>
      </w:pPr>
      <w:r w:rsidRPr="006D3C55">
        <w:t>(</w:t>
      </w:r>
      <w:r w:rsidRPr="00352191">
        <w:rPr>
          <w:rStyle w:val="FootnoteReference"/>
        </w:rPr>
        <w:footnoteRef/>
      </w:r>
      <w:r w:rsidRPr="006D3C55">
        <w:t>)</w:t>
      </w:r>
      <w:r w:rsidR="00352191">
        <w:tab/>
      </w:r>
      <w:r w:rsidRPr="006D3C55">
        <w:t>Under shared management, Member States’ bodies select projects, distribute funds and manage expenditure in accordance with EU and national law and report back to the Commission about the results achieved.</w:t>
      </w:r>
    </w:p>
  </w:footnote>
  <w:footnote w:id="4">
    <w:p w14:paraId="4AFA4C1C" w14:textId="631E07F5" w:rsidR="001301C1" w:rsidRPr="006D3C55" w:rsidRDefault="001301C1" w:rsidP="00352191">
      <w:pPr>
        <w:pStyle w:val="FootnoteText"/>
        <w:rPr>
          <w:highlight w:val="lightGray"/>
        </w:rPr>
      </w:pPr>
      <w:r w:rsidRPr="006D3C55">
        <w:t>(</w:t>
      </w:r>
      <w:r w:rsidRPr="00352191">
        <w:rPr>
          <w:rStyle w:val="FootnoteReference"/>
        </w:rPr>
        <w:footnoteRef/>
      </w:r>
      <w:r w:rsidRPr="006D3C55">
        <w:t>)</w:t>
      </w:r>
      <w:r w:rsidR="00352191">
        <w:tab/>
      </w:r>
      <w:r w:rsidRPr="006D3C55">
        <w:t>The term ‘authorising officers by delegation’ covers Directors-General of the Commission and heads of executive agencies, offices, services, task forces, etc. Article</w:t>
      </w:r>
      <w:r w:rsidRPr="006D3C55">
        <w:rPr>
          <w:rFonts w:ascii="Calibri" w:hAnsi="Calibri" w:cs="Calibri"/>
        </w:rPr>
        <w:t> </w:t>
      </w:r>
      <w:r w:rsidRPr="006D3C55">
        <w:t>74(1) of the Financial Regulation (Regulation (EU, Euratom) 2024/2509 of the European Parliament and of the Council of 23</w:t>
      </w:r>
      <w:r w:rsidRPr="006D3C55">
        <w:rPr>
          <w:rFonts w:ascii="Calibri" w:hAnsi="Calibri" w:cs="Calibri"/>
        </w:rPr>
        <w:t> </w:t>
      </w:r>
      <w:r w:rsidRPr="006D3C55">
        <w:t xml:space="preserve">September 2024 on the financial rules applicable to the general budget of the Union (OJ L, 2024/2509, 26.9.2024, ELI: </w:t>
      </w:r>
      <w:hyperlink r:id="rId1" w:history="1">
        <w:r w:rsidRPr="006D3C55">
          <w:rPr>
            <w:rStyle w:val="Hyperlink"/>
            <w:rFonts w:ascii="EC Square Sans Pro" w:hAnsi="EC Square Sans Pro"/>
          </w:rPr>
          <w:t>http://data.europa.eu/eli/reg/2024/2509/oj</w:t>
        </w:r>
      </w:hyperlink>
      <w:r w:rsidRPr="006D3C55">
        <w:t>)</w:t>
      </w:r>
      <w:r w:rsidR="006C0A78" w:rsidRPr="006D3C55">
        <w:t>)</w:t>
      </w:r>
      <w:r w:rsidRPr="006D3C55">
        <w:t xml:space="preserve"> states that ‘The authorising officer shall be responsible in the Union institution concerned for implementing revenue and expenditure in accordance with the principle of sound financial management, including through ensuring reporting on performance, and for ensuring compliance with the requirements of legality and regularity and equal treatment of recipients.’</w:t>
      </w:r>
    </w:p>
  </w:footnote>
  <w:footnote w:id="5">
    <w:p w14:paraId="7F46A3F6" w14:textId="116EFB10" w:rsidR="001301C1" w:rsidRPr="006D3C55" w:rsidRDefault="001301C1" w:rsidP="00352191">
      <w:pPr>
        <w:pStyle w:val="FootnoteText"/>
        <w:rPr>
          <w:highlight w:val="lightGray"/>
        </w:rPr>
      </w:pPr>
      <w:r w:rsidRPr="006D3C55">
        <w:t>(</w:t>
      </w:r>
      <w:r w:rsidRPr="00352191">
        <w:rPr>
          <w:rStyle w:val="FootnoteReference"/>
        </w:rPr>
        <w:footnoteRef/>
      </w:r>
      <w:r w:rsidRPr="006D3C55">
        <w:t>)</w:t>
      </w:r>
      <w:r w:rsidR="00352191">
        <w:tab/>
      </w:r>
      <w:r w:rsidRPr="006D3C55">
        <w:t>As required by Article</w:t>
      </w:r>
      <w:r w:rsidRPr="006D3C55">
        <w:rPr>
          <w:rFonts w:ascii="Calibri" w:hAnsi="Calibri" w:cs="Calibri"/>
        </w:rPr>
        <w:t> </w:t>
      </w:r>
      <w:r w:rsidRPr="006D3C55">
        <w:t>253 of the Financial Regulation, the integrated financial and accountability reporting package also includes the final consolidated annual accounts of the EU, the report on the follow-up to the budgetary discharge for the previous financial year, the annual report to the discharge authority on internal audits carried out and the long-term forecast of future inflows and outflows of the EU budget covering the next five years.</w:t>
      </w:r>
    </w:p>
  </w:footnote>
  <w:footnote w:id="6">
    <w:p w14:paraId="540D13BF" w14:textId="11D5EF65" w:rsidR="001301C1" w:rsidRPr="006D3C55" w:rsidRDefault="001301C1" w:rsidP="00352191">
      <w:pPr>
        <w:pStyle w:val="FootnoteText"/>
        <w:rPr>
          <w:rFonts w:ascii="EC Square Sans Pro" w:hAnsi="EC Square Sans Pro"/>
        </w:rPr>
      </w:pPr>
      <w:r w:rsidRPr="006D3C55">
        <w:rPr>
          <w:rFonts w:ascii="EC Square Sans Pro" w:hAnsi="EC Square Sans Pro"/>
        </w:rPr>
        <w:t>(</w:t>
      </w:r>
      <w:r w:rsidRPr="00352191">
        <w:rPr>
          <w:rStyle w:val="FootnoteReference"/>
        </w:rPr>
        <w:footnoteRef/>
      </w:r>
      <w:r w:rsidRPr="006D3C55">
        <w:rPr>
          <w:rFonts w:ascii="EC Square Sans Pro" w:hAnsi="EC Square Sans Pro"/>
        </w:rPr>
        <w:t>)</w:t>
      </w:r>
      <w:r w:rsidR="00352191">
        <w:rPr>
          <w:rFonts w:ascii="EC Square Sans Pro" w:hAnsi="EC Square Sans Pro"/>
        </w:rPr>
        <w:tab/>
      </w:r>
      <w:r w:rsidRPr="006D3C55">
        <w:t>Commission Decision (EU, Euratom) 2025/369 of 21</w:t>
      </w:r>
      <w:r w:rsidRPr="006D3C55">
        <w:rPr>
          <w:rFonts w:ascii="Calibri" w:hAnsi="Calibri" w:cs="Calibri"/>
        </w:rPr>
        <w:t> </w:t>
      </w:r>
      <w:r w:rsidRPr="006D3C55">
        <w:t xml:space="preserve">February 2025 establishing the role of the Chief Risk Officer overseeing the financial risks arising from the Union’s financial operations </w:t>
      </w:r>
      <w:r w:rsidR="00936881" w:rsidRPr="006D3C55">
        <w:t>(</w:t>
      </w:r>
      <w:r w:rsidRPr="006D3C55">
        <w:t xml:space="preserve">OJ L, 2025/369, 25.2.2025, ELI: </w:t>
      </w:r>
      <w:hyperlink r:id="rId2" w:history="1">
        <w:r w:rsidRPr="006D3C55">
          <w:rPr>
            <w:rStyle w:val="Hyperlink"/>
            <w:szCs w:val="18"/>
          </w:rPr>
          <w:t>http://data.europa.eu/eli/dec/2025/369/oj</w:t>
        </w:r>
      </w:hyperlink>
      <w:r w:rsidR="00936881" w:rsidRPr="006D3C55">
        <w:t>)</w:t>
      </w:r>
      <w:r w:rsidRPr="006D3C55">
        <w:t>.</w:t>
      </w:r>
    </w:p>
  </w:footnote>
  <w:footnote w:id="7">
    <w:p w14:paraId="66438DBF" w14:textId="597F46DE" w:rsidR="009265D3" w:rsidRPr="00EC0CD9" w:rsidRDefault="009265D3" w:rsidP="00352191">
      <w:pPr>
        <w:pStyle w:val="FootnoteText"/>
        <w:rPr>
          <w:lang w:val="en-IE"/>
        </w:rPr>
      </w:pPr>
      <w:r>
        <w:t>(</w:t>
      </w:r>
      <w:r w:rsidRPr="00352191">
        <w:rPr>
          <w:rStyle w:val="FootnoteReference"/>
        </w:rPr>
        <w:footnoteRef/>
      </w:r>
      <w:r>
        <w:t>)</w:t>
      </w:r>
      <w:r w:rsidR="00352191">
        <w:tab/>
      </w:r>
      <w:r>
        <w:t>Certification bodies in the case of agriculture.</w:t>
      </w:r>
    </w:p>
  </w:footnote>
  <w:footnote w:id="8">
    <w:p w14:paraId="14BB5823" w14:textId="4D9393AB" w:rsidR="001301C1" w:rsidRPr="006D3C55" w:rsidRDefault="001301C1" w:rsidP="00352191">
      <w:pPr>
        <w:pStyle w:val="FootnoteText"/>
      </w:pPr>
      <w:r w:rsidRPr="006D3C55">
        <w:t>(</w:t>
      </w:r>
      <w:r w:rsidRPr="00352191">
        <w:rPr>
          <w:rStyle w:val="FootnoteReference"/>
        </w:rPr>
        <w:footnoteRef/>
      </w:r>
      <w:r w:rsidRPr="006D3C55">
        <w:t>)</w:t>
      </w:r>
      <w:r w:rsidR="00352191">
        <w:tab/>
      </w:r>
      <w:r w:rsidRPr="006D3C55">
        <w:t>Communication from the Commission to the European Parliament, the Council, the European Economic and Social Committee, the Committee of the Regions and the Court of Auditors</w:t>
      </w:r>
      <w:r w:rsidRPr="006D3C55">
        <w:rPr>
          <w:rFonts w:ascii="Calibri" w:hAnsi="Calibri" w:cs="Calibri"/>
        </w:rPr>
        <w:t> </w:t>
      </w:r>
      <w:r w:rsidRPr="006D3C55">
        <w:t>– Commission anti-fraud strategy action plan</w:t>
      </w:r>
      <w:r w:rsidRPr="006D3C55">
        <w:rPr>
          <w:rFonts w:ascii="Calibri" w:hAnsi="Calibri" w:cs="Calibri"/>
        </w:rPr>
        <w:t> </w:t>
      </w:r>
      <w:r w:rsidRPr="006D3C55">
        <w:rPr>
          <w:rFonts w:cs="EC Square Sans Pro"/>
        </w:rPr>
        <w:t>–</w:t>
      </w:r>
      <w:r w:rsidRPr="006D3C55">
        <w:t xml:space="preserve"> 2023 revision, COM(2023)</w:t>
      </w:r>
      <w:r w:rsidRPr="006D3C55">
        <w:rPr>
          <w:rFonts w:ascii="Calibri" w:hAnsi="Calibri" w:cs="Calibri"/>
        </w:rPr>
        <w:t> </w:t>
      </w:r>
      <w:r w:rsidRPr="006D3C55">
        <w:t>405 final</w:t>
      </w:r>
      <w:r w:rsidR="00CB36CF" w:rsidRPr="006D3C55">
        <w:t xml:space="preserve"> of</w:t>
      </w:r>
      <w:r w:rsidRPr="006D3C55">
        <w:t xml:space="preserve"> 11</w:t>
      </w:r>
      <w:r w:rsidRPr="006D3C55">
        <w:rPr>
          <w:rFonts w:ascii="Calibri" w:hAnsi="Calibri" w:cs="Calibri"/>
        </w:rPr>
        <w:t> </w:t>
      </w:r>
      <w:r w:rsidRPr="006D3C55">
        <w:t xml:space="preserve">July 2023, </w:t>
      </w:r>
      <w:hyperlink r:id="rId3" w:history="1">
        <w:r w:rsidRPr="006D3C55">
          <w:rPr>
            <w:rStyle w:val="Hyperlink"/>
            <w:rFonts w:ascii="EC Square Sans Pro" w:hAnsi="EC Square Sans Pro"/>
            <w:szCs w:val="18"/>
          </w:rPr>
          <w:t>https://eur-lex.europa.eu/legal-content/EN/ALL/?uri=CELEX:52023DC0405</w:t>
        </w:r>
      </w:hyperlink>
      <w:r w:rsidRPr="006D3C55">
        <w:t>.</w:t>
      </w:r>
    </w:p>
  </w:footnote>
  <w:footnote w:id="9">
    <w:p w14:paraId="7230F0B5" w14:textId="3B1C1CCA" w:rsidR="001301C1" w:rsidRPr="006D3C55" w:rsidRDefault="001301C1" w:rsidP="00352191">
      <w:pPr>
        <w:pStyle w:val="FootnoteText"/>
      </w:pPr>
      <w:r w:rsidRPr="006D3C55">
        <w:t>(</w:t>
      </w:r>
      <w:r w:rsidRPr="00352191">
        <w:rPr>
          <w:rStyle w:val="FootnoteReference"/>
        </w:rPr>
        <w:footnoteRef/>
      </w:r>
      <w:r w:rsidRPr="006D3C55">
        <w:t>)</w:t>
      </w:r>
      <w:r w:rsidR="00352191">
        <w:tab/>
      </w:r>
      <w:r w:rsidRPr="006D3C55">
        <w:t>Commission staff working document</w:t>
      </w:r>
      <w:r w:rsidRPr="006D3C55">
        <w:rPr>
          <w:rFonts w:ascii="Calibri" w:hAnsi="Calibri" w:cs="Calibri"/>
        </w:rPr>
        <w:t> </w:t>
      </w:r>
      <w:r w:rsidRPr="006D3C55">
        <w:t>– Action plan</w:t>
      </w:r>
      <w:r w:rsidRPr="006D3C55">
        <w:rPr>
          <w:rFonts w:ascii="Calibri" w:hAnsi="Calibri" w:cs="Calibri"/>
        </w:rPr>
        <w:t> </w:t>
      </w:r>
      <w:r w:rsidRPr="006D3C55">
        <w:t>– 2023 revision, SWD(2023)</w:t>
      </w:r>
      <w:r w:rsidRPr="006D3C55">
        <w:rPr>
          <w:rFonts w:ascii="Calibri" w:hAnsi="Calibri" w:cs="Calibri"/>
        </w:rPr>
        <w:t> </w:t>
      </w:r>
      <w:r w:rsidRPr="006D3C55">
        <w:t>245 final</w:t>
      </w:r>
      <w:r w:rsidR="00405DB4" w:rsidRPr="006D3C55">
        <w:t xml:space="preserve"> of</w:t>
      </w:r>
      <w:r w:rsidRPr="006D3C55">
        <w:t xml:space="preserve"> 11</w:t>
      </w:r>
      <w:r w:rsidRPr="006D3C55">
        <w:rPr>
          <w:rFonts w:ascii="Calibri" w:hAnsi="Calibri" w:cs="Calibri"/>
        </w:rPr>
        <w:t> </w:t>
      </w:r>
      <w:r w:rsidRPr="006D3C55">
        <w:t xml:space="preserve">July 2023, </w:t>
      </w:r>
      <w:hyperlink r:id="rId4" w:history="1">
        <w:r w:rsidRPr="006D3C55">
          <w:rPr>
            <w:rStyle w:val="Hyperlink"/>
            <w:rFonts w:ascii="EC Square Sans Pro" w:hAnsi="EC Square Sans Pro"/>
            <w:szCs w:val="18"/>
          </w:rPr>
          <w:t>https://eur-lex.europa.eu/legal-content/EN/TXT/?uri=CELEX%3A52023SC0245&amp;qid=1747126601079</w:t>
        </w:r>
      </w:hyperlink>
      <w:r w:rsidRPr="006D3C55">
        <w:t>.</w:t>
      </w:r>
    </w:p>
  </w:footnote>
  <w:footnote w:id="10">
    <w:p w14:paraId="02E61C07" w14:textId="6B20BD85" w:rsidR="004F6899" w:rsidRPr="006D3C55" w:rsidRDefault="004F6899" w:rsidP="00352191">
      <w:pPr>
        <w:pStyle w:val="FootnoteText"/>
      </w:pPr>
      <w:r w:rsidRPr="006D3C55">
        <w:t>(</w:t>
      </w:r>
      <w:r w:rsidRPr="00352191">
        <w:rPr>
          <w:rStyle w:val="FootnoteReference"/>
        </w:rPr>
        <w:footnoteRef/>
      </w:r>
      <w:r w:rsidRPr="006D3C55">
        <w:t>)</w:t>
      </w:r>
      <w:r w:rsidR="00352191">
        <w:tab/>
      </w:r>
      <w:r w:rsidR="00E17C08" w:rsidRPr="006D3C55">
        <w:t>R</w:t>
      </w:r>
      <w:r w:rsidR="00E63ACB" w:rsidRPr="006D3C55">
        <w:t>eport</w:t>
      </w:r>
      <w:r w:rsidR="00E17C08" w:rsidRPr="006D3C55">
        <w:t xml:space="preserve"> </w:t>
      </w:r>
      <w:r w:rsidR="00E63ACB" w:rsidRPr="006D3C55">
        <w:t xml:space="preserve">from the </w:t>
      </w:r>
      <w:r w:rsidR="00E17C08" w:rsidRPr="006D3C55">
        <w:t>C</w:t>
      </w:r>
      <w:r w:rsidR="00E63ACB" w:rsidRPr="006D3C55">
        <w:t>ommission</w:t>
      </w:r>
      <w:r w:rsidR="00E17C08" w:rsidRPr="006D3C55">
        <w:t xml:space="preserve"> </w:t>
      </w:r>
      <w:r w:rsidR="00E63ACB" w:rsidRPr="006D3C55">
        <w:t xml:space="preserve">to the </w:t>
      </w:r>
      <w:r w:rsidR="00E17C08" w:rsidRPr="006D3C55">
        <w:t>C</w:t>
      </w:r>
      <w:r w:rsidR="00E63ACB" w:rsidRPr="006D3C55">
        <w:t>ouncil</w:t>
      </w:r>
      <w:r w:rsidR="00E17C08" w:rsidRPr="006D3C55">
        <w:t xml:space="preserve"> </w:t>
      </w:r>
      <w:r w:rsidR="00E63ACB" w:rsidRPr="006D3C55">
        <w:t>and the</w:t>
      </w:r>
      <w:r w:rsidR="00E17C08" w:rsidRPr="006D3C55">
        <w:t xml:space="preserve"> E</w:t>
      </w:r>
      <w:r w:rsidR="00E63ACB" w:rsidRPr="006D3C55">
        <w:t>uropean</w:t>
      </w:r>
      <w:r w:rsidR="00E17C08" w:rsidRPr="006D3C55">
        <w:t xml:space="preserve"> P</w:t>
      </w:r>
      <w:r w:rsidR="00E63ACB" w:rsidRPr="006D3C55">
        <w:t>arliament</w:t>
      </w:r>
      <w:r w:rsidR="00ED737B" w:rsidRPr="006D3C55">
        <w:rPr>
          <w:rFonts w:ascii="Calibri" w:hAnsi="Calibri" w:cs="Calibri"/>
        </w:rPr>
        <w:t> </w:t>
      </w:r>
      <w:r w:rsidR="00515CE7" w:rsidRPr="006D3C55">
        <w:t>–</w:t>
      </w:r>
      <w:r w:rsidR="00E17C08" w:rsidRPr="006D3C55">
        <w:t xml:space="preserve"> 36th </w:t>
      </w:r>
      <w:r w:rsidR="00515CE7" w:rsidRPr="006D3C55">
        <w:t>a</w:t>
      </w:r>
      <w:r w:rsidR="00E17C08" w:rsidRPr="006D3C55">
        <w:t xml:space="preserve">nnual </w:t>
      </w:r>
      <w:r w:rsidR="00515CE7" w:rsidRPr="006D3C55">
        <w:t>r</w:t>
      </w:r>
      <w:r w:rsidR="00E17C08" w:rsidRPr="006D3C55">
        <w:t>eport on the protection of the European Union’s financial interests and the fight against fraud</w:t>
      </w:r>
      <w:r w:rsidR="00515CE7" w:rsidRPr="006D3C55">
        <w:rPr>
          <w:rFonts w:ascii="Calibri" w:hAnsi="Calibri" w:cs="Calibri"/>
        </w:rPr>
        <w:t> </w:t>
      </w:r>
      <w:r w:rsidR="00E17C08" w:rsidRPr="006D3C55">
        <w:t>– 2024</w:t>
      </w:r>
      <w:r w:rsidR="001F2209" w:rsidRPr="006D3C55">
        <w:t>, COM(2025)</w:t>
      </w:r>
      <w:r w:rsidR="001F2209" w:rsidRPr="006D3C55">
        <w:rPr>
          <w:rFonts w:ascii="Calibri" w:hAnsi="Calibri" w:cs="Calibri"/>
        </w:rPr>
        <w:t> </w:t>
      </w:r>
      <w:r w:rsidR="001F2209" w:rsidRPr="006D3C55">
        <w:t>426 final of 25</w:t>
      </w:r>
      <w:r w:rsidR="001F2209" w:rsidRPr="006D3C55">
        <w:rPr>
          <w:rFonts w:ascii="Calibri" w:hAnsi="Calibri" w:cs="Calibri"/>
        </w:rPr>
        <w:t> </w:t>
      </w:r>
      <w:r w:rsidR="001F2209" w:rsidRPr="006D3C55">
        <w:t xml:space="preserve">July 2025, </w:t>
      </w:r>
      <w:hyperlink r:id="rId5" w:history="1">
        <w:r w:rsidR="008F576A" w:rsidRPr="001F6399">
          <w:rPr>
            <w:rStyle w:val="Hyperlink"/>
          </w:rPr>
          <w:t>https://eur-lex.europa.eu/legal-content/EN/TXT/?uri=CELEX%3A52025DC0426&amp;qid=1778508410193</w:t>
        </w:r>
      </w:hyperlink>
      <w:r w:rsidR="00ED737B" w:rsidRPr="006D3C55">
        <w:t>.</w:t>
      </w:r>
    </w:p>
  </w:footnote>
  <w:footnote w:id="11">
    <w:p w14:paraId="46659CCA" w14:textId="20E88643" w:rsidR="006859D0" w:rsidRPr="006D3C55" w:rsidRDefault="006859D0" w:rsidP="00352191">
      <w:pPr>
        <w:pStyle w:val="FootnoteText"/>
      </w:pPr>
      <w:r w:rsidRPr="006D3C55">
        <w:t>(</w:t>
      </w:r>
      <w:r w:rsidRPr="00352191">
        <w:rPr>
          <w:rStyle w:val="FootnoteReference"/>
        </w:rPr>
        <w:footnoteRef/>
      </w:r>
      <w:r w:rsidRPr="006D3C55">
        <w:t>)</w:t>
      </w:r>
      <w:r w:rsidR="00352191">
        <w:tab/>
      </w:r>
      <w:r w:rsidR="00DA29EF" w:rsidRPr="006D3C55">
        <w:t xml:space="preserve">European Commission: European Anti-Fraud Office, ‘Annual OLAF reports’, European </w:t>
      </w:r>
      <w:r w:rsidR="000B7C94" w:rsidRPr="006D3C55">
        <w:t xml:space="preserve">Commission </w:t>
      </w:r>
      <w:r w:rsidR="00DA29EF" w:rsidRPr="006D3C55">
        <w:t xml:space="preserve">website, </w:t>
      </w:r>
      <w:hyperlink r:id="rId6" w:history="1">
        <w:r w:rsidR="00ED0647" w:rsidRPr="006D3C55">
          <w:rPr>
            <w:rStyle w:val="Hyperlink"/>
          </w:rPr>
          <w:t>https://anti-fraud.ec.europa.eu/about-us/reports/annual-olaf-reports_en</w:t>
        </w:r>
      </w:hyperlink>
      <w:r w:rsidR="00DA29EF" w:rsidRPr="006D3C55">
        <w:t>.</w:t>
      </w:r>
    </w:p>
  </w:footnote>
  <w:footnote w:id="12">
    <w:p w14:paraId="2404AB61" w14:textId="4E43DF5D" w:rsidR="00782839" w:rsidRPr="006D3C55" w:rsidRDefault="00782839" w:rsidP="00352191">
      <w:pPr>
        <w:pStyle w:val="FootnoteText"/>
      </w:pPr>
      <w:r w:rsidRPr="006D3C55">
        <w:t>(</w:t>
      </w:r>
      <w:r w:rsidRPr="00352191">
        <w:rPr>
          <w:rStyle w:val="FootnoteReference"/>
        </w:rPr>
        <w:footnoteRef/>
      </w:r>
      <w:r w:rsidRPr="006D3C55">
        <w:t>)</w:t>
      </w:r>
      <w:r w:rsidR="00352191">
        <w:tab/>
      </w:r>
      <w:r w:rsidRPr="006D3C55">
        <w:t xml:space="preserve">White Paper for the </w:t>
      </w:r>
      <w:r w:rsidR="006E13DC" w:rsidRPr="006D3C55">
        <w:t>a</w:t>
      </w:r>
      <w:r w:rsidRPr="006D3C55">
        <w:t xml:space="preserve">nti-fraud </w:t>
      </w:r>
      <w:r w:rsidR="006E13DC" w:rsidRPr="006D3C55">
        <w:t>a</w:t>
      </w:r>
      <w:r w:rsidRPr="006D3C55">
        <w:t xml:space="preserve">rchitecture </w:t>
      </w:r>
      <w:r w:rsidR="006E13DC" w:rsidRPr="006D3C55">
        <w:t>r</w:t>
      </w:r>
      <w:r w:rsidRPr="006D3C55">
        <w:t>eview, COM(2025)</w:t>
      </w:r>
      <w:r w:rsidR="006E13DC" w:rsidRPr="006D3C55">
        <w:rPr>
          <w:rFonts w:ascii="Calibri" w:hAnsi="Calibri" w:cs="Calibri"/>
        </w:rPr>
        <w:t> </w:t>
      </w:r>
      <w:r w:rsidRPr="006D3C55">
        <w:t>546 final</w:t>
      </w:r>
      <w:r w:rsidR="00FA5351" w:rsidRPr="006D3C55">
        <w:t xml:space="preserve"> of</w:t>
      </w:r>
      <w:r w:rsidR="006E13DC" w:rsidRPr="006D3C55">
        <w:rPr>
          <w:rFonts w:ascii="Calibri" w:hAnsi="Calibri" w:cs="Calibri"/>
        </w:rPr>
        <w:t> </w:t>
      </w:r>
      <w:r w:rsidR="00FA5351" w:rsidRPr="006D3C55">
        <w:t>16 July 2025</w:t>
      </w:r>
      <w:r w:rsidR="00155B81" w:rsidRPr="006D3C55">
        <w:t>,</w:t>
      </w:r>
      <w:r w:rsidRPr="006D3C55">
        <w:t xml:space="preserve"> </w:t>
      </w:r>
      <w:hyperlink r:id="rId7" w:history="1">
        <w:r w:rsidR="00A922AE" w:rsidRPr="006D3C55">
          <w:rPr>
            <w:rStyle w:val="Hyperlink"/>
          </w:rPr>
          <w:t>https://eur-lex.europa.eu/legal-content/EN/TXT/?uri=celex:52025DC0546</w:t>
        </w:r>
      </w:hyperlink>
      <w:r w:rsidR="00A922AE" w:rsidRPr="006D3C55">
        <w:t>.</w:t>
      </w:r>
    </w:p>
  </w:footnote>
  <w:footnote w:id="13">
    <w:p w14:paraId="391495E4" w14:textId="5F6073C0" w:rsidR="00925C11" w:rsidRPr="006D3C55" w:rsidRDefault="00B066E0" w:rsidP="00352191">
      <w:pPr>
        <w:pStyle w:val="FootnoteText"/>
      </w:pPr>
      <w:r w:rsidRPr="006D3C55">
        <w:t>(</w:t>
      </w:r>
      <w:r w:rsidR="00925C11" w:rsidRPr="00352191">
        <w:rPr>
          <w:rStyle w:val="FootnoteReference"/>
        </w:rPr>
        <w:footnoteRef/>
      </w:r>
      <w:r w:rsidR="00925C11" w:rsidRPr="006D3C55">
        <w:t>)</w:t>
      </w:r>
      <w:r w:rsidR="00352191">
        <w:tab/>
      </w:r>
      <w:r w:rsidR="00925C11" w:rsidRPr="006D3C55">
        <w:t>Regulation (EU, Euratom) 2023/2841 of the European Parliament and of the Council of 13</w:t>
      </w:r>
      <w:r w:rsidR="00D37DFC" w:rsidRPr="006D3C55">
        <w:rPr>
          <w:rFonts w:ascii="Calibri" w:hAnsi="Calibri" w:cs="Calibri"/>
        </w:rPr>
        <w:t> </w:t>
      </w:r>
      <w:r w:rsidR="00925C11" w:rsidRPr="006D3C55">
        <w:t xml:space="preserve">December 2023 laying down measures for a high common level of cybersecurity at the institutions, bodies, offices and agencies of the Union </w:t>
      </w:r>
      <w:r w:rsidR="00937796" w:rsidRPr="006D3C55">
        <w:t>(</w:t>
      </w:r>
      <w:r w:rsidR="00925C11" w:rsidRPr="006D3C55">
        <w:t xml:space="preserve">OJ L, 2023/2841, 18.12.2023, ELI: </w:t>
      </w:r>
      <w:hyperlink r:id="rId8" w:history="1">
        <w:r w:rsidR="00925C11" w:rsidRPr="006D3C55">
          <w:rPr>
            <w:rStyle w:val="Hyperlink"/>
          </w:rPr>
          <w:t>http://data.europa.eu/eli/reg/2023/2841/oj</w:t>
        </w:r>
      </w:hyperlink>
      <w:r w:rsidR="00BC327B" w:rsidRPr="006D3C55">
        <w:t>), which</w:t>
      </w:r>
      <w:r w:rsidR="00937796" w:rsidRPr="006D3C55">
        <w:t xml:space="preserve"> </w:t>
      </w:r>
      <w:r w:rsidR="00925C11" w:rsidRPr="006D3C55">
        <w:t>ent</w:t>
      </w:r>
      <w:r w:rsidR="00BC327B" w:rsidRPr="006D3C55">
        <w:t>ered</w:t>
      </w:r>
      <w:r w:rsidR="00925C11" w:rsidRPr="006D3C55">
        <w:t xml:space="preserve"> into force </w:t>
      </w:r>
      <w:r w:rsidR="00BC327B" w:rsidRPr="006D3C55">
        <w:t xml:space="preserve">in </w:t>
      </w:r>
      <w:r w:rsidR="00925C11" w:rsidRPr="006D3C55">
        <w:t>January 2024</w:t>
      </w:r>
      <w:r w:rsidR="003E7642" w:rsidRPr="006D3C55">
        <w:t>.</w:t>
      </w:r>
    </w:p>
  </w:footnote>
  <w:footnote w:id="14">
    <w:p w14:paraId="2E0CD2B2" w14:textId="0D6ECA28" w:rsidR="001301C1" w:rsidRPr="006D3C55" w:rsidRDefault="001301C1" w:rsidP="00352191">
      <w:pPr>
        <w:pStyle w:val="FootnoteText"/>
      </w:pPr>
      <w:r w:rsidRPr="006D3C55">
        <w:t>(</w:t>
      </w:r>
      <w:r w:rsidRPr="00352191">
        <w:rPr>
          <w:rStyle w:val="FootnoteReference"/>
        </w:rPr>
        <w:footnoteRef/>
      </w:r>
      <w:r w:rsidRPr="006D3C55">
        <w:t>)</w:t>
      </w:r>
      <w:r w:rsidR="00352191">
        <w:tab/>
      </w:r>
      <w:r w:rsidRPr="006D3C55">
        <w:t xml:space="preserve">Regulation (EU, Euratom) 2020/2092 of the European Parliament and of the Council of 16 December 2020 on a general regime of conditionality for the protection of the Union budget </w:t>
      </w:r>
      <w:r w:rsidR="00937796" w:rsidRPr="006D3C55">
        <w:t>(</w:t>
      </w:r>
      <w:r w:rsidRPr="006D3C55">
        <w:t>OJ L</w:t>
      </w:r>
      <w:r w:rsidRPr="006D3C55">
        <w:rPr>
          <w:rFonts w:ascii="Calibri" w:hAnsi="Calibri" w:cs="Calibri"/>
        </w:rPr>
        <w:t> </w:t>
      </w:r>
      <w:r w:rsidRPr="006D3C55">
        <w:t>433, 22.12.2020, p.</w:t>
      </w:r>
      <w:r w:rsidRPr="006D3C55">
        <w:rPr>
          <w:rFonts w:ascii="Calibri" w:hAnsi="Calibri" w:cs="Calibri"/>
        </w:rPr>
        <w:t> </w:t>
      </w:r>
      <w:r w:rsidRPr="006D3C55">
        <w:t xml:space="preserve">1, ELI: </w:t>
      </w:r>
      <w:hyperlink r:id="rId9" w:history="1">
        <w:r w:rsidRPr="006D3C55">
          <w:rPr>
            <w:rStyle w:val="Hyperlink"/>
            <w:rFonts w:ascii="EC Square Sans Pro" w:hAnsi="EC Square Sans Pro"/>
          </w:rPr>
          <w:t>http://data.europa.eu/eli/reg/2020/2092/oj</w:t>
        </w:r>
      </w:hyperlink>
      <w:r w:rsidR="00BC327B" w:rsidRPr="006D3C55">
        <w:t>), which</w:t>
      </w:r>
      <w:r w:rsidR="00937796" w:rsidRPr="006D3C55">
        <w:t xml:space="preserve"> </w:t>
      </w:r>
      <w:r w:rsidR="00C83800" w:rsidRPr="006D3C55">
        <w:t>ent</w:t>
      </w:r>
      <w:r w:rsidR="00BC327B" w:rsidRPr="006D3C55">
        <w:t>ered</w:t>
      </w:r>
      <w:r w:rsidR="00C83800" w:rsidRPr="006D3C55">
        <w:t xml:space="preserve"> into force </w:t>
      </w:r>
      <w:r w:rsidR="00BC327B" w:rsidRPr="006D3C55">
        <w:t xml:space="preserve">on </w:t>
      </w:r>
      <w:r w:rsidR="008A78F4" w:rsidRPr="006D3C55">
        <w:t>1</w:t>
      </w:r>
      <w:r w:rsidR="00937796" w:rsidRPr="006D3C55">
        <w:rPr>
          <w:rFonts w:ascii="Calibri" w:hAnsi="Calibri" w:cs="Calibri"/>
        </w:rPr>
        <w:t> </w:t>
      </w:r>
      <w:r w:rsidR="00C83800" w:rsidRPr="006D3C55">
        <w:t>January 202</w:t>
      </w:r>
      <w:r w:rsidR="008A78F4" w:rsidRPr="006D3C55">
        <w:t>1</w:t>
      </w:r>
      <w:r w:rsidRPr="006D3C55">
        <w:t>.</w:t>
      </w:r>
    </w:p>
  </w:footnote>
  <w:footnote w:id="15">
    <w:p w14:paraId="3CFBCD6E" w14:textId="46B567A1" w:rsidR="001301C1" w:rsidRPr="006D3C55" w:rsidRDefault="001301C1" w:rsidP="00352191">
      <w:pPr>
        <w:pStyle w:val="FootnoteText"/>
      </w:pPr>
      <w:r w:rsidRPr="006D3C55">
        <w:t>(</w:t>
      </w:r>
      <w:r w:rsidRPr="00352191">
        <w:rPr>
          <w:rStyle w:val="FootnoteReference"/>
        </w:rPr>
        <w:footnoteRef/>
      </w:r>
      <w:r w:rsidRPr="006D3C55">
        <w:t>)</w:t>
      </w:r>
      <w:r w:rsidR="00352191">
        <w:tab/>
      </w:r>
      <w:r w:rsidRPr="006D3C55">
        <w:t>See judgments of the Court of Justice of 16</w:t>
      </w:r>
      <w:r w:rsidRPr="006D3C55">
        <w:rPr>
          <w:rFonts w:ascii="Calibri" w:hAnsi="Calibri" w:cs="Calibri"/>
        </w:rPr>
        <w:t> </w:t>
      </w:r>
      <w:r w:rsidRPr="006D3C55">
        <w:t xml:space="preserve">February 2022, </w:t>
      </w:r>
      <w:r w:rsidRPr="006D3C55">
        <w:rPr>
          <w:i/>
        </w:rPr>
        <w:t>Hungary</w:t>
      </w:r>
      <w:r w:rsidRPr="006D3C55">
        <w:t xml:space="preserve"> v </w:t>
      </w:r>
      <w:r w:rsidRPr="006D3C55">
        <w:rPr>
          <w:i/>
        </w:rPr>
        <w:t>Parliament and Council</w:t>
      </w:r>
      <w:r w:rsidRPr="006D3C55">
        <w:t xml:space="preserve">, C-156/21, ECLI:EU:C:2022:97, </w:t>
      </w:r>
      <w:hyperlink r:id="rId10" w:history="1">
        <w:r w:rsidR="00483B72" w:rsidRPr="006D3C55">
          <w:rPr>
            <w:rStyle w:val="Hyperlink"/>
          </w:rPr>
          <w:t>https://eur-lex.europa.eu/legal-content/EN/TXT/?uri=CELEX%3A62021CJ0156&amp;qid=1778574960258</w:t>
        </w:r>
      </w:hyperlink>
      <w:r w:rsidR="00483B72" w:rsidRPr="006D3C55">
        <w:t xml:space="preserve"> </w:t>
      </w:r>
      <w:r w:rsidRPr="006D3C55">
        <w:t xml:space="preserve">and </w:t>
      </w:r>
      <w:r w:rsidRPr="006D3C55">
        <w:rPr>
          <w:i/>
        </w:rPr>
        <w:t>Poland</w:t>
      </w:r>
      <w:r w:rsidRPr="006D3C55">
        <w:t xml:space="preserve"> v </w:t>
      </w:r>
      <w:r w:rsidRPr="006D3C55">
        <w:rPr>
          <w:i/>
        </w:rPr>
        <w:t>Parliament and Council</w:t>
      </w:r>
      <w:r w:rsidRPr="006D3C55">
        <w:t>, C-157/21, ECLI:EU:C:2022:98</w:t>
      </w:r>
      <w:r w:rsidR="0078756D" w:rsidRPr="006D3C55">
        <w:t xml:space="preserve">, </w:t>
      </w:r>
      <w:hyperlink r:id="rId11" w:history="1">
        <w:r w:rsidR="0078756D" w:rsidRPr="006D3C55">
          <w:rPr>
            <w:rStyle w:val="Hyperlink"/>
          </w:rPr>
          <w:t>https://eur-lex.europa.eu/legal-content/EN/TXT/?uri=CELEX%3A62021CJ0157&amp;qid=1778575036967</w:t>
        </w:r>
      </w:hyperlink>
      <w:r w:rsidRPr="006D3C55">
        <w:t>.</w:t>
      </w:r>
    </w:p>
  </w:footnote>
  <w:footnote w:id="16">
    <w:p w14:paraId="2304DBD7" w14:textId="3DB2E97C" w:rsidR="001301C1" w:rsidRPr="006D3C55" w:rsidRDefault="001301C1" w:rsidP="00352191">
      <w:pPr>
        <w:pStyle w:val="FootnoteText"/>
      </w:pPr>
      <w:r w:rsidRPr="006D3C55">
        <w:t>(</w:t>
      </w:r>
      <w:r w:rsidRPr="00352191">
        <w:rPr>
          <w:rStyle w:val="FootnoteReference"/>
        </w:rPr>
        <w:footnoteRef/>
      </w:r>
      <w:r w:rsidRPr="006D3C55">
        <w:t>)</w:t>
      </w:r>
      <w:r w:rsidR="00352191">
        <w:tab/>
      </w:r>
      <w:r w:rsidRPr="006D3C55">
        <w:t>Communication from the Commission</w:t>
      </w:r>
      <w:r w:rsidRPr="006D3C55">
        <w:rPr>
          <w:rFonts w:ascii="Calibri" w:hAnsi="Calibri" w:cs="Calibri"/>
        </w:rPr>
        <w:t> </w:t>
      </w:r>
      <w:r w:rsidRPr="006D3C55">
        <w:t xml:space="preserve">– Guidelines on the application of the Regulation (EU, Euratom) 2020/2092 on a general regime of conditionality for the protection of the Union budget </w:t>
      </w:r>
      <w:r w:rsidR="00097922" w:rsidRPr="006D3C55">
        <w:t>(</w:t>
      </w:r>
      <w:r w:rsidRPr="006D3C55">
        <w:fldChar w:fldCharType="begin"/>
      </w:r>
      <w:r w:rsidRPr="006D3C55">
        <w:fldChar w:fldCharType="separate"/>
      </w:r>
      <w:r w:rsidRPr="006D3C55">
        <w:rPr>
          <w:rStyle w:val="Hyperlink"/>
          <w:rFonts w:ascii="EC Square Sans Pro" w:hAnsi="EC Square Sans Pro"/>
        </w:rPr>
        <w:t>COM(2022)1382</w:t>
      </w:r>
      <w:r w:rsidRPr="006D3C55">
        <w:fldChar w:fldCharType="end"/>
      </w:r>
      <w:r w:rsidR="00097922" w:rsidRPr="006D3C55">
        <w:t>OJ C</w:t>
      </w:r>
      <w:r w:rsidR="00097922" w:rsidRPr="006D3C55">
        <w:rPr>
          <w:rFonts w:ascii="Calibri" w:hAnsi="Calibri" w:cs="Calibri"/>
        </w:rPr>
        <w:t> </w:t>
      </w:r>
      <w:r w:rsidR="00097922" w:rsidRPr="006D3C55">
        <w:t>123, 18.3.2022, p.</w:t>
      </w:r>
      <w:r w:rsidR="00097922" w:rsidRPr="006D3C55">
        <w:rPr>
          <w:rFonts w:ascii="Calibri" w:hAnsi="Calibri" w:cs="Calibri"/>
        </w:rPr>
        <w:t> </w:t>
      </w:r>
      <w:r w:rsidR="00097922" w:rsidRPr="006D3C55">
        <w:t>1</w:t>
      </w:r>
      <w:r w:rsidRPr="006D3C55">
        <w:t xml:space="preserve">, </w:t>
      </w:r>
      <w:hyperlink r:id="rId12" w:history="1">
        <w:r w:rsidRPr="006D3C55">
          <w:rPr>
            <w:rStyle w:val="Hyperlink"/>
            <w:rFonts w:ascii="EC Square Sans Pro" w:hAnsi="EC Square Sans Pro"/>
          </w:rPr>
          <w:t>https://eur-lex.europa.eu/legal-content/EN/TXT/?uri=CELEX:52022XC0318(02)</w:t>
        </w:r>
      </w:hyperlink>
      <w:r w:rsidR="00097922" w:rsidRPr="006D3C55">
        <w:t>)</w:t>
      </w:r>
      <w:r w:rsidRPr="006D3C55">
        <w:t>.</w:t>
      </w:r>
    </w:p>
  </w:footnote>
  <w:footnote w:id="17">
    <w:p w14:paraId="0C7289A5" w14:textId="7BAE5CB0" w:rsidR="001301C1" w:rsidRPr="006D3C55" w:rsidRDefault="001301C1" w:rsidP="00352191">
      <w:pPr>
        <w:pStyle w:val="FootnoteText"/>
      </w:pPr>
      <w:r w:rsidRPr="006D3C55">
        <w:t>(</w:t>
      </w:r>
      <w:r w:rsidRPr="00352191">
        <w:rPr>
          <w:rStyle w:val="FootnoteReference"/>
        </w:rPr>
        <w:footnoteRef/>
      </w:r>
      <w:r w:rsidRPr="006D3C55">
        <w:t>)</w:t>
      </w:r>
      <w:r w:rsidR="00352191">
        <w:tab/>
      </w:r>
      <w:r w:rsidRPr="006D3C55">
        <w:t>The environmental and energy efficiency operational programme plus, the integrated transport operational programme plus and the territorial and settlement development operational programme plus.</w:t>
      </w:r>
    </w:p>
  </w:footnote>
  <w:footnote w:id="18">
    <w:p w14:paraId="5159C632" w14:textId="4B9785A2" w:rsidR="008B0F6F" w:rsidRPr="006D3C55" w:rsidRDefault="008B0F6F" w:rsidP="00352191">
      <w:pPr>
        <w:pStyle w:val="FootnoteText"/>
      </w:pPr>
      <w:r w:rsidRPr="006D3C55">
        <w:t>(</w:t>
      </w:r>
      <w:r w:rsidRPr="00352191">
        <w:rPr>
          <w:rStyle w:val="FootnoteReference"/>
        </w:rPr>
        <w:footnoteRef/>
      </w:r>
      <w:r w:rsidRPr="006D3C55">
        <w:t>)</w:t>
      </w:r>
      <w:r w:rsidR="00352191">
        <w:tab/>
      </w:r>
      <w:r w:rsidR="00C06F6F" w:rsidRPr="006D3C55">
        <w:t xml:space="preserve">European Commission: Directorate-General for Communication, </w:t>
      </w:r>
      <w:r w:rsidR="002C2B7D" w:rsidRPr="006D3C55">
        <w:t>‘</w:t>
      </w:r>
      <w:r w:rsidR="008216C4" w:rsidRPr="006D3C55">
        <w:t xml:space="preserve">2025 </w:t>
      </w:r>
      <w:r w:rsidR="002C2B7D" w:rsidRPr="006D3C55">
        <w:t>r</w:t>
      </w:r>
      <w:r w:rsidR="008216C4" w:rsidRPr="006D3C55">
        <w:t>ule of law report – Communication and country chapters</w:t>
      </w:r>
      <w:r w:rsidR="002C2B7D" w:rsidRPr="006D3C55">
        <w:t>’</w:t>
      </w:r>
      <w:r w:rsidR="008216C4" w:rsidRPr="006D3C55">
        <w:t xml:space="preserve">, </w:t>
      </w:r>
      <w:r w:rsidR="00C06F6F" w:rsidRPr="006D3C55">
        <w:t xml:space="preserve">European Commission website, </w:t>
      </w:r>
      <w:hyperlink r:id="rId13" w:history="1">
        <w:r w:rsidR="00AE61C5" w:rsidRPr="006D3C55">
          <w:rPr>
            <w:rStyle w:val="Hyperlink"/>
          </w:rPr>
          <w:t>https://commission.europa.eu/publications/2025-rule-law-report-communication-and-country-chapters_en</w:t>
        </w:r>
      </w:hyperlink>
      <w:r w:rsidR="002C2B7D" w:rsidRPr="006D3C55">
        <w:t>.</w:t>
      </w:r>
    </w:p>
  </w:footnote>
  <w:footnote w:id="19">
    <w:p w14:paraId="265D523E" w14:textId="6DC896BF" w:rsidR="00557D79" w:rsidRPr="006D3C55" w:rsidRDefault="00557D79" w:rsidP="00352191">
      <w:pPr>
        <w:pStyle w:val="FootnoteText"/>
      </w:pPr>
      <w:r w:rsidRPr="006D3C55">
        <w:t>(</w:t>
      </w:r>
      <w:r w:rsidRPr="00352191">
        <w:rPr>
          <w:rStyle w:val="FootnoteReference"/>
        </w:rPr>
        <w:footnoteRef/>
      </w:r>
      <w:r w:rsidRPr="006D3C55">
        <w:t>)</w:t>
      </w:r>
      <w:r w:rsidR="00352191">
        <w:tab/>
      </w:r>
      <w:r w:rsidRPr="006D3C55">
        <w:t>The Ukraine Facility started in 2024 but</w:t>
      </w:r>
      <w:r w:rsidR="00FE0535" w:rsidRPr="006D3C55">
        <w:t>,</w:t>
      </w:r>
      <w:r w:rsidRPr="006D3C55">
        <w:t xml:space="preserve"> for that year, the same error rate as that for budget support has been applied to the payments </w:t>
      </w:r>
      <w:r w:rsidRPr="00725650">
        <w:t xml:space="preserve">made </w:t>
      </w:r>
      <w:r w:rsidR="005C2BE2" w:rsidRPr="00725650">
        <w:t>under</w:t>
      </w:r>
      <w:r w:rsidR="00432FBD" w:rsidRPr="00725650">
        <w:t xml:space="preserve"> </w:t>
      </w:r>
      <w:r w:rsidRPr="00725650">
        <w:t>the EU budget</w:t>
      </w:r>
      <w:r w:rsidR="005C2BE2" w:rsidRPr="00725650">
        <w:t xml:space="preserve"> which amounted </w:t>
      </w:r>
      <w:r w:rsidR="006D15F4" w:rsidRPr="00725650">
        <w:t>to</w:t>
      </w:r>
      <w:r w:rsidR="005C2BE2" w:rsidRPr="00725650">
        <w:t xml:space="preserve"> </w:t>
      </w:r>
      <w:r w:rsidRPr="00725650">
        <w:t>EUR</w:t>
      </w:r>
      <w:r w:rsidRPr="00725650">
        <w:rPr>
          <w:rFonts w:ascii="Calibri" w:hAnsi="Calibri" w:cs="Calibri"/>
        </w:rPr>
        <w:t> </w:t>
      </w:r>
      <w:r w:rsidRPr="00725650">
        <w:t>3</w:t>
      </w:r>
      <w:r w:rsidRPr="00725650">
        <w:rPr>
          <w:rFonts w:ascii="Calibri" w:hAnsi="Calibri" w:cs="Calibri"/>
        </w:rPr>
        <w:t> </w:t>
      </w:r>
      <w:r w:rsidR="00E95915" w:rsidRPr="00725650">
        <w:t>billion</w:t>
      </w:r>
      <w:r w:rsidRPr="00725650">
        <w:t>.</w:t>
      </w:r>
      <w:r w:rsidRPr="006D3C55">
        <w:t xml:space="preserve"> The approach </w:t>
      </w:r>
      <w:r w:rsidR="00DA2869" w:rsidRPr="006D3C55">
        <w:t>was</w:t>
      </w:r>
      <w:r w:rsidRPr="006D3C55">
        <w:t xml:space="preserve"> changed in 2025 to </w:t>
      </w:r>
      <w:r w:rsidR="00333707" w:rsidRPr="006D3C55">
        <w:t>align</w:t>
      </w:r>
      <w:r w:rsidRPr="006D3C55">
        <w:t xml:space="preserve"> </w:t>
      </w:r>
      <w:r w:rsidR="00C275E0" w:rsidRPr="006D3C55">
        <w:t>it</w:t>
      </w:r>
      <w:r w:rsidRPr="006D3C55">
        <w:t xml:space="preserve"> with the </w:t>
      </w:r>
      <w:r w:rsidR="00E95868" w:rsidRPr="006D3C55">
        <w:t>one applied to</w:t>
      </w:r>
      <w:r w:rsidRPr="006D3C55">
        <w:t xml:space="preserve"> the </w:t>
      </w:r>
      <w:r w:rsidR="00FC12BC" w:rsidRPr="006D3C55">
        <w:t>Recovery</w:t>
      </w:r>
      <w:r w:rsidRPr="006D3C55">
        <w:t xml:space="preserve"> and </w:t>
      </w:r>
      <w:r w:rsidR="00FC12BC" w:rsidRPr="006D3C55">
        <w:t>Resili</w:t>
      </w:r>
      <w:r w:rsidR="002A6E7D" w:rsidRPr="006D3C55">
        <w:t>ence</w:t>
      </w:r>
      <w:r w:rsidRPr="006D3C55">
        <w:t xml:space="preserve"> Facility.</w:t>
      </w:r>
    </w:p>
  </w:footnote>
  <w:footnote w:id="20">
    <w:p w14:paraId="61848190" w14:textId="5555326F" w:rsidR="00327B34" w:rsidRPr="006D3C55" w:rsidRDefault="00327B34" w:rsidP="00352191">
      <w:pPr>
        <w:pStyle w:val="FootnoteText"/>
      </w:pPr>
      <w:r w:rsidRPr="006D3C55">
        <w:t>(</w:t>
      </w:r>
      <w:r w:rsidRPr="00352191">
        <w:rPr>
          <w:rStyle w:val="FootnoteReference"/>
        </w:rPr>
        <w:footnoteRef/>
      </w:r>
      <w:r w:rsidRPr="006D3C55">
        <w:t>)</w:t>
      </w:r>
      <w:r w:rsidR="00352191">
        <w:tab/>
      </w:r>
      <w:r w:rsidRPr="006D3C55">
        <w:t xml:space="preserve">Given the relatively early stage of implementation of the </w:t>
      </w:r>
      <w:r w:rsidR="009A3EF7" w:rsidRPr="006D3C55">
        <w:t>f</w:t>
      </w:r>
      <w:r w:rsidRPr="006D3C55">
        <w:t>acilities, and the nature of the steps submitted for payment</w:t>
      </w:r>
      <w:r w:rsidR="009A3EF7" w:rsidRPr="006D3C55">
        <w:t xml:space="preserve"> to this point</w:t>
      </w:r>
      <w:r w:rsidRPr="006D3C55">
        <w:t xml:space="preserve">, </w:t>
      </w:r>
      <w:r w:rsidR="006810F9" w:rsidRPr="006D3C55">
        <w:rPr>
          <w:i/>
          <w:iCs/>
        </w:rPr>
        <w:t>ex post</w:t>
      </w:r>
      <w:r w:rsidRPr="006D3C55">
        <w:t xml:space="preserve"> controls have not </w:t>
      </w:r>
      <w:r w:rsidR="009A3EF7" w:rsidRPr="006D3C55">
        <w:t xml:space="preserve">yet </w:t>
      </w:r>
      <w:r w:rsidRPr="006D3C55">
        <w:t>taken place.</w:t>
      </w:r>
    </w:p>
  </w:footnote>
  <w:footnote w:id="21">
    <w:p w14:paraId="3400148B" w14:textId="0D1E5B78" w:rsidR="00D90885" w:rsidRPr="006D3C55" w:rsidRDefault="00D90885" w:rsidP="00352191">
      <w:pPr>
        <w:pStyle w:val="FootnoteText"/>
      </w:pPr>
      <w:r w:rsidRPr="006D3C55">
        <w:t>(</w:t>
      </w:r>
      <w:r w:rsidRPr="00352191">
        <w:rPr>
          <w:rStyle w:val="FootnoteReference"/>
        </w:rPr>
        <w:footnoteRef/>
      </w:r>
      <w:r w:rsidRPr="006D3C55">
        <w:t>)</w:t>
      </w:r>
      <w:r w:rsidR="00352191">
        <w:tab/>
      </w:r>
      <w:r w:rsidRPr="006D3C55">
        <w:t xml:space="preserve">The programme </w:t>
      </w:r>
      <w:r w:rsidR="00E65FCE" w:rsidRPr="006D3C55">
        <w:t xml:space="preserve">concerned </w:t>
      </w:r>
      <w:r w:rsidRPr="006D3C55">
        <w:t>(</w:t>
      </w:r>
      <w:r w:rsidR="00E65FCE" w:rsidRPr="006D3C55">
        <w:t>t</w:t>
      </w:r>
      <w:r w:rsidRPr="006D3C55">
        <w:t xml:space="preserve">he </w:t>
      </w:r>
      <w:r w:rsidR="00E65FCE" w:rsidRPr="006D3C55">
        <w:t>p</w:t>
      </w:r>
      <w:r w:rsidRPr="006D3C55">
        <w:t xml:space="preserve">romotion of </w:t>
      </w:r>
      <w:r w:rsidR="00E65FCE" w:rsidRPr="006D3C55">
        <w:t>a</w:t>
      </w:r>
      <w:r w:rsidRPr="006D3C55">
        <w:t xml:space="preserve">gricultural products) is funded by </w:t>
      </w:r>
      <w:r w:rsidR="00E65FCE" w:rsidRPr="006D3C55">
        <w:t xml:space="preserve">the </w:t>
      </w:r>
      <w:r w:rsidRPr="006D3C55">
        <w:t>European Agricultural Guarantee Fund</w:t>
      </w:r>
      <w:r w:rsidR="00E65FCE" w:rsidRPr="006D3C55">
        <w:t>,</w:t>
      </w:r>
      <w:r w:rsidRPr="006D3C55">
        <w:t xml:space="preserve"> which is currently under </w:t>
      </w:r>
      <w:r w:rsidR="00E65FCE" w:rsidRPr="006D3C55">
        <w:t>b</w:t>
      </w:r>
      <w:r w:rsidRPr="006D3C55">
        <w:t xml:space="preserve">udget </w:t>
      </w:r>
      <w:r w:rsidR="00E65FCE" w:rsidRPr="006D3C55">
        <w:t>h</w:t>
      </w:r>
      <w:r w:rsidRPr="006D3C55">
        <w:t>eading 3</w:t>
      </w:r>
      <w:r w:rsidRPr="006D3C55">
        <w:rPr>
          <w:rFonts w:ascii="Calibri" w:hAnsi="Calibri" w:cs="Calibri"/>
        </w:rPr>
        <w:t> </w:t>
      </w:r>
      <w:r w:rsidRPr="006D3C55">
        <w:t xml:space="preserve">– </w:t>
      </w:r>
      <w:r w:rsidR="00E65FCE" w:rsidRPr="006D3C55">
        <w:t>n</w:t>
      </w:r>
      <w:r w:rsidRPr="006D3C55">
        <w:t>atural resources and environment</w:t>
      </w:r>
      <w:r w:rsidR="00E65FCE" w:rsidRPr="006D3C55">
        <w:t>.</w:t>
      </w:r>
      <w:r w:rsidRPr="006D3C55">
        <w:t xml:space="preserve"> </w:t>
      </w:r>
      <w:r w:rsidR="00E65FCE" w:rsidRPr="006D3C55">
        <w:t>H</w:t>
      </w:r>
      <w:r w:rsidRPr="006D3C55">
        <w:t>owever</w:t>
      </w:r>
      <w:r w:rsidR="00E65FCE" w:rsidRPr="006D3C55">
        <w:t>,</w:t>
      </w:r>
      <w:r w:rsidRPr="006D3C55">
        <w:t xml:space="preserve"> it is reported under </w:t>
      </w:r>
      <w:r w:rsidR="00567C8C" w:rsidRPr="006D3C55">
        <w:t>h</w:t>
      </w:r>
      <w:r w:rsidRPr="006D3C55">
        <w:t>eading 1</w:t>
      </w:r>
      <w:r w:rsidRPr="006D3C55">
        <w:rPr>
          <w:rFonts w:ascii="Calibri" w:hAnsi="Calibri" w:cs="Calibri"/>
        </w:rPr>
        <w:t> –</w:t>
      </w:r>
      <w:r w:rsidRPr="006D3C55">
        <w:t xml:space="preserve"> </w:t>
      </w:r>
      <w:r w:rsidR="00567C8C" w:rsidRPr="006D3C55">
        <w:t>s</w:t>
      </w:r>
      <w:r w:rsidRPr="006D3C55">
        <w:t>ingle market, innovation and digital for consistency with previous reports.</w:t>
      </w:r>
    </w:p>
  </w:footnote>
  <w:footnote w:id="22">
    <w:p w14:paraId="0BF42CD8" w14:textId="217244D7" w:rsidR="006410B9" w:rsidRPr="006D3C55" w:rsidRDefault="006410B9" w:rsidP="00352191">
      <w:pPr>
        <w:pStyle w:val="FootnoteText"/>
        <w:rPr>
          <w:highlight w:val="lightGray"/>
        </w:rPr>
      </w:pPr>
      <w:r w:rsidRPr="006D3C55">
        <w:t>(</w:t>
      </w:r>
      <w:r w:rsidRPr="00352191">
        <w:rPr>
          <w:rStyle w:val="FootnoteReference"/>
        </w:rPr>
        <w:footnoteRef/>
      </w:r>
      <w:r w:rsidRPr="006D3C55">
        <w:t>)</w:t>
      </w:r>
      <w:r w:rsidR="00352191">
        <w:tab/>
      </w:r>
      <w:r w:rsidRPr="006D3C55">
        <w:t>Proposal for a Council decision establishing the specific programme implementing Horizon 2020</w:t>
      </w:r>
      <w:r w:rsidRPr="006D3C55">
        <w:rPr>
          <w:rFonts w:ascii="Calibri" w:hAnsi="Calibri" w:cs="Calibri"/>
        </w:rPr>
        <w:t> </w:t>
      </w:r>
      <w:r w:rsidRPr="006D3C55">
        <w:t>– The framework programme for research and innovation (2014-2020), COM(2011)</w:t>
      </w:r>
      <w:r w:rsidRPr="006D3C55">
        <w:rPr>
          <w:rFonts w:ascii="Calibri" w:hAnsi="Calibri" w:cs="Calibri"/>
        </w:rPr>
        <w:t> </w:t>
      </w:r>
      <w:r w:rsidRPr="006D3C55">
        <w:t>811 final</w:t>
      </w:r>
      <w:r w:rsidR="005413B3" w:rsidRPr="006D3C55">
        <w:t xml:space="preserve"> of</w:t>
      </w:r>
      <w:r w:rsidRPr="006D3C55">
        <w:t xml:space="preserve"> 30</w:t>
      </w:r>
      <w:r w:rsidRPr="006D3C55">
        <w:rPr>
          <w:rFonts w:ascii="Calibri" w:hAnsi="Calibri" w:cs="Calibri"/>
        </w:rPr>
        <w:t> </w:t>
      </w:r>
      <w:r w:rsidRPr="006D3C55">
        <w:t xml:space="preserve">November 2011, </w:t>
      </w:r>
      <w:hyperlink r:id="rId14" w:history="1">
        <w:r w:rsidRPr="006D3C55">
          <w:rPr>
            <w:rStyle w:val="Hyperlink"/>
            <w:rFonts w:ascii="EC Square Sans Pro" w:hAnsi="EC Square Sans Pro"/>
          </w:rPr>
          <w:t>https://eur-lex.europa.eu/legal-content/EN/TXT/?uri=CELEX%3A52011PC0811&amp;qid=1747145040788</w:t>
        </w:r>
      </w:hyperlink>
      <w:r w:rsidRPr="006D3C55">
        <w:t>.</w:t>
      </w:r>
    </w:p>
  </w:footnote>
  <w:footnote w:id="23">
    <w:p w14:paraId="511CC58C" w14:textId="264100EF" w:rsidR="00E5182E" w:rsidRPr="00C26EA0" w:rsidRDefault="00E5182E">
      <w:pPr>
        <w:pStyle w:val="FootnoteText"/>
        <w:rPr>
          <w:lang w:val="en-IE"/>
        </w:rPr>
      </w:pPr>
      <w:r>
        <w:t>(</w:t>
      </w:r>
      <w:r>
        <w:rPr>
          <w:rStyle w:val="FootnoteReference"/>
        </w:rPr>
        <w:footnoteRef/>
      </w:r>
      <w:r>
        <w:t>)</w:t>
      </w:r>
      <w:r>
        <w:tab/>
      </w:r>
      <w:r w:rsidR="006703B4" w:rsidRPr="006703B4">
        <w:t>In 2024, for H</w:t>
      </w:r>
      <w:r w:rsidR="006703B4">
        <w:t xml:space="preserve">orizon </w:t>
      </w:r>
      <w:r w:rsidR="006703B4" w:rsidRPr="006703B4">
        <w:t>E</w:t>
      </w:r>
      <w:r w:rsidR="006703B4">
        <w:t>urope</w:t>
      </w:r>
      <w:r w:rsidR="006703B4" w:rsidRPr="006703B4">
        <w:t>, as the number of payments was not meaningful, no representative error rate could be determine</w:t>
      </w:r>
      <w:r w:rsidR="006703B4">
        <w:t>d. I</w:t>
      </w:r>
      <w:r w:rsidR="006703B4" w:rsidRPr="006703B4">
        <w:t xml:space="preserve">nstead, using a conservative approach already used in 2023, a </w:t>
      </w:r>
      <w:r w:rsidR="00E32FE9" w:rsidRPr="006703B4">
        <w:t>flat</w:t>
      </w:r>
      <w:r w:rsidR="00E32FE9">
        <w:t xml:space="preserve"> rate</w:t>
      </w:r>
      <w:r w:rsidR="006703B4" w:rsidRPr="006703B4">
        <w:t xml:space="preserve"> of 2% had been used for the risk at payment, taking into account the information available at that time.</w:t>
      </w:r>
    </w:p>
  </w:footnote>
  <w:footnote w:id="24">
    <w:p w14:paraId="3169161D" w14:textId="7FEE8C8C" w:rsidR="006410B9" w:rsidRPr="006D3C55" w:rsidRDefault="006410B9" w:rsidP="00352191">
      <w:pPr>
        <w:pStyle w:val="FootnoteText"/>
      </w:pPr>
      <w:r w:rsidRPr="006D3C55">
        <w:t>(</w:t>
      </w:r>
      <w:r w:rsidRPr="00352191">
        <w:rPr>
          <w:rStyle w:val="FootnoteReference"/>
        </w:rPr>
        <w:footnoteRef/>
      </w:r>
      <w:r w:rsidRPr="006D3C55">
        <w:t>)</w:t>
      </w:r>
      <w:r w:rsidR="00352191">
        <w:tab/>
      </w:r>
      <w:r w:rsidR="00793988" w:rsidRPr="006D3C55">
        <w:t>Communication from the Commission to the European Parliament and the Council</w:t>
      </w:r>
      <w:r w:rsidR="00793988" w:rsidRPr="006D3C55">
        <w:rPr>
          <w:rFonts w:ascii="Calibri" w:hAnsi="Calibri" w:cs="Calibri"/>
        </w:rPr>
        <w:t> </w:t>
      </w:r>
      <w:r w:rsidR="00793988" w:rsidRPr="006D3C55">
        <w:t>–</w:t>
      </w:r>
      <w:r w:rsidRPr="006D3C55">
        <w:t xml:space="preserve"> Horizon Europe: Research and </w:t>
      </w:r>
      <w:r w:rsidR="009C5860" w:rsidRPr="006D3C55">
        <w:t>i</w:t>
      </w:r>
      <w:r w:rsidRPr="006D3C55">
        <w:t>nnovation at the heart of competitiveness</w:t>
      </w:r>
      <w:r w:rsidR="009C5860" w:rsidRPr="006D3C55">
        <w:t>,</w:t>
      </w:r>
      <w:r w:rsidRPr="006D3C55">
        <w:t xml:space="preserve"> </w:t>
      </w:r>
      <w:r w:rsidR="009C5860" w:rsidRPr="00AD4275">
        <w:t>COM(2025)</w:t>
      </w:r>
      <w:r w:rsidR="009C5860" w:rsidRPr="006D3C55">
        <w:rPr>
          <w:rFonts w:ascii="Calibri" w:hAnsi="Calibri" w:cs="Calibri"/>
        </w:rPr>
        <w:t> </w:t>
      </w:r>
      <w:r w:rsidR="009C5860" w:rsidRPr="00AD4275">
        <w:t>189 final</w:t>
      </w:r>
      <w:r w:rsidRPr="006D3C55">
        <w:t xml:space="preserve"> </w:t>
      </w:r>
      <w:r w:rsidR="009C5860" w:rsidRPr="006D3C55">
        <w:t xml:space="preserve">of </w:t>
      </w:r>
      <w:r w:rsidRPr="006D3C55">
        <w:t>30</w:t>
      </w:r>
      <w:r w:rsidR="009C5860" w:rsidRPr="006D3C55">
        <w:rPr>
          <w:rFonts w:ascii="Calibri" w:hAnsi="Calibri" w:cs="Calibri"/>
        </w:rPr>
        <w:t> </w:t>
      </w:r>
      <w:r w:rsidR="009C5860" w:rsidRPr="006D3C55">
        <w:t xml:space="preserve">April </w:t>
      </w:r>
      <w:r w:rsidRPr="006D3C55">
        <w:t>2025</w:t>
      </w:r>
      <w:r w:rsidR="009C5860" w:rsidRPr="006D3C55">
        <w:t xml:space="preserve">, </w:t>
      </w:r>
      <w:hyperlink r:id="rId15" w:history="1">
        <w:r w:rsidR="009C5860" w:rsidRPr="006D3C55">
          <w:rPr>
            <w:rStyle w:val="Hyperlink"/>
          </w:rPr>
          <w:t>https://eur-lex.europa.eu/legal-content/EN/TXT/?uri=CELEX%3A52025DC0189&amp;qid=1778583080645</w:t>
        </w:r>
      </w:hyperlink>
      <w:r w:rsidR="009C5860" w:rsidRPr="006D3C55">
        <w:t>.</w:t>
      </w:r>
    </w:p>
  </w:footnote>
  <w:footnote w:id="25">
    <w:p w14:paraId="168787FF" w14:textId="05E9ABA2" w:rsidR="003D1C3F" w:rsidRDefault="003D1C3F" w:rsidP="00352191">
      <w:pPr>
        <w:pStyle w:val="FootnoteText"/>
      </w:pPr>
      <w:r>
        <w:t>(</w:t>
      </w:r>
      <w:r w:rsidRPr="00352191">
        <w:rPr>
          <w:rStyle w:val="FootnoteReference"/>
        </w:rPr>
        <w:footnoteRef/>
      </w:r>
      <w:r>
        <w:t>)</w:t>
      </w:r>
      <w:r w:rsidR="00352191">
        <w:tab/>
      </w:r>
      <w:r>
        <w:t>T</w:t>
      </w:r>
      <w:r w:rsidRPr="003D1C3F">
        <w:t>he total amount of relevant expenditure reported in the AMPR 2024 for this heading was EUR</w:t>
      </w:r>
      <w:r w:rsidR="001E0998">
        <w:rPr>
          <w:rFonts w:ascii="Calibri" w:hAnsi="Calibri" w:cs="Calibri"/>
        </w:rPr>
        <w:t> </w:t>
      </w:r>
      <w:r w:rsidRPr="003D1C3F">
        <w:t>62.0</w:t>
      </w:r>
      <w:r w:rsidR="001E0998">
        <w:rPr>
          <w:rFonts w:ascii="Calibri" w:hAnsi="Calibri" w:cs="Calibri"/>
        </w:rPr>
        <w:t> </w:t>
      </w:r>
      <w:r w:rsidRPr="003D1C3F">
        <w:t>billion for the financial year 2024. The difference with the amounts of EUR</w:t>
      </w:r>
      <w:r w:rsidR="001E0998">
        <w:rPr>
          <w:rFonts w:ascii="Calibri" w:hAnsi="Calibri" w:cs="Calibri"/>
        </w:rPr>
        <w:t> </w:t>
      </w:r>
      <w:r w:rsidRPr="003D1C3F">
        <w:t>64.1</w:t>
      </w:r>
      <w:r w:rsidR="001E0998">
        <w:rPr>
          <w:rFonts w:ascii="Calibri" w:hAnsi="Calibri" w:cs="Calibri"/>
        </w:rPr>
        <w:t> </w:t>
      </w:r>
      <w:r w:rsidRPr="003D1C3F">
        <w:t xml:space="preserve">billion at the end of 2024 mentioned in the text corresponds to the </w:t>
      </w:r>
      <w:r w:rsidR="00083F6E">
        <w:t xml:space="preserve">payments made in </w:t>
      </w:r>
      <w:r w:rsidRPr="003D1C3F">
        <w:t xml:space="preserve">the </w:t>
      </w:r>
      <w:r w:rsidR="00083F6E">
        <w:t>context</w:t>
      </w:r>
      <w:r w:rsidRPr="003D1C3F">
        <w:t xml:space="preserve"> of the European Union Recovery </w:t>
      </w:r>
      <w:r w:rsidRPr="006D115E">
        <w:t>Instrument (EUR</w:t>
      </w:r>
      <w:r w:rsidR="00083F6E" w:rsidRPr="006D115E">
        <w:rPr>
          <w:rFonts w:ascii="Calibri" w:hAnsi="Calibri" w:cs="Calibri"/>
        </w:rPr>
        <w:t> </w:t>
      </w:r>
      <w:r w:rsidRPr="006D115E">
        <w:t>2</w:t>
      </w:r>
      <w:r w:rsidR="006D115E" w:rsidRPr="006D115E">
        <w:rPr>
          <w:rFonts w:ascii="Calibri" w:hAnsi="Calibri" w:cs="Calibri"/>
        </w:rPr>
        <w:t> </w:t>
      </w:r>
      <w:r w:rsidRPr="006D115E">
        <w:t>116</w:t>
      </w:r>
      <w:r w:rsidR="00970C28" w:rsidRPr="006D115E">
        <w:t>.</w:t>
      </w:r>
      <w:r w:rsidRPr="006D115E">
        <w:t>2</w:t>
      </w:r>
      <w:r w:rsidR="00083F6E" w:rsidRPr="006D115E">
        <w:rPr>
          <w:rFonts w:ascii="Calibri" w:hAnsi="Calibri" w:cs="Calibri"/>
        </w:rPr>
        <w:t> </w:t>
      </w:r>
      <w:r w:rsidRPr="006D115E">
        <w:t>million in</w:t>
      </w:r>
      <w:r w:rsidRPr="003D1C3F">
        <w:t xml:space="preserve"> 2024) that had been counted with the expenditure under the heading European public administration</w:t>
      </w:r>
      <w:r w:rsidR="00083F6E">
        <w:t xml:space="preserve"> in 2024</w:t>
      </w:r>
      <w:r w:rsidRPr="003D1C3F">
        <w:t>.</w:t>
      </w:r>
    </w:p>
  </w:footnote>
  <w:footnote w:id="26">
    <w:p w14:paraId="4689A140" w14:textId="330F6988" w:rsidR="00AF26FB" w:rsidRPr="006D3C55" w:rsidRDefault="00AF26FB" w:rsidP="00352191">
      <w:pPr>
        <w:pStyle w:val="FootnoteText"/>
      </w:pPr>
      <w:r w:rsidRPr="006D3C55">
        <w:t>(</w:t>
      </w:r>
      <w:r w:rsidRPr="00352191">
        <w:rPr>
          <w:rStyle w:val="FootnoteReference"/>
        </w:rPr>
        <w:footnoteRef/>
      </w:r>
      <w:r w:rsidRPr="006D3C55">
        <w:t>)</w:t>
      </w:r>
      <w:r w:rsidR="00352191">
        <w:tab/>
      </w:r>
      <w:r w:rsidR="00706197" w:rsidRPr="006D3C55">
        <w:t>Regulation (EU) 2024/795 of the European Parliament and of the Council of 29</w:t>
      </w:r>
      <w:r w:rsidR="00706197" w:rsidRPr="006D3C55">
        <w:rPr>
          <w:rFonts w:ascii="Calibri" w:hAnsi="Calibri" w:cs="Calibri"/>
        </w:rPr>
        <w:t> </w:t>
      </w:r>
      <w:r w:rsidR="00706197" w:rsidRPr="006D3C55">
        <w:t xml:space="preserve">February 2024 establishing the Strategic Technologies for Europe Platform (STEP), and amending Directive 2003/87/EC and Regulations (EU) 2021/1058, (EU) 2021/1056, (EU) 2021/1057, (EU) No 1303/2013, (EU) No 223/2014, (EU) 2021/1060, (EU) 2021/523, (EU) 2021/695, (EU) 2021/697 and (EU) 2021/241 (OJ L, 2024/795, 29.2.2024, ELI: </w:t>
      </w:r>
      <w:hyperlink r:id="rId16" w:history="1">
        <w:r w:rsidR="00706197" w:rsidRPr="006D3C55">
          <w:rPr>
            <w:rStyle w:val="Hyperlink"/>
          </w:rPr>
          <w:t>http://data.europa.eu/eli/reg/2024/795/oj</w:t>
        </w:r>
      </w:hyperlink>
      <w:r w:rsidR="00706197" w:rsidRPr="006D3C55">
        <w:t>).</w:t>
      </w:r>
    </w:p>
  </w:footnote>
  <w:footnote w:id="27">
    <w:p w14:paraId="2BCC537A" w14:textId="319AB8CE" w:rsidR="007E0D52" w:rsidRPr="006D3C55" w:rsidRDefault="007E0D52" w:rsidP="00352191">
      <w:pPr>
        <w:pStyle w:val="FootnoteText"/>
        <w:rPr>
          <w:highlight w:val="lightGray"/>
        </w:rPr>
      </w:pPr>
      <w:r w:rsidRPr="006D3C55">
        <w:t>(</w:t>
      </w:r>
      <w:r w:rsidRPr="00352191">
        <w:rPr>
          <w:rStyle w:val="FootnoteReference"/>
        </w:rPr>
        <w:footnoteRef/>
      </w:r>
      <w:r w:rsidRPr="006D3C55">
        <w:t>)</w:t>
      </w:r>
      <w:r w:rsidR="00352191">
        <w:tab/>
      </w:r>
      <w:r w:rsidRPr="006D3C55">
        <w:t>For the third consecutive year, the Commission’s risk at payment is outside the error-level range of between 3.3% and 8.1%, estimated by the Court of Auditors</w:t>
      </w:r>
      <w:r w:rsidR="00643A99">
        <w:t>.</w:t>
      </w:r>
      <w:r w:rsidRPr="006D3C55">
        <w:t xml:space="preserve"> </w:t>
      </w:r>
      <w:r w:rsidR="00643A99">
        <w:t xml:space="preserve">See </w:t>
      </w:r>
      <w:r w:rsidR="00643A99" w:rsidRPr="006D3C55">
        <w:t xml:space="preserve">European Court of Auditors, </w:t>
      </w:r>
      <w:r w:rsidR="00643A99" w:rsidRPr="00820802">
        <w:rPr>
          <w:i/>
          <w:iCs/>
        </w:rPr>
        <w:t>Annual reports on the implementation of the EU budget for the 2024 financial year and on activities funded by the 9th, 10th and 11th European Development Funds (EDFs) for the 2024 financial year</w:t>
      </w:r>
      <w:r w:rsidR="00643A99" w:rsidRPr="006D3C55">
        <w:t xml:space="preserve">, </w:t>
      </w:r>
      <w:r w:rsidR="00643A99" w:rsidRPr="00717E9D">
        <w:t xml:space="preserve">Publications Office of the European Union, </w:t>
      </w:r>
      <w:r w:rsidR="00643A99">
        <w:t xml:space="preserve">Luxembourg, </w:t>
      </w:r>
      <w:r w:rsidR="00643A99" w:rsidRPr="00717E9D">
        <w:t xml:space="preserve">2025, </w:t>
      </w:r>
      <w:hyperlink r:id="rId17" w:history="1">
        <w:r w:rsidR="00643A99" w:rsidRPr="00BA3AF5">
          <w:rPr>
            <w:rStyle w:val="Hyperlink"/>
          </w:rPr>
          <w:t>https://data.europa.eu/doi/10.2865/7727690</w:t>
        </w:r>
      </w:hyperlink>
      <w:r w:rsidR="00643A99">
        <w:t xml:space="preserve">, </w:t>
      </w:r>
      <w:r w:rsidRPr="006D3C55">
        <w:t>p.</w:t>
      </w:r>
      <w:r w:rsidRPr="006D3C55">
        <w:rPr>
          <w:rFonts w:ascii="Calibri" w:hAnsi="Calibri" w:cs="Calibri"/>
        </w:rPr>
        <w:t> </w:t>
      </w:r>
      <w:r w:rsidRPr="006D3C55">
        <w:t>215. The higher level of error estimated by the Court</w:t>
      </w:r>
      <w:r w:rsidR="00E5519F">
        <w:t xml:space="preserve"> of Auditors</w:t>
      </w:r>
      <w:r w:rsidRPr="006D3C55">
        <w:t xml:space="preserve"> can be explained by divergences in the interpretation of breaches of applicable rules that, in some cases, do not constitute irregularities in the sense of </w:t>
      </w:r>
      <w:r w:rsidR="00F4759B" w:rsidRPr="006D3C55">
        <w:t>Regulation (EU) 2021/1060 (</w:t>
      </w:r>
      <w:r w:rsidRPr="006D3C55">
        <w:t>the Common Provisions Regulation</w:t>
      </w:r>
      <w:r w:rsidR="00F4759B" w:rsidRPr="006D3C55">
        <w:t>)</w:t>
      </w:r>
      <w:r w:rsidRPr="006D3C55">
        <w:t>, for which the Commission has assessed that it would not have legal grounds to impose financial corrections, and by differences in the methods used to quantify some errors.</w:t>
      </w:r>
    </w:p>
  </w:footnote>
  <w:footnote w:id="28">
    <w:p w14:paraId="58AB4C01" w14:textId="689D31B2" w:rsidR="007E0D52" w:rsidRPr="006D3C55" w:rsidRDefault="007E0D52" w:rsidP="00352191">
      <w:pPr>
        <w:pStyle w:val="FootnoteText"/>
      </w:pPr>
      <w:r w:rsidRPr="006D3C55">
        <w:t>(</w:t>
      </w:r>
      <w:r w:rsidRPr="00352191">
        <w:rPr>
          <w:rStyle w:val="FootnoteReference"/>
        </w:rPr>
        <w:footnoteRef/>
      </w:r>
      <w:r w:rsidRPr="006D3C55">
        <w:t>)</w:t>
      </w:r>
      <w:r w:rsidR="00352191">
        <w:tab/>
      </w:r>
      <w:r w:rsidRPr="006D3C55">
        <w:t>These include the European Regional Development Fund, the Cohesion Fund, the European Social Fund, the youth</w:t>
      </w:r>
      <w:r w:rsidRPr="006D3C55" w:rsidDel="00282468">
        <w:t xml:space="preserve"> </w:t>
      </w:r>
      <w:r w:rsidRPr="006D3C55">
        <w:t>employment initiative and the Fund for European Aid to the Most Deprived. See detail in Volume</w:t>
      </w:r>
      <w:r w:rsidRPr="006D3C55">
        <w:rPr>
          <w:rFonts w:ascii="Calibri" w:hAnsi="Calibri" w:cs="Calibri"/>
        </w:rPr>
        <w:t> </w:t>
      </w:r>
      <w:r w:rsidRPr="006D3C55">
        <w:t>III, Annex</w:t>
      </w:r>
      <w:r w:rsidRPr="006D3C55">
        <w:rPr>
          <w:rFonts w:ascii="Calibri" w:hAnsi="Calibri" w:cs="Calibri"/>
        </w:rPr>
        <w:t> </w:t>
      </w:r>
      <w:r w:rsidRPr="006D3C55">
        <w:t>5, Section</w:t>
      </w:r>
      <w:r w:rsidRPr="006D3C55">
        <w:rPr>
          <w:rFonts w:ascii="Calibri" w:hAnsi="Calibri" w:cs="Calibri"/>
        </w:rPr>
        <w:t> </w:t>
      </w:r>
      <w:r w:rsidRPr="006D3C55">
        <w:t>5.2.2.</w:t>
      </w:r>
    </w:p>
  </w:footnote>
  <w:footnote w:id="29">
    <w:p w14:paraId="3E8FB6A7" w14:textId="1728FFD4" w:rsidR="007E0D52" w:rsidRPr="006D3C55" w:rsidRDefault="007E0D52" w:rsidP="00352191">
      <w:pPr>
        <w:pStyle w:val="FootnoteText"/>
      </w:pPr>
      <w:r w:rsidRPr="006D3C55">
        <w:t>(</w:t>
      </w:r>
      <w:r w:rsidRPr="00352191">
        <w:rPr>
          <w:rStyle w:val="FootnoteReference"/>
        </w:rPr>
        <w:footnoteRef/>
      </w:r>
      <w:r w:rsidRPr="006D3C55">
        <w:t>)</w:t>
      </w:r>
      <w:r w:rsidR="00352191">
        <w:tab/>
      </w:r>
      <w:r w:rsidRPr="006D3C55">
        <w:t>A total of 245 out of 380 programmes submitted accounts and the Commission was able to confirm only 105 programmes.</w:t>
      </w:r>
    </w:p>
  </w:footnote>
  <w:footnote w:id="30">
    <w:p w14:paraId="2A5EFAE9" w14:textId="4BFFDA9D" w:rsidR="007E0D52" w:rsidRPr="006D3C55" w:rsidRDefault="007E0D52" w:rsidP="00352191">
      <w:pPr>
        <w:pStyle w:val="FootnoteText"/>
      </w:pPr>
      <w:r w:rsidRPr="006D3C55">
        <w:t>(</w:t>
      </w:r>
      <w:r w:rsidRPr="00352191">
        <w:rPr>
          <w:rStyle w:val="FootnoteReference"/>
        </w:rPr>
        <w:footnoteRef/>
      </w:r>
      <w:r w:rsidRPr="006D3C55">
        <w:t>)</w:t>
      </w:r>
      <w:r w:rsidR="00352191">
        <w:tab/>
      </w:r>
      <w:r w:rsidRPr="006D3C55">
        <w:t xml:space="preserve">This </w:t>
      </w:r>
      <w:r w:rsidRPr="002554EA">
        <w:t xml:space="preserve">concerns </w:t>
      </w:r>
      <w:r w:rsidR="00530785" w:rsidRPr="002554EA">
        <w:t xml:space="preserve">374 </w:t>
      </w:r>
      <w:r w:rsidRPr="002554EA">
        <w:t xml:space="preserve">out of </w:t>
      </w:r>
      <w:r w:rsidR="00530785" w:rsidRPr="002554EA">
        <w:t>441</w:t>
      </w:r>
      <w:r w:rsidR="00530785">
        <w:t xml:space="preserve"> </w:t>
      </w:r>
      <w:r w:rsidRPr="006D3C55">
        <w:t>programmes for the 2014-2020 programming period.</w:t>
      </w:r>
    </w:p>
  </w:footnote>
  <w:footnote w:id="31">
    <w:p w14:paraId="18CC991C" w14:textId="12E9B384" w:rsidR="007E0D52" w:rsidRPr="006D3C55" w:rsidRDefault="007E0D52" w:rsidP="00352191">
      <w:pPr>
        <w:pStyle w:val="FootnoteText"/>
      </w:pPr>
      <w:r w:rsidRPr="006D3C55">
        <w:t>(</w:t>
      </w:r>
      <w:r w:rsidRPr="00352191">
        <w:rPr>
          <w:rStyle w:val="FootnoteReference"/>
        </w:rPr>
        <w:footnoteRef/>
      </w:r>
      <w:r w:rsidRPr="006D3C55">
        <w:t>)</w:t>
      </w:r>
      <w:r w:rsidR="00352191">
        <w:tab/>
      </w:r>
      <w:r w:rsidRPr="006D3C55">
        <w:t xml:space="preserve">For the last accounting year, </w:t>
      </w:r>
      <w:r w:rsidR="000A0209">
        <w:t>all</w:t>
      </w:r>
      <w:r w:rsidRPr="006D3C55">
        <w:t xml:space="preserve"> </w:t>
      </w:r>
      <w:r w:rsidR="000A3011">
        <w:t>financial</w:t>
      </w:r>
      <w:r w:rsidR="000A3011" w:rsidRPr="006D3C55">
        <w:t xml:space="preserve"> </w:t>
      </w:r>
      <w:r w:rsidRPr="006D3C55">
        <w:t xml:space="preserve">corrections </w:t>
      </w:r>
      <w:r w:rsidR="002A4AB1">
        <w:t xml:space="preserve">(withdrawals, </w:t>
      </w:r>
      <w:r w:rsidR="001F5834">
        <w:t>recoveries</w:t>
      </w:r>
      <w:r w:rsidR="002A4AB1">
        <w:t xml:space="preserve"> and deductions</w:t>
      </w:r>
      <w:r w:rsidR="001F5834">
        <w:t xml:space="preserve"> at closure</w:t>
      </w:r>
      <w:r w:rsidR="002A4AB1">
        <w:t xml:space="preserve">) reported by the Member States </w:t>
      </w:r>
      <w:r w:rsidR="000A3011">
        <w:t>were</w:t>
      </w:r>
      <w:r w:rsidRPr="006D3C55">
        <w:t xml:space="preserve"> c</w:t>
      </w:r>
      <w:r w:rsidR="001F5834">
        <w:t>onsidered</w:t>
      </w:r>
      <w:r w:rsidRPr="006D3C55">
        <w:t xml:space="preserve"> as corrective</w:t>
      </w:r>
      <w:r w:rsidR="002A4AB1">
        <w:t xml:space="preserve"> measures</w:t>
      </w:r>
      <w:r w:rsidR="00350E69">
        <w:t>,</w:t>
      </w:r>
      <w:r w:rsidR="002A4AB1">
        <w:t xml:space="preserve"> whereas in previous years deductions </w:t>
      </w:r>
      <w:r w:rsidR="001F5834">
        <w:t xml:space="preserve">at closure </w:t>
      </w:r>
      <w:r w:rsidR="002A4AB1">
        <w:t xml:space="preserve">were considered as preventive measures. </w:t>
      </w:r>
      <w:r w:rsidR="0094597F">
        <w:t xml:space="preserve">This is because </w:t>
      </w:r>
      <w:r w:rsidRPr="006D3C55">
        <w:t xml:space="preserve">no further action </w:t>
      </w:r>
      <w:r w:rsidR="007E4B72">
        <w:t xml:space="preserve">is </w:t>
      </w:r>
      <w:r w:rsidRPr="006D3C55">
        <w:t>possible after the submission of the final accounts in next payment applications</w:t>
      </w:r>
      <w:r w:rsidR="0094597F">
        <w:t>,</w:t>
      </w:r>
      <w:r w:rsidRPr="006D3C55">
        <w:t xml:space="preserve"> or subsequent accounts</w:t>
      </w:r>
      <w:r w:rsidR="0094597F">
        <w:t>,</w:t>
      </w:r>
      <w:r w:rsidR="0094597F" w:rsidRPr="0094597F">
        <w:t xml:space="preserve"> to take preventive measure into account and they become de facto corrective in nature</w:t>
      </w:r>
      <w:r w:rsidRPr="006D3C55">
        <w:t>.</w:t>
      </w:r>
    </w:p>
  </w:footnote>
  <w:footnote w:id="32">
    <w:p w14:paraId="35C25A82" w14:textId="39E16FD6" w:rsidR="0099576E" w:rsidRPr="006D3C55" w:rsidRDefault="0099576E" w:rsidP="00352191">
      <w:pPr>
        <w:pStyle w:val="FootnoteText"/>
      </w:pPr>
      <w:r w:rsidRPr="006D3C55">
        <w:t>(</w:t>
      </w:r>
      <w:r w:rsidRPr="00352191">
        <w:rPr>
          <w:rStyle w:val="FootnoteReference"/>
        </w:rPr>
        <w:footnoteRef/>
      </w:r>
      <w:r w:rsidRPr="006D3C55">
        <w:t>)</w:t>
      </w:r>
      <w:r w:rsidR="00352191">
        <w:tab/>
      </w:r>
      <w:r w:rsidRPr="006D3C55">
        <w:t>Article</w:t>
      </w:r>
      <w:r w:rsidRPr="006D3C55">
        <w:rPr>
          <w:rFonts w:ascii="Calibri" w:hAnsi="Calibri" w:cs="Calibri"/>
        </w:rPr>
        <w:t> </w:t>
      </w:r>
      <w:r w:rsidRPr="006D3C55">
        <w:t>14(4) ‘Amendments to Regulation (EU) No 1303/2013’: ‘in Article</w:t>
      </w:r>
      <w:r w:rsidRPr="006D3C55">
        <w:rPr>
          <w:rFonts w:ascii="Calibri" w:hAnsi="Calibri" w:cs="Calibri"/>
        </w:rPr>
        <w:t> </w:t>
      </w:r>
      <w:r w:rsidRPr="006D3C55">
        <w:t>138, the following subparagraph is added: “By way of derogation from the deadline set out in the first subparagraph, Member States may submit the documents referred to under points (a), (b) and (c) for the final accounting year by 15</w:t>
      </w:r>
      <w:r w:rsidRPr="00AD4275">
        <w:rPr>
          <w:rFonts w:ascii="Calibri" w:hAnsi="Calibri" w:cs="Calibri"/>
        </w:rPr>
        <w:t> </w:t>
      </w:r>
      <w:r w:rsidRPr="006D3C55">
        <w:t>February 2026</w:t>
      </w:r>
      <w:r w:rsidRPr="00AD4275">
        <w:t>.</w:t>
      </w:r>
      <w:r w:rsidRPr="006D3C55">
        <w:t>”.’</w:t>
      </w:r>
    </w:p>
  </w:footnote>
  <w:footnote w:id="33">
    <w:p w14:paraId="3599DB96" w14:textId="58915D0E" w:rsidR="004A19B3" w:rsidRPr="0076117C" w:rsidRDefault="004A19B3" w:rsidP="00352191">
      <w:pPr>
        <w:pStyle w:val="FootnoteText"/>
        <w:rPr>
          <w:lang w:val="en-IE"/>
        </w:rPr>
      </w:pPr>
      <w:r>
        <w:t>(</w:t>
      </w:r>
      <w:r w:rsidRPr="00352191">
        <w:rPr>
          <w:rStyle w:val="FootnoteReference"/>
        </w:rPr>
        <w:footnoteRef/>
      </w:r>
      <w:r>
        <w:t>)</w:t>
      </w:r>
      <w:r w:rsidR="00352191">
        <w:tab/>
      </w:r>
      <w:r>
        <w:t>Also incorporating the one</w:t>
      </w:r>
      <w:r w:rsidR="009077D6">
        <w:t>-</w:t>
      </w:r>
      <w:r>
        <w:t xml:space="preserve">off REACT EU submission for an amount of </w:t>
      </w:r>
      <w:r w:rsidR="00091D11">
        <w:t>EUR 40.8 billion</w:t>
      </w:r>
      <w:r>
        <w:t>.</w:t>
      </w:r>
    </w:p>
  </w:footnote>
  <w:footnote w:id="34">
    <w:p w14:paraId="7C1A8030" w14:textId="6A9993A0" w:rsidR="007E0D52" w:rsidRPr="006D3C55" w:rsidRDefault="007E0D52" w:rsidP="00352191">
      <w:pPr>
        <w:pStyle w:val="FootnoteText"/>
      </w:pPr>
      <w:r w:rsidRPr="006D3C55">
        <w:t>(</w:t>
      </w:r>
      <w:r w:rsidRPr="00352191">
        <w:rPr>
          <w:rStyle w:val="FootnoteReference"/>
        </w:rPr>
        <w:footnoteRef/>
      </w:r>
      <w:r w:rsidRPr="006D3C55">
        <w:t>)</w:t>
      </w:r>
      <w:r w:rsidR="00352191">
        <w:tab/>
      </w:r>
      <w:r w:rsidRPr="006D3C55">
        <w:t>There are</w:t>
      </w:r>
      <w:r w:rsidRPr="006D3C55" w:rsidDel="0034187E">
        <w:t xml:space="preserve"> </w:t>
      </w:r>
      <w:r w:rsidRPr="006D3C55">
        <w:t>four horizontal enabling conditions linked to overarching, horizontal aspects of programme implementation, ensuring compliance with general EU principles and effective programme management (Annex</w:t>
      </w:r>
      <w:r w:rsidRPr="006D3C55">
        <w:rPr>
          <w:rFonts w:ascii="Calibri" w:hAnsi="Calibri" w:cs="Calibri"/>
        </w:rPr>
        <w:t> </w:t>
      </w:r>
      <w:r w:rsidRPr="006D3C55">
        <w:t>3</w:t>
      </w:r>
      <w:r w:rsidRPr="006D3C55" w:rsidDel="0034187E">
        <w:t xml:space="preserve"> </w:t>
      </w:r>
      <w:r w:rsidRPr="006D3C55">
        <w:t>to the Common Provisions Regulation).</w:t>
      </w:r>
    </w:p>
  </w:footnote>
  <w:footnote w:id="35">
    <w:p w14:paraId="3558A627" w14:textId="30F71C48" w:rsidR="00E41764" w:rsidRPr="00421C0A" w:rsidRDefault="00E41764" w:rsidP="00352191">
      <w:pPr>
        <w:pStyle w:val="FootnoteText"/>
        <w:rPr>
          <w:lang w:val="en-IE"/>
        </w:rPr>
      </w:pPr>
      <w:r>
        <w:t>(</w:t>
      </w:r>
      <w:r w:rsidRPr="00352191">
        <w:rPr>
          <w:rStyle w:val="FootnoteReference"/>
        </w:rPr>
        <w:footnoteRef/>
      </w:r>
      <w:r>
        <w:t>)</w:t>
      </w:r>
      <w:r w:rsidR="00352191">
        <w:tab/>
      </w:r>
      <w:r>
        <w:t xml:space="preserve">Regarding the closure accounts of the programmes for the </w:t>
      </w:r>
      <w:r w:rsidR="00913223">
        <w:t xml:space="preserve">2014-2020 </w:t>
      </w:r>
      <w:r>
        <w:t>period: 20% were submitted in February 2025 and reported in financial year 2024; 80% were reported in February 2026 and reported in financial year 2025.</w:t>
      </w:r>
    </w:p>
  </w:footnote>
  <w:footnote w:id="36">
    <w:p w14:paraId="4E55FE33" w14:textId="393C4BDD" w:rsidR="005A3C30" w:rsidRPr="006E5C0D" w:rsidRDefault="005A3C30" w:rsidP="00352191">
      <w:pPr>
        <w:pStyle w:val="FootnoteText"/>
      </w:pPr>
      <w:r>
        <w:t>(</w:t>
      </w:r>
      <w:r w:rsidRPr="00352191">
        <w:rPr>
          <w:rStyle w:val="FootnoteReference"/>
        </w:rPr>
        <w:footnoteRef/>
      </w:r>
      <w:r>
        <w:t>)</w:t>
      </w:r>
      <w:r w:rsidR="00352191">
        <w:tab/>
      </w:r>
      <w:r w:rsidRPr="005A3C30">
        <w:t>The total amount of relevant expenditure reported in the AMPR 2024 for this heading was EUR</w:t>
      </w:r>
      <w:r w:rsidR="00307FEB" w:rsidRPr="004D59DC">
        <w:rPr>
          <w:rFonts w:ascii="Calibri" w:hAnsi="Calibri" w:cs="Calibri"/>
        </w:rPr>
        <w:t> </w:t>
      </w:r>
      <w:r w:rsidR="00307FEB" w:rsidRPr="004D59DC">
        <w:t>62.0</w:t>
      </w:r>
      <w:r w:rsidR="00307FEB" w:rsidRPr="004D59DC">
        <w:rPr>
          <w:rFonts w:ascii="Calibri" w:hAnsi="Calibri" w:cs="Calibri"/>
        </w:rPr>
        <w:t> </w:t>
      </w:r>
      <w:r w:rsidRPr="005A3C30">
        <w:t>billion for the financial year 2024 and EUR</w:t>
      </w:r>
      <w:r w:rsidR="00E902C5" w:rsidRPr="004D59DC">
        <w:rPr>
          <w:rFonts w:ascii="Calibri" w:hAnsi="Calibri" w:cs="Calibri"/>
        </w:rPr>
        <w:t> </w:t>
      </w:r>
      <w:r w:rsidR="00E902C5">
        <w:t>67.3</w:t>
      </w:r>
      <w:r w:rsidR="00E902C5" w:rsidRPr="004D59DC">
        <w:rPr>
          <w:rFonts w:ascii="Calibri" w:hAnsi="Calibri" w:cs="Calibri"/>
        </w:rPr>
        <w:t> </w:t>
      </w:r>
      <w:r w:rsidRPr="005A3C30">
        <w:t>billion for financial year 2023. The difference with the amounts of EUR</w:t>
      </w:r>
      <w:r w:rsidR="00D42C18" w:rsidRPr="004D59DC">
        <w:rPr>
          <w:rFonts w:ascii="Calibri" w:hAnsi="Calibri" w:cs="Calibri"/>
        </w:rPr>
        <w:t> </w:t>
      </w:r>
      <w:r w:rsidR="00D42C18">
        <w:t>64.</w:t>
      </w:r>
      <w:r w:rsidR="00D34A18">
        <w:t>1</w:t>
      </w:r>
      <w:r w:rsidR="00D42C18" w:rsidRPr="004D59DC">
        <w:rPr>
          <w:rFonts w:ascii="Calibri" w:hAnsi="Calibri" w:cs="Calibri"/>
        </w:rPr>
        <w:t> </w:t>
      </w:r>
      <w:r w:rsidRPr="005A3C30">
        <w:t xml:space="preserve">billion </w:t>
      </w:r>
      <w:r w:rsidR="00083F6E">
        <w:t>in</w:t>
      </w:r>
      <w:r w:rsidRPr="005A3C30">
        <w:t xml:space="preserve"> 2024 </w:t>
      </w:r>
      <w:r w:rsidR="00083F6E">
        <w:t>an</w:t>
      </w:r>
      <w:r w:rsidR="004B1A55">
        <w:t>d</w:t>
      </w:r>
      <w:r w:rsidR="00083F6E">
        <w:t xml:space="preserve"> </w:t>
      </w:r>
      <w:r w:rsidR="00083F6E" w:rsidRPr="00083F6E">
        <w:rPr>
          <w:szCs w:val="18"/>
        </w:rPr>
        <w:t>EUR</w:t>
      </w:r>
      <w:r w:rsidR="00083F6E" w:rsidRPr="00083F6E">
        <w:rPr>
          <w:rFonts w:ascii="Calibri" w:hAnsi="Calibri" w:cs="Calibri"/>
          <w:szCs w:val="18"/>
        </w:rPr>
        <w:t> </w:t>
      </w:r>
      <w:r w:rsidR="00083F6E">
        <w:rPr>
          <w:rFonts w:cs="Calibri"/>
          <w:szCs w:val="18"/>
        </w:rPr>
        <w:t>66.6</w:t>
      </w:r>
      <w:r w:rsidR="00083F6E" w:rsidRPr="00083F6E">
        <w:rPr>
          <w:rFonts w:ascii="Calibri" w:hAnsi="Calibri" w:cs="Calibri"/>
          <w:szCs w:val="18"/>
        </w:rPr>
        <w:t> </w:t>
      </w:r>
      <w:r w:rsidR="00083F6E" w:rsidRPr="003D585E">
        <w:rPr>
          <w:rFonts w:cs="Calibri"/>
          <w:szCs w:val="18"/>
        </w:rPr>
        <w:t>billion in 2023,</w:t>
      </w:r>
      <w:r>
        <w:rPr>
          <w:rFonts w:ascii="Calibri" w:hAnsi="Calibri" w:cs="Calibri"/>
        </w:rPr>
        <w:t xml:space="preserve"> </w:t>
      </w:r>
      <w:r w:rsidRPr="005A3C30">
        <w:t xml:space="preserve">shown in this </w:t>
      </w:r>
      <w:r w:rsidRPr="00C964CA">
        <w:t xml:space="preserve">visual corresponds to the </w:t>
      </w:r>
      <w:r w:rsidR="00083F6E" w:rsidRPr="00C964CA">
        <w:t>payments made</w:t>
      </w:r>
      <w:r w:rsidRPr="00C964CA">
        <w:t xml:space="preserve"> in the</w:t>
      </w:r>
      <w:r w:rsidRPr="00C964CA" w:rsidDel="00083F6E">
        <w:t xml:space="preserve"> </w:t>
      </w:r>
      <w:r w:rsidR="00083F6E" w:rsidRPr="00C964CA">
        <w:t>context</w:t>
      </w:r>
      <w:r w:rsidRPr="00C964CA">
        <w:t xml:space="preserve"> of the European Union Recovery Instrument (for an amount of EUR</w:t>
      </w:r>
      <w:r w:rsidR="002976F8" w:rsidRPr="00C964CA">
        <w:rPr>
          <w:rFonts w:ascii="Calibri" w:hAnsi="Calibri" w:cs="Calibri"/>
        </w:rPr>
        <w:t> </w:t>
      </w:r>
      <w:r w:rsidRPr="00C964CA">
        <w:t>2</w:t>
      </w:r>
      <w:r w:rsidR="006D115E" w:rsidRPr="00C964CA">
        <w:rPr>
          <w:rFonts w:ascii="Calibri" w:hAnsi="Calibri" w:cs="Calibri"/>
        </w:rPr>
        <w:t> </w:t>
      </w:r>
      <w:r w:rsidRPr="00C964CA">
        <w:t>116</w:t>
      </w:r>
      <w:r w:rsidR="002976F8" w:rsidRPr="00C964CA">
        <w:t>.</w:t>
      </w:r>
      <w:r w:rsidRPr="00C964CA">
        <w:t>2</w:t>
      </w:r>
      <w:r w:rsidR="00287226" w:rsidRPr="00C964CA">
        <w:rPr>
          <w:rFonts w:ascii="Calibri" w:hAnsi="Calibri" w:cs="Calibri"/>
        </w:rPr>
        <w:t> </w:t>
      </w:r>
      <w:r w:rsidRPr="00C964CA">
        <w:t>million in</w:t>
      </w:r>
      <w:r w:rsidRPr="005A3C30">
        <w:t xml:space="preserve"> 2024 and EUR</w:t>
      </w:r>
      <w:r w:rsidR="00593605">
        <w:rPr>
          <w:rFonts w:ascii="Calibri" w:hAnsi="Calibri" w:cs="Calibri"/>
        </w:rPr>
        <w:t> </w:t>
      </w:r>
      <w:r w:rsidRPr="005A3C30">
        <w:t>694</w:t>
      </w:r>
      <w:r w:rsidR="00593605">
        <w:rPr>
          <w:rFonts w:ascii="Calibri" w:hAnsi="Calibri" w:cs="Calibri"/>
        </w:rPr>
        <w:t> </w:t>
      </w:r>
      <w:r w:rsidRPr="005A3C30">
        <w:t>million in 2023) that had been both counted with the expenditure under the heading European public administration.</w:t>
      </w:r>
    </w:p>
  </w:footnote>
  <w:footnote w:id="37">
    <w:p w14:paraId="0B942130" w14:textId="34C969A1" w:rsidR="00CD7A1A" w:rsidRPr="006D3C55" w:rsidRDefault="00CD7A1A" w:rsidP="00352191">
      <w:pPr>
        <w:pStyle w:val="FootnoteText"/>
      </w:pPr>
      <w:r w:rsidRPr="006D3C55">
        <w:t>(</w:t>
      </w:r>
      <w:r w:rsidRPr="00352191">
        <w:rPr>
          <w:rStyle w:val="FootnoteReference"/>
        </w:rPr>
        <w:footnoteRef/>
      </w:r>
      <w:r w:rsidRPr="006D3C55">
        <w:t>)</w:t>
      </w:r>
      <w:r w:rsidR="00352191">
        <w:tab/>
      </w:r>
      <w:r w:rsidRPr="006D3C55">
        <w:t xml:space="preserve">Preventive measures for performance-based expenditure are not included in </w:t>
      </w:r>
      <w:r w:rsidR="004020ED" w:rsidRPr="006D3C55">
        <w:t xml:space="preserve">the </w:t>
      </w:r>
      <w:r w:rsidRPr="006D3C55">
        <w:t>2025 amounts.</w:t>
      </w:r>
    </w:p>
  </w:footnote>
  <w:footnote w:id="38">
    <w:p w14:paraId="6BAE7B0D" w14:textId="6CC0540D" w:rsidR="00D532B6" w:rsidRPr="006D3C55" w:rsidRDefault="00D532B6" w:rsidP="00352191">
      <w:pPr>
        <w:pStyle w:val="FootnoteText"/>
      </w:pPr>
      <w:r w:rsidRPr="006D3C55">
        <w:t>(</w:t>
      </w:r>
      <w:r w:rsidRPr="00352191">
        <w:rPr>
          <w:rStyle w:val="FootnoteReference"/>
        </w:rPr>
        <w:footnoteRef/>
      </w:r>
      <w:r w:rsidRPr="006D3C55">
        <w:t>)</w:t>
      </w:r>
      <w:r w:rsidR="00352191">
        <w:tab/>
      </w:r>
      <w:r w:rsidRPr="006D3C55">
        <w:t>European Maritime and Fisheries Fund expenditure, although included under the natural resources and environment heading, follows the same delivery mechanism as cohesion expenditure.</w:t>
      </w:r>
    </w:p>
  </w:footnote>
  <w:footnote w:id="39">
    <w:p w14:paraId="53FD98D5" w14:textId="342E783E" w:rsidR="00D532B6" w:rsidRPr="006D3C55" w:rsidRDefault="00D532B6" w:rsidP="00352191">
      <w:pPr>
        <w:pStyle w:val="FootnoteText"/>
      </w:pPr>
      <w:r w:rsidRPr="006D3C55">
        <w:t>(</w:t>
      </w:r>
      <w:r w:rsidRPr="00352191">
        <w:rPr>
          <w:rStyle w:val="FootnoteReference"/>
        </w:rPr>
        <w:footnoteRef/>
      </w:r>
      <w:r w:rsidRPr="006D3C55">
        <w:t>)</w:t>
      </w:r>
      <w:r w:rsidR="00352191">
        <w:tab/>
      </w:r>
      <w:r w:rsidRPr="006D3C55">
        <w:t>There are four grades describing the functioning of the governance systems of the interventions:</w:t>
      </w:r>
      <w:r w:rsidR="004A163A" w:rsidRPr="006D3C55">
        <w:br/>
      </w:r>
      <w:r w:rsidRPr="00AD4275">
        <w:t>4</w:t>
      </w:r>
      <w:r w:rsidRPr="00AD4275">
        <w:rPr>
          <w:rFonts w:ascii="Calibri" w:hAnsi="Calibri" w:cs="Calibri"/>
        </w:rPr>
        <w:t> </w:t>
      </w:r>
      <w:r w:rsidRPr="00AD4275">
        <w:t>– functioning well, for governance systems for which no or very few exceptions in the tests of controls were found;</w:t>
      </w:r>
      <w:r w:rsidR="004A163A" w:rsidRPr="006D3C55">
        <w:br/>
      </w:r>
      <w:r w:rsidRPr="00AD4275">
        <w:t>3</w:t>
      </w:r>
      <w:r w:rsidRPr="00AD4275">
        <w:rPr>
          <w:rFonts w:ascii="Calibri" w:hAnsi="Calibri" w:cs="Calibri"/>
        </w:rPr>
        <w:t> </w:t>
      </w:r>
      <w:r w:rsidRPr="00AD4275">
        <w:t>– functioning, for governance systems for which few exceptions in the tests of controls were found;</w:t>
      </w:r>
      <w:r w:rsidR="004A163A" w:rsidRPr="006D3C55">
        <w:br/>
      </w:r>
      <w:r w:rsidRPr="00AD4275">
        <w:t>2</w:t>
      </w:r>
      <w:r w:rsidRPr="00AD4275">
        <w:rPr>
          <w:rFonts w:ascii="Calibri" w:hAnsi="Calibri" w:cs="Calibri"/>
        </w:rPr>
        <w:t> </w:t>
      </w:r>
      <w:r w:rsidRPr="00AD4275">
        <w:t>– partially functioning, for governance systems for which some exceptions in the tests of controls were found;</w:t>
      </w:r>
      <w:r w:rsidR="004A163A" w:rsidRPr="006D3C55">
        <w:br/>
      </w:r>
      <w:r w:rsidRPr="00AD4275">
        <w:t>1</w:t>
      </w:r>
      <w:r w:rsidRPr="00AD4275">
        <w:rPr>
          <w:rFonts w:ascii="Calibri" w:hAnsi="Calibri" w:cs="Calibri"/>
        </w:rPr>
        <w:t> </w:t>
      </w:r>
      <w:r w:rsidRPr="00AD4275">
        <w:t>– not functioning, for governance systems for which several systemic exceptions in the tests of controls were found, substantially affecting the effectiveness of controls</w:t>
      </w:r>
      <w:r w:rsidR="004A163A" w:rsidRPr="00AD4275">
        <w:t>.</w:t>
      </w:r>
    </w:p>
  </w:footnote>
  <w:footnote w:id="40">
    <w:p w14:paraId="3C94FFED" w14:textId="098C793B" w:rsidR="00430281" w:rsidRPr="006D3C55" w:rsidRDefault="00430281" w:rsidP="00352191">
      <w:pPr>
        <w:pStyle w:val="FootnoteText"/>
        <w:rPr>
          <w:highlight w:val="lightGray"/>
        </w:rPr>
      </w:pPr>
      <w:r w:rsidRPr="006D3C55">
        <w:t>(</w:t>
      </w:r>
      <w:r w:rsidRPr="00352191">
        <w:rPr>
          <w:rStyle w:val="FootnoteReference"/>
        </w:rPr>
        <w:footnoteRef/>
      </w:r>
      <w:r w:rsidRPr="006D3C55">
        <w:t>)</w:t>
      </w:r>
      <w:r w:rsidR="00352191">
        <w:tab/>
      </w:r>
      <w:r w:rsidRPr="006D3C55">
        <w:t>Heading</w:t>
      </w:r>
      <w:r w:rsidRPr="006D3C55">
        <w:rPr>
          <w:rFonts w:ascii="Calibri" w:hAnsi="Calibri" w:cs="Calibri"/>
        </w:rPr>
        <w:t> </w:t>
      </w:r>
      <w:r w:rsidRPr="006D3C55">
        <w:t>4 also includes the Internal Security Fund of heading</w:t>
      </w:r>
      <w:r w:rsidRPr="006D3C55">
        <w:rPr>
          <w:rFonts w:ascii="Calibri" w:hAnsi="Calibri" w:cs="Calibri"/>
        </w:rPr>
        <w:t> </w:t>
      </w:r>
      <w:r w:rsidRPr="006D3C55">
        <w:t xml:space="preserve">5, since all the funds managed by </w:t>
      </w:r>
      <w:bookmarkStart w:id="44" w:name="_Hlk198112562"/>
      <w:r w:rsidRPr="006D3C55">
        <w:t xml:space="preserve">DG Migration and Home </w:t>
      </w:r>
      <w:bookmarkEnd w:id="44"/>
      <w:r w:rsidRPr="006D3C55">
        <w:t>Affairs are audited and controlled on the basis of the management mode and the type of payment, and the risks thus determined cannot be split between the budget headings.</w:t>
      </w:r>
    </w:p>
  </w:footnote>
  <w:footnote w:id="41">
    <w:p w14:paraId="720AEB4A" w14:textId="1EC5EED6" w:rsidR="009004D7" w:rsidRPr="006E5C0D" w:rsidRDefault="009004D7" w:rsidP="00352191">
      <w:pPr>
        <w:pStyle w:val="FootnoteText"/>
      </w:pPr>
      <w:r>
        <w:t>(</w:t>
      </w:r>
      <w:r w:rsidRPr="00352191">
        <w:rPr>
          <w:rStyle w:val="FootnoteReference"/>
        </w:rPr>
        <w:footnoteRef/>
      </w:r>
      <w:r>
        <w:t>)</w:t>
      </w:r>
      <w:r w:rsidR="00352191">
        <w:tab/>
      </w:r>
      <w:r w:rsidRPr="002D6782">
        <w:t>The total amount of relevant expenditure reported in the AMPR 2024 for this heading was EUR</w:t>
      </w:r>
      <w:r>
        <w:rPr>
          <w:rFonts w:ascii="Calibri" w:hAnsi="Calibri" w:cs="Calibri"/>
        </w:rPr>
        <w:t> </w:t>
      </w:r>
      <w:r>
        <w:t>20.0</w:t>
      </w:r>
      <w:r>
        <w:rPr>
          <w:rFonts w:ascii="Calibri" w:hAnsi="Calibri" w:cs="Calibri"/>
        </w:rPr>
        <w:t> </w:t>
      </w:r>
      <w:r w:rsidRPr="002D6782">
        <w:t>billion for the financial year 2024. The difference with the amounts of EUR</w:t>
      </w:r>
      <w:r>
        <w:rPr>
          <w:rFonts w:ascii="Calibri" w:hAnsi="Calibri" w:cs="Calibri"/>
        </w:rPr>
        <w:t> </w:t>
      </w:r>
      <w:r>
        <w:t>20.4</w:t>
      </w:r>
      <w:r>
        <w:rPr>
          <w:rFonts w:ascii="Calibri" w:hAnsi="Calibri" w:cs="Calibri"/>
        </w:rPr>
        <w:t> </w:t>
      </w:r>
      <w:r w:rsidRPr="002D6782">
        <w:t>billion at the end of 2024 mentioned in the text and shown in th</w:t>
      </w:r>
      <w:r>
        <w:t>e</w:t>
      </w:r>
      <w:r w:rsidRPr="002D6782">
        <w:t xml:space="preserve"> visual corresponds to </w:t>
      </w:r>
      <w:r>
        <w:t xml:space="preserve">the </w:t>
      </w:r>
      <w:r w:rsidRPr="002D6782">
        <w:t>interest rate subsidy for the macro financial assistance</w:t>
      </w:r>
      <w:r>
        <w:t xml:space="preserve"> (loan) to Ukraine</w:t>
      </w:r>
      <w:r w:rsidRPr="002D6782">
        <w:t xml:space="preserve"> (EUR 421 million), that </w:t>
      </w:r>
      <w:r>
        <w:t>was</w:t>
      </w:r>
      <w:r w:rsidRPr="002D6782">
        <w:t xml:space="preserve"> counted with the expenditure under the heading European public administration.</w:t>
      </w:r>
    </w:p>
  </w:footnote>
  <w:footnote w:id="42">
    <w:p w14:paraId="4D8BAC3A" w14:textId="00C7EA91" w:rsidR="009839A4" w:rsidRPr="006D3C55" w:rsidRDefault="009839A4" w:rsidP="00352191">
      <w:pPr>
        <w:pStyle w:val="FootnoteText"/>
      </w:pPr>
      <w:r w:rsidRPr="006D3C55">
        <w:t>(</w:t>
      </w:r>
      <w:r w:rsidRPr="00352191">
        <w:rPr>
          <w:rStyle w:val="FootnoteReference"/>
        </w:rPr>
        <w:footnoteRef/>
      </w:r>
      <w:r w:rsidRPr="006D3C55">
        <w:t>)</w:t>
      </w:r>
      <w:r w:rsidR="00352191">
        <w:tab/>
      </w:r>
      <w:r w:rsidR="0043186D" w:rsidRPr="006D3C55">
        <w:t>The Ukraine, Weste</w:t>
      </w:r>
      <w:r w:rsidR="00A50E40" w:rsidRPr="006D3C55">
        <w:t>rn</w:t>
      </w:r>
      <w:r w:rsidR="0043186D" w:rsidRPr="006D3C55">
        <w:t xml:space="preserve"> Balkans and Moldova </w:t>
      </w:r>
      <w:r w:rsidR="00891639" w:rsidRPr="006D3C55">
        <w:t>f</w:t>
      </w:r>
      <w:r w:rsidR="0043186D" w:rsidRPr="006D3C55">
        <w:t>acilities were established respectively in February 2024, May 2024 and March 2025.</w:t>
      </w:r>
    </w:p>
  </w:footnote>
  <w:footnote w:id="43">
    <w:p w14:paraId="03058531" w14:textId="5A5FBF58" w:rsidR="00FD6C6A" w:rsidRPr="00FD6C6A" w:rsidRDefault="00FD6C6A" w:rsidP="00352191">
      <w:pPr>
        <w:pStyle w:val="FootnoteText"/>
        <w:rPr>
          <w:lang w:val="en-IE"/>
        </w:rPr>
      </w:pPr>
      <w:r>
        <w:t>(</w:t>
      </w:r>
      <w:r w:rsidRPr="00352191">
        <w:rPr>
          <w:rStyle w:val="FootnoteReference"/>
        </w:rPr>
        <w:footnoteRef/>
      </w:r>
      <w:r>
        <w:t>)</w:t>
      </w:r>
      <w:r w:rsidR="00352191">
        <w:tab/>
      </w:r>
      <w:r w:rsidRPr="00FD6C6A">
        <w:t>The total amount of relevant expenditure reported in the AMPR</w:t>
      </w:r>
      <w:r>
        <w:rPr>
          <w:rFonts w:ascii="Calibri" w:hAnsi="Calibri" w:cs="Calibri"/>
        </w:rPr>
        <w:t> </w:t>
      </w:r>
      <w:r w:rsidRPr="00FD6C6A">
        <w:t>2024 for this heading was EUR</w:t>
      </w:r>
      <w:r>
        <w:rPr>
          <w:rFonts w:ascii="Calibri" w:hAnsi="Calibri" w:cs="Calibri"/>
        </w:rPr>
        <w:t> </w:t>
      </w:r>
      <w:r w:rsidRPr="00FD6C6A">
        <w:t>11.6</w:t>
      </w:r>
      <w:r>
        <w:rPr>
          <w:rFonts w:ascii="Calibri" w:hAnsi="Calibri" w:cs="Calibri"/>
        </w:rPr>
        <w:t> </w:t>
      </w:r>
      <w:r w:rsidRPr="00FD6C6A">
        <w:t>billion for the financial year 2024. The difference with the amounts of EUR</w:t>
      </w:r>
      <w:r>
        <w:rPr>
          <w:rFonts w:ascii="Calibri" w:hAnsi="Calibri" w:cs="Calibri"/>
        </w:rPr>
        <w:t> </w:t>
      </w:r>
      <w:r w:rsidRPr="00FD6C6A">
        <w:t>9.1</w:t>
      </w:r>
      <w:r>
        <w:rPr>
          <w:rFonts w:ascii="Calibri" w:hAnsi="Calibri" w:cs="Calibri"/>
        </w:rPr>
        <w:t> </w:t>
      </w:r>
      <w:r w:rsidRPr="00FD6C6A">
        <w:t xml:space="preserve">billion mentioned </w:t>
      </w:r>
      <w:r>
        <w:t xml:space="preserve">here </w:t>
      </w:r>
      <w:r w:rsidRPr="00FD6C6A">
        <w:t xml:space="preserve">corresponds to (i) the costs associated with the funds borrowed on the capital markets on behalf of the Union in the framework of the European Union Recovery Instrument (for an </w:t>
      </w:r>
      <w:r w:rsidRPr="006D115E">
        <w:t>amount of EUR</w:t>
      </w:r>
      <w:r w:rsidR="009A765D" w:rsidRPr="006D115E">
        <w:rPr>
          <w:rFonts w:ascii="Calibri" w:hAnsi="Calibri" w:cs="Calibri"/>
        </w:rPr>
        <w:t> </w:t>
      </w:r>
      <w:r w:rsidRPr="006D115E">
        <w:t>2</w:t>
      </w:r>
      <w:r w:rsidR="0012318E" w:rsidRPr="006D115E">
        <w:rPr>
          <w:rFonts w:ascii="Calibri" w:hAnsi="Calibri" w:cs="Calibri"/>
        </w:rPr>
        <w:t> </w:t>
      </w:r>
      <w:r w:rsidRPr="006D115E">
        <w:t>116</w:t>
      </w:r>
      <w:r w:rsidR="009A765D" w:rsidRPr="006D115E">
        <w:t>.</w:t>
      </w:r>
      <w:r w:rsidRPr="006D115E">
        <w:t>2</w:t>
      </w:r>
      <w:r w:rsidR="009A765D" w:rsidRPr="006D115E">
        <w:rPr>
          <w:rFonts w:ascii="Calibri" w:hAnsi="Calibri" w:cs="Calibri"/>
        </w:rPr>
        <w:t> </w:t>
      </w:r>
      <w:r w:rsidRPr="006D115E">
        <w:t>million in 2024)</w:t>
      </w:r>
      <w:r w:rsidRPr="00FD6C6A">
        <w:t xml:space="preserve"> and (ii) interest rate subsidy for the macro financial assistance (loan) to Ukraine (EUR 421 million in 2024), that </w:t>
      </w:r>
      <w:r>
        <w:t>were</w:t>
      </w:r>
      <w:r w:rsidRPr="00FD6C6A">
        <w:t xml:space="preserve"> both counted with the expenditure under the heading European public administration</w:t>
      </w:r>
      <w:r>
        <w:t xml:space="preserve"> and are now added respectively to the heading “cohesion, resilience and values” and the heading “neighbourhood and the world”</w:t>
      </w:r>
      <w:r w:rsidRPr="00FD6C6A">
        <w:t>.</w:t>
      </w:r>
    </w:p>
  </w:footnote>
  <w:footnote w:id="44">
    <w:p w14:paraId="3773C737" w14:textId="79AF45BE" w:rsidR="001959B7" w:rsidRPr="001959B7" w:rsidRDefault="001959B7" w:rsidP="00352191">
      <w:pPr>
        <w:pStyle w:val="FootnoteText"/>
      </w:pPr>
      <w:r>
        <w:t>(</w:t>
      </w:r>
      <w:r w:rsidRPr="00352191">
        <w:rPr>
          <w:rStyle w:val="FootnoteReference"/>
        </w:rPr>
        <w:footnoteRef/>
      </w:r>
      <w:r>
        <w:t>)</w:t>
      </w:r>
      <w:r w:rsidR="00352191">
        <w:tab/>
      </w:r>
      <w:r w:rsidR="004C057A">
        <w:t>T</w:t>
      </w:r>
      <w:r w:rsidRPr="001959B7">
        <w:t xml:space="preserve">he total amount of relevant expenditure </w:t>
      </w:r>
      <w:r w:rsidR="004C057A">
        <w:t xml:space="preserve">reported in the AMPR 2024 </w:t>
      </w:r>
      <w:r w:rsidRPr="001959B7">
        <w:t>for this heading was EUR</w:t>
      </w:r>
      <w:r w:rsidR="00A047F2">
        <w:rPr>
          <w:rFonts w:ascii="Calibri" w:hAnsi="Calibri" w:cs="Calibri"/>
        </w:rPr>
        <w:t> </w:t>
      </w:r>
      <w:r w:rsidR="00D83E5B">
        <w:t>11.6</w:t>
      </w:r>
      <w:r w:rsidR="00A047F2">
        <w:rPr>
          <w:rFonts w:ascii="Calibri" w:hAnsi="Calibri" w:cs="Calibri"/>
        </w:rPr>
        <w:t> </w:t>
      </w:r>
      <w:r w:rsidR="00D83E5B">
        <w:t>b</w:t>
      </w:r>
      <w:r w:rsidRPr="001959B7">
        <w:t>illion for the financial year 2024 and EUR</w:t>
      </w:r>
      <w:r w:rsidR="00A047F2">
        <w:rPr>
          <w:rFonts w:ascii="Calibri" w:hAnsi="Calibri" w:cs="Calibri"/>
        </w:rPr>
        <w:t> </w:t>
      </w:r>
      <w:r w:rsidR="00A047F2" w:rsidRPr="00477832">
        <w:t>8.9</w:t>
      </w:r>
      <w:r w:rsidR="00A047F2">
        <w:rPr>
          <w:rFonts w:ascii="Calibri" w:hAnsi="Calibri" w:cs="Calibri"/>
        </w:rPr>
        <w:t> </w:t>
      </w:r>
      <w:r w:rsidR="00A047F2" w:rsidRPr="00477832">
        <w:t>b</w:t>
      </w:r>
      <w:r w:rsidRPr="001959B7">
        <w:t xml:space="preserve">illion for financial year 2023. </w:t>
      </w:r>
      <w:r w:rsidR="00B20E00" w:rsidRPr="001959B7">
        <w:t xml:space="preserve">The difference with the amounts </w:t>
      </w:r>
      <w:r w:rsidR="005C11D1">
        <w:t>shown in the visual:</w:t>
      </w:r>
      <w:r w:rsidR="00137CD8">
        <w:t xml:space="preserve"> EUR</w:t>
      </w:r>
      <w:r w:rsidR="00137CD8">
        <w:rPr>
          <w:rFonts w:ascii="Calibri" w:hAnsi="Calibri" w:cs="Calibri"/>
        </w:rPr>
        <w:t> </w:t>
      </w:r>
      <w:r w:rsidR="002D7711" w:rsidRPr="007E01B5">
        <w:t>9.1</w:t>
      </w:r>
      <w:r w:rsidR="002D7711">
        <w:rPr>
          <w:rFonts w:ascii="Calibri" w:hAnsi="Calibri" w:cs="Calibri"/>
        </w:rPr>
        <w:t> </w:t>
      </w:r>
      <w:r w:rsidR="002D7711" w:rsidRPr="007E01B5">
        <w:t>b</w:t>
      </w:r>
      <w:r w:rsidR="007E01B5" w:rsidRPr="007E01B5">
        <w:t>i</w:t>
      </w:r>
      <w:r w:rsidR="002D7711" w:rsidRPr="007E01B5">
        <w:t xml:space="preserve">llion </w:t>
      </w:r>
      <w:r w:rsidR="005C11D1">
        <w:t>in</w:t>
      </w:r>
      <w:r w:rsidR="00151D10">
        <w:t xml:space="preserve"> 2024 </w:t>
      </w:r>
      <w:r w:rsidR="002D7711" w:rsidRPr="007E01B5">
        <w:t xml:space="preserve">and </w:t>
      </w:r>
      <w:r w:rsidR="005C11D1">
        <w:t>EUR</w:t>
      </w:r>
      <w:r w:rsidR="005C11D1">
        <w:rPr>
          <w:rFonts w:ascii="Calibri" w:hAnsi="Calibri" w:cs="Calibri"/>
        </w:rPr>
        <w:t> </w:t>
      </w:r>
      <w:r w:rsidR="005C11D1" w:rsidRPr="005C11D1">
        <w:rPr>
          <w:rFonts w:cs="Calibri"/>
        </w:rPr>
        <w:t>8.2</w:t>
      </w:r>
      <w:r w:rsidR="005C11D1" w:rsidRPr="005C11D1">
        <w:rPr>
          <w:rFonts w:ascii="Calibri" w:hAnsi="Calibri" w:cs="Calibri"/>
        </w:rPr>
        <w:t> </w:t>
      </w:r>
      <w:r w:rsidR="005C11D1" w:rsidRPr="005C11D1">
        <w:t>million</w:t>
      </w:r>
      <w:r w:rsidR="005C11D1">
        <w:t xml:space="preserve"> in 2023,</w:t>
      </w:r>
      <w:r w:rsidR="00B20E00">
        <w:t xml:space="preserve"> corresponds to </w:t>
      </w:r>
      <w:r w:rsidR="00477832">
        <w:t xml:space="preserve">(i) </w:t>
      </w:r>
      <w:r w:rsidR="005112BF">
        <w:t xml:space="preserve">the </w:t>
      </w:r>
      <w:r w:rsidR="00B20E00" w:rsidRPr="001959B7">
        <w:t>costs associated with the funds borrowed on the capital markets on behalf of the Union in the framework of the European Union Recovery Instrument</w:t>
      </w:r>
      <w:r w:rsidR="00B20E00">
        <w:t xml:space="preserve"> (for an amount of </w:t>
      </w:r>
      <w:r w:rsidR="00B20E00" w:rsidRPr="001959B7">
        <w:t>EUR</w:t>
      </w:r>
      <w:r w:rsidR="00B20E00">
        <w:rPr>
          <w:rFonts w:ascii="Calibri" w:hAnsi="Calibri" w:cs="Calibri"/>
        </w:rPr>
        <w:t> </w:t>
      </w:r>
      <w:r w:rsidR="00B20E00" w:rsidRPr="001959B7">
        <w:t>2</w:t>
      </w:r>
      <w:r w:rsidR="00B20E00">
        <w:rPr>
          <w:rFonts w:ascii="Calibri" w:hAnsi="Calibri" w:cs="Calibri"/>
        </w:rPr>
        <w:t> </w:t>
      </w:r>
      <w:r w:rsidR="00B20E00" w:rsidRPr="001959B7">
        <w:t>116,2</w:t>
      </w:r>
      <w:r w:rsidR="00B20E00">
        <w:rPr>
          <w:rFonts w:ascii="Calibri" w:hAnsi="Calibri" w:cs="Calibri"/>
        </w:rPr>
        <w:t> </w:t>
      </w:r>
      <w:r w:rsidR="00B20E00" w:rsidRPr="00477832">
        <w:t>million in 2024 and EUR</w:t>
      </w:r>
      <w:r w:rsidR="00B20E00">
        <w:rPr>
          <w:rFonts w:ascii="Calibri" w:hAnsi="Calibri" w:cs="Calibri"/>
        </w:rPr>
        <w:t> </w:t>
      </w:r>
      <w:r w:rsidR="00B20E00" w:rsidRPr="00477832">
        <w:t>694</w:t>
      </w:r>
      <w:r w:rsidR="00E5615F">
        <w:rPr>
          <w:rFonts w:ascii="Calibri" w:hAnsi="Calibri" w:cs="Calibri"/>
        </w:rPr>
        <w:t> </w:t>
      </w:r>
      <w:r w:rsidR="00B20E00" w:rsidRPr="00477832">
        <w:t xml:space="preserve">million in 2023) and </w:t>
      </w:r>
      <w:r w:rsidR="00477832" w:rsidRPr="00477832">
        <w:t>(ii)</w:t>
      </w:r>
      <w:r w:rsidR="00477832">
        <w:t xml:space="preserve"> </w:t>
      </w:r>
      <w:r w:rsidR="00B20E00" w:rsidRPr="001959B7">
        <w:t>interest rate subsidy for the macro financial assistance</w:t>
      </w:r>
      <w:r w:rsidR="00213401">
        <w:t xml:space="preserve"> (loan) to Ukraine</w:t>
      </w:r>
      <w:r w:rsidR="00B20E00" w:rsidRPr="001959B7">
        <w:t xml:space="preserve"> </w:t>
      </w:r>
      <w:r w:rsidR="00477832">
        <w:t>(EUR</w:t>
      </w:r>
      <w:r w:rsidR="00477832" w:rsidRPr="00477832">
        <w:rPr>
          <w:rFonts w:ascii="Calibri" w:hAnsi="Calibri" w:cs="Calibri"/>
        </w:rPr>
        <w:t> </w:t>
      </w:r>
      <w:r w:rsidR="00477832" w:rsidRPr="00477832">
        <w:t>421 million in 2024)</w:t>
      </w:r>
      <w:r w:rsidR="00E5615F">
        <w:t>,</w:t>
      </w:r>
      <w:r w:rsidR="00477832" w:rsidRPr="00477832">
        <w:t xml:space="preserve"> </w:t>
      </w:r>
      <w:r w:rsidR="00B20E00" w:rsidRPr="001959B7">
        <w:t xml:space="preserve">that </w:t>
      </w:r>
      <w:r w:rsidR="005C11D1">
        <w:t>were</w:t>
      </w:r>
      <w:r w:rsidR="00B20E00" w:rsidRPr="001959B7">
        <w:t xml:space="preserve"> </w:t>
      </w:r>
      <w:r w:rsidR="00477832">
        <w:t xml:space="preserve">both </w:t>
      </w:r>
      <w:r w:rsidR="00B20E00" w:rsidRPr="001959B7">
        <w:t>counted under the heading European public administration</w:t>
      </w:r>
      <w:r w:rsidR="005C11D1">
        <w:t xml:space="preserve"> and are now added respectively to the heading “cohesion, resilience and values” and the heading “neighbourhood and the world”.</w:t>
      </w:r>
    </w:p>
  </w:footnote>
  <w:footnote w:id="45">
    <w:p w14:paraId="7C9D90C0" w14:textId="0BD5EE64" w:rsidR="00196DB1" w:rsidRPr="006D3C55" w:rsidRDefault="00196DB1" w:rsidP="00352191">
      <w:pPr>
        <w:pStyle w:val="FootnoteText"/>
        <w:rPr>
          <w:rFonts w:ascii="EC Square Sans Pro" w:hAnsi="EC Square Sans Pro"/>
        </w:rPr>
      </w:pPr>
      <w:r w:rsidRPr="006D3C55">
        <w:rPr>
          <w:rFonts w:ascii="EC Square Sans Pro" w:hAnsi="EC Square Sans Pro"/>
        </w:rPr>
        <w:t>(</w:t>
      </w:r>
      <w:r w:rsidRPr="00352191">
        <w:rPr>
          <w:rStyle w:val="FootnoteReference"/>
        </w:rPr>
        <w:footnoteRef/>
      </w:r>
      <w:r w:rsidRPr="006D3C55">
        <w:rPr>
          <w:rFonts w:ascii="EC Square Sans Pro" w:hAnsi="EC Square Sans Pro"/>
        </w:rPr>
        <w:t>)</w:t>
      </w:r>
      <w:r w:rsidR="00352191">
        <w:rPr>
          <w:rFonts w:ascii="EC Square Sans Pro" w:hAnsi="EC Square Sans Pro"/>
        </w:rPr>
        <w:tab/>
      </w:r>
      <w:r w:rsidRPr="006D3C55">
        <w:t>Communication to the Commission</w:t>
      </w:r>
      <w:r w:rsidRPr="006D3C55">
        <w:rPr>
          <w:rFonts w:ascii="Calibri" w:hAnsi="Calibri" w:cs="Calibri"/>
        </w:rPr>
        <w:t> </w:t>
      </w:r>
      <w:r w:rsidRPr="006D3C55">
        <w:t>– Artificial intelligence in the European Commission (AI@EC)</w:t>
      </w:r>
      <w:r w:rsidRPr="006D3C55">
        <w:rPr>
          <w:rFonts w:ascii="Calibri" w:hAnsi="Calibri" w:cs="Calibri"/>
        </w:rPr>
        <w:t> </w:t>
      </w:r>
      <w:r w:rsidRPr="006D3C55">
        <w:t>– A strategic vision to foster the development and use of lawful, safe and trustworthy artificial intelligence systems in the European Commission, C(2024)</w:t>
      </w:r>
      <w:r w:rsidRPr="006D3C55">
        <w:rPr>
          <w:rFonts w:ascii="Calibri" w:hAnsi="Calibri" w:cs="Calibri"/>
        </w:rPr>
        <w:t> </w:t>
      </w:r>
      <w:r w:rsidRPr="006D3C55">
        <w:t>380 final</w:t>
      </w:r>
      <w:r w:rsidR="00D07EF9">
        <w:t xml:space="preserve"> of</w:t>
      </w:r>
      <w:r w:rsidRPr="006D3C55">
        <w:t xml:space="preserve"> 21</w:t>
      </w:r>
      <w:r w:rsidRPr="006D3C55">
        <w:rPr>
          <w:rFonts w:ascii="Calibri" w:hAnsi="Calibri" w:cs="Calibri"/>
        </w:rPr>
        <w:t> </w:t>
      </w:r>
      <w:r w:rsidRPr="006D3C55">
        <w:t>January 2024,</w:t>
      </w:r>
      <w:r w:rsidRPr="006D3C55">
        <w:rPr>
          <w:rFonts w:ascii="Calibri" w:hAnsi="Calibri" w:cs="Calibri"/>
        </w:rPr>
        <w:t xml:space="preserve"> </w:t>
      </w:r>
      <w:hyperlink r:id="rId18" w:history="1">
        <w:r w:rsidRPr="006D3C55">
          <w:rPr>
            <w:rStyle w:val="Hyperlink"/>
          </w:rPr>
          <w:t>https://commission.europa.eu/system/files/2024-01/EN%20Artificial%20Intelligence%20in%20the%20European%20Commission.PDF</w:t>
        </w:r>
      </w:hyperlink>
      <w:r w:rsidRPr="006D3C55">
        <w:t>.</w:t>
      </w:r>
    </w:p>
  </w:footnote>
  <w:footnote w:id="46">
    <w:p w14:paraId="4AC16E80" w14:textId="5E91799E" w:rsidR="00196DB1" w:rsidRPr="006D3C55" w:rsidRDefault="00196DB1" w:rsidP="00352191">
      <w:pPr>
        <w:pStyle w:val="FootnoteText"/>
        <w:rPr>
          <w:rFonts w:ascii="EC Square Sans Pro" w:hAnsi="EC Square Sans Pro"/>
        </w:rPr>
      </w:pPr>
      <w:r w:rsidRPr="006D3C55">
        <w:rPr>
          <w:rFonts w:ascii="EC Square Sans Pro" w:hAnsi="EC Square Sans Pro"/>
        </w:rPr>
        <w:t>(</w:t>
      </w:r>
      <w:r w:rsidRPr="00352191">
        <w:rPr>
          <w:rStyle w:val="FootnoteReference"/>
        </w:rPr>
        <w:footnoteRef/>
      </w:r>
      <w:r w:rsidRPr="006D3C55">
        <w:rPr>
          <w:rFonts w:ascii="EC Square Sans Pro" w:hAnsi="EC Square Sans Pro"/>
        </w:rPr>
        <w:t>)</w:t>
      </w:r>
      <w:r w:rsidR="00352191">
        <w:rPr>
          <w:rFonts w:ascii="EC Square Sans Pro" w:hAnsi="EC Square Sans Pro"/>
        </w:rPr>
        <w:tab/>
      </w:r>
      <w:r w:rsidRPr="006D3C55">
        <w:t>Regulation (EU) 2024/1689 of the European Parliament and of the Council of 13</w:t>
      </w:r>
      <w:r w:rsidRPr="006D3C55">
        <w:rPr>
          <w:rFonts w:ascii="Calibri" w:hAnsi="Calibri" w:cs="Calibri"/>
        </w:rPr>
        <w:t> </w:t>
      </w:r>
      <w:r w:rsidRPr="006D3C55">
        <w:t>June 2024 laying down harmonised rules on artificial intelligence and amending Regulations (EC) No</w:t>
      </w:r>
      <w:r w:rsidRPr="006D3C55">
        <w:rPr>
          <w:rFonts w:ascii="Calibri" w:hAnsi="Calibri" w:cs="Calibri"/>
        </w:rPr>
        <w:t> </w:t>
      </w:r>
      <w:r w:rsidRPr="006D3C55">
        <w:t>300/2008, (EU) No</w:t>
      </w:r>
      <w:r w:rsidRPr="006D3C55">
        <w:rPr>
          <w:rFonts w:ascii="Calibri" w:hAnsi="Calibri" w:cs="Calibri"/>
        </w:rPr>
        <w:t> </w:t>
      </w:r>
      <w:r w:rsidRPr="006D3C55">
        <w:t>167/2013, (EU) No</w:t>
      </w:r>
      <w:r w:rsidRPr="006D3C55">
        <w:rPr>
          <w:rFonts w:ascii="Calibri" w:hAnsi="Calibri" w:cs="Calibri"/>
        </w:rPr>
        <w:t> </w:t>
      </w:r>
      <w:r w:rsidRPr="006D3C55">
        <w:t xml:space="preserve">168/2013, (EU) 2018/858, (EU) 2018/1139 and (EU) 2019/2144 and Directives 2014/90/EU, (EU) 2016/797 and (EU) 2020/1828 (Artificial Intelligence Act) </w:t>
      </w:r>
      <w:r w:rsidR="009F126B" w:rsidRPr="006D3C55">
        <w:t>(</w:t>
      </w:r>
      <w:r w:rsidRPr="006D3C55">
        <w:t>OJ</w:t>
      </w:r>
      <w:r w:rsidR="00AC350A">
        <w:rPr>
          <w:rFonts w:ascii="Calibri" w:hAnsi="Calibri" w:cs="Calibri"/>
        </w:rPr>
        <w:t xml:space="preserve"> </w:t>
      </w:r>
      <w:r w:rsidRPr="006D3C55">
        <w:t xml:space="preserve">L, 2024/1689, 12.7.2024, ELI: </w:t>
      </w:r>
      <w:hyperlink r:id="rId19" w:history="1">
        <w:r w:rsidRPr="006D3C55">
          <w:rPr>
            <w:rStyle w:val="Hyperlink"/>
          </w:rPr>
          <w:t>http://data.europa.eu/eli/reg/2024/1689/oj</w:t>
        </w:r>
      </w:hyperlink>
      <w:r w:rsidR="009F126B" w:rsidRPr="006D3C55">
        <w:t>)</w:t>
      </w:r>
      <w:r w:rsidRPr="006D3C55">
        <w:t>.</w:t>
      </w:r>
    </w:p>
  </w:footnote>
  <w:footnote w:id="47">
    <w:p w14:paraId="0C462AD6" w14:textId="537304FE" w:rsidR="001301C1" w:rsidRPr="006D3C55" w:rsidRDefault="001301C1" w:rsidP="00352191">
      <w:pPr>
        <w:pStyle w:val="FootnoteText"/>
        <w:rPr>
          <w:highlight w:val="lightGray"/>
        </w:rPr>
      </w:pPr>
      <w:r w:rsidRPr="006D3C55">
        <w:t>(</w:t>
      </w:r>
      <w:r w:rsidRPr="00352191">
        <w:rPr>
          <w:rStyle w:val="FootnoteReference"/>
        </w:rPr>
        <w:footnoteRef/>
      </w:r>
      <w:r w:rsidRPr="006D3C55">
        <w:t>)</w:t>
      </w:r>
      <w:r w:rsidR="00352191">
        <w:tab/>
      </w:r>
      <w:r w:rsidR="0057619F" w:rsidRPr="000E106D">
        <w:t>See footnote</w:t>
      </w:r>
      <w:r w:rsidR="0057619F" w:rsidRPr="000E106D">
        <w:rPr>
          <w:rFonts w:ascii="Calibri" w:hAnsi="Calibri" w:cs="Calibri"/>
        </w:rPr>
        <w:t> </w:t>
      </w:r>
      <w:r w:rsidR="0057619F" w:rsidRPr="000E106D">
        <w:t>4</w:t>
      </w:r>
      <w:r w:rsidRPr="000E106D">
        <w:t>.</w:t>
      </w:r>
    </w:p>
  </w:footnote>
  <w:footnote w:id="48">
    <w:p w14:paraId="2C391A4A" w14:textId="76BF2E01" w:rsidR="007F3ADC" w:rsidRPr="006D3C55" w:rsidRDefault="007F3ADC" w:rsidP="00352191">
      <w:pPr>
        <w:pStyle w:val="FootnoteText"/>
        <w:rPr>
          <w:rFonts w:ascii="EC Square Sans Pro" w:hAnsi="EC Square Sans Pro"/>
        </w:rPr>
      </w:pPr>
      <w:r w:rsidRPr="006D3C55">
        <w:rPr>
          <w:rFonts w:ascii="EC Square Sans Pro" w:hAnsi="EC Square Sans Pro"/>
        </w:rPr>
        <w:t>(</w:t>
      </w:r>
      <w:r w:rsidRPr="00352191">
        <w:rPr>
          <w:rStyle w:val="FootnoteReference"/>
        </w:rPr>
        <w:footnoteRef/>
      </w:r>
      <w:r w:rsidRPr="006D3C55">
        <w:rPr>
          <w:rFonts w:ascii="EC Square Sans Pro" w:hAnsi="EC Square Sans Pro"/>
        </w:rPr>
        <w:t>)</w:t>
      </w:r>
      <w:r w:rsidR="00352191">
        <w:rPr>
          <w:rFonts w:ascii="EC Square Sans Pro" w:hAnsi="EC Square Sans Pro"/>
        </w:rPr>
        <w:tab/>
      </w:r>
      <w:r w:rsidRPr="006D3C55">
        <w:rPr>
          <w:rFonts w:ascii="EC Square Sans Pro" w:hAnsi="EC Square Sans Pro"/>
        </w:rPr>
        <w:t>European Commission</w:t>
      </w:r>
      <w:r w:rsidR="005B2120">
        <w:rPr>
          <w:rFonts w:ascii="EC Square Sans Pro" w:hAnsi="EC Square Sans Pro"/>
        </w:rPr>
        <w:t xml:space="preserve">: </w:t>
      </w:r>
      <w:r w:rsidR="005B2120">
        <w:t>Directorate-General for Communication</w:t>
      </w:r>
      <w:r w:rsidRPr="006D3C55">
        <w:rPr>
          <w:rFonts w:ascii="EC Square Sans Pro" w:hAnsi="EC Square Sans Pro"/>
        </w:rPr>
        <w:t>, ‘</w:t>
      </w:r>
      <w:r w:rsidRPr="006D3C55">
        <w:t>Annual activity reports’</w:t>
      </w:r>
      <w:r w:rsidRPr="006D3C55">
        <w:rPr>
          <w:rFonts w:ascii="EC Square Sans Pro" w:hAnsi="EC Square Sans Pro"/>
        </w:rPr>
        <w:t xml:space="preserve">, European Commission website, </w:t>
      </w:r>
      <w:hyperlink r:id="rId20" w:history="1">
        <w:r w:rsidRPr="006D3C55">
          <w:rPr>
            <w:rStyle w:val="Hyperlink"/>
            <w:rFonts w:ascii="EC Square Sans Pro" w:hAnsi="EC Square Sans Pro"/>
            <w:szCs w:val="18"/>
          </w:rPr>
          <w:t>https://commission.europa.eu/strategy-and-policy/strategy-documents/annual-activity-reports_en</w:t>
        </w:r>
      </w:hyperlink>
      <w:r w:rsidRPr="006D3C55">
        <w:rPr>
          <w:rFonts w:ascii="EC Square Sans Pro" w:hAnsi="EC Square Sans Pro"/>
        </w:rPr>
        <w:t>.</w:t>
      </w:r>
    </w:p>
  </w:footnote>
  <w:footnote w:id="49">
    <w:p w14:paraId="0DF0DB02" w14:textId="168FED90" w:rsidR="0090740C" w:rsidRPr="006D3C55" w:rsidRDefault="0090740C" w:rsidP="00352191">
      <w:pPr>
        <w:pStyle w:val="FootnoteText"/>
      </w:pPr>
      <w:r w:rsidRPr="006D3C55">
        <w:t>(</w:t>
      </w:r>
      <w:r w:rsidRPr="00352191">
        <w:rPr>
          <w:rStyle w:val="FootnoteReference"/>
        </w:rPr>
        <w:footnoteRef/>
      </w:r>
      <w:r w:rsidRPr="006D3C55">
        <w:t>)</w:t>
      </w:r>
      <w:r w:rsidR="00352191">
        <w:tab/>
      </w:r>
      <w:r w:rsidR="00C00D58" w:rsidRPr="00983310">
        <w:t>Excluding the reservation issued for the Recovery and Resilience Facility.</w:t>
      </w:r>
    </w:p>
  </w:footnote>
  <w:footnote w:id="50">
    <w:p w14:paraId="7BB178CC" w14:textId="59FA8D5B" w:rsidR="00194129" w:rsidRPr="006D3C55" w:rsidRDefault="00194129" w:rsidP="00352191">
      <w:pPr>
        <w:pStyle w:val="FootnoteText"/>
      </w:pPr>
      <w:r w:rsidRPr="006D3C55">
        <w:t>(</w:t>
      </w:r>
      <w:r w:rsidRPr="00352191">
        <w:rPr>
          <w:rStyle w:val="FootnoteReference"/>
        </w:rPr>
        <w:footnoteRef/>
      </w:r>
      <w:r w:rsidRPr="006D3C55">
        <w:t>)</w:t>
      </w:r>
      <w:r w:rsidR="00352191">
        <w:tab/>
      </w:r>
      <w:r w:rsidRPr="006D3C55">
        <w:t xml:space="preserve">One reservation issued in 2024 by </w:t>
      </w:r>
      <w:r w:rsidR="008879BB">
        <w:t>DG</w:t>
      </w:r>
      <w:r w:rsidR="00DA37FF" w:rsidRPr="006D3C55">
        <w:t xml:space="preserve"> Neighbourhood and Enlargement Negotiations</w:t>
      </w:r>
      <w:r w:rsidRPr="006D3C55">
        <w:t xml:space="preserve">, concerning external constraints affecting the control of financial programmes in Libya, Syria and Ukraine, is reflected in the 2025 </w:t>
      </w:r>
      <w:r w:rsidR="00301BC7">
        <w:t>annual activity report</w:t>
      </w:r>
      <w:r w:rsidR="00301BC7" w:rsidRPr="006D3C55">
        <w:t xml:space="preserve">s </w:t>
      </w:r>
      <w:r w:rsidRPr="006D3C55">
        <w:t xml:space="preserve">of DG </w:t>
      </w:r>
      <w:r w:rsidR="00ED42E8" w:rsidRPr="006D3C55">
        <w:t>Enlargement and Eastern Neighbourhood</w:t>
      </w:r>
      <w:r w:rsidRPr="006D3C55">
        <w:t xml:space="preserve"> (Ukraine) and </w:t>
      </w:r>
      <w:r w:rsidR="008879BB">
        <w:t>DG</w:t>
      </w:r>
      <w:r w:rsidR="00BA17BE" w:rsidRPr="006D3C55">
        <w:t xml:space="preserve"> Middle East, North Africa and Gulf</w:t>
      </w:r>
      <w:r w:rsidRPr="006D3C55">
        <w:t xml:space="preserve"> (</w:t>
      </w:r>
      <w:r w:rsidR="008879BB" w:rsidRPr="006D3C55">
        <w:t>Libya</w:t>
      </w:r>
      <w:r w:rsidR="008879BB">
        <w:t>,</w:t>
      </w:r>
      <w:r w:rsidR="008879BB" w:rsidRPr="006D3C55">
        <w:t xml:space="preserve"> Palestine</w:t>
      </w:r>
      <w:r w:rsidR="008879BB">
        <w:t xml:space="preserve"> and </w:t>
      </w:r>
      <w:r w:rsidR="008879BB" w:rsidRPr="006D3C55">
        <w:t>Syria</w:t>
      </w:r>
      <w:r w:rsidRPr="006D3C55">
        <w:t>).</w:t>
      </w:r>
    </w:p>
  </w:footnote>
  <w:footnote w:id="51">
    <w:p w14:paraId="2501CD47" w14:textId="34A36EC1" w:rsidR="00D25683" w:rsidRPr="001D3264" w:rsidRDefault="00D25683" w:rsidP="00352191">
      <w:pPr>
        <w:pStyle w:val="FootnoteText"/>
        <w:rPr>
          <w:lang w:val="en-IE"/>
        </w:rPr>
      </w:pPr>
      <w:r>
        <w:t>(</w:t>
      </w:r>
      <w:r w:rsidRPr="00352191">
        <w:rPr>
          <w:rStyle w:val="FootnoteReference"/>
        </w:rPr>
        <w:footnoteRef/>
      </w:r>
      <w:r>
        <w:t>)</w:t>
      </w:r>
      <w:r w:rsidR="00352191">
        <w:tab/>
      </w:r>
      <w:r w:rsidRPr="00983310">
        <w:t>Excluding the reservation issued for the Recovery and Resilience Facility.</w:t>
      </w:r>
    </w:p>
  </w:footnote>
  <w:footnote w:id="52">
    <w:p w14:paraId="498F4A20" w14:textId="39B361DE" w:rsidR="001301C1" w:rsidRPr="006D3C55" w:rsidRDefault="001301C1" w:rsidP="00352191">
      <w:pPr>
        <w:pStyle w:val="FootnoteText"/>
      </w:pPr>
      <w:r w:rsidRPr="006D3C55">
        <w:t>(</w:t>
      </w:r>
      <w:r w:rsidRPr="00352191">
        <w:rPr>
          <w:rStyle w:val="FootnoteReference"/>
        </w:rPr>
        <w:footnoteRef/>
      </w:r>
      <w:r w:rsidRPr="006D3C55">
        <w:t>)</w:t>
      </w:r>
      <w:r w:rsidR="00352191">
        <w:tab/>
      </w:r>
      <w:r w:rsidR="0099656D" w:rsidRPr="006D3C55">
        <w:t xml:space="preserve">Where the Court of Auditors finds a material level of error and determines its impact on a given audit opinion, the Court </w:t>
      </w:r>
      <w:r w:rsidR="006B3794">
        <w:t>of Auditors</w:t>
      </w:r>
      <w:r w:rsidR="006B3794" w:rsidRPr="006D3C55">
        <w:t xml:space="preserve"> </w:t>
      </w:r>
      <w:r w:rsidR="0099656D" w:rsidRPr="006D3C55">
        <w:t xml:space="preserve">must determine whether the errors are ‘pervasive’ to the audit population. When errors are material and pervasive, the Court </w:t>
      </w:r>
      <w:r w:rsidR="00BE770B">
        <w:t>of Auditors</w:t>
      </w:r>
      <w:r w:rsidR="00BE770B" w:rsidRPr="006D3C55">
        <w:t xml:space="preserve"> </w:t>
      </w:r>
      <w:r w:rsidR="0099656D" w:rsidRPr="006D3C55">
        <w:t xml:space="preserve">issues an adverse opinion. This was not the case for Recovery and Resilience Facility, where the overall effects of findings are material, but not pervasive to the year’s accepted expenditure, thus leading to a qualified opinion. See European Court of Auditors, </w:t>
      </w:r>
      <w:r w:rsidR="00717E9D" w:rsidRPr="00AD4275">
        <w:rPr>
          <w:i/>
          <w:iCs/>
        </w:rPr>
        <w:t>A</w:t>
      </w:r>
      <w:r w:rsidR="0099656D" w:rsidRPr="00AD4275">
        <w:rPr>
          <w:i/>
          <w:iCs/>
        </w:rPr>
        <w:t>nnual reports on the implementation of the EU budget for the 2024 financial year and on activities funded by the 9th, 10th and 11th European Development Funds (EDFs) for the 2024 financial year</w:t>
      </w:r>
      <w:r w:rsidR="0099656D" w:rsidRPr="006D3C55">
        <w:t xml:space="preserve">, </w:t>
      </w:r>
      <w:r w:rsidR="00717E9D" w:rsidRPr="00717E9D">
        <w:t xml:space="preserve">Publications Office of the European Union, </w:t>
      </w:r>
      <w:r w:rsidR="00717E9D">
        <w:t xml:space="preserve">Luxembourg, </w:t>
      </w:r>
      <w:r w:rsidR="00717E9D" w:rsidRPr="00717E9D">
        <w:t xml:space="preserve">2025, </w:t>
      </w:r>
      <w:hyperlink r:id="rId21" w:history="1">
        <w:r w:rsidR="007815BB" w:rsidRPr="00BA3AF5">
          <w:rPr>
            <w:rStyle w:val="Hyperlink"/>
          </w:rPr>
          <w:t>https://data.europa.eu/doi/10.2865/7727690</w:t>
        </w:r>
      </w:hyperlink>
      <w:r w:rsidR="007815BB">
        <w:t xml:space="preserve">, </w:t>
      </w:r>
      <w:r w:rsidR="0099656D" w:rsidRPr="006D3C55">
        <w:t>p.</w:t>
      </w:r>
      <w:r w:rsidR="007815BB">
        <w:rPr>
          <w:rFonts w:ascii="Calibri" w:hAnsi="Calibri" w:cs="Calibri"/>
        </w:rPr>
        <w:t> </w:t>
      </w:r>
      <w:r w:rsidR="0099656D" w:rsidRPr="006D3C55">
        <w:t>56.</w:t>
      </w:r>
    </w:p>
  </w:footnote>
  <w:footnote w:id="53">
    <w:p w14:paraId="1DB1C983" w14:textId="6D4D2D27" w:rsidR="00BD2EBF" w:rsidRPr="006D3C55" w:rsidRDefault="00BD2EBF" w:rsidP="00352191">
      <w:pPr>
        <w:pStyle w:val="FootnoteText"/>
      </w:pPr>
      <w:r w:rsidRPr="006D3C55">
        <w:t>(</w:t>
      </w:r>
      <w:r w:rsidRPr="00352191">
        <w:rPr>
          <w:rStyle w:val="FootnoteReference"/>
        </w:rPr>
        <w:footnoteRef/>
      </w:r>
      <w:r w:rsidRPr="006D3C55">
        <w:t>)</w:t>
      </w:r>
      <w:r w:rsidR="00352191">
        <w:tab/>
      </w:r>
      <w:r w:rsidR="003B00CF" w:rsidRPr="006D3C55">
        <w:t>P</w:t>
      </w:r>
      <w:r w:rsidRPr="006D3C55">
        <w:t xml:space="preserve">roposal for a </w:t>
      </w:r>
      <w:r w:rsidR="003B00CF" w:rsidRPr="006D3C55">
        <w:t>r</w:t>
      </w:r>
      <w:r w:rsidRPr="006D3C55">
        <w:t xml:space="preserve">egulation of the European Parliament and of the Council establishing a budget expenditure tracking and performance framework and other horizontal rules for the Union programmes and activities, </w:t>
      </w:r>
      <w:r w:rsidR="004957CC" w:rsidRPr="00AD4275">
        <w:t>COM(2025)</w:t>
      </w:r>
      <w:r w:rsidR="00103262" w:rsidRPr="006D3C55">
        <w:rPr>
          <w:rFonts w:ascii="Calibri" w:hAnsi="Calibri" w:cs="Calibri"/>
        </w:rPr>
        <w:t> </w:t>
      </w:r>
      <w:r w:rsidR="004957CC" w:rsidRPr="00AD4275">
        <w:t>545 final</w:t>
      </w:r>
      <w:r w:rsidRPr="006D3C55">
        <w:t xml:space="preserve"> </w:t>
      </w:r>
      <w:r w:rsidR="005413B3" w:rsidRPr="006D3C55">
        <w:t xml:space="preserve">of </w:t>
      </w:r>
      <w:r w:rsidRPr="006D3C55">
        <w:t>16</w:t>
      </w:r>
      <w:r w:rsidR="00103262" w:rsidRPr="006D3C55">
        <w:rPr>
          <w:rFonts w:ascii="Calibri" w:hAnsi="Calibri" w:cs="Calibri"/>
        </w:rPr>
        <w:t> </w:t>
      </w:r>
      <w:r w:rsidRPr="006D3C55">
        <w:t xml:space="preserve">July 2025, </w:t>
      </w:r>
      <w:hyperlink r:id="rId22" w:history="1">
        <w:r w:rsidR="00103262" w:rsidRPr="006D3C55">
          <w:rPr>
            <w:rStyle w:val="Hyperlink"/>
          </w:rPr>
          <w:t>https://eur-lex.europa.eu/legal-content/EN/TXT/?uri=CELEX%3A52025PC0545&amp;qid=1778582482205</w:t>
        </w:r>
      </w:hyperlink>
      <w:r w:rsidR="00103262" w:rsidRPr="006D3C55">
        <w:t>.</w:t>
      </w:r>
    </w:p>
  </w:footnote>
  <w:footnote w:id="54">
    <w:p w14:paraId="70E6A84D" w14:textId="170C525B" w:rsidR="00024011" w:rsidRPr="006D3C55" w:rsidRDefault="00024011" w:rsidP="00352191">
      <w:pPr>
        <w:pStyle w:val="FootnoteText"/>
      </w:pPr>
      <w:r w:rsidRPr="006D3C55">
        <w:t>(</w:t>
      </w:r>
      <w:r w:rsidRPr="00352191">
        <w:rPr>
          <w:rStyle w:val="FootnoteReference"/>
        </w:rPr>
        <w:footnoteRef/>
      </w:r>
      <w:r w:rsidRPr="006D3C55">
        <w:t>)</w:t>
      </w:r>
      <w:r w:rsidR="00352191">
        <w:tab/>
      </w:r>
      <w:r w:rsidRPr="006D3C55">
        <w:t xml:space="preserve">Regulation (EU) 2021/241 of the European Parliament and of the Council of </w:t>
      </w:r>
      <w:r w:rsidRPr="006D3C55" w:rsidDel="00CD4B79">
        <w:t>12</w:t>
      </w:r>
      <w:r w:rsidRPr="006D3C55">
        <w:rPr>
          <w:rFonts w:ascii="Calibri" w:hAnsi="Calibri" w:cs="Calibri"/>
        </w:rPr>
        <w:t> </w:t>
      </w:r>
      <w:r w:rsidRPr="006D3C55">
        <w:t xml:space="preserve">February 2021 establishing the Recovery and Resilience Facility </w:t>
      </w:r>
      <w:r w:rsidR="004C49DF" w:rsidRPr="006D3C55">
        <w:t>(</w:t>
      </w:r>
      <w:r w:rsidRPr="006D3C55">
        <w:t xml:space="preserve">OJ </w:t>
      </w:r>
      <w:r w:rsidRPr="006D3C55" w:rsidDel="00CD4B79">
        <w:t>L</w:t>
      </w:r>
      <w:r w:rsidRPr="006D3C55">
        <w:rPr>
          <w:rFonts w:ascii="Calibri" w:hAnsi="Calibri" w:cs="Calibri"/>
        </w:rPr>
        <w:t> </w:t>
      </w:r>
      <w:r w:rsidRPr="006D3C55">
        <w:t>57, 18.2.2021, p.</w:t>
      </w:r>
      <w:r w:rsidRPr="006D3C55">
        <w:rPr>
          <w:rFonts w:ascii="Calibri" w:hAnsi="Calibri" w:cs="Calibri"/>
        </w:rPr>
        <w:t> </w:t>
      </w:r>
      <w:r w:rsidRPr="006D3C55">
        <w:t xml:space="preserve">1, ELI: </w:t>
      </w:r>
      <w:hyperlink r:id="rId23" w:history="1">
        <w:r w:rsidRPr="006D3C55">
          <w:rPr>
            <w:rStyle w:val="Hyperlink"/>
            <w:rFonts w:ascii="EC Square Sans Pro" w:hAnsi="EC Square Sans Pro"/>
          </w:rPr>
          <w:t>http://data.europa.eu/eli/reg/2021/241/oj</w:t>
        </w:r>
      </w:hyperlink>
      <w:r w:rsidR="00F96EE8">
        <w:t>)</w:t>
      </w:r>
      <w:r w:rsidRPr="006D3C55">
        <w:t xml:space="preserve"> </w:t>
      </w:r>
      <w:r w:rsidR="00F96EE8">
        <w:t>(</w:t>
      </w:r>
      <w:r w:rsidR="004C49DF" w:rsidRPr="006D3C55">
        <w:t xml:space="preserve">the </w:t>
      </w:r>
      <w:r w:rsidRPr="006D3C55">
        <w:t>Recovery and Resilience Facility Regulation).</w:t>
      </w:r>
    </w:p>
  </w:footnote>
  <w:footnote w:id="55">
    <w:p w14:paraId="5D81E6C4" w14:textId="3B485DF8" w:rsidR="00024011" w:rsidRPr="006D3C55" w:rsidRDefault="00024011" w:rsidP="00352191">
      <w:pPr>
        <w:pStyle w:val="FootnoteText"/>
      </w:pPr>
      <w:r w:rsidRPr="006D3C55">
        <w:t>(</w:t>
      </w:r>
      <w:r w:rsidRPr="00352191">
        <w:rPr>
          <w:rStyle w:val="FootnoteReference"/>
        </w:rPr>
        <w:footnoteRef/>
      </w:r>
      <w:r w:rsidRPr="006D3C55">
        <w:t>)</w:t>
      </w:r>
      <w:r w:rsidR="00352191">
        <w:tab/>
      </w:r>
      <w:r w:rsidRPr="006D3C55">
        <w:t>This includes milestones and targets reported as delayed, on track or not completed based on October 202</w:t>
      </w:r>
      <w:r w:rsidR="00C3072A" w:rsidRPr="006D3C55">
        <w:t>5</w:t>
      </w:r>
      <w:r w:rsidRPr="006D3C55">
        <w:t xml:space="preserve"> Member State reporting.</w:t>
      </w:r>
    </w:p>
  </w:footnote>
  <w:footnote w:id="56">
    <w:p w14:paraId="6939E4BB" w14:textId="42D4EF2E" w:rsidR="0029393E" w:rsidRPr="006D3C55" w:rsidRDefault="0029393E" w:rsidP="00352191">
      <w:pPr>
        <w:pStyle w:val="FootnoteText"/>
        <w:rPr>
          <w:szCs w:val="18"/>
        </w:rPr>
      </w:pPr>
      <w:r w:rsidRPr="006D3C55">
        <w:rPr>
          <w:sz w:val="20"/>
        </w:rPr>
        <w:t>(</w:t>
      </w:r>
      <w:r w:rsidRPr="00352191">
        <w:rPr>
          <w:rStyle w:val="FootnoteReference"/>
        </w:rPr>
        <w:footnoteRef/>
      </w:r>
      <w:r w:rsidRPr="006D3C55">
        <w:rPr>
          <w:sz w:val="20"/>
        </w:rPr>
        <w:t>)</w:t>
      </w:r>
      <w:r w:rsidR="00352191">
        <w:rPr>
          <w:sz w:val="20"/>
        </w:rPr>
        <w:tab/>
      </w:r>
      <w:r w:rsidRPr="006D3C55">
        <w:rPr>
          <w:szCs w:val="18"/>
        </w:rPr>
        <w:t>S</w:t>
      </w:r>
      <w:r w:rsidRPr="006D3C55">
        <w:rPr>
          <w:rFonts w:ascii="EC Square Sans Pro" w:hAnsi="EC Square Sans Pro"/>
          <w:color w:val="000000"/>
          <w:szCs w:val="18"/>
          <w:shd w:val="clear" w:color="auto" w:fill="FFFFFF"/>
        </w:rPr>
        <w:t>ee</w:t>
      </w:r>
      <w:r w:rsidRPr="006D3C55">
        <w:rPr>
          <w:rFonts w:ascii="Calibri" w:hAnsi="Calibri" w:cs="Calibri"/>
          <w:color w:val="000000"/>
          <w:szCs w:val="18"/>
          <w:shd w:val="clear" w:color="auto" w:fill="FFFFFF"/>
        </w:rPr>
        <w:t xml:space="preserve"> </w:t>
      </w:r>
      <w:r w:rsidR="00D74777">
        <w:t>Communication from the Commission to the European Parliament and the Council</w:t>
      </w:r>
      <w:r w:rsidR="00016B3E">
        <w:rPr>
          <w:rFonts w:ascii="Calibri" w:hAnsi="Calibri" w:cs="Calibri"/>
        </w:rPr>
        <w:t> </w:t>
      </w:r>
      <w:r w:rsidR="00D74777">
        <w:t>– NextGenerationEU</w:t>
      </w:r>
      <w:r w:rsidR="00016B3E">
        <w:rPr>
          <w:rFonts w:ascii="Calibri" w:hAnsi="Calibri" w:cs="Calibri"/>
        </w:rPr>
        <w:t> </w:t>
      </w:r>
      <w:r w:rsidR="00D74777">
        <w:t>– The road to 2026,</w:t>
      </w:r>
      <w:r w:rsidR="00D74777" w:rsidRPr="00D74777">
        <w:rPr>
          <w:rFonts w:eastAsiaTheme="majorEastAsia"/>
          <w:szCs w:val="18"/>
        </w:rPr>
        <w:t xml:space="preserve"> </w:t>
      </w:r>
      <w:r w:rsidRPr="006D3C55">
        <w:rPr>
          <w:rFonts w:ascii="EC Square Sans Pro" w:hAnsi="EC Square Sans Pro"/>
          <w:color w:val="000000"/>
          <w:szCs w:val="18"/>
          <w:shd w:val="clear" w:color="auto" w:fill="FFFFFF"/>
        </w:rPr>
        <w:t>COM(2025)</w:t>
      </w:r>
      <w:r w:rsidR="00D74777">
        <w:rPr>
          <w:rFonts w:ascii="Calibri" w:hAnsi="Calibri" w:cs="Calibri"/>
          <w:color w:val="000000"/>
          <w:szCs w:val="18"/>
          <w:shd w:val="clear" w:color="auto" w:fill="FFFFFF"/>
        </w:rPr>
        <w:t> </w:t>
      </w:r>
      <w:r w:rsidRPr="006D3C55">
        <w:rPr>
          <w:rFonts w:ascii="EC Square Sans Pro" w:hAnsi="EC Square Sans Pro"/>
          <w:color w:val="000000"/>
          <w:szCs w:val="18"/>
          <w:shd w:val="clear" w:color="auto" w:fill="FFFFFF"/>
        </w:rPr>
        <w:t>310 final/2</w:t>
      </w:r>
      <w:r w:rsidR="00D74777">
        <w:rPr>
          <w:rFonts w:ascii="EC Square Sans Pro" w:hAnsi="EC Square Sans Pro"/>
          <w:color w:val="000000"/>
          <w:szCs w:val="18"/>
          <w:shd w:val="clear" w:color="auto" w:fill="FFFFFF"/>
        </w:rPr>
        <w:t xml:space="preserve"> of </w:t>
      </w:r>
      <w:r w:rsidR="00016B3E">
        <w:rPr>
          <w:rFonts w:ascii="EC Square Sans Pro" w:hAnsi="EC Square Sans Pro"/>
          <w:color w:val="000000"/>
          <w:szCs w:val="18"/>
          <w:shd w:val="clear" w:color="auto" w:fill="FFFFFF"/>
        </w:rPr>
        <w:t>4</w:t>
      </w:r>
      <w:r w:rsidR="00016B3E">
        <w:rPr>
          <w:rFonts w:ascii="Calibri" w:hAnsi="Calibri" w:cs="Calibri"/>
          <w:color w:val="000000"/>
          <w:szCs w:val="18"/>
          <w:shd w:val="clear" w:color="auto" w:fill="FFFFFF"/>
        </w:rPr>
        <w:t> </w:t>
      </w:r>
      <w:r w:rsidRPr="006D3C55">
        <w:rPr>
          <w:rFonts w:ascii="EC Square Sans Pro" w:hAnsi="EC Square Sans Pro"/>
          <w:color w:val="000000"/>
          <w:szCs w:val="18"/>
          <w:shd w:val="clear" w:color="auto" w:fill="FFFFFF"/>
        </w:rPr>
        <w:t>June</w:t>
      </w:r>
      <w:r w:rsidR="00016B3E">
        <w:rPr>
          <w:rFonts w:ascii="Calibri" w:hAnsi="Calibri" w:cs="Calibri"/>
          <w:color w:val="000000"/>
          <w:szCs w:val="18"/>
          <w:shd w:val="clear" w:color="auto" w:fill="FFFFFF"/>
        </w:rPr>
        <w:t xml:space="preserve"> </w:t>
      </w:r>
      <w:r w:rsidRPr="006D3C55">
        <w:rPr>
          <w:rFonts w:ascii="EC Square Sans Pro" w:hAnsi="EC Square Sans Pro"/>
          <w:color w:val="000000"/>
          <w:szCs w:val="18"/>
          <w:shd w:val="clear" w:color="auto" w:fill="FFFFFF"/>
        </w:rPr>
        <w:t>2025</w:t>
      </w:r>
      <w:r w:rsidR="00016B3E">
        <w:rPr>
          <w:rFonts w:ascii="EC Square Sans Pro" w:hAnsi="EC Square Sans Pro"/>
          <w:color w:val="000000"/>
          <w:szCs w:val="18"/>
          <w:shd w:val="clear" w:color="auto" w:fill="FFFFFF"/>
        </w:rPr>
        <w:t xml:space="preserve">, </w:t>
      </w:r>
      <w:hyperlink r:id="rId24" w:history="1">
        <w:r w:rsidR="00016B3E" w:rsidRPr="00BA3AF5">
          <w:rPr>
            <w:rStyle w:val="Hyperlink"/>
            <w:rFonts w:ascii="EC Square Sans Pro" w:hAnsi="EC Square Sans Pro"/>
            <w:szCs w:val="18"/>
            <w:shd w:val="clear" w:color="auto" w:fill="FFFFFF"/>
          </w:rPr>
          <w:t>https://eur-lex.europa.eu/legal-content/EN/TXT/?uri=CELEX%3A52025DC0310&amp;qid=1778678792265</w:t>
        </w:r>
      </w:hyperlink>
      <w:r w:rsidR="00016B3E">
        <w:rPr>
          <w:rFonts w:ascii="EC Square Sans Pro" w:hAnsi="EC Square Sans Pro"/>
          <w:color w:val="000000"/>
          <w:szCs w:val="18"/>
          <w:shd w:val="clear" w:color="auto" w:fill="FFFFFF"/>
        </w:rPr>
        <w:t>.</w:t>
      </w:r>
    </w:p>
  </w:footnote>
  <w:footnote w:id="57">
    <w:p w14:paraId="0FF833F3" w14:textId="5D418A1C" w:rsidR="001301C1" w:rsidRPr="006D3C55" w:rsidRDefault="001301C1" w:rsidP="00352191">
      <w:pPr>
        <w:pStyle w:val="FootnoteText"/>
      </w:pPr>
      <w:r w:rsidRPr="006D3C55">
        <w:t>(</w:t>
      </w:r>
      <w:r w:rsidRPr="00352191">
        <w:rPr>
          <w:rStyle w:val="FootnoteReference"/>
        </w:rPr>
        <w:footnoteRef/>
      </w:r>
      <w:r w:rsidRPr="006D3C55">
        <w:t>)</w:t>
      </w:r>
      <w:r w:rsidR="00352191">
        <w:tab/>
      </w:r>
      <w:r w:rsidRPr="006D3C55">
        <w:t>The indicator counts the total number of uses rather than the number of unique individuals.</w:t>
      </w:r>
    </w:p>
  </w:footnote>
  <w:footnote w:id="58">
    <w:p w14:paraId="5C841411" w14:textId="0C1B5B36" w:rsidR="00D82589" w:rsidRPr="00770E45" w:rsidRDefault="00D82589" w:rsidP="00352191">
      <w:pPr>
        <w:pStyle w:val="FootnoteText"/>
        <w:rPr>
          <w:lang w:val="en-IE"/>
        </w:rPr>
      </w:pPr>
      <w:r>
        <w:t>(</w:t>
      </w:r>
      <w:r w:rsidRPr="00352191">
        <w:rPr>
          <w:rStyle w:val="FootnoteReference"/>
        </w:rPr>
        <w:footnoteRef/>
      </w:r>
      <w:r>
        <w:t>)</w:t>
      </w:r>
      <w:r w:rsidR="00352191">
        <w:tab/>
      </w:r>
      <w:r w:rsidR="0061571D">
        <w:t>A</w:t>
      </w:r>
      <w:r w:rsidRPr="0061571D">
        <w:t xml:space="preserve"> continued and close cooperation with the Member States allowed the Commission</w:t>
      </w:r>
      <w:r w:rsidRPr="1E3FA53F">
        <w:t xml:space="preserve"> to close or preliminary close 90% of the issued recommendations.</w:t>
      </w:r>
    </w:p>
  </w:footnote>
  <w:footnote w:id="59">
    <w:p w14:paraId="5B4D5539" w14:textId="1F21EB23" w:rsidR="00995876" w:rsidRPr="001D3264" w:rsidRDefault="00995876" w:rsidP="00352191">
      <w:pPr>
        <w:pStyle w:val="FootnoteText"/>
        <w:rPr>
          <w:lang w:val="en-IE"/>
        </w:rPr>
      </w:pPr>
      <w:r>
        <w:t>(</w:t>
      </w:r>
      <w:r w:rsidRPr="00352191">
        <w:rPr>
          <w:rStyle w:val="FootnoteReference"/>
        </w:rPr>
        <w:footnoteRef/>
      </w:r>
      <w:r>
        <w:t>)</w:t>
      </w:r>
      <w:r w:rsidR="00352191">
        <w:tab/>
      </w:r>
      <w:r w:rsidR="00151EEE" w:rsidRPr="00151EEE">
        <w:t>Romania (six milestones and targets, EUR 869.8 million), Spain (two milestones and targets, EUR 500.3 million), Bulgaria (three milestones and targets, EUR 367.4 million).</w:t>
      </w:r>
    </w:p>
  </w:footnote>
  <w:footnote w:id="60">
    <w:p w14:paraId="36A84DAA" w14:textId="6CFE86F3" w:rsidR="00634024" w:rsidRPr="006D3C55" w:rsidRDefault="00634024" w:rsidP="00352191">
      <w:pPr>
        <w:pStyle w:val="FootnoteText"/>
      </w:pPr>
      <w:r w:rsidRPr="006D3C55">
        <w:t>(</w:t>
      </w:r>
      <w:r w:rsidRPr="00352191">
        <w:rPr>
          <w:rStyle w:val="FootnoteReference"/>
        </w:rPr>
        <w:footnoteRef/>
      </w:r>
      <w:r w:rsidRPr="006D3C55">
        <w:t>)</w:t>
      </w:r>
      <w:r w:rsidR="00352191">
        <w:tab/>
      </w:r>
      <w:r w:rsidRPr="006D3C55">
        <w:t>In accordance with Article</w:t>
      </w:r>
      <w:r w:rsidR="008C4C47">
        <w:rPr>
          <w:rFonts w:ascii="Calibri" w:hAnsi="Calibri" w:cs="Calibri"/>
        </w:rPr>
        <w:t> </w:t>
      </w:r>
      <w:r w:rsidRPr="006D3C55">
        <w:t>24(8) of the Recovery and Resilience Facility Regulation</w:t>
      </w:r>
      <w:r w:rsidR="008C4C47">
        <w:t>, in relation to</w:t>
      </w:r>
      <w:r w:rsidRPr="006D3C55">
        <w:t xml:space="preserve"> Czechia</w:t>
      </w:r>
      <w:r w:rsidR="008C4C47">
        <w:t>,</w:t>
      </w:r>
      <w:r w:rsidRPr="006D3C55">
        <w:t xml:space="preserve"> for an amount of </w:t>
      </w:r>
      <w:r w:rsidRPr="00540AA5">
        <w:t>EUR</w:t>
      </w:r>
      <w:r w:rsidRPr="00540AA5">
        <w:rPr>
          <w:rFonts w:ascii="Calibri" w:hAnsi="Calibri" w:cs="Calibri"/>
        </w:rPr>
        <w:t> </w:t>
      </w:r>
      <w:r w:rsidR="00540AA5" w:rsidRPr="00540AA5">
        <w:t>16,</w:t>
      </w:r>
      <w:r w:rsidR="005E1E9F">
        <w:t>85</w:t>
      </w:r>
      <w:r w:rsidRPr="00540AA5">
        <w:rPr>
          <w:rFonts w:ascii="Calibri" w:hAnsi="Calibri" w:cs="Calibri"/>
        </w:rPr>
        <w:t> </w:t>
      </w:r>
      <w:r w:rsidRPr="00540AA5">
        <w:t>million</w:t>
      </w:r>
      <w:r w:rsidRPr="006D3C55">
        <w:t>.</w:t>
      </w:r>
    </w:p>
  </w:footnote>
  <w:footnote w:id="61">
    <w:p w14:paraId="7CC264C7" w14:textId="492971B5" w:rsidR="002E5047" w:rsidRPr="006D3C55" w:rsidRDefault="002E5047" w:rsidP="00352191">
      <w:pPr>
        <w:pStyle w:val="FootnoteText"/>
      </w:pPr>
      <w:r w:rsidRPr="006D3C55">
        <w:t>(</w:t>
      </w:r>
      <w:r w:rsidRPr="00352191">
        <w:rPr>
          <w:rStyle w:val="FootnoteReference"/>
        </w:rPr>
        <w:footnoteRef/>
      </w:r>
      <w:r w:rsidRPr="006D3C55">
        <w:t>)</w:t>
      </w:r>
      <w:r w:rsidR="00352191">
        <w:tab/>
      </w:r>
      <w:r w:rsidR="009D7D6C">
        <w:t>O</w:t>
      </w:r>
      <w:r w:rsidRPr="006D3C55">
        <w:t xml:space="preserve">f the 83 audit and control milestones: 72 from the onset, 10 added in the revisions that took place in 2023 and </w:t>
      </w:r>
      <w:r w:rsidR="008532C8">
        <w:t>1</w:t>
      </w:r>
      <w:r w:rsidR="008532C8" w:rsidRPr="006D3C55">
        <w:t xml:space="preserve"> </w:t>
      </w:r>
      <w:r w:rsidRPr="006D3C55">
        <w:t>in 2025.</w:t>
      </w:r>
    </w:p>
  </w:footnote>
  <w:footnote w:id="62">
    <w:p w14:paraId="72151A2B" w14:textId="3E34624F" w:rsidR="00CA3CDC" w:rsidRPr="006D3C55" w:rsidRDefault="00CA3CDC" w:rsidP="00352191">
      <w:pPr>
        <w:pStyle w:val="FootnoteText"/>
      </w:pPr>
      <w:r w:rsidRPr="006D3C55">
        <w:t>(</w:t>
      </w:r>
      <w:r w:rsidRPr="00352191">
        <w:rPr>
          <w:rStyle w:val="FootnoteReference"/>
        </w:rPr>
        <w:footnoteRef/>
      </w:r>
      <w:r w:rsidRPr="006D3C55">
        <w:t>)</w:t>
      </w:r>
      <w:r w:rsidR="00352191">
        <w:tab/>
      </w:r>
      <w:r w:rsidRPr="006D3C55">
        <w:t>Eleven milestones and targets assessed as not satisfactorily fulfilled in 2025</w:t>
      </w:r>
      <w:r w:rsidR="0063783D">
        <w:t>,</w:t>
      </w:r>
      <w:r w:rsidRPr="006D3C55">
        <w:t xml:space="preserve"> leading to partial suspension of the disbursements for the payment requests submitted by</w:t>
      </w:r>
      <w:r w:rsidR="0063783D" w:rsidRPr="0063783D">
        <w:t xml:space="preserve"> </w:t>
      </w:r>
      <w:r w:rsidR="0063783D" w:rsidRPr="006D3C55">
        <w:t>Bulgaria (2)</w:t>
      </w:r>
      <w:r w:rsidRPr="006D3C55">
        <w:t xml:space="preserve">, Spain (1) and </w:t>
      </w:r>
      <w:r w:rsidR="0063783D" w:rsidRPr="006D3C55">
        <w:t>Romania (1)</w:t>
      </w:r>
      <w:r w:rsidRPr="006D3C55">
        <w:t>.</w:t>
      </w:r>
    </w:p>
  </w:footnote>
  <w:footnote w:id="63">
    <w:p w14:paraId="5D48341E" w14:textId="3D55B195" w:rsidR="001301C1" w:rsidRPr="006D3C55" w:rsidRDefault="001008EA" w:rsidP="00352191">
      <w:pPr>
        <w:pStyle w:val="FootnoteText"/>
        <w:rPr>
          <w:highlight w:val="lightGray"/>
        </w:rPr>
      </w:pPr>
      <w:r w:rsidRPr="006D3C55">
        <w:t>(</w:t>
      </w:r>
      <w:r w:rsidRPr="00352191">
        <w:rPr>
          <w:rStyle w:val="FootnoteReference"/>
        </w:rPr>
        <w:footnoteRef/>
      </w:r>
      <w:r w:rsidRPr="006D3C55">
        <w:t>)</w:t>
      </w:r>
      <w:r w:rsidR="00352191">
        <w:tab/>
      </w:r>
      <w:r w:rsidRPr="006D3C55">
        <w:t>These audits covered second payments for Belgium, Ireland</w:t>
      </w:r>
      <w:r w:rsidR="002A4E1C">
        <w:t>,</w:t>
      </w:r>
      <w:r w:rsidRPr="006D3C55">
        <w:t xml:space="preserve"> Luxembourg</w:t>
      </w:r>
      <w:r w:rsidR="002A4E1C">
        <w:t xml:space="preserve"> and </w:t>
      </w:r>
      <w:r w:rsidR="002A4E1C" w:rsidRPr="006D3C55">
        <w:t>Austria</w:t>
      </w:r>
      <w:r w:rsidRPr="006D3C55">
        <w:t xml:space="preserve">; third payments for Belgium, Bulgaria, Denmark, Estonia, </w:t>
      </w:r>
      <w:r w:rsidR="002A4E1C" w:rsidRPr="006D3C55">
        <w:t xml:space="preserve">Ireland, Cyprus, </w:t>
      </w:r>
      <w:r w:rsidRPr="006D3C55">
        <w:t xml:space="preserve">Latvia, Malta, </w:t>
      </w:r>
      <w:r w:rsidR="006F108C" w:rsidRPr="006D3C55">
        <w:t xml:space="preserve">Austria, </w:t>
      </w:r>
      <w:r w:rsidRPr="006D3C55">
        <w:t>Poland</w:t>
      </w:r>
      <w:r w:rsidR="002A4E1C">
        <w:t>,</w:t>
      </w:r>
      <w:r w:rsidRPr="006D3C55">
        <w:t xml:space="preserve"> Romania</w:t>
      </w:r>
      <w:r w:rsidR="002A4E1C">
        <w:t xml:space="preserve"> and </w:t>
      </w:r>
      <w:r w:rsidR="002A4E1C" w:rsidRPr="006D3C55">
        <w:t>Finland</w:t>
      </w:r>
      <w:r w:rsidRPr="006D3C55">
        <w:t xml:space="preserve">; fourth payments for Czechia, France, </w:t>
      </w:r>
      <w:r w:rsidR="006F108C" w:rsidRPr="006D3C55">
        <w:t xml:space="preserve">Cyprus </w:t>
      </w:r>
      <w:r w:rsidRPr="006D3C55">
        <w:t>and Slovenia; fifth payments for Greece</w:t>
      </w:r>
      <w:r w:rsidR="00E35F35" w:rsidRPr="006D3C55">
        <w:t>, Spain</w:t>
      </w:r>
      <w:r w:rsidR="00E35F35">
        <w:t xml:space="preserve"> and</w:t>
      </w:r>
      <w:r w:rsidRPr="006D3C55">
        <w:t xml:space="preserve"> Slovakia; sixth payment</w:t>
      </w:r>
      <w:r w:rsidR="00E35F35">
        <w:t>s</w:t>
      </w:r>
      <w:r w:rsidRPr="006D3C55">
        <w:t xml:space="preserve"> for Greece, Croatia and Portugal; and seventh payments for Croatia and Italy.</w:t>
      </w:r>
    </w:p>
  </w:footnote>
  <w:footnote w:id="64">
    <w:p w14:paraId="5E6F4FBE" w14:textId="2B26478F" w:rsidR="001008EA" w:rsidRPr="006D3C55" w:rsidRDefault="001008EA" w:rsidP="00352191">
      <w:pPr>
        <w:pStyle w:val="FootnoteText"/>
      </w:pPr>
      <w:r w:rsidRPr="006D3C55">
        <w:t>(</w:t>
      </w:r>
      <w:r w:rsidRPr="00352191">
        <w:rPr>
          <w:rStyle w:val="FootnoteReference"/>
        </w:rPr>
        <w:footnoteRef/>
      </w:r>
      <w:r w:rsidRPr="006D3C55">
        <w:t>)</w:t>
      </w:r>
      <w:r w:rsidR="00352191">
        <w:tab/>
      </w:r>
      <w:r w:rsidRPr="006D3C55">
        <w:t>Based on the risk assessment methodology, payments made in 2025 to Czechia (</w:t>
      </w:r>
      <w:r w:rsidR="00C56FAC">
        <w:t>third</w:t>
      </w:r>
      <w:r w:rsidR="00C56FAC" w:rsidRPr="006D3C55">
        <w:t xml:space="preserve"> </w:t>
      </w:r>
      <w:r w:rsidRPr="006D3C55">
        <w:t>payment</w:t>
      </w:r>
      <w:r w:rsidR="00C56FAC">
        <w:t xml:space="preserve"> request</w:t>
      </w:r>
      <w:r w:rsidRPr="006D3C55">
        <w:t>)</w:t>
      </w:r>
      <w:r w:rsidR="0044634F" w:rsidRPr="006D3C55">
        <w:t>, Spain (</w:t>
      </w:r>
      <w:r w:rsidR="0044634F">
        <w:t>four</w:t>
      </w:r>
      <w:r w:rsidR="0044634F" w:rsidRPr="006D3C55">
        <w:t>th payment request), Italy (</w:t>
      </w:r>
      <w:r w:rsidR="0044634F">
        <w:t>eighth</w:t>
      </w:r>
      <w:r w:rsidR="0044634F" w:rsidRPr="006D3C55">
        <w:t xml:space="preserve"> payment request)</w:t>
      </w:r>
      <w:r w:rsidRPr="006D3C55">
        <w:t>, Portugal (</w:t>
      </w:r>
      <w:r w:rsidR="00C56FAC">
        <w:t>seventh</w:t>
      </w:r>
      <w:r w:rsidR="00C56FAC" w:rsidRPr="006D3C55">
        <w:t xml:space="preserve"> </w:t>
      </w:r>
      <w:r w:rsidRPr="006D3C55">
        <w:t>payment request)</w:t>
      </w:r>
      <w:r w:rsidR="0044634F">
        <w:t xml:space="preserve"> and</w:t>
      </w:r>
      <w:r w:rsidRPr="006D3C55">
        <w:t xml:space="preserve"> Finland (</w:t>
      </w:r>
      <w:r w:rsidR="00C56FAC">
        <w:t>seco</w:t>
      </w:r>
      <w:r w:rsidR="00C56FAC" w:rsidRPr="006D3C55">
        <w:t xml:space="preserve">nd </w:t>
      </w:r>
      <w:r w:rsidRPr="006D3C55">
        <w:t xml:space="preserve">payment request) were not subject to </w:t>
      </w:r>
      <w:r w:rsidRPr="00AD4275">
        <w:rPr>
          <w:i/>
        </w:rPr>
        <w:t>ex</w:t>
      </w:r>
      <w:r w:rsidR="0044634F" w:rsidRPr="00AD4275">
        <w:rPr>
          <w:i/>
        </w:rPr>
        <w:t xml:space="preserve"> </w:t>
      </w:r>
      <w:r w:rsidRPr="00AD4275">
        <w:rPr>
          <w:i/>
        </w:rPr>
        <w:t>post</w:t>
      </w:r>
      <w:r w:rsidRPr="006D3C55">
        <w:t xml:space="preserve"> audits on milestones and targets, as these payments did not include any high-risk milestones or targets.</w:t>
      </w:r>
    </w:p>
  </w:footnote>
  <w:footnote w:id="65">
    <w:p w14:paraId="5E9C0663" w14:textId="28AA6C2E" w:rsidR="001008EA" w:rsidRPr="006D3C55" w:rsidRDefault="001008EA" w:rsidP="00352191">
      <w:pPr>
        <w:pStyle w:val="FootnoteText"/>
      </w:pPr>
      <w:r w:rsidRPr="006D3C55">
        <w:t>(</w:t>
      </w:r>
      <w:r w:rsidRPr="00352191">
        <w:rPr>
          <w:rStyle w:val="FootnoteReference"/>
        </w:rPr>
        <w:footnoteRef/>
      </w:r>
      <w:r w:rsidRPr="006D3C55">
        <w:t>)</w:t>
      </w:r>
      <w:r w:rsidR="00352191">
        <w:tab/>
      </w:r>
      <w:r w:rsidRPr="006D3C55">
        <w:t>A</w:t>
      </w:r>
      <w:r w:rsidRPr="006D3C55">
        <w:rPr>
          <w:shd w:val="clear" w:color="auto" w:fill="FFFFFF"/>
        </w:rPr>
        <w:t xml:space="preserve"> minimal deviation from amounts specified in a milestone/target is defined as around 5% or less.</w:t>
      </w:r>
    </w:p>
  </w:footnote>
  <w:footnote w:id="66">
    <w:p w14:paraId="157CDB5D" w14:textId="2E9A781C" w:rsidR="00BA47FE" w:rsidRPr="006D3C55" w:rsidRDefault="00BA47FE" w:rsidP="00352191">
      <w:pPr>
        <w:pStyle w:val="FootnoteText"/>
      </w:pPr>
      <w:r w:rsidRPr="006D3C55">
        <w:t>(</w:t>
      </w:r>
      <w:r w:rsidRPr="00352191">
        <w:rPr>
          <w:rStyle w:val="FootnoteReference"/>
        </w:rPr>
        <w:footnoteRef/>
      </w:r>
      <w:r w:rsidRPr="006D3C55">
        <w:t>)</w:t>
      </w:r>
      <w:r w:rsidR="00352191">
        <w:tab/>
      </w:r>
      <w:r w:rsidRPr="006D3C55">
        <w:rPr>
          <w:shd w:val="clear" w:color="auto" w:fill="FFFFFF"/>
        </w:rPr>
        <w:t xml:space="preserve">For </w:t>
      </w:r>
      <w:r w:rsidR="0044634F" w:rsidRPr="006D3C55">
        <w:rPr>
          <w:shd w:val="clear" w:color="auto" w:fill="FFFFFF"/>
        </w:rPr>
        <w:t xml:space="preserve">Poland </w:t>
      </w:r>
      <w:r w:rsidRPr="006D3C55">
        <w:rPr>
          <w:shd w:val="clear" w:color="auto" w:fill="FFFFFF"/>
        </w:rPr>
        <w:t>and</w:t>
      </w:r>
      <w:r w:rsidR="0044634F" w:rsidRPr="0044634F">
        <w:rPr>
          <w:shd w:val="clear" w:color="auto" w:fill="FFFFFF"/>
        </w:rPr>
        <w:t xml:space="preserve"> </w:t>
      </w:r>
      <w:r w:rsidR="0044634F" w:rsidRPr="006D3C55">
        <w:rPr>
          <w:shd w:val="clear" w:color="auto" w:fill="FFFFFF"/>
        </w:rPr>
        <w:t>Finland</w:t>
      </w:r>
      <w:r w:rsidRPr="006D3C55">
        <w:rPr>
          <w:shd w:val="clear" w:color="auto" w:fill="FFFFFF"/>
        </w:rPr>
        <w:t xml:space="preserve">, further </w:t>
      </w:r>
      <w:r w:rsidR="00F57EC7">
        <w:rPr>
          <w:shd w:val="clear" w:color="auto" w:fill="FFFFFF"/>
        </w:rPr>
        <w:t xml:space="preserve">checks </w:t>
      </w:r>
      <w:r w:rsidR="002B4209">
        <w:rPr>
          <w:shd w:val="clear" w:color="auto" w:fill="FFFFFF"/>
        </w:rPr>
        <w:t>were performed</w:t>
      </w:r>
      <w:r w:rsidR="0058035D" w:rsidRPr="006D3C55">
        <w:rPr>
          <w:shd w:val="clear" w:color="auto" w:fill="FFFFFF"/>
        </w:rPr>
        <w:t xml:space="preserve"> </w:t>
      </w:r>
      <w:r w:rsidRPr="006D3C55">
        <w:rPr>
          <w:shd w:val="clear" w:color="auto" w:fill="FFFFFF"/>
        </w:rPr>
        <w:t>via compliance audits, focusing on the work of national audit bodies</w:t>
      </w:r>
      <w:r w:rsidR="009E3F8F">
        <w:rPr>
          <w:shd w:val="clear" w:color="auto" w:fill="FFFFFF"/>
        </w:rPr>
        <w:t xml:space="preserve"> and </w:t>
      </w:r>
      <w:r w:rsidR="009E3F8F" w:rsidRPr="005A4E9A">
        <w:rPr>
          <w:rFonts w:ascii="EC Square Sans Pro" w:eastAsia="EC Square Sans Pro" w:hAnsi="EC Square Sans Pro" w:cs="EC Square Sans Pro"/>
          <w:color w:val="000000" w:themeColor="text1"/>
        </w:rPr>
        <w:t>two targeted system audits on public procurement and State aid in France and Ireland</w:t>
      </w:r>
      <w:r w:rsidRPr="006D3C55">
        <w:rPr>
          <w:shd w:val="clear" w:color="auto" w:fill="FFFFFF"/>
        </w:rPr>
        <w:t>.</w:t>
      </w:r>
    </w:p>
  </w:footnote>
  <w:footnote w:id="67">
    <w:p w14:paraId="62FC1248" w14:textId="1F2F3810" w:rsidR="005F318E" w:rsidRPr="006D3C55" w:rsidRDefault="005F318E" w:rsidP="00352191">
      <w:pPr>
        <w:pStyle w:val="FootnoteText"/>
      </w:pPr>
      <w:r w:rsidRPr="006D3C55">
        <w:t>(</w:t>
      </w:r>
      <w:r w:rsidRPr="00352191">
        <w:rPr>
          <w:rStyle w:val="FootnoteReference"/>
        </w:rPr>
        <w:footnoteRef/>
      </w:r>
      <w:r w:rsidRPr="006D3C55">
        <w:t>)</w:t>
      </w:r>
      <w:r w:rsidR="00352191">
        <w:tab/>
      </w:r>
      <w:r w:rsidR="005B35EE" w:rsidRPr="005B35EE">
        <w:t xml:space="preserve">European Court of Auditors, </w:t>
      </w:r>
      <w:r w:rsidR="005B35EE" w:rsidRPr="00AD4275">
        <w:rPr>
          <w:i/>
          <w:iCs/>
        </w:rPr>
        <w:t>Tackling Fraud in the RRF</w:t>
      </w:r>
      <w:r w:rsidR="005B35EE" w:rsidRPr="00AD4275">
        <w:rPr>
          <w:rFonts w:ascii="Calibri" w:hAnsi="Calibri" w:cs="Calibri"/>
          <w:i/>
          <w:iCs/>
        </w:rPr>
        <w:t> </w:t>
      </w:r>
      <w:r w:rsidR="005B35EE" w:rsidRPr="00AD4275">
        <w:rPr>
          <w:i/>
          <w:iCs/>
        </w:rPr>
        <w:t>– Work in progress</w:t>
      </w:r>
      <w:r w:rsidR="005B35EE" w:rsidRPr="00AD4275">
        <w:rPr>
          <w:rFonts w:ascii="Calibri" w:hAnsi="Calibri" w:cs="Calibri"/>
          <w:i/>
          <w:iCs/>
        </w:rPr>
        <w:t> </w:t>
      </w:r>
      <w:r w:rsidR="005B35EE" w:rsidRPr="00AD4275">
        <w:rPr>
          <w:i/>
          <w:iCs/>
        </w:rPr>
        <w:t>– Special report 06/2026</w:t>
      </w:r>
      <w:r w:rsidR="005B35EE" w:rsidRPr="005B35EE">
        <w:t xml:space="preserve">, Publications Office of the European Union, </w:t>
      </w:r>
      <w:r w:rsidR="00A1042B">
        <w:t xml:space="preserve">Luxembourg, </w:t>
      </w:r>
      <w:r w:rsidR="005B35EE" w:rsidRPr="005B35EE">
        <w:t xml:space="preserve">2026, </w:t>
      </w:r>
      <w:hyperlink r:id="rId25" w:history="1">
        <w:r w:rsidR="00A1042B" w:rsidRPr="001F6399">
          <w:rPr>
            <w:rStyle w:val="Hyperlink"/>
          </w:rPr>
          <w:t>https://data.europa.eu/doi/10.2865/9261783</w:t>
        </w:r>
      </w:hyperlink>
      <w:r w:rsidR="00A1042B">
        <w:t>.</w:t>
      </w:r>
    </w:p>
  </w:footnote>
  <w:footnote w:id="68">
    <w:p w14:paraId="25DEA942" w14:textId="4D9DF697" w:rsidR="00426FD8" w:rsidRPr="00426FD8" w:rsidRDefault="00426FD8" w:rsidP="00352191">
      <w:pPr>
        <w:pStyle w:val="FootnoteText"/>
        <w:rPr>
          <w:lang w:val="en-IE"/>
        </w:rPr>
      </w:pPr>
      <w:r>
        <w:t>(</w:t>
      </w:r>
      <w:r w:rsidRPr="00352191">
        <w:rPr>
          <w:rStyle w:val="FootnoteReference"/>
        </w:rPr>
        <w:footnoteRef/>
      </w:r>
      <w:r>
        <w:t>)</w:t>
      </w:r>
      <w:r w:rsidR="00352191">
        <w:tab/>
      </w:r>
      <w:r w:rsidR="009A0599" w:rsidRPr="009A0599">
        <w:t xml:space="preserve">Commission Notice C/2026/2647: </w:t>
      </w:r>
      <w:hyperlink r:id="rId26" w:history="1">
        <w:r w:rsidR="009A0599" w:rsidRPr="009A0599">
          <w:rPr>
            <w:rStyle w:val="Hyperlink"/>
            <w:i/>
            <w:iCs/>
          </w:rPr>
          <w:t>Guidelines for Member States on operational aspects related to the final phase and closure of the Recovery and Resilience Facility</w:t>
        </w:r>
      </w:hyperlink>
    </w:p>
  </w:footnote>
  <w:footnote w:id="69">
    <w:p w14:paraId="71F82B97" w14:textId="53F0802A" w:rsidR="00BA47FE" w:rsidRPr="006D3C55" w:rsidRDefault="00BA47FE" w:rsidP="00352191">
      <w:pPr>
        <w:pStyle w:val="FootnoteText"/>
      </w:pPr>
      <w:r w:rsidRPr="006D3C55">
        <w:t>(</w:t>
      </w:r>
      <w:r w:rsidRPr="00352191">
        <w:rPr>
          <w:rStyle w:val="FootnoteReference"/>
        </w:rPr>
        <w:footnoteRef/>
      </w:r>
      <w:r w:rsidRPr="006D3C55">
        <w:t>)</w:t>
      </w:r>
      <w:r w:rsidR="00352191">
        <w:tab/>
      </w:r>
      <w:r w:rsidRPr="006D3C55">
        <w:t>Two individual cases of conflict of interests identified in Czechia</w:t>
      </w:r>
      <w:r w:rsidR="00C9553B">
        <w:t xml:space="preserve"> in 2024 and one case in 2025</w:t>
      </w:r>
      <w:r w:rsidRPr="006D3C55">
        <w:t>.</w:t>
      </w:r>
    </w:p>
  </w:footnote>
  <w:footnote w:id="70">
    <w:p w14:paraId="6F188E00" w14:textId="3FB7B7AB" w:rsidR="00BE0729" w:rsidRPr="006D3C55" w:rsidRDefault="00BE0729" w:rsidP="00352191">
      <w:pPr>
        <w:pStyle w:val="FootnoteText"/>
      </w:pPr>
      <w:r w:rsidRPr="006D3C55">
        <w:t>(</w:t>
      </w:r>
      <w:r w:rsidRPr="00352191">
        <w:rPr>
          <w:rStyle w:val="FootnoteReference"/>
        </w:rPr>
        <w:footnoteRef/>
      </w:r>
      <w:r w:rsidRPr="006D3C55">
        <w:t>)</w:t>
      </w:r>
      <w:r w:rsidR="00352191">
        <w:tab/>
      </w:r>
      <w:r w:rsidRPr="006D3C55">
        <w:t>To support this work, the Commission applied comprehensive checklists on public procurement and State aid across all its audit activities. These checklists were introduced in April 2023</w:t>
      </w:r>
      <w:r w:rsidRPr="006D3C55">
        <w:rPr>
          <w:rFonts w:ascii="Calibri" w:hAnsi="Calibri" w:cs="Calibri"/>
        </w:rPr>
        <w:t xml:space="preserve"> and</w:t>
      </w:r>
      <w:r w:rsidR="00C716EC">
        <w:rPr>
          <w:rFonts w:ascii="Calibri" w:hAnsi="Calibri" w:cs="Calibri"/>
        </w:rPr>
        <w:t xml:space="preserve"> </w:t>
      </w:r>
      <w:r w:rsidRPr="006D3C55">
        <w:t xml:space="preserve">formally approved in September 2023. In September 2024, the Commission enhanced its audit methodology by introducing specific sampling requirements for procurement procedures to be reviewed during audits, </w:t>
      </w:r>
      <w:r w:rsidR="00306393">
        <w:t>for each</w:t>
      </w:r>
      <w:r w:rsidR="00306393" w:rsidRPr="006D3C55">
        <w:t xml:space="preserve"> </w:t>
      </w:r>
      <w:r w:rsidRPr="006D3C55">
        <w:t xml:space="preserve">implementing body. The audit checklist was amended in early 2025 to reflect more clearly whether Member States have verified compliance with the conditions of relevant schemes, such as the General Block Exemption Regulation </w:t>
      </w:r>
      <w:r w:rsidR="00EA625F">
        <w:t>and</w:t>
      </w:r>
      <w:r w:rsidRPr="006D3C55">
        <w:t xml:space="preserve"> </w:t>
      </w:r>
      <w:r w:rsidR="00306393">
        <w:t xml:space="preserve">the </w:t>
      </w:r>
      <w:r w:rsidRPr="006D3C55">
        <w:t>State</w:t>
      </w:r>
      <w:r w:rsidR="005F0C72">
        <w:t>-</w:t>
      </w:r>
      <w:r w:rsidRPr="006D3C55">
        <w:t xml:space="preserve">aid framework for </w:t>
      </w:r>
      <w:r w:rsidR="005F0C72">
        <w:t>r</w:t>
      </w:r>
      <w:r w:rsidRPr="006D3C55">
        <w:t xml:space="preserve">esearch and </w:t>
      </w:r>
      <w:r w:rsidR="005F0C72">
        <w:t>d</w:t>
      </w:r>
      <w:r w:rsidRPr="006D3C55">
        <w:t xml:space="preserve">evelopment and </w:t>
      </w:r>
      <w:r w:rsidR="005F0C72">
        <w:t>i</w:t>
      </w:r>
      <w:r w:rsidRPr="006D3C55">
        <w:t>nnovation.</w:t>
      </w:r>
    </w:p>
  </w:footnote>
  <w:footnote w:id="71">
    <w:p w14:paraId="70045AE5" w14:textId="5E3C6CE7" w:rsidR="00C84A0D" w:rsidRPr="006E5C0D" w:rsidRDefault="00BF7F3B" w:rsidP="00352191">
      <w:pPr>
        <w:pStyle w:val="FootnoteText"/>
      </w:pPr>
      <w:r>
        <w:t>(</w:t>
      </w:r>
      <w:r w:rsidR="00C84A0D" w:rsidRPr="00352191">
        <w:rPr>
          <w:rStyle w:val="FootnoteReference"/>
        </w:rPr>
        <w:footnoteRef/>
      </w:r>
      <w:r>
        <w:t>)</w:t>
      </w:r>
      <w:r w:rsidR="00352191">
        <w:tab/>
      </w:r>
      <w:r w:rsidRPr="00AD4275">
        <w:t xml:space="preserve">European Court of Auditors, </w:t>
      </w:r>
      <w:r w:rsidRPr="00AD4275">
        <w:rPr>
          <w:rStyle w:val="Italic"/>
          <w:rFonts w:ascii="EC Square Sans Pro" w:hAnsi="EC Square Sans Pro"/>
        </w:rPr>
        <w:t>Annual reports on the implementation of the EU budget for the 2023 financial year and on activities funded by the 9th, 10th and 11th European Development Funds (EDFs) for the 2023 financial year</w:t>
      </w:r>
      <w:r w:rsidRPr="00AD4275">
        <w:t xml:space="preserve">, Publications Office of the European Union, Luxembourg, 2024, </w:t>
      </w:r>
      <w:hyperlink r:id="rId27" w:history="1">
        <w:r w:rsidRPr="00AD4275">
          <w:rPr>
            <w:rStyle w:val="Hyperlink"/>
          </w:rPr>
          <w:t>https://data.europa.eu/doi/10.2865/346460</w:t>
        </w:r>
      </w:hyperlink>
      <w:r>
        <w:t>.</w:t>
      </w:r>
    </w:p>
  </w:footnote>
  <w:footnote w:id="72">
    <w:p w14:paraId="6F1468D7" w14:textId="36F68BDA" w:rsidR="002E0E98" w:rsidRPr="006D3C55" w:rsidRDefault="009C3A23" w:rsidP="00352191">
      <w:pPr>
        <w:pStyle w:val="FootnoteText"/>
      </w:pPr>
      <w:r w:rsidRPr="006D3C55">
        <w:t>(</w:t>
      </w:r>
      <w:r w:rsidRPr="00352191">
        <w:rPr>
          <w:rStyle w:val="FootnoteReference"/>
        </w:rPr>
        <w:footnoteRef/>
      </w:r>
      <w:r w:rsidRPr="006D3C55">
        <w:t>)</w:t>
      </w:r>
      <w:r w:rsidR="00352191">
        <w:tab/>
      </w:r>
      <w:r>
        <w:t xml:space="preserve">European Court of Auditors, </w:t>
      </w:r>
      <w:r w:rsidRPr="0083604A">
        <w:t>Systems for ensuring compliance of RRF spending with public procurement and state aid rules</w:t>
      </w:r>
      <w:r w:rsidRPr="0083604A">
        <w:rPr>
          <w:rFonts w:ascii="Calibri" w:hAnsi="Calibri" w:cs="Calibri"/>
        </w:rPr>
        <w:t> </w:t>
      </w:r>
      <w:r w:rsidRPr="0083604A">
        <w:t>– Improving but still insufficient</w:t>
      </w:r>
      <w:r w:rsidRPr="0083604A">
        <w:rPr>
          <w:rFonts w:ascii="Calibri" w:hAnsi="Calibri" w:cs="Calibri"/>
        </w:rPr>
        <w:t> </w:t>
      </w:r>
      <w:r w:rsidRPr="0083604A">
        <w:t>– Special report 09/2025</w:t>
      </w:r>
      <w:r w:rsidRPr="00632D4D">
        <w:t xml:space="preserve">, 2025, Publications Office of the European Union, </w:t>
      </w:r>
      <w:r>
        <w:t xml:space="preserve">Luxembourg, </w:t>
      </w:r>
      <w:r w:rsidRPr="00632D4D">
        <w:t xml:space="preserve">2025, </w:t>
      </w:r>
      <w:hyperlink r:id="rId28" w:history="1">
        <w:r w:rsidRPr="001F6399">
          <w:rPr>
            <w:rStyle w:val="Hyperlink"/>
          </w:rPr>
          <w:t>https://data.europa.eu/doi/10.2865/2297025</w:t>
        </w:r>
      </w:hyperlink>
      <w:r>
        <w:t>.</w:t>
      </w:r>
    </w:p>
  </w:footnote>
  <w:footnote w:id="73">
    <w:p w14:paraId="0F362FC3" w14:textId="1D7C1F76" w:rsidR="00D263CA" w:rsidRPr="006D3C55" w:rsidRDefault="00D263CA" w:rsidP="00352191">
      <w:pPr>
        <w:pStyle w:val="FootnoteText"/>
      </w:pPr>
      <w:r w:rsidRPr="006D3C55">
        <w:t>(</w:t>
      </w:r>
      <w:r w:rsidRPr="00352191">
        <w:rPr>
          <w:rStyle w:val="FootnoteReference"/>
        </w:rPr>
        <w:footnoteRef/>
      </w:r>
      <w:r w:rsidRPr="006D3C55">
        <w:t>)</w:t>
      </w:r>
      <w:r w:rsidR="00352191">
        <w:tab/>
      </w:r>
      <w:r w:rsidRPr="006D3C55">
        <w:t>To this end, the Commission updated two guidance documents</w:t>
      </w:r>
      <w:r w:rsidR="00E406DD" w:rsidRPr="00E406DD">
        <w:t xml:space="preserve"> </w:t>
      </w:r>
      <w:r w:rsidR="00E406DD" w:rsidRPr="006D3C55">
        <w:t>in September 2025</w:t>
      </w:r>
      <w:r w:rsidR="00BF7711">
        <w:t>:</w:t>
      </w:r>
      <w:r w:rsidRPr="006D3C55">
        <w:t xml:space="preserve"> </w:t>
      </w:r>
      <w:r w:rsidR="00BF7711">
        <w:t>‘</w:t>
      </w:r>
      <w:r w:rsidRPr="006D3C55">
        <w:t xml:space="preserve">Guidance on the assessment of the internal control systems set in place by the Member States under the </w:t>
      </w:r>
      <w:r w:rsidR="003652CF" w:rsidRPr="006D3C55">
        <w:rPr>
          <w:rFonts w:hint="eastAsia"/>
        </w:rPr>
        <w:t xml:space="preserve">Recovery and </w:t>
      </w:r>
      <w:r w:rsidR="003652CF" w:rsidRPr="006D3C55">
        <w:t>Resilience Facility</w:t>
      </w:r>
      <w:r w:rsidR="00BF7711">
        <w:t>’</w:t>
      </w:r>
      <w:r w:rsidR="003652CF" w:rsidRPr="006D3C55" w:rsidDel="003652CF">
        <w:t xml:space="preserve"> </w:t>
      </w:r>
      <w:r w:rsidRPr="006D3C55">
        <w:t xml:space="preserve">and </w:t>
      </w:r>
      <w:r w:rsidR="00BF7711">
        <w:t>‘</w:t>
      </w:r>
      <w:r w:rsidRPr="006D3C55">
        <w:t xml:space="preserve">Guidance to Member States for the preparation of the summary of audits under the </w:t>
      </w:r>
      <w:r w:rsidR="003652CF" w:rsidRPr="006D3C55">
        <w:rPr>
          <w:rFonts w:hint="eastAsia"/>
        </w:rPr>
        <w:t xml:space="preserve">Recovery and </w:t>
      </w:r>
      <w:r w:rsidR="003652CF" w:rsidRPr="006D3C55">
        <w:t>Resilience Facility</w:t>
      </w:r>
      <w:r w:rsidR="00BF7711">
        <w:t>’</w:t>
      </w:r>
      <w:r w:rsidRPr="006D3C55">
        <w:t>.</w:t>
      </w:r>
    </w:p>
  </w:footnote>
  <w:footnote w:id="74">
    <w:p w14:paraId="7914DB78" w14:textId="646E16F7" w:rsidR="002E30CD" w:rsidRPr="002E30CD" w:rsidRDefault="002E30CD" w:rsidP="00352191">
      <w:pPr>
        <w:pStyle w:val="FootnoteText"/>
        <w:rPr>
          <w:lang w:val="en-IE"/>
        </w:rPr>
      </w:pPr>
      <w:r>
        <w:t>(</w:t>
      </w:r>
      <w:r w:rsidRPr="00352191">
        <w:rPr>
          <w:rStyle w:val="FootnoteReference"/>
        </w:rPr>
        <w:footnoteRef/>
      </w:r>
      <w:r>
        <w:t>)</w:t>
      </w:r>
      <w:r w:rsidR="00352191">
        <w:tab/>
      </w:r>
      <w:r w:rsidRPr="006D3C55">
        <w:t>In Croatia, Estonia and Greece, the Commission had performed compliance audits of the national audit authority and was overall satisfied with the audit work conducted by the latter.</w:t>
      </w:r>
      <w:r w:rsidR="00167959">
        <w:t xml:space="preserve"> </w:t>
      </w:r>
      <w:r w:rsidR="007459C9">
        <w:t>S</w:t>
      </w:r>
      <w:r w:rsidR="007459C9" w:rsidRPr="007459C9">
        <w:t xml:space="preserve">even </w:t>
      </w:r>
      <w:r w:rsidR="00A52835">
        <w:t xml:space="preserve">high-risk </w:t>
      </w:r>
      <w:r w:rsidR="007459C9" w:rsidRPr="007459C9">
        <w:t>milestones and targets had already been audited by the audit bodies of the</w:t>
      </w:r>
      <w:r w:rsidR="00A52835">
        <w:t>se</w:t>
      </w:r>
      <w:r w:rsidR="007459C9" w:rsidRPr="007459C9">
        <w:t xml:space="preserve"> Member States and DG ECFIN relied on their results</w:t>
      </w:r>
      <w:r w:rsidR="00CB0AC9">
        <w:t>.</w:t>
      </w:r>
    </w:p>
  </w:footnote>
  <w:footnote w:id="75">
    <w:p w14:paraId="7E3FC7F2" w14:textId="6DBB41B5" w:rsidR="00306078" w:rsidRPr="006D3C55" w:rsidRDefault="00306078" w:rsidP="00352191">
      <w:pPr>
        <w:pStyle w:val="FootnoteText"/>
        <w:rPr>
          <w:highlight w:val="green"/>
        </w:rPr>
      </w:pPr>
      <w:r w:rsidRPr="006D3C55">
        <w:t>(</w:t>
      </w:r>
      <w:r w:rsidRPr="00352191">
        <w:rPr>
          <w:rStyle w:val="FootnoteReference"/>
        </w:rPr>
        <w:footnoteRef/>
      </w:r>
      <w:r w:rsidRPr="006D3C55">
        <w:t>)</w:t>
      </w:r>
      <w:r w:rsidR="00352191">
        <w:tab/>
      </w:r>
      <w:r w:rsidRPr="006D3C55">
        <w:t xml:space="preserve">The audit opinion is a formal assessment by the Commission’s responsible audit units on internal control systems for the Recovery and Resilience Facility and is supported by detailed assessments </w:t>
      </w:r>
      <w:r w:rsidR="00766207">
        <w:t>for each</w:t>
      </w:r>
      <w:r w:rsidR="00766207" w:rsidRPr="006D3C55">
        <w:t xml:space="preserve"> </w:t>
      </w:r>
      <w:r w:rsidRPr="006D3C55">
        <w:t>Member State containing a summary of the information from the Commission’s own audits, the audits of other bodies, national audit bodies, the Court of Auditors and the results of enquiries by the European Anti-Fraud Office.</w:t>
      </w:r>
    </w:p>
  </w:footnote>
  <w:footnote w:id="76">
    <w:p w14:paraId="535E0AD3" w14:textId="53565544" w:rsidR="001301C1" w:rsidRPr="006D3C55" w:rsidRDefault="001301C1" w:rsidP="00352191">
      <w:pPr>
        <w:pStyle w:val="FootnoteText"/>
        <w:rPr>
          <w:rFonts w:ascii="EC Square Sans Pro" w:hAnsi="EC Square Sans Pro"/>
        </w:rPr>
      </w:pPr>
      <w:r w:rsidRPr="006D3C55">
        <w:rPr>
          <w:rFonts w:ascii="EC Square Sans Pro" w:hAnsi="EC Square Sans Pro"/>
        </w:rPr>
        <w:t>(</w:t>
      </w:r>
      <w:r w:rsidRPr="00352191">
        <w:rPr>
          <w:rStyle w:val="FootnoteReference"/>
        </w:rPr>
        <w:footnoteRef/>
      </w:r>
      <w:r w:rsidRPr="006D3C55">
        <w:rPr>
          <w:rFonts w:ascii="EC Square Sans Pro" w:hAnsi="EC Square Sans Pro"/>
        </w:rPr>
        <w:t>)</w:t>
      </w:r>
      <w:r w:rsidR="00352191">
        <w:rPr>
          <w:rFonts w:ascii="EC Square Sans Pro" w:hAnsi="EC Square Sans Pro"/>
        </w:rPr>
        <w:tab/>
      </w:r>
      <w:r w:rsidRPr="006D3C55">
        <w:t>In accordance with Article</w:t>
      </w:r>
      <w:r w:rsidRPr="006D3C55">
        <w:rPr>
          <w:rFonts w:ascii="Calibri" w:hAnsi="Calibri" w:cs="Calibri"/>
        </w:rPr>
        <w:t> </w:t>
      </w:r>
      <w:r w:rsidRPr="006D3C55">
        <w:t>22(2)(a) of the Recovery and Resilience Facility</w:t>
      </w:r>
      <w:r w:rsidRPr="006D3C55">
        <w:rPr>
          <w:szCs w:val="18"/>
        </w:rPr>
        <w:t xml:space="preserve"> </w:t>
      </w:r>
      <w:r w:rsidRPr="006D3C55">
        <w:t xml:space="preserve">Regulation, the Member State shall </w:t>
      </w:r>
      <w:r w:rsidR="0035481C">
        <w:t>‘</w:t>
      </w:r>
      <w:r w:rsidRPr="006D3C55">
        <w:t>check that the financing provided has been properly used in accordance with all applicable rules and that any measure for the implementation of reforms and investment projects under the recovery and resilience plan has been properly implemented in accordance with all applicable rules in particular regarding the prevention, detection and correction of fraud, corruption and conflicts of interests</w:t>
      </w:r>
      <w:r w:rsidR="0035481C">
        <w:t>’</w:t>
      </w:r>
      <w:r w:rsidRPr="006D3C55">
        <w:t>.</w:t>
      </w:r>
    </w:p>
  </w:footnote>
  <w:footnote w:id="77">
    <w:p w14:paraId="0247CC3F" w14:textId="77F87D76" w:rsidR="004B0FA9" w:rsidRPr="006D3C55" w:rsidRDefault="001301C1" w:rsidP="00352191">
      <w:pPr>
        <w:pStyle w:val="FootnoteText"/>
        <w:rPr>
          <w:highlight w:val="lightGray"/>
        </w:rPr>
      </w:pPr>
      <w:r w:rsidRPr="006D3C55">
        <w:t>(</w:t>
      </w:r>
      <w:r w:rsidRPr="00352191">
        <w:rPr>
          <w:rStyle w:val="FootnoteReference"/>
        </w:rPr>
        <w:footnoteRef/>
      </w:r>
      <w:r w:rsidRPr="006D3C55">
        <w:t>)</w:t>
      </w:r>
      <w:r w:rsidR="00352191">
        <w:tab/>
      </w:r>
      <w:r w:rsidRPr="00610B71">
        <w:t>In accordance with Article</w:t>
      </w:r>
      <w:r w:rsidRPr="00610B71">
        <w:rPr>
          <w:rFonts w:ascii="Calibri" w:hAnsi="Calibri" w:cs="Calibri"/>
        </w:rPr>
        <w:t> </w:t>
      </w:r>
      <w:r w:rsidRPr="00610B71">
        <w:t>22(5) of the Recovery and Resilience Facility Regulation, the Commission may reduce proportionately the non-repayable support under the Recovery and Resilience Facility and, where applicable, recover any amount due to the EU budget in cases of fraud, corruption or conflicts of interest affecting the financial interests of the EU that have not been corrected by the Member State, or a serious breach of an obligation resulting from this agreement.</w:t>
      </w:r>
    </w:p>
  </w:footnote>
  <w:footnote w:id="78">
    <w:p w14:paraId="7D38CABE" w14:textId="6CA09B90" w:rsidR="001301C1" w:rsidRPr="006D3C55" w:rsidRDefault="001301C1" w:rsidP="00352191">
      <w:pPr>
        <w:pStyle w:val="FootnoteText"/>
      </w:pPr>
      <w:r w:rsidRPr="006D3C55">
        <w:t>(</w:t>
      </w:r>
      <w:r w:rsidRPr="00352191">
        <w:rPr>
          <w:rStyle w:val="FootnoteReference"/>
        </w:rPr>
        <w:footnoteRef/>
      </w:r>
      <w:r w:rsidRPr="006D3C55">
        <w:t>)</w:t>
      </w:r>
      <w:r w:rsidR="00352191">
        <w:tab/>
      </w:r>
      <w:r w:rsidRPr="006D3C55">
        <w:t>The Court of Auditors does not select loans in their sample.</w:t>
      </w:r>
    </w:p>
  </w:footnote>
  <w:footnote w:id="79">
    <w:p w14:paraId="06C6E1E6" w14:textId="1709551E" w:rsidR="001301C1" w:rsidRPr="006D3C55" w:rsidRDefault="001301C1" w:rsidP="00352191">
      <w:pPr>
        <w:pStyle w:val="FootnoteText"/>
      </w:pPr>
      <w:r w:rsidRPr="006D3C55">
        <w:t>(</w:t>
      </w:r>
      <w:r w:rsidRPr="00352191">
        <w:rPr>
          <w:rStyle w:val="FootnoteReference"/>
        </w:rPr>
        <w:footnoteRef/>
      </w:r>
      <w:r w:rsidRPr="006D3C55">
        <w:t>)</w:t>
      </w:r>
      <w:r w:rsidR="00352191">
        <w:tab/>
      </w:r>
      <w:r w:rsidRPr="006D3C55">
        <w:t>Article</w:t>
      </w:r>
      <w:r w:rsidRPr="006D3C55">
        <w:rPr>
          <w:rFonts w:ascii="Calibri" w:hAnsi="Calibri" w:cs="Calibri"/>
        </w:rPr>
        <w:t> </w:t>
      </w:r>
      <w:r w:rsidRPr="006D3C55">
        <w:t>22(2)(a) of the Recovery and Resilience Facility Regulation.</w:t>
      </w:r>
    </w:p>
  </w:footnote>
  <w:footnote w:id="80">
    <w:p w14:paraId="61AAB5C7" w14:textId="65F197FB" w:rsidR="001301C1" w:rsidRPr="006D3C55" w:rsidRDefault="001301C1" w:rsidP="00352191">
      <w:pPr>
        <w:pStyle w:val="FootnoteText"/>
      </w:pPr>
      <w:r w:rsidRPr="006D3C55">
        <w:t>(</w:t>
      </w:r>
      <w:r w:rsidRPr="00352191">
        <w:rPr>
          <w:rStyle w:val="FootnoteReference"/>
        </w:rPr>
        <w:footnoteRef/>
      </w:r>
      <w:r w:rsidRPr="006D3C55">
        <w:t>)</w:t>
      </w:r>
      <w:r w:rsidR="00352191">
        <w:tab/>
      </w:r>
      <w:r w:rsidRPr="006D3C55">
        <w:rPr>
          <w:rFonts w:eastAsia="Calibri" w:cs="Calibri"/>
        </w:rPr>
        <w:t>Article</w:t>
      </w:r>
      <w:r w:rsidRPr="006D3C55">
        <w:rPr>
          <w:rFonts w:ascii="Calibri" w:eastAsia="Calibri" w:hAnsi="Calibri" w:cs="Calibri"/>
        </w:rPr>
        <w:t> </w:t>
      </w:r>
      <w:r w:rsidRPr="006D3C55">
        <w:rPr>
          <w:rFonts w:eastAsia="Calibri" w:cs="Calibri"/>
        </w:rPr>
        <w:t xml:space="preserve">22(5) of the </w:t>
      </w:r>
      <w:r w:rsidRPr="006D3C55">
        <w:t>Recovery and Resilience Facility Regulation.</w:t>
      </w:r>
    </w:p>
  </w:footnote>
  <w:footnote w:id="81">
    <w:p w14:paraId="4197E91B" w14:textId="0CC9C43D" w:rsidR="00744E68" w:rsidRPr="00744E68" w:rsidRDefault="00744E68" w:rsidP="00352191">
      <w:pPr>
        <w:pStyle w:val="FootnoteText"/>
        <w:rPr>
          <w:lang w:val="en-IE"/>
        </w:rPr>
      </w:pPr>
      <w:r>
        <w:t>(</w:t>
      </w:r>
      <w:r w:rsidRPr="00352191">
        <w:rPr>
          <w:rStyle w:val="FootnoteReference"/>
        </w:rPr>
        <w:footnoteRef/>
      </w:r>
      <w:r>
        <w:t>)</w:t>
      </w:r>
      <w:r w:rsidR="00352191">
        <w:tab/>
      </w:r>
      <w:r w:rsidRPr="00744E68">
        <w:t xml:space="preserve">The Commission has initiated the recovery procedure, starting with the contradictory procedure with the Member State. The reply submitted by the Member State in the context of this contradictory procedure is </w:t>
      </w:r>
      <w:r w:rsidR="00F84428">
        <w:t>to date</w:t>
      </w:r>
      <w:r w:rsidRPr="00744E68">
        <w:t xml:space="preserve"> under assessment. As a result, the correction has not yet been implemented.</w:t>
      </w:r>
      <w:r w:rsidR="00983190">
        <w:t xml:space="preserve"> This </w:t>
      </w:r>
      <w:r w:rsidR="00983190" w:rsidRPr="00983190">
        <w:t>reduces the level of risk to medium according to the risk level methodology</w:t>
      </w:r>
      <w:r w:rsidR="00983190">
        <w:t xml:space="preserve"> however </w:t>
      </w:r>
      <w:r w:rsidR="0076651B">
        <w:t>due to the other case in 2025 the overall risk is maintained as high for Czechia.</w:t>
      </w:r>
    </w:p>
  </w:footnote>
  <w:footnote w:id="82">
    <w:p w14:paraId="1DA7FB19" w14:textId="6E595286" w:rsidR="00AA322C" w:rsidRPr="00AA322C" w:rsidRDefault="00AA322C" w:rsidP="00352191">
      <w:pPr>
        <w:pStyle w:val="FootnoteText"/>
        <w:rPr>
          <w:lang w:val="en-IE"/>
        </w:rPr>
      </w:pPr>
      <w:r>
        <w:t>(</w:t>
      </w:r>
      <w:r w:rsidRPr="00352191">
        <w:rPr>
          <w:rStyle w:val="FootnoteReference"/>
        </w:rPr>
        <w:footnoteRef/>
      </w:r>
      <w:r>
        <w:t>)</w:t>
      </w:r>
      <w:r w:rsidR="00352191">
        <w:tab/>
      </w:r>
      <w:r w:rsidR="007D7BC3" w:rsidRPr="00922F69">
        <w:t>In addition, another conflict-of-interest case was identified in Czechia</w:t>
      </w:r>
      <w:r w:rsidR="007D7BC3">
        <w:t xml:space="preserve"> in 2025</w:t>
      </w:r>
      <w:r w:rsidR="007D7BC3" w:rsidRPr="00922F69">
        <w:t xml:space="preserve">, however no reservation is issued for this case, as the financial </w:t>
      </w:r>
      <w:r w:rsidR="007D7BC3">
        <w:t>impact (</w:t>
      </w:r>
      <w:r>
        <w:t>EUR</w:t>
      </w:r>
      <w:r w:rsidR="007D7BC3">
        <w:rPr>
          <w:rFonts w:ascii="Calibri" w:hAnsi="Calibri" w:cs="Calibri"/>
        </w:rPr>
        <w:t> </w:t>
      </w:r>
      <w:r w:rsidR="00F417A5">
        <w:t>10565</w:t>
      </w:r>
      <w:r w:rsidR="007D7BC3">
        <w:t xml:space="preserve">) </w:t>
      </w:r>
      <w:r w:rsidR="007D7BC3" w:rsidRPr="007D7BC3">
        <w:t>is below the de minimis threshold of EUR</w:t>
      </w:r>
      <w:r w:rsidR="007D7BC3">
        <w:rPr>
          <w:rFonts w:ascii="Calibri" w:hAnsi="Calibri" w:cs="Calibri"/>
        </w:rPr>
        <w:t> </w:t>
      </w:r>
      <w:r w:rsidR="007D7BC3" w:rsidRPr="007D7BC3">
        <w:t>5</w:t>
      </w:r>
      <w:r w:rsidR="007D7BC3">
        <w:rPr>
          <w:rFonts w:ascii="Calibri" w:hAnsi="Calibri" w:cs="Calibri"/>
        </w:rPr>
        <w:t> </w:t>
      </w:r>
      <w:r w:rsidR="007D7BC3" w:rsidRPr="007D7BC3">
        <w:t>million</w:t>
      </w:r>
      <w:r w:rsidR="007D7BC3">
        <w:t>.</w:t>
      </w:r>
    </w:p>
  </w:footnote>
  <w:footnote w:id="83">
    <w:p w14:paraId="506E2ADE" w14:textId="23592001" w:rsidR="001301C1" w:rsidRPr="00846C53" w:rsidRDefault="001301C1" w:rsidP="00352191">
      <w:pPr>
        <w:pStyle w:val="FootnoteText"/>
        <w:rPr>
          <w:lang w:val="hu-HU"/>
        </w:rPr>
      </w:pPr>
      <w:r w:rsidRPr="006D3C55">
        <w:t>(</w:t>
      </w:r>
      <w:r w:rsidRPr="00352191">
        <w:rPr>
          <w:rStyle w:val="FootnoteReference"/>
        </w:rPr>
        <w:footnoteRef/>
      </w:r>
      <w:r w:rsidRPr="006D3C55">
        <w:t>)</w:t>
      </w:r>
      <w:r w:rsidR="00352191">
        <w:tab/>
      </w:r>
      <w:r w:rsidRPr="006D3C55">
        <w:t>The Director-General for Economic and Financial Affairs has been designated as the authorising officer by delegation for the Recovery and Resilience Facility.</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128046" w14:textId="77777777" w:rsidR="00F21062" w:rsidRPr="00F21062" w:rsidRDefault="00F21062" w:rsidP="00F21062">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B8B5D9" w14:textId="77777777" w:rsidR="00F21062" w:rsidRPr="00F21062" w:rsidRDefault="00F21062" w:rsidP="00F21062">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0317D3" w14:textId="77777777" w:rsidR="00F21062" w:rsidRPr="00F21062" w:rsidRDefault="00F21062" w:rsidP="00F21062">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45CC17" w14:textId="664074E0" w:rsidR="001301C1" w:rsidRPr="006D3C55" w:rsidRDefault="001301C1" w:rsidP="00DD582B">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A51486" w14:textId="69A472AF" w:rsidR="001301C1" w:rsidRPr="006D3C55" w:rsidRDefault="00DD582B" w:rsidP="00DD582B">
    <w:pPr>
      <w:pStyle w:val="amprHeader-Right"/>
    </w:pPr>
    <w:r w:rsidRPr="006D3C55">
      <w:rPr>
        <w:noProof/>
        <w:lang w:eastAsia="en-GB"/>
      </w:rPr>
      <mc:AlternateContent>
        <mc:Choice Requires="wps">
          <w:drawing>
            <wp:anchor distT="0" distB="0" distL="114300" distR="114300" simplePos="0" relativeHeight="251658249" behindDoc="0" locked="1" layoutInCell="1" allowOverlap="1" wp14:anchorId="5C90C30F" wp14:editId="38980C63">
              <wp:simplePos x="0" y="0"/>
              <wp:positionH relativeFrom="page">
                <wp:align>left</wp:align>
              </wp:positionH>
              <wp:positionV relativeFrom="page">
                <wp:align>top</wp:align>
              </wp:positionV>
              <wp:extent cx="7621200" cy="212400"/>
              <wp:effectExtent l="0" t="0" r="0" b="0"/>
              <wp:wrapNone/>
              <wp:docPr id="474239965" name="Rectangle 47423996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621200" cy="212400"/>
                      </a:xfrm>
                      <a:prstGeom prst="rect">
                        <a:avLst/>
                      </a:prstGeom>
                      <a:solidFill>
                        <a:srgbClr val="DE600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arto="http://schemas.microsoft.com/office/word/2006/arto">
          <w:pict w14:anchorId="7046E74D">
            <v:rect id="Rectangle 474239965" style="position:absolute;margin-left:0;margin-top:0;width:600.1pt;height:16.7pt;z-index:251665920;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middle" alt="&quot;&quot;" o:spid="_x0000_s1026" fillcolor="#de6002" stroked="f" strokeweight="1pt" w14:anchorId="42515B9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">
              <w10:wrap anchorx="page" anchory="page"/>
              <w10:anchorlock/>
            </v:rect>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559D50" w14:textId="4407DE84" w:rsidR="001301C1" w:rsidRPr="006D3C55" w:rsidRDefault="001301C1">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720CE2" w14:textId="5C17A3CE" w:rsidR="001301C1" w:rsidRPr="006D3C55" w:rsidRDefault="001301C1">
    <w:pPr>
      <w:pStyle w:val="amprHeader-Left"/>
    </w:pPr>
    <w:r w:rsidRPr="006D3C55">
      <w:rPr>
        <w:noProof/>
        <w:color w:val="2B579A"/>
        <w:shd w:val="clear" w:color="auto" w:fill="E6E6E6"/>
        <w:lang w:eastAsia="en-GB"/>
      </w:rPr>
      <mc:AlternateContent>
        <mc:Choice Requires="wps">
          <w:drawing>
            <wp:anchor distT="0" distB="0" distL="114300" distR="114300" simplePos="0" relativeHeight="251658242" behindDoc="0" locked="1" layoutInCell="1" allowOverlap="1" wp14:anchorId="3F5BFA7E" wp14:editId="46A57BB4">
              <wp:simplePos x="0" y="0"/>
              <wp:positionH relativeFrom="page">
                <wp:align>left</wp:align>
              </wp:positionH>
              <wp:positionV relativeFrom="page">
                <wp:align>top</wp:align>
              </wp:positionV>
              <wp:extent cx="7621200" cy="212400"/>
              <wp:effectExtent l="0" t="0" r="0" b="0"/>
              <wp:wrapNone/>
              <wp:docPr id="35" name="Rectangle 3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7621200" cy="212400"/>
                      </a:xfrm>
                      <a:prstGeom prst="rect">
                        <a:avLst/>
                      </a:prstGeom>
                      <a:solidFill>
                        <a:srgbClr val="F36E44"/>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rto="http://schemas.microsoft.com/office/word/2006/arto">
          <w:pict w14:anchorId="017FE4A7">
            <v:rect id="Rectangle 35" style="position:absolute;margin-left:0;margin-top:0;width:600.1pt;height:16.7pt;z-index:251659264;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middle" o:spid="_x0000_s1026" fillcolor="#f36e44" stroked="f" strokeweight="1pt" w14:anchorId="23AE10D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">
              <o:lock v:ext="edit" aspectratio="t"/>
              <w10:wrap anchorx="page" anchory="page"/>
              <w10:anchorlock/>
            </v:rect>
          </w:pict>
        </mc:Fallback>
      </mc:AlternateContent>
    </w:r>
    <w:r w:rsidRPr="006D3C55">
      <w:t>Annual Management and Performance Report for the EU Budget</w:t>
    </w:r>
    <w:r w:rsidRPr="006D3C55">
      <w:rPr>
        <w:rFonts w:ascii="Calibri" w:hAnsi="Calibri" w:cs="Calibri"/>
      </w:rPr>
      <w:t> </w:t>
    </w:r>
    <w:r w:rsidRPr="006D3C55">
      <w:t>– 202</w:t>
    </w:r>
    <w:r w:rsidR="002512DA">
      <w:t>5</w:t>
    </w:r>
    <w:r w:rsidRPr="006D3C55">
      <w:t xml:space="preserve"> </w:t>
    </w:r>
    <w:r w:rsidR="002512DA">
      <w:t>f</w:t>
    </w:r>
    <w:r w:rsidRPr="006D3C55">
      <w:t>inancial year</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87909D" w14:textId="7BA78561" w:rsidR="001301C1" w:rsidRPr="006D3C55" w:rsidRDefault="001301C1">
    <w:pPr>
      <w:pStyle w:val="amprHeader-Right"/>
    </w:pPr>
    <w:r w:rsidRPr="006D3C55">
      <w:rPr>
        <w:noProof/>
        <w:lang w:eastAsia="en-GB"/>
      </w:rPr>
      <w:drawing>
        <wp:anchor distT="0" distB="0" distL="114300" distR="114300" simplePos="0" relativeHeight="251658250" behindDoc="1" locked="1" layoutInCell="1" allowOverlap="1" wp14:anchorId="0E33C735" wp14:editId="60222D5A">
          <wp:simplePos x="898634" y="425669"/>
          <wp:positionH relativeFrom="page">
            <wp:align>left</wp:align>
          </wp:positionH>
          <wp:positionV relativeFrom="page">
            <wp:align>top</wp:align>
          </wp:positionV>
          <wp:extent cx="7557770" cy="10690860"/>
          <wp:effectExtent l="0" t="0" r="5080" b="0"/>
          <wp:wrapNone/>
          <wp:docPr id="1693972902" name="Picture 16939729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3972902" name="Picture 1693972902"/>
                  <pic:cNvPicPr/>
                </pic:nvPicPr>
                <pic:blipFill>
                  <a:blip r:embed="rId1">
                    <a:extLst>
                      <a:ext uri="{28A0092B-C50C-407E-A947-70E740481C1C}">
                        <a14:useLocalDpi xmlns:a14="http://schemas.microsoft.com/office/drawing/2010/main" val="0"/>
                      </a:ext>
                    </a:extLst>
                  </a:blip>
                  <a:stretch>
                    <a:fillRect/>
                  </a:stretch>
                </pic:blipFill>
                <pic:spPr>
                  <a:xfrm>
                    <a:off x="0" y="0"/>
                    <a:ext cx="7558029" cy="10690953"/>
                  </a:xfrm>
                  <a:prstGeom prst="rect">
                    <a:avLst/>
                  </a:prstGeom>
                </pic:spPr>
              </pic:pic>
            </a:graphicData>
          </a:graphic>
          <wp14:sizeRelH relativeFrom="margin">
            <wp14:pctWidth>0</wp14:pctWidth>
          </wp14:sizeRelH>
          <wp14:sizeRelV relativeFrom="margin">
            <wp14:pctHeight>0</wp14:pctHeight>
          </wp14:sizeRelV>
        </wp:anchor>
      </w:drawing>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A11CEA" w14:textId="380D786B" w:rsidR="001301C1" w:rsidRPr="006D3C55" w:rsidRDefault="001301C1">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0D1F33" w14:textId="320C2127" w:rsidR="001301C1" w:rsidRPr="006D3C55" w:rsidRDefault="001301C1">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A6C8D1" w14:textId="21F1F859" w:rsidR="001301C1" w:rsidRPr="006D3C55" w:rsidRDefault="001301C1">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B5E254" w14:textId="18600E47" w:rsidR="001301C1" w:rsidRPr="006D3C55" w:rsidRDefault="001301C1">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5FE32C" w14:textId="37DBEADB" w:rsidR="001301C1" w:rsidRPr="006D3C55" w:rsidRDefault="001301C1">
    <w:pPr>
      <w:pStyle w:val="amprHeader-Left"/>
    </w:pPr>
    <w:r w:rsidRPr="006D3C55">
      <w:rPr>
        <w:noProof/>
        <w:lang w:eastAsia="en-GB"/>
      </w:rPr>
      <mc:AlternateContent>
        <mc:Choice Requires="wps">
          <w:drawing>
            <wp:anchor distT="0" distB="0" distL="114300" distR="114300" simplePos="0" relativeHeight="251658247" behindDoc="0" locked="1" layoutInCell="1" allowOverlap="1" wp14:anchorId="3B695B2E" wp14:editId="65B9A5C8">
              <wp:simplePos x="0" y="0"/>
              <wp:positionH relativeFrom="page">
                <wp:align>left</wp:align>
              </wp:positionH>
              <wp:positionV relativeFrom="page">
                <wp:align>top</wp:align>
              </wp:positionV>
              <wp:extent cx="7621200" cy="212400"/>
              <wp:effectExtent l="0" t="0" r="0" b="0"/>
              <wp:wrapNone/>
              <wp:docPr id="1751548662" name="Rectangle 175154866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621200" cy="212400"/>
                      </a:xfrm>
                      <a:prstGeom prst="rect">
                        <a:avLst/>
                      </a:prstGeom>
                      <a:solidFill>
                        <a:srgbClr val="DE600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arto="http://schemas.microsoft.com/office/word/2006/arto">
          <w:pict w14:anchorId="6C2A8B75">
            <v:rect id="Rectangle 1751548662" style="position:absolute;margin-left:0;margin-top:0;width:600.1pt;height:16.7pt;z-index:251662848;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middle" alt="&quot;&quot;" o:spid="_x0000_s1026" fillcolor="#de6002" stroked="f" strokeweight="1pt" w14:anchorId="4D57506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">
              <w10:wrap anchorx="page" anchory="page"/>
              <w10:anchorlock/>
            </v:rect>
          </w:pict>
        </mc:Fallback>
      </mc:AlternateContent>
    </w:r>
    <w:r w:rsidRPr="006D3C55">
      <w:t>Annual Management and Performance Report for the EU Budget</w:t>
    </w:r>
    <w:r w:rsidRPr="006D3C55">
      <w:rPr>
        <w:rFonts w:ascii="Calibri" w:hAnsi="Calibri" w:cs="Calibri"/>
      </w:rPr>
      <w:t> </w:t>
    </w:r>
    <w:r w:rsidRPr="006D3C55">
      <w:t>– 202</w:t>
    </w:r>
    <w:r w:rsidR="00757628" w:rsidRPr="006D3C55">
      <w:t>5</w:t>
    </w:r>
    <w:r w:rsidRPr="006D3C55">
      <w:t xml:space="preserve"> financial year</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B148AA" w14:textId="6D80F352" w:rsidR="001301C1" w:rsidRPr="006D3C55" w:rsidRDefault="001301C1">
    <w:pPr>
      <w:pStyle w:val="amprHeader-Right"/>
    </w:pPr>
    <w:r w:rsidRPr="006D3C55">
      <w:rPr>
        <w:noProof/>
        <w:lang w:eastAsia="en-GB"/>
      </w:rPr>
      <mc:AlternateContent>
        <mc:Choice Requires="wps">
          <w:drawing>
            <wp:anchor distT="0" distB="0" distL="114300" distR="114300" simplePos="0" relativeHeight="251658244" behindDoc="0" locked="1" layoutInCell="1" allowOverlap="1" wp14:anchorId="0BB93C6D" wp14:editId="131347E4">
              <wp:simplePos x="0" y="0"/>
              <wp:positionH relativeFrom="page">
                <wp:align>left</wp:align>
              </wp:positionH>
              <wp:positionV relativeFrom="page">
                <wp:align>top</wp:align>
              </wp:positionV>
              <wp:extent cx="7621200" cy="212400"/>
              <wp:effectExtent l="0" t="0" r="0" b="0"/>
              <wp:wrapNone/>
              <wp:docPr id="359779291" name="Rectangle 35977929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621200" cy="212400"/>
                      </a:xfrm>
                      <a:prstGeom prst="rect">
                        <a:avLst/>
                      </a:prstGeom>
                      <a:solidFill>
                        <a:srgbClr val="DE600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arto="http://schemas.microsoft.com/office/word/2006/arto">
          <w:pict w14:anchorId="49713346">
            <v:rect id="Rectangle 359779291" style="position:absolute;margin-left:0;margin-top:0;width:600.1pt;height:16.7pt;z-index:251655680;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middle" alt="&quot;&quot;" o:spid="_x0000_s1026" fillcolor="#de6002" stroked="f" strokeweight="1pt" w14:anchorId="1C07B92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">
              <w10:wrap anchorx="page" anchory="page"/>
              <w10:anchorlock/>
            </v:rect>
          </w:pict>
        </mc:Fallback>
      </mc:AlternateContent>
    </w:r>
    <w:r w:rsidRPr="006D3C55">
      <w:t>Annex</w:t>
    </w:r>
    <w:r w:rsidRPr="006D3C55">
      <w:rPr>
        <w:rFonts w:ascii="Calibri" w:hAnsi="Calibri" w:cs="Calibri"/>
      </w:rPr>
      <w:t> </w:t>
    </w:r>
    <w:r w:rsidRPr="006D3C55">
      <w:t>2</w:t>
    </w:r>
    <w:r w:rsidRPr="006D3C55">
      <w:rPr>
        <w:rFonts w:ascii="Calibri" w:hAnsi="Calibri" w:cs="Calibri"/>
      </w:rPr>
      <w:t> </w:t>
    </w:r>
    <w:r w:rsidRPr="006D3C55">
      <w:t>– Internal control and financial management</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503630" w14:textId="4EB89B19" w:rsidR="001301C1" w:rsidRPr="006D3C55" w:rsidRDefault="001301C1">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605583" w14:textId="00E7D440" w:rsidR="001301C1" w:rsidRPr="006D3C55" w:rsidRDefault="001301C1">
    <w:pPr>
      <w:pStyle w:val="amprHeader-Left"/>
    </w:pPr>
    <w:r w:rsidRPr="006D3C55">
      <w:rPr>
        <w:noProof/>
        <w:color w:val="2B579A"/>
        <w:shd w:val="clear" w:color="auto" w:fill="E6E6E6"/>
        <w:lang w:eastAsia="en-GB"/>
      </w:rPr>
      <mc:AlternateContent>
        <mc:Choice Requires="wps">
          <w:drawing>
            <wp:anchor distT="0" distB="0" distL="114300" distR="114300" simplePos="0" relativeHeight="251658248" behindDoc="0" locked="1" layoutInCell="1" allowOverlap="1" wp14:anchorId="722ED794" wp14:editId="0A11339E">
              <wp:simplePos x="0" y="0"/>
              <wp:positionH relativeFrom="page">
                <wp:align>left</wp:align>
              </wp:positionH>
              <wp:positionV relativeFrom="page">
                <wp:align>top</wp:align>
              </wp:positionV>
              <wp:extent cx="7621200" cy="212400"/>
              <wp:effectExtent l="0" t="0" r="0" b="0"/>
              <wp:wrapNone/>
              <wp:docPr id="1879538787" name="Rectangle 187953878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7621200" cy="212400"/>
                      </a:xfrm>
                      <a:prstGeom prst="rect">
                        <a:avLst/>
                      </a:prstGeom>
                      <a:solidFill>
                        <a:srgbClr val="F36E44"/>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rto="http://schemas.microsoft.com/office/word/2006/arto">
          <w:pict w14:anchorId="6BBDFC4F">
            <v:rect id="Rectangle 1879538787" style="position:absolute;margin-left:0;margin-top:0;width:600.1pt;height:16.7pt;z-index:251659264;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middle" o:spid="_x0000_s1026" fillcolor="#f36e44" stroked="f" strokeweight="1pt" w14:anchorId="667972E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">
              <o:lock v:ext="edit" aspectratio="t"/>
              <w10:wrap anchorx="page" anchory="page"/>
              <w10:anchorlock/>
            </v:rect>
          </w:pict>
        </mc:Fallback>
      </mc:AlternateContent>
    </w:r>
    <w:r w:rsidRPr="006D3C55">
      <w:t>Annual Management and Performance Report for the EU Budget</w:t>
    </w:r>
    <w:r w:rsidRPr="006D3C55">
      <w:rPr>
        <w:rFonts w:ascii="Calibri" w:hAnsi="Calibri" w:cs="Calibri"/>
      </w:rPr>
      <w:t> </w:t>
    </w:r>
    <w:r w:rsidRPr="006D3C55">
      <w:t>– 2023 financial year</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F5E8C6" w14:textId="26DA656A" w:rsidR="001301C1" w:rsidRPr="006D3C55" w:rsidRDefault="001301C1">
    <w:pPr>
      <w:pStyle w:val="amprHeader-Right"/>
    </w:pPr>
    <w:r w:rsidRPr="006D3C55">
      <w:rPr>
        <w:noProof/>
        <w:color w:val="2B579A"/>
        <w:shd w:val="clear" w:color="auto" w:fill="E6E6E6"/>
        <w:lang w:eastAsia="en-GB"/>
      </w:rPr>
      <mc:AlternateContent>
        <mc:Choice Requires="wps">
          <w:drawing>
            <wp:anchor distT="0" distB="0" distL="114300" distR="114300" simplePos="0" relativeHeight="251658240" behindDoc="0" locked="1" layoutInCell="1" allowOverlap="1" wp14:anchorId="7E84F26F" wp14:editId="4D558568">
              <wp:simplePos x="0" y="0"/>
              <wp:positionH relativeFrom="page">
                <wp:align>left</wp:align>
              </wp:positionH>
              <wp:positionV relativeFrom="page">
                <wp:align>top</wp:align>
              </wp:positionV>
              <wp:extent cx="7621200" cy="212400"/>
              <wp:effectExtent l="0" t="0" r="0" b="0"/>
              <wp:wrapNone/>
              <wp:docPr id="13" name="Rectangle 1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7621200" cy="212400"/>
                      </a:xfrm>
                      <a:prstGeom prst="rect">
                        <a:avLst/>
                      </a:prstGeom>
                      <a:solidFill>
                        <a:srgbClr val="F36E44"/>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rto="http://schemas.microsoft.com/office/word/2006/arto">
          <w:pict w14:anchorId="29CC5721">
            <v:rect id="Rectangle 13" style="position:absolute;margin-left:0;margin-top:0;width:600.1pt;height:16.7pt;z-index:251659264;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middle" o:spid="_x0000_s1026" fillcolor="#f36e44" stroked="f" strokeweight="1pt" w14:anchorId="3B57BAD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">
              <o:lock v:ext="edit" aspectratio="t"/>
              <w10:wrap anchorx="page" anchory="page"/>
              <w10:anchorlock/>
            </v:rect>
          </w:pict>
        </mc:Fallback>
      </mc:AlternateContent>
    </w:r>
    <w:r w:rsidRPr="006D3C55">
      <w:t>Annex</w:t>
    </w:r>
    <w:r w:rsidRPr="006D3C55">
      <w:rPr>
        <w:rFonts w:ascii="Calibri" w:hAnsi="Calibri" w:cs="Calibri"/>
      </w:rPr>
      <w:t> </w:t>
    </w:r>
    <w:r w:rsidRPr="006D3C55">
      <w:t>2</w:t>
    </w:r>
    <w:r w:rsidRPr="006D3C55">
      <w:rPr>
        <w:rFonts w:ascii="Calibri" w:hAnsi="Calibri" w:cs="Calibri"/>
      </w:rPr>
      <w:t> </w:t>
    </w:r>
    <w:r w:rsidRPr="006D3C55">
      <w:t>– Internal control and financial management</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915DE0" w14:textId="219B2A1E" w:rsidR="001301C1" w:rsidRPr="006D3C55" w:rsidRDefault="001301C1">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D0396D" w14:textId="351C02D5" w:rsidR="001301C1" w:rsidRPr="006D3C55" w:rsidRDefault="001301C1">
    <w:pPr>
      <w:pStyle w:val="amprHeader-Left"/>
    </w:pPr>
    <w:r w:rsidRPr="006D3C55">
      <w:rPr>
        <w:noProof/>
        <w:lang w:eastAsia="en-GB"/>
      </w:rPr>
      <mc:AlternateContent>
        <mc:Choice Requires="wps">
          <w:drawing>
            <wp:anchor distT="0" distB="0" distL="114300" distR="114300" simplePos="0" relativeHeight="251658241" behindDoc="0" locked="1" layoutInCell="1" allowOverlap="1" wp14:anchorId="3722CADF" wp14:editId="4D488709">
              <wp:simplePos x="0" y="0"/>
              <wp:positionH relativeFrom="page">
                <wp:align>left</wp:align>
              </wp:positionH>
              <wp:positionV relativeFrom="page">
                <wp:align>top</wp:align>
              </wp:positionV>
              <wp:extent cx="7621200" cy="212400"/>
              <wp:effectExtent l="0" t="0" r="0" b="0"/>
              <wp:wrapNone/>
              <wp:docPr id="18" name="Rectangle 1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621200" cy="212400"/>
                      </a:xfrm>
                      <a:prstGeom prst="rect">
                        <a:avLst/>
                      </a:prstGeom>
                      <a:solidFill>
                        <a:srgbClr val="DE600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arto="http://schemas.microsoft.com/office/word/2006/arto">
          <w:pict w14:anchorId="2C9F6CA7">
            <v:rect id="Rectangle 18" style="position:absolute;margin-left:0;margin-top:0;width:600.1pt;height:16.7pt;z-index:251652608;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middle" alt="&quot;&quot;" o:spid="_x0000_s1026" fillcolor="#de6002" stroked="f" strokeweight="1pt" w14:anchorId="56CF4EB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">
              <w10:wrap anchorx="page" anchory="page"/>
              <w10:anchorlock/>
            </v:rect>
          </w:pict>
        </mc:Fallback>
      </mc:AlternateContent>
    </w:r>
    <w:r w:rsidRPr="006D3C55">
      <w:t>Annual Management and Performance Report for the EU Budget</w:t>
    </w:r>
    <w:r w:rsidRPr="006D3C55">
      <w:rPr>
        <w:rFonts w:ascii="Calibri" w:hAnsi="Calibri" w:cs="Calibri"/>
      </w:rPr>
      <w:t> </w:t>
    </w:r>
    <w:r w:rsidRPr="006D3C55">
      <w:t>– 202</w:t>
    </w:r>
    <w:r w:rsidR="0047261A" w:rsidRPr="006D3C55">
      <w:t>5</w:t>
    </w:r>
    <w:r w:rsidRPr="006D3C55">
      <w:t xml:space="preserve"> financial year</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80DF9F" w14:textId="72375683" w:rsidR="001301C1" w:rsidRPr="006D3C55" w:rsidRDefault="001301C1">
    <w:pPr>
      <w:pStyle w:val="amprHeader-Right"/>
    </w:pPr>
    <w:r w:rsidRPr="006D3C55">
      <w:rPr>
        <w:noProof/>
        <w:lang w:eastAsia="en-GB"/>
      </w:rPr>
      <mc:AlternateContent>
        <mc:Choice Requires="wps">
          <w:drawing>
            <wp:anchor distT="0" distB="0" distL="114300" distR="114300" simplePos="0" relativeHeight="251658246" behindDoc="0" locked="1" layoutInCell="1" allowOverlap="1" wp14:anchorId="5D290F7F" wp14:editId="7BB8679E">
              <wp:simplePos x="0" y="0"/>
              <wp:positionH relativeFrom="page">
                <wp:align>left</wp:align>
              </wp:positionH>
              <wp:positionV relativeFrom="page">
                <wp:align>top</wp:align>
              </wp:positionV>
              <wp:extent cx="7621200" cy="212400"/>
              <wp:effectExtent l="0" t="0" r="0" b="0"/>
              <wp:wrapNone/>
              <wp:docPr id="1698690205" name="Rectangle 169869020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621200" cy="212400"/>
                      </a:xfrm>
                      <a:prstGeom prst="rect">
                        <a:avLst/>
                      </a:prstGeom>
                      <a:solidFill>
                        <a:srgbClr val="DE600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arto="http://schemas.microsoft.com/office/word/2006/arto">
          <w:pict w14:anchorId="0AEA3ED9">
            <v:rect id="Rectangle 1698690205" style="position:absolute;margin-left:0;margin-top:0;width:600.1pt;height:16.7pt;z-index:251661824;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middle" alt="&quot;&quot;" o:spid="_x0000_s1026" fillcolor="#de6002" stroked="f" strokeweight="1pt" w14:anchorId="503ABCF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">
              <w10:wrap anchorx="page" anchory="page"/>
              <w10:anchorlock/>
            </v:rect>
          </w:pict>
        </mc:Fallback>
      </mc:AlternateContent>
    </w:r>
    <w:r w:rsidRPr="006D3C55">
      <w:t>Annex</w:t>
    </w:r>
    <w:r w:rsidRPr="006D3C55">
      <w:rPr>
        <w:rFonts w:ascii="Calibri" w:hAnsi="Calibri" w:cs="Calibri"/>
      </w:rPr>
      <w:t> </w:t>
    </w:r>
    <w:r w:rsidRPr="006D3C55">
      <w:t>2</w:t>
    </w:r>
    <w:r w:rsidRPr="006D3C55">
      <w:rPr>
        <w:rFonts w:ascii="Calibri" w:hAnsi="Calibri" w:cs="Calibri"/>
      </w:rPr>
      <w:t> </w:t>
    </w:r>
    <w:r w:rsidRPr="006D3C55">
      <w:t>– Internal control and financial management</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2D9A6D" w14:textId="43B7413E" w:rsidR="001301C1" w:rsidRPr="006D3C55" w:rsidRDefault="001301C1">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B30E95" w14:textId="3F7A491F" w:rsidR="001301C1" w:rsidRPr="006D3C55" w:rsidRDefault="001301C1">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339D8F" w14:textId="0AC1C271" w:rsidR="001301C1" w:rsidRPr="006D3C55" w:rsidRDefault="001301C1">
    <w:pPr>
      <w:pStyle w:val="Header"/>
    </w:pPr>
    <w:r w:rsidRPr="006D3C55">
      <w:rPr>
        <w:noProof/>
        <w:color w:val="2B579A"/>
        <w:shd w:val="clear" w:color="auto" w:fill="E6E6E6"/>
      </w:rPr>
      <w:drawing>
        <wp:anchor distT="0" distB="0" distL="114300" distR="114300" simplePos="0" relativeHeight="251658251" behindDoc="1" locked="1" layoutInCell="1" allowOverlap="1" wp14:anchorId="3319ACBF" wp14:editId="2759775D">
          <wp:simplePos x="0" y="0"/>
          <wp:positionH relativeFrom="page">
            <wp:align>left</wp:align>
          </wp:positionH>
          <wp:positionV relativeFrom="page">
            <wp:align>top</wp:align>
          </wp:positionV>
          <wp:extent cx="7556500" cy="10688955"/>
          <wp:effectExtent l="0" t="0" r="6350" b="0"/>
          <wp:wrapNone/>
          <wp:docPr id="1849453943" name="Picture 18494539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9453943" name="Picture 1849453943"/>
                  <pic:cNvPicPr/>
                </pic:nvPicPr>
                <pic:blipFill>
                  <a:blip r:embed="rId1">
                    <a:extLst>
                      <a:ext uri="{28A0092B-C50C-407E-A947-70E740481C1C}">
                        <a14:useLocalDpi xmlns:a14="http://schemas.microsoft.com/office/drawing/2010/main" val="0"/>
                      </a:ext>
                    </a:extLst>
                  </a:blip>
                  <a:stretch>
                    <a:fillRect/>
                  </a:stretch>
                </pic:blipFill>
                <pic:spPr>
                  <a:xfrm>
                    <a:off x="0" y="0"/>
                    <a:ext cx="7556798" cy="10689212"/>
                  </a:xfrm>
                  <a:prstGeom prst="rect">
                    <a:avLst/>
                  </a:prstGeom>
                </pic:spPr>
              </pic:pic>
            </a:graphicData>
          </a:graphic>
          <wp14:sizeRelH relativeFrom="margin">
            <wp14:pctWidth>0</wp14:pctWidth>
          </wp14:sizeRelH>
          <wp14:sizeRelV relativeFrom="margin">
            <wp14:pctHeight>0</wp14:pctHeight>
          </wp14:sizeRelV>
        </wp:anchor>
      </w:drawing>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236B5D" w14:textId="5EE566E5" w:rsidR="001301C1" w:rsidRPr="006D3C55" w:rsidRDefault="001301C1">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3A5CE3" w14:textId="61ABBFD0" w:rsidR="001301C1" w:rsidRPr="006D3C55" w:rsidRDefault="001301C1">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8D40A9" w14:textId="07E47E8C" w:rsidR="001301C1" w:rsidRPr="006D3C55" w:rsidRDefault="001301C1">
    <w:pPr>
      <w:pStyle w:val="amprHeader-Right"/>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088503" w14:textId="1D11348B" w:rsidR="001301C1" w:rsidRPr="006D3C55" w:rsidRDefault="001301C1">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484F7F" w14:textId="67910ABE" w:rsidR="001301C1" w:rsidRPr="006D3C55" w:rsidRDefault="001301C1">
    <w:pPr>
      <w:pStyle w:val="amprHeader-Left"/>
    </w:pPr>
    <w:r w:rsidRPr="006D3C55">
      <w:rPr>
        <w:noProof/>
        <w:lang w:eastAsia="en-GB"/>
      </w:rPr>
      <mc:AlternateContent>
        <mc:Choice Requires="wps">
          <w:drawing>
            <wp:anchor distT="0" distB="0" distL="114300" distR="114300" simplePos="0" relativeHeight="251658245" behindDoc="0" locked="1" layoutInCell="1" allowOverlap="1" wp14:anchorId="4D5DBD2C" wp14:editId="3E5234F4">
              <wp:simplePos x="0" y="0"/>
              <wp:positionH relativeFrom="page">
                <wp:align>left</wp:align>
              </wp:positionH>
              <wp:positionV relativeFrom="page">
                <wp:align>top</wp:align>
              </wp:positionV>
              <wp:extent cx="7621200" cy="212400"/>
              <wp:effectExtent l="0" t="0" r="0" b="0"/>
              <wp:wrapNone/>
              <wp:docPr id="945810989" name="Rectangle 94581098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621200" cy="212400"/>
                      </a:xfrm>
                      <a:prstGeom prst="rect">
                        <a:avLst/>
                      </a:prstGeom>
                      <a:solidFill>
                        <a:schemeClr val="accent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w:pict>
            <v:rect w14:anchorId="3567946D" id="Rectangle 945810989" o:spid="_x0000_s1026" alt="&quot;&quot;" style="position:absolute;margin-left:0;margin-top:0;width:600.1pt;height:16.7pt;z-index:251658246;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" fillcolor="#de6002 [3205]" stroked="f" strokeweight="1pt">
              <w10:wrap anchorx="page" anchory="page"/>
              <w10:anchorlock/>
            </v:rect>
          </w:pict>
        </mc:Fallback>
      </mc:AlternateContent>
    </w:r>
    <w:r w:rsidRPr="006D3C55">
      <w:t>Annual Management and Performance Report for the EU Budget</w:t>
    </w:r>
    <w:r w:rsidRPr="006D3C55">
      <w:rPr>
        <w:rFonts w:ascii="Calibri" w:hAnsi="Calibri" w:cs="Calibri"/>
      </w:rPr>
      <w:t> </w:t>
    </w:r>
    <w:r w:rsidRPr="006D3C55">
      <w:t>– 202</w:t>
    </w:r>
    <w:r w:rsidR="0051081D" w:rsidRPr="006D3C55">
      <w:t>5</w:t>
    </w:r>
    <w:r w:rsidRPr="006D3C55">
      <w:t xml:space="preserve"> financial year</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2DD8F5" w14:textId="49218205" w:rsidR="001301C1" w:rsidRPr="006D3C55" w:rsidRDefault="001301C1">
    <w:pPr>
      <w:pStyle w:val="amprHeader-Right"/>
    </w:pPr>
    <w:r w:rsidRPr="006D3C55">
      <w:rPr>
        <w:noProof/>
        <w:lang w:eastAsia="en-GB"/>
      </w:rPr>
      <mc:AlternateContent>
        <mc:Choice Requires="wps">
          <w:drawing>
            <wp:anchor distT="0" distB="0" distL="114300" distR="114300" simplePos="0" relativeHeight="251658243" behindDoc="0" locked="1" layoutInCell="1" allowOverlap="1" wp14:anchorId="02CBC63E" wp14:editId="67135E48">
              <wp:simplePos x="0" y="0"/>
              <wp:positionH relativeFrom="page">
                <wp:align>left</wp:align>
              </wp:positionH>
              <wp:positionV relativeFrom="page">
                <wp:align>top</wp:align>
              </wp:positionV>
              <wp:extent cx="7621200" cy="212400"/>
              <wp:effectExtent l="0" t="0" r="0" b="0"/>
              <wp:wrapNone/>
              <wp:docPr id="304297336" name="Rectangle 30429733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621200" cy="212400"/>
                      </a:xfrm>
                      <a:prstGeom prst="rect">
                        <a:avLst/>
                      </a:prstGeom>
                      <a:solidFill>
                        <a:schemeClr val="accent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w:pict>
            <v:rect w14:anchorId="4C0C81FB" id="Rectangle 304297336" o:spid="_x0000_s1026" alt="&quot;&quot;" style="position:absolute;margin-left:0;margin-top:0;width:600.1pt;height:16.7pt;z-index:251658243;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" fillcolor="#de6002 [3205]" stroked="f" strokeweight="1pt">
              <w10:wrap anchorx="page" anchory="page"/>
              <w10:anchorlock/>
            </v:rect>
          </w:pict>
        </mc:Fallback>
      </mc:AlternateContent>
    </w:r>
    <w:r w:rsidRPr="006D3C55">
      <w:t>Annex</w:t>
    </w:r>
    <w:r w:rsidRPr="006D3C55">
      <w:rPr>
        <w:rFonts w:ascii="Calibri" w:hAnsi="Calibri" w:cs="Calibri"/>
      </w:rPr>
      <w:t> </w:t>
    </w:r>
    <w:r w:rsidRPr="006D3C55">
      <w:t>3</w:t>
    </w:r>
    <w:r w:rsidRPr="006D3C55">
      <w:rPr>
        <w:rFonts w:ascii="Calibri" w:hAnsi="Calibri" w:cs="Calibri"/>
      </w:rPr>
      <w:t> </w:t>
    </w:r>
    <w:r w:rsidRPr="006D3C55">
      <w:t>– The Recovery and Resilience Facility</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A01CD5" w14:textId="70BD479A" w:rsidR="001301C1" w:rsidRPr="006D3C55" w:rsidRDefault="001301C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72A0CD38"/>
    <w:lvl w:ilvl="0">
      <w:start w:val="1"/>
      <w:numFmt w:val="decimal"/>
      <w:pStyle w:val="ListNumber5"/>
      <w:lvlText w:val="%1."/>
      <w:lvlJc w:val="left"/>
      <w:pPr>
        <w:tabs>
          <w:tab w:val="num" w:pos="696"/>
        </w:tabs>
        <w:ind w:left="696" w:hanging="360"/>
      </w:pPr>
    </w:lvl>
  </w:abstractNum>
  <w:abstractNum w:abstractNumId="1" w15:restartNumberingAfterBreak="0">
    <w:nsid w:val="FFFFFF7D"/>
    <w:multiLevelType w:val="singleLevel"/>
    <w:tmpl w:val="A4CC912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BBCB84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EE165B3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C4AC9FF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multilevel"/>
    <w:tmpl w:val="111E0B02"/>
    <w:styleLink w:val="amprLISTgreenbullets"/>
    <w:lvl w:ilvl="0">
      <w:start w:val="1"/>
      <w:numFmt w:val="decimal"/>
      <w:pStyle w:val="ListBullet4"/>
      <w:lvlText w:val="%1."/>
      <w:lvlJc w:val="left"/>
      <w:pPr>
        <w:ind w:left="397" w:hanging="397"/>
      </w:pPr>
      <w:rPr>
        <w:rFonts w:hint="default"/>
      </w:rPr>
    </w:lvl>
    <w:lvl w:ilvl="1">
      <w:start w:val="1"/>
      <w:numFmt w:val="decimal"/>
      <w:lvlText w:val="%1.%2."/>
      <w:lvlJc w:val="left"/>
      <w:pPr>
        <w:ind w:left="624" w:hanging="624"/>
      </w:pPr>
      <w:rPr>
        <w:rFonts w:hint="default"/>
      </w:rPr>
    </w:lvl>
    <w:lvl w:ilvl="2">
      <w:start w:val="1"/>
      <w:numFmt w:val="decimal"/>
      <w:lvlText w:val="%1.%2.%3."/>
      <w:lvlJc w:val="left"/>
      <w:pPr>
        <w:ind w:left="850" w:hanging="850"/>
      </w:pPr>
      <w:rPr>
        <w:rFonts w:hint="default"/>
      </w:rPr>
    </w:lvl>
    <w:lvl w:ilvl="3">
      <w:start w:val="1"/>
      <w:numFmt w:val="decimal"/>
      <w:lvlText w:val="%1.%2.%3.%4."/>
      <w:lvlJc w:val="left"/>
      <w:pPr>
        <w:ind w:left="1077" w:hanging="1077"/>
      </w:pPr>
      <w:rPr>
        <w:rFonts w:hint="default"/>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6" w15:restartNumberingAfterBreak="0">
    <w:nsid w:val="FFFFFF82"/>
    <w:multiLevelType w:val="singleLevel"/>
    <w:tmpl w:val="8FD4480C"/>
    <w:styleLink w:val="LISTAboutEUpage"/>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200095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09687F6E"/>
    <w:multiLevelType w:val="multilevel"/>
    <w:tmpl w:val="1B9A6BE2"/>
    <w:name w:val="ListNumberNumbering"/>
    <w:lvl w:ilvl="0">
      <w:start w:val="1"/>
      <w:numFmt w:val="decimal"/>
      <w:pStyle w:val="ListNumber"/>
      <w:lvlText w:val="%1."/>
      <w:lvlJc w:val="left"/>
      <w:pPr>
        <w:ind w:left="794" w:hanging="397"/>
      </w:pPr>
      <w:rPr>
        <w:rFonts w:hint="default"/>
      </w:rPr>
    </w:lvl>
    <w:lvl w:ilvl="1">
      <w:start w:val="1"/>
      <w:numFmt w:val="decimal"/>
      <w:pStyle w:val="ListNumberLevel2"/>
      <w:lvlText w:val="%1.%2."/>
      <w:lvlJc w:val="left"/>
      <w:pPr>
        <w:ind w:left="1587" w:hanging="510"/>
      </w:pPr>
      <w:rPr>
        <w:rFonts w:hint="default"/>
      </w:rPr>
    </w:lvl>
    <w:lvl w:ilvl="2">
      <w:start w:val="1"/>
      <w:numFmt w:val="decimal"/>
      <w:pStyle w:val="ListNumberLevel3"/>
      <w:lvlText w:val="%1.%2.%3."/>
      <w:lvlJc w:val="left"/>
      <w:pPr>
        <w:ind w:left="2381" w:hanging="680"/>
      </w:pPr>
      <w:rPr>
        <w:rFonts w:hint="default"/>
      </w:rPr>
    </w:lvl>
    <w:lvl w:ilvl="3">
      <w:start w:val="1"/>
      <w:numFmt w:val="decimal"/>
      <w:pStyle w:val="ListNumberLevel4"/>
      <w:lvlText w:val="%1.%2.%3.%4."/>
      <w:lvlJc w:val="left"/>
      <w:pPr>
        <w:ind w:left="3175" w:hanging="794"/>
      </w:pPr>
      <w:rPr>
        <w:rFonts w:hint="default"/>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9" w15:restartNumberingAfterBreak="0">
    <w:nsid w:val="0A9F180B"/>
    <w:multiLevelType w:val="multilevel"/>
    <w:tmpl w:val="567660E0"/>
    <w:name w:val="List_abc_LIST2"/>
    <w:lvl w:ilvl="0">
      <w:start w:val="1"/>
      <w:numFmt w:val="lowerLetter"/>
      <w:pStyle w:val="Listabc"/>
      <w:lvlText w:val="(%1)"/>
      <w:lvlJc w:val="left"/>
      <w:pPr>
        <w:tabs>
          <w:tab w:val="num" w:pos="1440"/>
        </w:tabs>
        <w:ind w:left="794" w:hanging="397"/>
      </w:pPr>
      <w:rPr>
        <w:rFonts w:hint="default"/>
      </w:rPr>
    </w:lvl>
    <w:lvl w:ilvl="1">
      <w:start w:val="1"/>
      <w:numFmt w:val="lowerRoman"/>
      <w:pStyle w:val="ListabcLevel2"/>
      <w:lvlText w:val="(%2)"/>
      <w:lvlJc w:val="left"/>
      <w:pPr>
        <w:tabs>
          <w:tab w:val="num" w:pos="11340"/>
        </w:tabs>
        <w:ind w:left="1588" w:hanging="397"/>
      </w:pPr>
      <w:rPr>
        <w:rFonts w:hint="default"/>
      </w:rPr>
    </w:lvl>
    <w:lvl w:ilvl="2">
      <w:start w:val="1"/>
      <w:numFmt w:val="decimal"/>
      <w:pStyle w:val="ListabcLevel3"/>
      <w:lvlText w:val="(%3)"/>
      <w:lvlJc w:val="left"/>
      <w:pPr>
        <w:tabs>
          <w:tab w:val="num" w:pos="3027"/>
        </w:tabs>
        <w:ind w:left="2381" w:hanging="396"/>
      </w:pPr>
      <w:rPr>
        <w:rFonts w:asciiTheme="minorHAnsi" w:hAnsiTheme="minorHAnsi" w:hint="default"/>
      </w:rPr>
    </w:lvl>
    <w:lvl w:ilvl="3">
      <w:numFmt w:val="bullet"/>
      <w:lvlText w:val="—"/>
      <w:lvlJc w:val="left"/>
      <w:pPr>
        <w:tabs>
          <w:tab w:val="num" w:pos="2665"/>
        </w:tabs>
        <w:ind w:left="3005" w:hanging="340"/>
      </w:pPr>
      <w:rPr>
        <w:rFonts w:ascii="EC Square Sans Pro" w:hAnsi="EC Square Sans Pro" w:hint="default"/>
      </w:rPr>
    </w:lvl>
    <w:lvl w:ilvl="4">
      <w:numFmt w:val="none"/>
      <w:lvlText w:val=""/>
      <w:lvlJc w:val="left"/>
      <w:pPr>
        <w:ind w:left="0" w:firstLine="0"/>
      </w:pPr>
      <w:rPr>
        <w:rFonts w:hint="default"/>
      </w:rPr>
    </w:lvl>
    <w:lvl w:ilvl="5">
      <w:numFmt w:val="none"/>
      <w:lvlText w:val=""/>
      <w:lvlJc w:val="left"/>
      <w:pPr>
        <w:ind w:left="0" w:firstLine="0"/>
      </w:pPr>
      <w:rPr>
        <w:rFonts w:hint="default"/>
      </w:rPr>
    </w:lvl>
    <w:lvl w:ilvl="6">
      <w:numFmt w:val="none"/>
      <w:lvlText w:val=""/>
      <w:lvlJc w:val="left"/>
      <w:pPr>
        <w:ind w:left="0" w:firstLine="0"/>
      </w:pPr>
      <w:rPr>
        <w:rFonts w:hint="default"/>
      </w:rPr>
    </w:lvl>
    <w:lvl w:ilvl="7">
      <w:numFmt w:val="none"/>
      <w:lvlText w:val=""/>
      <w:lvlJc w:val="left"/>
      <w:pPr>
        <w:ind w:left="0" w:firstLine="0"/>
      </w:pPr>
      <w:rPr>
        <w:rFonts w:hint="default"/>
      </w:rPr>
    </w:lvl>
    <w:lvl w:ilvl="8">
      <w:numFmt w:val="none"/>
      <w:lvlText w:val=""/>
      <w:lvlJc w:val="left"/>
      <w:pPr>
        <w:ind w:left="0" w:firstLine="0"/>
      </w:pPr>
      <w:rPr>
        <w:rFonts w:hint="default"/>
      </w:rPr>
    </w:lvl>
  </w:abstractNum>
  <w:abstractNum w:abstractNumId="10" w15:restartNumberingAfterBreak="0">
    <w:nsid w:val="11153D01"/>
    <w:multiLevelType w:val="hybridMultilevel"/>
    <w:tmpl w:val="6A363202"/>
    <w:lvl w:ilvl="0" w:tplc="1876B4E0">
      <w:start w:val="1"/>
      <w:numFmt w:val="bullet"/>
      <w:pStyle w:val="HeadingNumbered1"/>
      <w:lvlText w:val="·"/>
      <w:lvlJc w:val="left"/>
      <w:pPr>
        <w:ind w:left="661" w:hanging="360"/>
      </w:pPr>
      <w:rPr>
        <w:rFonts w:ascii="Symbol" w:hAnsi="Symbol" w:hint="default"/>
        <w:color w:val="DC3903"/>
        <w:sz w:val="16"/>
      </w:rPr>
    </w:lvl>
    <w:lvl w:ilvl="1" w:tplc="07F0D404">
      <w:start w:val="1"/>
      <w:numFmt w:val="bullet"/>
      <w:pStyle w:val="HeadingNumbered2"/>
      <w:lvlText w:val="o"/>
      <w:lvlJc w:val="left"/>
      <w:pPr>
        <w:ind w:left="1682" w:hanging="360"/>
      </w:pPr>
      <w:rPr>
        <w:rFonts w:ascii="Courier New" w:hAnsi="Courier New" w:hint="default"/>
      </w:rPr>
    </w:lvl>
    <w:lvl w:ilvl="2" w:tplc="3224E5FC">
      <w:start w:val="1"/>
      <w:numFmt w:val="bullet"/>
      <w:pStyle w:val="HeadingNumbered3"/>
      <w:lvlText w:val=""/>
      <w:lvlJc w:val="left"/>
      <w:pPr>
        <w:ind w:left="2402" w:hanging="360"/>
      </w:pPr>
      <w:rPr>
        <w:rFonts w:ascii="Wingdings" w:hAnsi="Wingdings" w:hint="default"/>
      </w:rPr>
    </w:lvl>
    <w:lvl w:ilvl="3" w:tplc="9418E254">
      <w:start w:val="1"/>
      <w:numFmt w:val="bullet"/>
      <w:pStyle w:val="HeadingNumbered4"/>
      <w:lvlText w:val=""/>
      <w:lvlJc w:val="left"/>
      <w:pPr>
        <w:ind w:left="3122" w:hanging="360"/>
      </w:pPr>
      <w:rPr>
        <w:rFonts w:ascii="Symbol" w:hAnsi="Symbol" w:hint="default"/>
      </w:rPr>
    </w:lvl>
    <w:lvl w:ilvl="4" w:tplc="2EC47462">
      <w:start w:val="1"/>
      <w:numFmt w:val="bullet"/>
      <w:pStyle w:val="HeadingNumbered5"/>
      <w:lvlText w:val="o"/>
      <w:lvlJc w:val="left"/>
      <w:pPr>
        <w:ind w:left="3842" w:hanging="360"/>
      </w:pPr>
      <w:rPr>
        <w:rFonts w:ascii="Courier New" w:hAnsi="Courier New" w:hint="default"/>
      </w:rPr>
    </w:lvl>
    <w:lvl w:ilvl="5" w:tplc="430ECF8E">
      <w:start w:val="1"/>
      <w:numFmt w:val="bullet"/>
      <w:pStyle w:val="HeadingNumbered6"/>
      <w:lvlText w:val=""/>
      <w:lvlJc w:val="left"/>
      <w:pPr>
        <w:ind w:left="4562" w:hanging="360"/>
      </w:pPr>
      <w:rPr>
        <w:rFonts w:ascii="Wingdings" w:hAnsi="Wingdings" w:hint="default"/>
      </w:rPr>
    </w:lvl>
    <w:lvl w:ilvl="6" w:tplc="128CE28E">
      <w:start w:val="1"/>
      <w:numFmt w:val="bullet"/>
      <w:pStyle w:val="HeadingNumbered7"/>
      <w:lvlText w:val=""/>
      <w:lvlJc w:val="left"/>
      <w:pPr>
        <w:ind w:left="5282" w:hanging="360"/>
      </w:pPr>
      <w:rPr>
        <w:rFonts w:ascii="Symbol" w:hAnsi="Symbol" w:hint="default"/>
      </w:rPr>
    </w:lvl>
    <w:lvl w:ilvl="7" w:tplc="203A964A">
      <w:start w:val="1"/>
      <w:numFmt w:val="bullet"/>
      <w:pStyle w:val="HeadingNumbered8"/>
      <w:lvlText w:val="o"/>
      <w:lvlJc w:val="left"/>
      <w:pPr>
        <w:ind w:left="6002" w:hanging="360"/>
      </w:pPr>
      <w:rPr>
        <w:rFonts w:ascii="Courier New" w:hAnsi="Courier New" w:hint="default"/>
      </w:rPr>
    </w:lvl>
    <w:lvl w:ilvl="8" w:tplc="FF027D66">
      <w:start w:val="1"/>
      <w:numFmt w:val="bullet"/>
      <w:pStyle w:val="HeadingNumbered9"/>
      <w:lvlText w:val=""/>
      <w:lvlJc w:val="left"/>
      <w:pPr>
        <w:ind w:left="6722" w:hanging="360"/>
      </w:pPr>
      <w:rPr>
        <w:rFonts w:ascii="Wingdings" w:hAnsi="Wingdings" w:hint="default"/>
      </w:rPr>
    </w:lvl>
  </w:abstractNum>
  <w:abstractNum w:abstractNumId="11" w15:restartNumberingAfterBreak="0">
    <w:nsid w:val="11153D02"/>
    <w:multiLevelType w:val="multilevel"/>
    <w:tmpl w:val="111E0B02"/>
    <w:name w:val="ListNumberNonindentedNumbering"/>
    <w:lvl w:ilvl="0">
      <w:start w:val="1"/>
      <w:numFmt w:val="decimal"/>
      <w:lvlText w:val="%1."/>
      <w:lvlJc w:val="left"/>
      <w:pPr>
        <w:ind w:left="397" w:hanging="397"/>
      </w:pPr>
      <w:rPr>
        <w:rFonts w:hint="default"/>
      </w:rPr>
    </w:lvl>
    <w:lvl w:ilvl="1">
      <w:start w:val="1"/>
      <w:numFmt w:val="decimal"/>
      <w:lvlText w:val="%1.%2."/>
      <w:lvlJc w:val="left"/>
      <w:pPr>
        <w:ind w:left="624" w:hanging="624"/>
      </w:pPr>
      <w:rPr>
        <w:rFonts w:hint="default"/>
      </w:rPr>
    </w:lvl>
    <w:lvl w:ilvl="2">
      <w:start w:val="1"/>
      <w:numFmt w:val="decimal"/>
      <w:lvlText w:val="%1.%2.%3."/>
      <w:lvlJc w:val="left"/>
      <w:pPr>
        <w:ind w:left="850" w:hanging="850"/>
      </w:pPr>
      <w:rPr>
        <w:rFonts w:hint="default"/>
      </w:rPr>
    </w:lvl>
    <w:lvl w:ilvl="3">
      <w:start w:val="1"/>
      <w:numFmt w:val="decimal"/>
      <w:lvlText w:val="%1.%2.%3.%4."/>
      <w:lvlJc w:val="left"/>
      <w:pPr>
        <w:ind w:left="1077" w:hanging="1077"/>
      </w:pPr>
      <w:rPr>
        <w:rFonts w:hint="default"/>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2" w15:restartNumberingAfterBreak="0">
    <w:nsid w:val="11153D03"/>
    <w:multiLevelType w:val="multilevel"/>
    <w:tmpl w:val="6180F4A2"/>
    <w:styleLink w:val="NumberedwithindentLIST"/>
    <w:lvl w:ilvl="0">
      <w:start w:val="1"/>
      <w:numFmt w:val="decimal"/>
      <w:pStyle w:val="ListMixed"/>
      <w:lvlText w:val="%1."/>
      <w:lvlJc w:val="left"/>
      <w:pPr>
        <w:ind w:left="794" w:hanging="397"/>
      </w:pPr>
      <w:rPr>
        <w:rFonts w:hint="default"/>
        <w:b w:val="0"/>
        <w:bCs w:val="0"/>
      </w:rPr>
    </w:lvl>
    <w:lvl w:ilvl="1">
      <w:start w:val="1"/>
      <w:numFmt w:val="lowerLetter"/>
      <w:pStyle w:val="ListMixedLevel2"/>
      <w:lvlText w:val="%2."/>
      <w:lvlJc w:val="left"/>
      <w:pPr>
        <w:tabs>
          <w:tab w:val="num" w:pos="1191"/>
        </w:tabs>
        <w:ind w:left="1587" w:hanging="396"/>
      </w:pPr>
      <w:rPr>
        <w:rFonts w:hint="default"/>
      </w:rPr>
    </w:lvl>
    <w:lvl w:ilvl="2">
      <w:start w:val="1"/>
      <w:numFmt w:val="lowerRoman"/>
      <w:pStyle w:val="ListMixedLevel3"/>
      <w:lvlText w:val="(%3)"/>
      <w:lvlJc w:val="left"/>
      <w:pPr>
        <w:tabs>
          <w:tab w:val="num" w:pos="1984"/>
        </w:tabs>
        <w:ind w:left="2381" w:hanging="39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3" w15:restartNumberingAfterBreak="0">
    <w:nsid w:val="11183D01"/>
    <w:multiLevelType w:val="multilevel"/>
    <w:tmpl w:val="123E0601"/>
    <w:name w:val="LabelledNumberHeadingNumbering"/>
    <w:lvl w:ilvl="0">
      <w:start w:val="1"/>
      <w:numFmt w:val="decimal"/>
      <w:lvlText w:val="%1)"/>
      <w:lvlJc w:val="left"/>
      <w:pPr>
        <w:ind w:left="357" w:hanging="357"/>
      </w:pPr>
      <w:rPr>
        <w:rFonts w:hint="default"/>
      </w:rPr>
    </w:lvl>
    <w:lvl w:ilvl="1">
      <w:start w:val="1"/>
      <w:numFmt w:val="decimal"/>
      <w:lvlText w:val="%1)"/>
      <w:lvlJc w:val="left"/>
      <w:pPr>
        <w:ind w:left="357" w:hanging="357"/>
      </w:pPr>
      <w:rPr>
        <w:rFonts w:hint="default"/>
      </w:rPr>
    </w:lvl>
    <w:lvl w:ilvl="2">
      <w:start w:val="1"/>
      <w:numFmt w:val="decimal"/>
      <w:lvlText w:val="%1)"/>
      <w:lvlJc w:val="left"/>
      <w:pPr>
        <w:ind w:left="357" w:hanging="357"/>
      </w:pPr>
      <w:rPr>
        <w:rFonts w:hint="default"/>
      </w:rPr>
    </w:lvl>
    <w:lvl w:ilvl="3">
      <w:start w:val="1"/>
      <w:numFmt w:val="decimal"/>
      <w:lvlText w:val="%1)"/>
      <w:lvlJc w:val="left"/>
      <w:pPr>
        <w:ind w:left="357" w:hanging="357"/>
      </w:pPr>
      <w:rPr>
        <w:rFonts w:hint="default"/>
      </w:rPr>
    </w:lvl>
    <w:lvl w:ilvl="4">
      <w:start w:val="1"/>
      <w:numFmt w:val="decimal"/>
      <w:lvlText w:val="%1)"/>
      <w:lvlJc w:val="left"/>
      <w:pPr>
        <w:ind w:left="357" w:hanging="357"/>
      </w:pPr>
      <w:rPr>
        <w:rFonts w:hint="default"/>
      </w:rPr>
    </w:lvl>
    <w:lvl w:ilvl="5">
      <w:start w:val="1"/>
      <w:numFmt w:val="decimal"/>
      <w:lvlText w:val="%1)"/>
      <w:lvlJc w:val="left"/>
      <w:pPr>
        <w:ind w:left="357" w:hanging="357"/>
      </w:pPr>
      <w:rPr>
        <w:rFonts w:hint="default"/>
      </w:rPr>
    </w:lvl>
    <w:lvl w:ilvl="6">
      <w:start w:val="1"/>
      <w:numFmt w:val="decimal"/>
      <w:lvlText w:val="%1)"/>
      <w:lvlJc w:val="left"/>
      <w:pPr>
        <w:ind w:left="357" w:hanging="357"/>
      </w:pPr>
      <w:rPr>
        <w:rFonts w:hint="default"/>
      </w:rPr>
    </w:lvl>
    <w:lvl w:ilvl="7">
      <w:start w:val="1"/>
      <w:numFmt w:val="decimal"/>
      <w:lvlText w:val="%1)"/>
      <w:lvlJc w:val="left"/>
      <w:pPr>
        <w:ind w:left="357" w:hanging="357"/>
      </w:pPr>
      <w:rPr>
        <w:rFonts w:hint="default"/>
      </w:rPr>
    </w:lvl>
    <w:lvl w:ilvl="8">
      <w:start w:val="1"/>
      <w:numFmt w:val="decimal"/>
      <w:lvlText w:val="%1)"/>
      <w:lvlJc w:val="left"/>
      <w:pPr>
        <w:ind w:left="357" w:hanging="357"/>
      </w:pPr>
      <w:rPr>
        <w:rFonts w:hint="default"/>
      </w:rPr>
    </w:lvl>
  </w:abstractNum>
  <w:abstractNum w:abstractNumId="14" w15:restartNumberingAfterBreak="0">
    <w:nsid w:val="11183D02"/>
    <w:multiLevelType w:val="multilevel"/>
    <w:tmpl w:val="123E0602"/>
    <w:name w:val="LabelledLetterHeadingNumbering"/>
    <w:lvl w:ilvl="0">
      <w:start w:val="1"/>
      <w:numFmt w:val="upperLetter"/>
      <w:lvlText w:val="%1."/>
      <w:lvlJc w:val="left"/>
      <w:pPr>
        <w:ind w:left="357" w:hanging="357"/>
      </w:pPr>
      <w:rPr>
        <w:rFonts w:hint="default"/>
      </w:rPr>
    </w:lvl>
    <w:lvl w:ilvl="1">
      <w:start w:val="1"/>
      <w:numFmt w:val="upperLetter"/>
      <w:lvlText w:val="%1."/>
      <w:lvlJc w:val="left"/>
      <w:pPr>
        <w:ind w:left="357" w:hanging="357"/>
      </w:pPr>
      <w:rPr>
        <w:rFonts w:hint="default"/>
      </w:rPr>
    </w:lvl>
    <w:lvl w:ilvl="2">
      <w:start w:val="1"/>
      <w:numFmt w:val="upperLetter"/>
      <w:lvlText w:val="%1."/>
      <w:lvlJc w:val="left"/>
      <w:pPr>
        <w:ind w:left="357" w:hanging="357"/>
      </w:pPr>
      <w:rPr>
        <w:rFonts w:hint="default"/>
      </w:rPr>
    </w:lvl>
    <w:lvl w:ilvl="3">
      <w:start w:val="1"/>
      <w:numFmt w:val="upperLetter"/>
      <w:lvlText w:val="%1."/>
      <w:lvlJc w:val="left"/>
      <w:pPr>
        <w:ind w:left="357" w:hanging="357"/>
      </w:pPr>
      <w:rPr>
        <w:rFonts w:hint="default"/>
      </w:rPr>
    </w:lvl>
    <w:lvl w:ilvl="4">
      <w:start w:val="1"/>
      <w:numFmt w:val="upperLetter"/>
      <w:lvlText w:val="%1."/>
      <w:lvlJc w:val="left"/>
      <w:pPr>
        <w:ind w:left="357" w:hanging="357"/>
      </w:pPr>
      <w:rPr>
        <w:rFonts w:hint="default"/>
      </w:rPr>
    </w:lvl>
    <w:lvl w:ilvl="5">
      <w:start w:val="1"/>
      <w:numFmt w:val="upperLetter"/>
      <w:lvlText w:val="%1."/>
      <w:lvlJc w:val="left"/>
      <w:pPr>
        <w:ind w:left="357" w:hanging="357"/>
      </w:pPr>
      <w:rPr>
        <w:rFonts w:hint="default"/>
      </w:rPr>
    </w:lvl>
    <w:lvl w:ilvl="6">
      <w:start w:val="1"/>
      <w:numFmt w:val="upperLetter"/>
      <w:lvlText w:val="%1."/>
      <w:lvlJc w:val="left"/>
      <w:pPr>
        <w:ind w:left="357" w:hanging="357"/>
      </w:pPr>
      <w:rPr>
        <w:rFonts w:hint="default"/>
      </w:rPr>
    </w:lvl>
    <w:lvl w:ilvl="7">
      <w:start w:val="1"/>
      <w:numFmt w:val="upperLetter"/>
      <w:lvlText w:val="%1."/>
      <w:lvlJc w:val="left"/>
      <w:pPr>
        <w:ind w:left="357" w:hanging="357"/>
      </w:pPr>
      <w:rPr>
        <w:rFonts w:hint="default"/>
      </w:rPr>
    </w:lvl>
    <w:lvl w:ilvl="8">
      <w:start w:val="1"/>
      <w:numFmt w:val="upperLetter"/>
      <w:lvlText w:val="%1."/>
      <w:lvlJc w:val="left"/>
      <w:pPr>
        <w:ind w:left="357" w:hanging="357"/>
      </w:pPr>
      <w:rPr>
        <w:rFonts w:hint="default"/>
      </w:rPr>
    </w:lvl>
  </w:abstractNum>
  <w:abstractNum w:abstractNumId="15" w15:restartNumberingAfterBreak="0">
    <w:nsid w:val="137A692F"/>
    <w:multiLevelType w:val="multilevel"/>
    <w:tmpl w:val="180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6" w15:restartNumberingAfterBreak="0">
    <w:nsid w:val="14053B26"/>
    <w:multiLevelType w:val="hybridMultilevel"/>
    <w:tmpl w:val="9CF61B0C"/>
    <w:styleLink w:val="1ai"/>
    <w:lvl w:ilvl="0" w:tplc="8CB80734">
      <w:start w:val="1"/>
      <w:numFmt w:val="bullet"/>
      <w:lvlText w:val=""/>
      <w:lvlJc w:val="left"/>
      <w:pPr>
        <w:ind w:left="720" w:hanging="360"/>
      </w:pPr>
      <w:rPr>
        <w:rFonts w:ascii="Symbol" w:hAnsi="Symbol" w:hint="default"/>
      </w:rPr>
    </w:lvl>
    <w:lvl w:ilvl="1" w:tplc="D90E9A08" w:tentative="1">
      <w:start w:val="1"/>
      <w:numFmt w:val="bullet"/>
      <w:lvlText w:val="o"/>
      <w:lvlJc w:val="left"/>
      <w:pPr>
        <w:ind w:left="1440" w:hanging="360"/>
      </w:pPr>
      <w:rPr>
        <w:rFonts w:ascii="Courier New" w:hAnsi="Courier New" w:cs="Courier New" w:hint="default"/>
      </w:rPr>
    </w:lvl>
    <w:lvl w:ilvl="2" w:tplc="9DAC74D4" w:tentative="1">
      <w:start w:val="1"/>
      <w:numFmt w:val="bullet"/>
      <w:lvlText w:val=""/>
      <w:lvlJc w:val="left"/>
      <w:pPr>
        <w:ind w:left="2160" w:hanging="360"/>
      </w:pPr>
      <w:rPr>
        <w:rFonts w:ascii="Wingdings" w:hAnsi="Wingdings" w:hint="default"/>
      </w:rPr>
    </w:lvl>
    <w:lvl w:ilvl="3" w:tplc="67687D06" w:tentative="1">
      <w:start w:val="1"/>
      <w:numFmt w:val="bullet"/>
      <w:lvlText w:val=""/>
      <w:lvlJc w:val="left"/>
      <w:pPr>
        <w:ind w:left="2880" w:hanging="360"/>
      </w:pPr>
      <w:rPr>
        <w:rFonts w:ascii="Symbol" w:hAnsi="Symbol" w:hint="default"/>
      </w:rPr>
    </w:lvl>
    <w:lvl w:ilvl="4" w:tplc="CA5823FE" w:tentative="1">
      <w:start w:val="1"/>
      <w:numFmt w:val="bullet"/>
      <w:lvlText w:val="o"/>
      <w:lvlJc w:val="left"/>
      <w:pPr>
        <w:ind w:left="3600" w:hanging="360"/>
      </w:pPr>
      <w:rPr>
        <w:rFonts w:ascii="Courier New" w:hAnsi="Courier New" w:cs="Courier New" w:hint="default"/>
      </w:rPr>
    </w:lvl>
    <w:lvl w:ilvl="5" w:tplc="49D01CF0" w:tentative="1">
      <w:start w:val="1"/>
      <w:numFmt w:val="bullet"/>
      <w:lvlText w:val=""/>
      <w:lvlJc w:val="left"/>
      <w:pPr>
        <w:ind w:left="4320" w:hanging="360"/>
      </w:pPr>
      <w:rPr>
        <w:rFonts w:ascii="Wingdings" w:hAnsi="Wingdings" w:hint="default"/>
      </w:rPr>
    </w:lvl>
    <w:lvl w:ilvl="6" w:tplc="6CC09C64" w:tentative="1">
      <w:start w:val="1"/>
      <w:numFmt w:val="bullet"/>
      <w:lvlText w:val=""/>
      <w:lvlJc w:val="left"/>
      <w:pPr>
        <w:ind w:left="5040" w:hanging="360"/>
      </w:pPr>
      <w:rPr>
        <w:rFonts w:ascii="Symbol" w:hAnsi="Symbol" w:hint="default"/>
      </w:rPr>
    </w:lvl>
    <w:lvl w:ilvl="7" w:tplc="100C2216" w:tentative="1">
      <w:start w:val="1"/>
      <w:numFmt w:val="bullet"/>
      <w:lvlText w:val="o"/>
      <w:lvlJc w:val="left"/>
      <w:pPr>
        <w:ind w:left="5760" w:hanging="360"/>
      </w:pPr>
      <w:rPr>
        <w:rFonts w:ascii="Courier New" w:hAnsi="Courier New" w:cs="Courier New" w:hint="default"/>
      </w:rPr>
    </w:lvl>
    <w:lvl w:ilvl="8" w:tplc="04661882" w:tentative="1">
      <w:start w:val="1"/>
      <w:numFmt w:val="bullet"/>
      <w:lvlText w:val=""/>
      <w:lvlJc w:val="left"/>
      <w:pPr>
        <w:ind w:left="6480" w:hanging="360"/>
      </w:pPr>
      <w:rPr>
        <w:rFonts w:ascii="Wingdings" w:hAnsi="Wingdings" w:hint="default"/>
      </w:rPr>
    </w:lvl>
  </w:abstractNum>
  <w:abstractNum w:abstractNumId="17" w15:restartNumberingAfterBreak="0">
    <w:nsid w:val="19767F01"/>
    <w:multiLevelType w:val="hybridMultilevel"/>
    <w:tmpl w:val="53344726"/>
    <w:lvl w:ilvl="0" w:tplc="FDEA88CC">
      <w:start w:val="1"/>
      <w:numFmt w:val="bullet"/>
      <w:pStyle w:val="ListNumberNonindented"/>
      <w:lvlText w:val=""/>
      <w:lvlJc w:val="left"/>
      <w:pPr>
        <w:ind w:left="1740" w:hanging="360"/>
      </w:pPr>
      <w:rPr>
        <w:rFonts w:ascii="Symbol" w:hAnsi="Symbol"/>
      </w:rPr>
    </w:lvl>
    <w:lvl w:ilvl="1" w:tplc="A058C6A4">
      <w:start w:val="1"/>
      <w:numFmt w:val="bullet"/>
      <w:pStyle w:val="ListNumberNonindentedLevel2"/>
      <w:lvlText w:val=""/>
      <w:lvlJc w:val="left"/>
      <w:pPr>
        <w:ind w:left="1740" w:hanging="360"/>
      </w:pPr>
      <w:rPr>
        <w:rFonts w:ascii="Symbol" w:hAnsi="Symbol"/>
      </w:rPr>
    </w:lvl>
    <w:lvl w:ilvl="2" w:tplc="3A0E972A">
      <w:start w:val="1"/>
      <w:numFmt w:val="bullet"/>
      <w:pStyle w:val="ListNumberNonindentedLevel3"/>
      <w:lvlText w:val=""/>
      <w:lvlJc w:val="left"/>
      <w:pPr>
        <w:ind w:left="1740" w:hanging="360"/>
      </w:pPr>
      <w:rPr>
        <w:rFonts w:ascii="Symbol" w:hAnsi="Symbol"/>
      </w:rPr>
    </w:lvl>
    <w:lvl w:ilvl="3" w:tplc="CE9001A0">
      <w:start w:val="1"/>
      <w:numFmt w:val="bullet"/>
      <w:pStyle w:val="ListNumberNonindentedLevel4"/>
      <w:lvlText w:val=""/>
      <w:lvlJc w:val="left"/>
      <w:pPr>
        <w:ind w:left="1740" w:hanging="360"/>
      </w:pPr>
      <w:rPr>
        <w:rFonts w:ascii="Symbol" w:hAnsi="Symbol"/>
      </w:rPr>
    </w:lvl>
    <w:lvl w:ilvl="4" w:tplc="931872E4">
      <w:start w:val="1"/>
      <w:numFmt w:val="bullet"/>
      <w:lvlText w:val=""/>
      <w:lvlJc w:val="left"/>
      <w:pPr>
        <w:ind w:left="1740" w:hanging="360"/>
      </w:pPr>
      <w:rPr>
        <w:rFonts w:ascii="Symbol" w:hAnsi="Symbol"/>
      </w:rPr>
    </w:lvl>
    <w:lvl w:ilvl="5" w:tplc="18EA1F8E">
      <w:start w:val="1"/>
      <w:numFmt w:val="bullet"/>
      <w:lvlText w:val=""/>
      <w:lvlJc w:val="left"/>
      <w:pPr>
        <w:ind w:left="1740" w:hanging="360"/>
      </w:pPr>
      <w:rPr>
        <w:rFonts w:ascii="Symbol" w:hAnsi="Symbol"/>
      </w:rPr>
    </w:lvl>
    <w:lvl w:ilvl="6" w:tplc="F0742694">
      <w:start w:val="1"/>
      <w:numFmt w:val="bullet"/>
      <w:lvlText w:val=""/>
      <w:lvlJc w:val="left"/>
      <w:pPr>
        <w:ind w:left="1740" w:hanging="360"/>
      </w:pPr>
      <w:rPr>
        <w:rFonts w:ascii="Symbol" w:hAnsi="Symbol"/>
      </w:rPr>
    </w:lvl>
    <w:lvl w:ilvl="7" w:tplc="889406DE">
      <w:start w:val="1"/>
      <w:numFmt w:val="bullet"/>
      <w:lvlText w:val=""/>
      <w:lvlJc w:val="left"/>
      <w:pPr>
        <w:ind w:left="1740" w:hanging="360"/>
      </w:pPr>
      <w:rPr>
        <w:rFonts w:ascii="Symbol" w:hAnsi="Symbol"/>
      </w:rPr>
    </w:lvl>
    <w:lvl w:ilvl="8" w:tplc="CC4E867C">
      <w:start w:val="1"/>
      <w:numFmt w:val="bullet"/>
      <w:lvlText w:val=""/>
      <w:lvlJc w:val="left"/>
      <w:pPr>
        <w:ind w:left="1740" w:hanging="360"/>
      </w:pPr>
      <w:rPr>
        <w:rFonts w:ascii="Symbol" w:hAnsi="Symbol"/>
      </w:rPr>
    </w:lvl>
  </w:abstractNum>
  <w:abstractNum w:abstractNumId="18" w15:restartNumberingAfterBreak="0">
    <w:nsid w:val="1BA53D75"/>
    <w:multiLevelType w:val="multilevel"/>
    <w:tmpl w:val="A17E0B58"/>
    <w:name w:val="ListAbcNumbering"/>
    <w:lvl w:ilvl="0">
      <w:start w:val="1"/>
      <w:numFmt w:val="lowerLetter"/>
      <w:lvlText w:val="%1)"/>
      <w:lvlJc w:val="left"/>
      <w:pPr>
        <w:tabs>
          <w:tab w:val="num" w:pos="397"/>
        </w:tabs>
        <w:ind w:left="794" w:hanging="397"/>
      </w:pPr>
      <w:rPr>
        <w:rFonts w:hint="default"/>
      </w:rPr>
    </w:lvl>
    <w:lvl w:ilvl="1">
      <w:start w:val="1"/>
      <w:numFmt w:val="bullet"/>
      <w:lvlText w:val="—"/>
      <w:lvlJc w:val="left"/>
      <w:pPr>
        <w:tabs>
          <w:tab w:val="num" w:pos="1191"/>
        </w:tabs>
        <w:ind w:left="1587" w:hanging="396"/>
      </w:pPr>
      <w:rPr>
        <w:rFonts w:hint="default"/>
      </w:rPr>
    </w:lvl>
    <w:lvl w:ilvl="2">
      <w:start w:val="1"/>
      <w:numFmt w:val="lowerRoman"/>
      <w:lvlText w:val="%3)"/>
      <w:lvlJc w:val="left"/>
      <w:pPr>
        <w:tabs>
          <w:tab w:val="num" w:pos="1984"/>
        </w:tabs>
        <w:ind w:left="2381" w:hanging="397"/>
      </w:pPr>
      <w:rPr>
        <w:rFonts w:asciiTheme="minorHAnsi" w:hAnsiTheme="minorHAnsi"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9" w15:restartNumberingAfterBreak="0">
    <w:nsid w:val="1C47181D"/>
    <w:multiLevelType w:val="multilevel"/>
    <w:tmpl w:val="BC3AB3F4"/>
    <w:styleLink w:val="amprLISTblackbullets"/>
    <w:lvl w:ilvl="0">
      <w:start w:val="1"/>
      <w:numFmt w:val="upperLetter"/>
      <w:lvlText w:val="%1."/>
      <w:lvlJc w:val="left"/>
      <w:pPr>
        <w:ind w:left="357" w:hanging="357"/>
      </w:pPr>
      <w:rPr>
        <w:rFonts w:hint="default"/>
      </w:rPr>
    </w:lvl>
    <w:lvl w:ilvl="1">
      <w:start w:val="1"/>
      <w:numFmt w:val="upperLetter"/>
      <w:lvlText w:val="%1."/>
      <w:lvlJc w:val="left"/>
      <w:pPr>
        <w:ind w:left="357" w:hanging="357"/>
      </w:pPr>
      <w:rPr>
        <w:rFonts w:hint="default"/>
      </w:rPr>
    </w:lvl>
    <w:lvl w:ilvl="2">
      <w:start w:val="1"/>
      <w:numFmt w:val="upperLetter"/>
      <w:lvlText w:val="%1."/>
      <w:lvlJc w:val="left"/>
      <w:pPr>
        <w:ind w:left="357" w:hanging="357"/>
      </w:pPr>
      <w:rPr>
        <w:rFonts w:hint="default"/>
      </w:rPr>
    </w:lvl>
    <w:lvl w:ilvl="3">
      <w:start w:val="1"/>
      <w:numFmt w:val="upperLetter"/>
      <w:lvlText w:val="%1."/>
      <w:lvlJc w:val="left"/>
      <w:pPr>
        <w:ind w:left="357" w:hanging="357"/>
      </w:pPr>
      <w:rPr>
        <w:rFonts w:hint="default"/>
      </w:rPr>
    </w:lvl>
    <w:lvl w:ilvl="4">
      <w:start w:val="1"/>
      <w:numFmt w:val="upperLetter"/>
      <w:lvlText w:val="%1."/>
      <w:lvlJc w:val="left"/>
      <w:pPr>
        <w:ind w:left="357" w:hanging="357"/>
      </w:pPr>
      <w:rPr>
        <w:rFonts w:hint="default"/>
      </w:rPr>
    </w:lvl>
    <w:lvl w:ilvl="5">
      <w:start w:val="1"/>
      <w:numFmt w:val="upperLetter"/>
      <w:lvlText w:val="%1."/>
      <w:lvlJc w:val="left"/>
      <w:pPr>
        <w:ind w:left="357" w:hanging="357"/>
      </w:pPr>
      <w:rPr>
        <w:rFonts w:hint="default"/>
      </w:rPr>
    </w:lvl>
    <w:lvl w:ilvl="6">
      <w:start w:val="1"/>
      <w:numFmt w:val="upperLetter"/>
      <w:lvlText w:val="%1."/>
      <w:lvlJc w:val="left"/>
      <w:pPr>
        <w:ind w:left="357" w:hanging="357"/>
      </w:pPr>
      <w:rPr>
        <w:rFonts w:hint="default"/>
      </w:rPr>
    </w:lvl>
    <w:lvl w:ilvl="7">
      <w:start w:val="1"/>
      <w:numFmt w:val="upperLetter"/>
      <w:lvlText w:val="%1."/>
      <w:lvlJc w:val="left"/>
      <w:pPr>
        <w:ind w:left="357" w:hanging="357"/>
      </w:pPr>
      <w:rPr>
        <w:rFonts w:hint="default"/>
      </w:rPr>
    </w:lvl>
    <w:lvl w:ilvl="8">
      <w:start w:val="1"/>
      <w:numFmt w:val="upperLetter"/>
      <w:lvlText w:val="%1."/>
      <w:lvlJc w:val="left"/>
      <w:pPr>
        <w:ind w:left="357" w:hanging="357"/>
      </w:pPr>
      <w:rPr>
        <w:rFonts w:hint="default"/>
      </w:rPr>
    </w:lvl>
  </w:abstractNum>
  <w:abstractNum w:abstractNumId="20" w15:restartNumberingAfterBreak="0">
    <w:nsid w:val="1E51520C"/>
    <w:multiLevelType w:val="multilevel"/>
    <w:tmpl w:val="2F9485CA"/>
    <w:name w:val="List_Number_Nonindented_LIST"/>
    <w:styleLink w:val="ListNumberNonindentedLIST"/>
    <w:lvl w:ilvl="0">
      <w:start w:val="1"/>
      <w:numFmt w:val="decimal"/>
      <w:lvlText w:val="%1."/>
      <w:lvlJc w:val="left"/>
      <w:pPr>
        <w:ind w:left="397" w:hanging="397"/>
      </w:pPr>
      <w:rPr>
        <w:rFonts w:hint="default"/>
      </w:rPr>
    </w:lvl>
    <w:lvl w:ilvl="1">
      <w:start w:val="1"/>
      <w:numFmt w:val="decimal"/>
      <w:lvlText w:val="%1.%2."/>
      <w:lvlJc w:val="left"/>
      <w:pPr>
        <w:ind w:left="624" w:hanging="624"/>
      </w:pPr>
      <w:rPr>
        <w:rFonts w:hint="default"/>
      </w:rPr>
    </w:lvl>
    <w:lvl w:ilvl="2">
      <w:start w:val="1"/>
      <w:numFmt w:val="decimal"/>
      <w:lvlText w:val="%1.%2.%3."/>
      <w:lvlJc w:val="left"/>
      <w:pPr>
        <w:ind w:left="850" w:hanging="850"/>
      </w:pPr>
      <w:rPr>
        <w:rFonts w:hint="default"/>
      </w:rPr>
    </w:lvl>
    <w:lvl w:ilvl="3">
      <w:start w:val="1"/>
      <w:numFmt w:val="decimal"/>
      <w:lvlText w:val="%1.%2.%3.%4."/>
      <w:lvlJc w:val="left"/>
      <w:pPr>
        <w:ind w:left="1077" w:hanging="1077"/>
      </w:pPr>
      <w:rPr>
        <w:rFonts w:hint="default"/>
      </w:rPr>
    </w:lvl>
    <w:lvl w:ilvl="4">
      <w:numFmt w:val="none"/>
      <w:lvlText w:val=""/>
      <w:lvlJc w:val="left"/>
      <w:pPr>
        <w:ind w:left="0" w:firstLine="0"/>
      </w:pPr>
      <w:rPr>
        <w:rFonts w:hint="default"/>
      </w:rPr>
    </w:lvl>
    <w:lvl w:ilvl="5">
      <w:numFmt w:val="none"/>
      <w:lvlText w:val=""/>
      <w:lvlJc w:val="left"/>
      <w:pPr>
        <w:ind w:left="0" w:firstLine="0"/>
      </w:pPr>
      <w:rPr>
        <w:rFonts w:hint="default"/>
      </w:rPr>
    </w:lvl>
    <w:lvl w:ilvl="6">
      <w:numFmt w:val="none"/>
      <w:lvlText w:val=""/>
      <w:lvlJc w:val="left"/>
      <w:pPr>
        <w:ind w:left="0" w:firstLine="0"/>
      </w:pPr>
      <w:rPr>
        <w:rFonts w:hint="default"/>
      </w:rPr>
    </w:lvl>
    <w:lvl w:ilvl="7">
      <w:numFmt w:val="none"/>
      <w:lvlText w:val=""/>
      <w:lvlJc w:val="left"/>
      <w:pPr>
        <w:ind w:left="0" w:firstLine="0"/>
      </w:pPr>
      <w:rPr>
        <w:rFonts w:hint="default"/>
      </w:rPr>
    </w:lvl>
    <w:lvl w:ilvl="8">
      <w:numFmt w:val="none"/>
      <w:lvlText w:val=""/>
      <w:lvlJc w:val="left"/>
      <w:pPr>
        <w:ind w:left="0" w:firstLine="0"/>
      </w:pPr>
      <w:rPr>
        <w:rFonts w:hint="default"/>
      </w:rPr>
    </w:lvl>
  </w:abstractNum>
  <w:abstractNum w:abstractNumId="21" w15:restartNumberingAfterBreak="0">
    <w:nsid w:val="1F0B1E01"/>
    <w:multiLevelType w:val="multilevel"/>
    <w:tmpl w:val="242287E2"/>
    <w:name w:val="List_Mixed_LIST"/>
    <w:styleLink w:val="ListMixedLIST"/>
    <w:lvl w:ilvl="0">
      <w:start w:val="1"/>
      <w:numFmt w:val="decimal"/>
      <w:lvlText w:val="%1."/>
      <w:lvlJc w:val="left"/>
      <w:pPr>
        <w:ind w:left="794" w:hanging="397"/>
      </w:pPr>
      <w:rPr>
        <w:rFonts w:hint="default"/>
      </w:rPr>
    </w:lvl>
    <w:lvl w:ilvl="1">
      <w:start w:val="1"/>
      <w:numFmt w:val="lowerLetter"/>
      <w:lvlText w:val="%2."/>
      <w:lvlJc w:val="left"/>
      <w:pPr>
        <w:tabs>
          <w:tab w:val="num" w:pos="1191"/>
        </w:tabs>
        <w:ind w:left="1587" w:hanging="396"/>
      </w:pPr>
      <w:rPr>
        <w:rFonts w:hint="default"/>
      </w:rPr>
    </w:lvl>
    <w:lvl w:ilvl="2">
      <w:start w:val="1"/>
      <w:numFmt w:val="lowerRoman"/>
      <w:lvlText w:val="(%3)"/>
      <w:lvlJc w:val="left"/>
      <w:pPr>
        <w:tabs>
          <w:tab w:val="num" w:pos="1984"/>
        </w:tabs>
        <w:ind w:left="2381" w:hanging="397"/>
      </w:pPr>
      <w:rPr>
        <w:rFonts w:hint="default"/>
      </w:rPr>
    </w:lvl>
    <w:lvl w:ilvl="3">
      <w:numFmt w:val="none"/>
      <w:lvlText w:val=""/>
      <w:lvlJc w:val="left"/>
      <w:pPr>
        <w:ind w:left="0" w:firstLine="0"/>
      </w:pPr>
      <w:rPr>
        <w:rFonts w:hint="default"/>
      </w:rPr>
    </w:lvl>
    <w:lvl w:ilvl="4">
      <w:numFmt w:val="none"/>
      <w:lvlText w:val=""/>
      <w:lvlJc w:val="left"/>
      <w:pPr>
        <w:ind w:left="0" w:firstLine="0"/>
      </w:pPr>
      <w:rPr>
        <w:rFonts w:hint="default"/>
      </w:rPr>
    </w:lvl>
    <w:lvl w:ilvl="5">
      <w:numFmt w:val="none"/>
      <w:lvlText w:val=""/>
      <w:lvlJc w:val="left"/>
      <w:pPr>
        <w:ind w:left="0" w:firstLine="0"/>
      </w:pPr>
      <w:rPr>
        <w:rFonts w:hint="default"/>
      </w:rPr>
    </w:lvl>
    <w:lvl w:ilvl="6">
      <w:numFmt w:val="none"/>
      <w:lvlText w:val=""/>
      <w:lvlJc w:val="left"/>
      <w:pPr>
        <w:ind w:left="0" w:firstLine="0"/>
      </w:pPr>
      <w:rPr>
        <w:rFonts w:hint="default"/>
      </w:rPr>
    </w:lvl>
    <w:lvl w:ilvl="7">
      <w:numFmt w:val="none"/>
      <w:lvlText w:val=""/>
      <w:lvlJc w:val="left"/>
      <w:pPr>
        <w:ind w:left="0" w:firstLine="0"/>
      </w:pPr>
      <w:rPr>
        <w:rFonts w:hint="default"/>
      </w:rPr>
    </w:lvl>
    <w:lvl w:ilvl="8">
      <w:numFmt w:val="none"/>
      <w:lvlText w:val=""/>
      <w:lvlJc w:val="left"/>
      <w:pPr>
        <w:ind w:left="0" w:firstLine="0"/>
      </w:pPr>
      <w:rPr>
        <w:rFonts w:hint="default"/>
      </w:rPr>
    </w:lvl>
  </w:abstractNum>
  <w:abstractNum w:abstractNumId="22" w15:restartNumberingAfterBreak="0">
    <w:nsid w:val="1F6B0B1D"/>
    <w:multiLevelType w:val="multilevel"/>
    <w:tmpl w:val="567660E0"/>
    <w:name w:val="List_abc_LIST"/>
    <w:styleLink w:val="ListabcLIST"/>
    <w:lvl w:ilvl="0">
      <w:start w:val="1"/>
      <w:numFmt w:val="lowerLetter"/>
      <w:lvlText w:val="(%1)"/>
      <w:lvlJc w:val="left"/>
      <w:pPr>
        <w:tabs>
          <w:tab w:val="num" w:pos="1440"/>
        </w:tabs>
        <w:ind w:left="794" w:hanging="397"/>
      </w:pPr>
      <w:rPr>
        <w:rFonts w:hint="default"/>
      </w:rPr>
    </w:lvl>
    <w:lvl w:ilvl="1">
      <w:start w:val="1"/>
      <w:numFmt w:val="lowerRoman"/>
      <w:lvlText w:val="(%2)"/>
      <w:lvlJc w:val="left"/>
      <w:pPr>
        <w:tabs>
          <w:tab w:val="num" w:pos="11340"/>
        </w:tabs>
        <w:ind w:left="1588" w:hanging="397"/>
      </w:pPr>
      <w:rPr>
        <w:rFonts w:hint="default"/>
      </w:rPr>
    </w:lvl>
    <w:lvl w:ilvl="2">
      <w:start w:val="1"/>
      <w:numFmt w:val="decimal"/>
      <w:lvlText w:val="(%3)"/>
      <w:lvlJc w:val="left"/>
      <w:pPr>
        <w:tabs>
          <w:tab w:val="num" w:pos="3027"/>
        </w:tabs>
        <w:ind w:left="2381" w:hanging="396"/>
      </w:pPr>
      <w:rPr>
        <w:rFonts w:asciiTheme="minorHAnsi" w:hAnsiTheme="minorHAnsi" w:hint="default"/>
      </w:rPr>
    </w:lvl>
    <w:lvl w:ilvl="3">
      <w:numFmt w:val="bullet"/>
      <w:lvlText w:val="—"/>
      <w:lvlJc w:val="left"/>
      <w:pPr>
        <w:tabs>
          <w:tab w:val="num" w:pos="2665"/>
        </w:tabs>
        <w:ind w:left="3005" w:hanging="340"/>
      </w:pPr>
      <w:rPr>
        <w:rFonts w:ascii="EC Square Sans Pro" w:hAnsi="EC Square Sans Pro" w:hint="default"/>
      </w:rPr>
    </w:lvl>
    <w:lvl w:ilvl="4">
      <w:numFmt w:val="none"/>
      <w:lvlText w:val=""/>
      <w:lvlJc w:val="left"/>
      <w:pPr>
        <w:ind w:left="0" w:firstLine="0"/>
      </w:pPr>
      <w:rPr>
        <w:rFonts w:hint="default"/>
      </w:rPr>
    </w:lvl>
    <w:lvl w:ilvl="5">
      <w:numFmt w:val="none"/>
      <w:lvlText w:val=""/>
      <w:lvlJc w:val="left"/>
      <w:pPr>
        <w:ind w:left="0" w:firstLine="0"/>
      </w:pPr>
      <w:rPr>
        <w:rFonts w:hint="default"/>
      </w:rPr>
    </w:lvl>
    <w:lvl w:ilvl="6">
      <w:numFmt w:val="none"/>
      <w:lvlText w:val=""/>
      <w:lvlJc w:val="left"/>
      <w:pPr>
        <w:ind w:left="0" w:firstLine="0"/>
      </w:pPr>
      <w:rPr>
        <w:rFonts w:hint="default"/>
      </w:rPr>
    </w:lvl>
    <w:lvl w:ilvl="7">
      <w:numFmt w:val="none"/>
      <w:lvlText w:val=""/>
      <w:lvlJc w:val="left"/>
      <w:pPr>
        <w:ind w:left="0" w:firstLine="0"/>
      </w:pPr>
      <w:rPr>
        <w:rFonts w:hint="default"/>
      </w:rPr>
    </w:lvl>
    <w:lvl w:ilvl="8">
      <w:numFmt w:val="none"/>
      <w:lvlText w:val=""/>
      <w:lvlJc w:val="left"/>
      <w:pPr>
        <w:ind w:left="0" w:firstLine="0"/>
      </w:pPr>
      <w:rPr>
        <w:rFonts w:hint="default"/>
      </w:rPr>
    </w:lvl>
  </w:abstractNum>
  <w:abstractNum w:abstractNumId="23" w15:restartNumberingAfterBreak="0">
    <w:nsid w:val="219037EC"/>
    <w:multiLevelType w:val="multilevel"/>
    <w:tmpl w:val="B15A5536"/>
    <w:lvl w:ilvl="0">
      <w:start w:val="1"/>
      <w:numFmt w:val="bullet"/>
      <w:lvlText w:val="•"/>
      <w:lvlJc w:val="left"/>
      <w:pPr>
        <w:ind w:left="360" w:hanging="59"/>
      </w:pPr>
      <w:rPr>
        <w:rFonts w:ascii="Calibri" w:hAnsi="Calibri" w:hint="default"/>
        <w:color w:val="DC3903"/>
      </w:rPr>
    </w:lvl>
    <w:lvl w:ilvl="1">
      <w:start w:val="1"/>
      <w:numFmt w:val="none"/>
      <w:lvlText w:val="&gt;&gt;Table Box Red Border"/>
      <w:lvlJc w:val="left"/>
      <w:pPr>
        <w:ind w:left="0" w:firstLine="301"/>
      </w:pPr>
      <w:rPr>
        <w:rFonts w:hint="default"/>
        <w:b/>
        <w:i w:val="0"/>
        <w:color w:val="FF0000"/>
        <w:u w:val="dotted"/>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4" w15:restartNumberingAfterBreak="0">
    <w:nsid w:val="258649B9"/>
    <w:multiLevelType w:val="multilevel"/>
    <w:tmpl w:val="0EA2D634"/>
    <w:name w:val="ListBulletNumbering"/>
    <w:lvl w:ilvl="0">
      <w:start w:val="1"/>
      <w:numFmt w:val="bullet"/>
      <w:lvlText w:val="•"/>
      <w:lvlJc w:val="left"/>
      <w:pPr>
        <w:tabs>
          <w:tab w:val="num" w:pos="397"/>
        </w:tabs>
        <w:ind w:left="794" w:hanging="397"/>
      </w:pPr>
      <w:rPr>
        <w:rFonts w:asciiTheme="minorHAnsi" w:hAnsiTheme="minorHAnsi" w:hint="default"/>
        <w:color w:val="DE6002" w:themeColor="accent2"/>
      </w:rPr>
    </w:lvl>
    <w:lvl w:ilvl="1">
      <w:start w:val="1"/>
      <w:numFmt w:val="bullet"/>
      <w:lvlText w:val="—"/>
      <w:lvlJc w:val="left"/>
      <w:pPr>
        <w:tabs>
          <w:tab w:val="num" w:pos="1191"/>
        </w:tabs>
        <w:ind w:left="1587" w:hanging="396"/>
      </w:pPr>
      <w:rPr>
        <w:rFonts w:ascii="Times New Roman" w:hAnsi="Times New Roman" w:hint="default"/>
        <w:color w:val="DE6002" w:themeColor="accent2"/>
        <w:sz w:val="20"/>
      </w:rPr>
    </w:lvl>
    <w:lvl w:ilvl="2">
      <w:start w:val="1"/>
      <w:numFmt w:val="bullet"/>
      <w:lvlText w:val=""/>
      <w:lvlJc w:val="left"/>
      <w:pPr>
        <w:tabs>
          <w:tab w:val="num" w:pos="1984"/>
        </w:tabs>
        <w:ind w:left="2381" w:hanging="397"/>
      </w:pPr>
      <w:rPr>
        <w:rFonts w:ascii="Wingdings" w:hAnsi="Wingdings" w:hint="default"/>
        <w:color w:val="DE6002" w:themeColor="accent2"/>
      </w:rPr>
    </w:lvl>
    <w:lvl w:ilvl="3">
      <w:start w:val="1"/>
      <w:numFmt w:val="bullet"/>
      <w:lvlText w:val=""/>
      <w:lvlJc w:val="left"/>
      <w:pPr>
        <w:tabs>
          <w:tab w:val="num" w:pos="2665"/>
        </w:tabs>
        <w:ind w:left="3005" w:hanging="340"/>
      </w:pPr>
      <w:rPr>
        <w:rFonts w:ascii="Wingdings 3" w:hAnsi="Wingdings 3" w:hint="default"/>
        <w:color w:val="DE6002" w:themeColor="accent2"/>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5" w15:restartNumberingAfterBreak="0">
    <w:nsid w:val="26A70B39"/>
    <w:multiLevelType w:val="multilevel"/>
    <w:tmpl w:val="0809001F"/>
    <w:name w:val="ListNumberNonindentedNumbering3"/>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26B40D2D"/>
    <w:multiLevelType w:val="multilevel"/>
    <w:tmpl w:val="6DF61380"/>
    <w:styleLink w:val="ListBulletLIST"/>
    <w:lvl w:ilvl="0">
      <w:start w:val="1"/>
      <w:numFmt w:val="bullet"/>
      <w:pStyle w:val="ListBullet"/>
      <w:lvlText w:val="•"/>
      <w:lvlJc w:val="left"/>
      <w:pPr>
        <w:tabs>
          <w:tab w:val="num" w:pos="397"/>
        </w:tabs>
        <w:ind w:left="794" w:hanging="397"/>
      </w:pPr>
      <w:rPr>
        <w:rFonts w:ascii="Calibri" w:hAnsi="Calibri" w:hint="default"/>
        <w:color w:val="DC3903"/>
      </w:rPr>
    </w:lvl>
    <w:lvl w:ilvl="1">
      <w:start w:val="1"/>
      <w:numFmt w:val="bullet"/>
      <w:pStyle w:val="ListBulletLevel2"/>
      <w:lvlText w:val="—"/>
      <w:lvlJc w:val="left"/>
      <w:pPr>
        <w:tabs>
          <w:tab w:val="num" w:pos="1361"/>
        </w:tabs>
        <w:ind w:left="1361" w:hanging="397"/>
      </w:pPr>
      <w:rPr>
        <w:rFonts w:ascii="Times New Roman" w:hAnsi="Times New Roman" w:cs="Times New Roman" w:hint="default"/>
        <w:color w:val="DC3903"/>
        <w:sz w:val="20"/>
      </w:rPr>
    </w:lvl>
    <w:lvl w:ilvl="2">
      <w:start w:val="1"/>
      <w:numFmt w:val="bullet"/>
      <w:pStyle w:val="ListBulletLevel3"/>
      <w:lvlText w:val=""/>
      <w:lvlJc w:val="left"/>
      <w:pPr>
        <w:tabs>
          <w:tab w:val="num" w:pos="1928"/>
        </w:tabs>
        <w:ind w:left="1928" w:hanging="397"/>
      </w:pPr>
      <w:rPr>
        <w:rFonts w:ascii="Wingdings" w:hAnsi="Wingdings" w:hint="default"/>
        <w:color w:val="DC3903"/>
      </w:rPr>
    </w:lvl>
    <w:lvl w:ilvl="3">
      <w:start w:val="1"/>
      <w:numFmt w:val="bullet"/>
      <w:pStyle w:val="ListBulletLevel4"/>
      <w:lvlText w:val=""/>
      <w:lvlJc w:val="left"/>
      <w:pPr>
        <w:tabs>
          <w:tab w:val="num" w:pos="2495"/>
        </w:tabs>
        <w:ind w:left="2495" w:hanging="397"/>
      </w:pPr>
      <w:rPr>
        <w:rFonts w:ascii="Wingdings 3" w:hAnsi="Wingdings 3" w:hint="default"/>
        <w:color w:val="DC3903"/>
      </w:rPr>
    </w:lvl>
    <w:lvl w:ilvl="4">
      <w:numFmt w:val="none"/>
      <w:lvlText w:val=""/>
      <w:lvlJc w:val="left"/>
      <w:pPr>
        <w:ind w:left="0" w:firstLine="0"/>
      </w:pPr>
      <w:rPr>
        <w:rFonts w:hint="default"/>
      </w:rPr>
    </w:lvl>
    <w:lvl w:ilvl="5">
      <w:numFmt w:val="none"/>
      <w:lvlText w:val=""/>
      <w:lvlJc w:val="left"/>
      <w:pPr>
        <w:ind w:left="0" w:firstLine="0"/>
      </w:pPr>
      <w:rPr>
        <w:rFonts w:hint="default"/>
      </w:rPr>
    </w:lvl>
    <w:lvl w:ilvl="6">
      <w:numFmt w:val="none"/>
      <w:lvlText w:val=""/>
      <w:lvlJc w:val="left"/>
      <w:pPr>
        <w:ind w:left="0" w:firstLine="0"/>
      </w:pPr>
      <w:rPr>
        <w:rFonts w:hint="default"/>
      </w:rPr>
    </w:lvl>
    <w:lvl w:ilvl="7">
      <w:numFmt w:val="none"/>
      <w:lvlText w:val=""/>
      <w:lvlJc w:val="left"/>
      <w:pPr>
        <w:ind w:left="0" w:firstLine="0"/>
      </w:pPr>
      <w:rPr>
        <w:rFonts w:hint="default"/>
      </w:rPr>
    </w:lvl>
    <w:lvl w:ilvl="8">
      <w:numFmt w:val="none"/>
      <w:lvlText w:val=""/>
      <w:lvlJc w:val="left"/>
      <w:pPr>
        <w:ind w:left="0" w:firstLine="0"/>
      </w:pPr>
      <w:rPr>
        <w:rFonts w:hint="default"/>
      </w:rPr>
    </w:lvl>
  </w:abstractNum>
  <w:abstractNum w:abstractNumId="27" w15:restartNumberingAfterBreak="0">
    <w:nsid w:val="28237A96"/>
    <w:multiLevelType w:val="multilevel"/>
    <w:tmpl w:val="6C0208F0"/>
    <w:styleLink w:val="amprLISTbluebullets"/>
    <w:lvl w:ilvl="0">
      <w:start w:val="1"/>
      <w:numFmt w:val="bullet"/>
      <w:lvlText w:val="•"/>
      <w:lvlJc w:val="left"/>
      <w:pPr>
        <w:ind w:left="794" w:hanging="397"/>
      </w:pPr>
      <w:rPr>
        <w:rFonts w:ascii="Calibri" w:hAnsi="Calibri" w:hint="default"/>
        <w:color w:val="003399" w:themeColor="text2"/>
      </w:rPr>
    </w:lvl>
    <w:lvl w:ilvl="1">
      <w:start w:val="1"/>
      <w:numFmt w:val="bullet"/>
      <w:lvlText w:val="—"/>
      <w:lvlJc w:val="left"/>
      <w:pPr>
        <w:ind w:left="1588" w:hanging="397"/>
      </w:pPr>
      <w:rPr>
        <w:rFonts w:ascii="Times New Roman" w:hAnsi="Times New Roman" w:cs="Times New Roman" w:hint="default"/>
        <w:color w:val="003399" w:themeColor="text2"/>
      </w:rPr>
    </w:lvl>
    <w:lvl w:ilvl="2">
      <w:start w:val="1"/>
      <w:numFmt w:val="bullet"/>
      <w:lvlText w:val=""/>
      <w:lvlJc w:val="left"/>
      <w:pPr>
        <w:ind w:left="2155" w:hanging="355"/>
      </w:pPr>
      <w:rPr>
        <w:rFonts w:ascii="Wingdings" w:hAnsi="Wingdings" w:hint="default"/>
      </w:rPr>
    </w:lvl>
    <w:lvl w:ilvl="3">
      <w:start w:val="1"/>
      <w:numFmt w:val="bullet"/>
      <w:lvlText w:val=""/>
      <w:lvlJc w:val="left"/>
      <w:pPr>
        <w:ind w:left="2875" w:hanging="355"/>
      </w:pPr>
      <w:rPr>
        <w:rFonts w:ascii="Symbol" w:hAnsi="Symbol" w:hint="default"/>
      </w:rPr>
    </w:lvl>
    <w:lvl w:ilvl="4">
      <w:start w:val="1"/>
      <w:numFmt w:val="bullet"/>
      <w:lvlText w:val="o"/>
      <w:lvlJc w:val="left"/>
      <w:pPr>
        <w:ind w:left="3595" w:hanging="355"/>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8" w15:restartNumberingAfterBreak="0">
    <w:nsid w:val="28724556"/>
    <w:multiLevelType w:val="multilevel"/>
    <w:tmpl w:val="1D4C4A96"/>
    <w:name w:val="HeadingNumbering"/>
    <w:styleLink w:val="ListBulletblueLIST"/>
    <w:lvl w:ilvl="0">
      <w:start w:val="1"/>
      <w:numFmt w:val="decimal"/>
      <w:lvlText w:val="%1."/>
      <w:lvlJc w:val="left"/>
      <w:pPr>
        <w:ind w:left="850" w:hanging="850"/>
      </w:pPr>
      <w:rPr>
        <w:rFonts w:hint="default"/>
      </w:rPr>
    </w:lvl>
    <w:lvl w:ilvl="1">
      <w:start w:val="1"/>
      <w:numFmt w:val="decimal"/>
      <w:lvlText w:val="%1.%2."/>
      <w:lvlJc w:val="left"/>
      <w:pPr>
        <w:ind w:left="850" w:hanging="850"/>
      </w:pPr>
      <w:rPr>
        <w:rFonts w:hint="default"/>
      </w:rPr>
    </w:lvl>
    <w:lvl w:ilvl="2">
      <w:start w:val="1"/>
      <w:numFmt w:val="decimal"/>
      <w:lvlText w:val="%1.%2.%3."/>
      <w:lvlJc w:val="left"/>
      <w:pPr>
        <w:ind w:left="850" w:hanging="850"/>
      </w:pPr>
      <w:rPr>
        <w:rFonts w:ascii="Calibri" w:hAnsi="Calibri" w:hint="default"/>
      </w:rPr>
    </w:lvl>
    <w:lvl w:ilvl="3">
      <w:start w:val="1"/>
      <w:numFmt w:val="decimal"/>
      <w:lvlText w:val="%4)"/>
      <w:lvlJc w:val="left"/>
      <w:pPr>
        <w:ind w:left="850" w:hanging="340"/>
      </w:pPr>
      <w:rPr>
        <w:rFonts w:ascii="Calibri" w:hAnsi="Calibri" w:hint="default"/>
      </w:rPr>
    </w:lvl>
    <w:lvl w:ilvl="4">
      <w:start w:val="1"/>
      <w:numFmt w:val="lowerLetter"/>
      <w:lvlText w:val="%5)"/>
      <w:lvlJc w:val="left"/>
      <w:pPr>
        <w:ind w:left="1191" w:hanging="341"/>
      </w:pPr>
      <w:rPr>
        <w:rFonts w:ascii="Calibri" w:hAnsi="Calibri" w:hint="default"/>
      </w:rPr>
    </w:lvl>
    <w:lvl w:ilvl="5">
      <w:start w:val="1"/>
      <w:numFmt w:val="lowerRoman"/>
      <w:lvlText w:val="(%6)"/>
      <w:lvlJc w:val="left"/>
      <w:pPr>
        <w:ind w:left="1531" w:hanging="340"/>
      </w:pPr>
      <w:rPr>
        <w:rFonts w:ascii="Calibri" w:hAnsi="Calibri" w:hint="default"/>
      </w:rPr>
    </w:lvl>
    <w:lvl w:ilvl="6">
      <w:numFmt w:val="none"/>
      <w:lvlText w:val=""/>
      <w:lvlJc w:val="left"/>
    </w:lvl>
    <w:lvl w:ilvl="7">
      <w:numFmt w:val="none"/>
      <w:lvlText w:val=""/>
      <w:lvlJc w:val="left"/>
    </w:lvl>
    <w:lvl w:ilvl="8">
      <w:numFmt w:val="none"/>
      <w:lvlText w:val=""/>
      <w:lvlJc w:val="left"/>
    </w:lvl>
  </w:abstractNum>
  <w:abstractNum w:abstractNumId="29" w15:restartNumberingAfterBreak="0">
    <w:nsid w:val="2F9772C9"/>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0" w15:restartNumberingAfterBreak="0">
    <w:nsid w:val="3A325B26"/>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3F915386"/>
    <w:multiLevelType w:val="hybridMultilevel"/>
    <w:tmpl w:val="6A363202"/>
    <w:lvl w:ilvl="0" w:tplc="1876B4E0">
      <w:start w:val="1"/>
      <w:numFmt w:val="bullet"/>
      <w:pStyle w:val="amprboxBLUEbulletlist"/>
      <w:lvlText w:val="·"/>
      <w:lvlJc w:val="left"/>
      <w:pPr>
        <w:ind w:left="661" w:hanging="360"/>
      </w:pPr>
      <w:rPr>
        <w:rFonts w:ascii="Symbol" w:hAnsi="Symbol" w:hint="default"/>
        <w:color w:val="DC3903"/>
        <w:sz w:val="16"/>
      </w:rPr>
    </w:lvl>
    <w:lvl w:ilvl="1" w:tplc="07F0D404">
      <w:start w:val="1"/>
      <w:numFmt w:val="bullet"/>
      <w:lvlText w:val="o"/>
      <w:lvlJc w:val="left"/>
      <w:pPr>
        <w:ind w:left="1682" w:hanging="360"/>
      </w:pPr>
      <w:rPr>
        <w:rFonts w:ascii="Courier New" w:hAnsi="Courier New" w:hint="default"/>
      </w:rPr>
    </w:lvl>
    <w:lvl w:ilvl="2" w:tplc="3224E5FC">
      <w:start w:val="1"/>
      <w:numFmt w:val="bullet"/>
      <w:lvlText w:val=""/>
      <w:lvlJc w:val="left"/>
      <w:pPr>
        <w:ind w:left="2402" w:hanging="360"/>
      </w:pPr>
      <w:rPr>
        <w:rFonts w:ascii="Wingdings" w:hAnsi="Wingdings" w:hint="default"/>
      </w:rPr>
    </w:lvl>
    <w:lvl w:ilvl="3" w:tplc="9418E254">
      <w:start w:val="1"/>
      <w:numFmt w:val="bullet"/>
      <w:lvlText w:val=""/>
      <w:lvlJc w:val="left"/>
      <w:pPr>
        <w:ind w:left="3122" w:hanging="360"/>
      </w:pPr>
      <w:rPr>
        <w:rFonts w:ascii="Symbol" w:hAnsi="Symbol" w:hint="default"/>
      </w:rPr>
    </w:lvl>
    <w:lvl w:ilvl="4" w:tplc="2EC47462">
      <w:start w:val="1"/>
      <w:numFmt w:val="bullet"/>
      <w:lvlText w:val="o"/>
      <w:lvlJc w:val="left"/>
      <w:pPr>
        <w:ind w:left="3842" w:hanging="360"/>
      </w:pPr>
      <w:rPr>
        <w:rFonts w:ascii="Courier New" w:hAnsi="Courier New" w:hint="default"/>
      </w:rPr>
    </w:lvl>
    <w:lvl w:ilvl="5" w:tplc="430ECF8E">
      <w:start w:val="1"/>
      <w:numFmt w:val="bullet"/>
      <w:lvlText w:val=""/>
      <w:lvlJc w:val="left"/>
      <w:pPr>
        <w:ind w:left="4562" w:hanging="360"/>
      </w:pPr>
      <w:rPr>
        <w:rFonts w:ascii="Wingdings" w:hAnsi="Wingdings" w:hint="default"/>
      </w:rPr>
    </w:lvl>
    <w:lvl w:ilvl="6" w:tplc="128CE28E">
      <w:start w:val="1"/>
      <w:numFmt w:val="bullet"/>
      <w:lvlText w:val=""/>
      <w:lvlJc w:val="left"/>
      <w:pPr>
        <w:ind w:left="5282" w:hanging="360"/>
      </w:pPr>
      <w:rPr>
        <w:rFonts w:ascii="Symbol" w:hAnsi="Symbol" w:hint="default"/>
      </w:rPr>
    </w:lvl>
    <w:lvl w:ilvl="7" w:tplc="203A964A">
      <w:start w:val="1"/>
      <w:numFmt w:val="bullet"/>
      <w:lvlText w:val="o"/>
      <w:lvlJc w:val="left"/>
      <w:pPr>
        <w:ind w:left="6002" w:hanging="360"/>
      </w:pPr>
      <w:rPr>
        <w:rFonts w:ascii="Courier New" w:hAnsi="Courier New" w:hint="default"/>
      </w:rPr>
    </w:lvl>
    <w:lvl w:ilvl="8" w:tplc="FF027D66">
      <w:start w:val="1"/>
      <w:numFmt w:val="bullet"/>
      <w:lvlText w:val=""/>
      <w:lvlJc w:val="left"/>
      <w:pPr>
        <w:ind w:left="6722" w:hanging="360"/>
      </w:pPr>
      <w:rPr>
        <w:rFonts w:ascii="Wingdings" w:hAnsi="Wingdings" w:hint="default"/>
      </w:rPr>
    </w:lvl>
  </w:abstractNum>
  <w:abstractNum w:abstractNumId="32" w15:restartNumberingAfterBreak="0">
    <w:nsid w:val="409434DB"/>
    <w:multiLevelType w:val="multilevel"/>
    <w:tmpl w:val="A17E0B58"/>
    <w:name w:val="ListAbcNumbering2"/>
    <w:styleLink w:val="PPOLISTHyphened"/>
    <w:lvl w:ilvl="0">
      <w:start w:val="1"/>
      <w:numFmt w:val="lowerLetter"/>
      <w:lvlText w:val="%1)"/>
      <w:lvlJc w:val="left"/>
      <w:pPr>
        <w:tabs>
          <w:tab w:val="num" w:pos="397"/>
        </w:tabs>
        <w:ind w:left="794" w:hanging="397"/>
      </w:pPr>
      <w:rPr>
        <w:rFonts w:hint="default"/>
      </w:rPr>
    </w:lvl>
    <w:lvl w:ilvl="1">
      <w:start w:val="1"/>
      <w:numFmt w:val="bullet"/>
      <w:lvlText w:val="—"/>
      <w:lvlJc w:val="left"/>
      <w:pPr>
        <w:tabs>
          <w:tab w:val="num" w:pos="1191"/>
        </w:tabs>
        <w:ind w:left="1587" w:hanging="396"/>
      </w:pPr>
      <w:rPr>
        <w:rFonts w:hint="default"/>
      </w:rPr>
    </w:lvl>
    <w:lvl w:ilvl="2">
      <w:start w:val="1"/>
      <w:numFmt w:val="lowerRoman"/>
      <w:lvlText w:val="%3)"/>
      <w:lvlJc w:val="left"/>
      <w:pPr>
        <w:tabs>
          <w:tab w:val="num" w:pos="1984"/>
        </w:tabs>
        <w:ind w:left="2381" w:hanging="397"/>
      </w:pPr>
      <w:rPr>
        <w:rFonts w:asciiTheme="minorHAnsi" w:hAnsiTheme="minorHAnsi"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3" w15:restartNumberingAfterBreak="0">
    <w:nsid w:val="4119108F"/>
    <w:multiLevelType w:val="multilevel"/>
    <w:tmpl w:val="78D271A4"/>
    <w:lvl w:ilvl="0">
      <w:start w:val="1"/>
      <w:numFmt w:val="bullet"/>
      <w:pStyle w:val="amprboxbulletlistorange"/>
      <w:lvlText w:val="•"/>
      <w:lvlJc w:val="left"/>
      <w:pPr>
        <w:ind w:left="360" w:hanging="59"/>
      </w:pPr>
      <w:rPr>
        <w:rFonts w:ascii="Calibri" w:hAnsi="Calibri" w:hint="default"/>
        <w:color w:val="DC3903"/>
      </w:rPr>
    </w:lvl>
    <w:lvl w:ilvl="1">
      <w:start w:val="1"/>
      <w:numFmt w:val="none"/>
      <w:lvlText w:val="&gt;&gt;Table Box Red Border"/>
      <w:lvlJc w:val="left"/>
      <w:pPr>
        <w:ind w:left="0" w:firstLine="301"/>
      </w:pPr>
      <w:rPr>
        <w:rFonts w:hint="default"/>
        <w:b/>
        <w:i w:val="0"/>
        <w:color w:val="FF0000"/>
        <w:u w:val="dotted"/>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4" w15:restartNumberingAfterBreak="0">
    <w:nsid w:val="45BD1E4A"/>
    <w:multiLevelType w:val="hybridMultilevel"/>
    <w:tmpl w:val="7AB86658"/>
    <w:name w:val="ListNumberNonindentedNumbering2"/>
    <w:lvl w:ilvl="0" w:tplc="1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47554950"/>
    <w:multiLevelType w:val="multilevel"/>
    <w:tmpl w:val="DF4C249E"/>
    <w:lvl w:ilvl="0">
      <w:start w:val="1"/>
      <w:numFmt w:val="bullet"/>
      <w:pStyle w:val="ListBulletIndentedLevel1"/>
      <w:lvlText w:val="•"/>
      <w:lvlJc w:val="left"/>
      <w:pPr>
        <w:ind w:left="964" w:hanging="250"/>
      </w:pPr>
      <w:rPr>
        <w:rFonts w:ascii="Arial" w:hAnsi="Arial" w:hint="default"/>
      </w:rPr>
    </w:lvl>
    <w:lvl w:ilvl="1">
      <w:start w:val="1"/>
      <w:numFmt w:val="lowerLetter"/>
      <w:pStyle w:val="ListBulletIndentedLevel2"/>
      <w:lvlText w:val="%2)"/>
      <w:lvlJc w:val="left"/>
      <w:pPr>
        <w:ind w:left="720" w:hanging="360"/>
      </w:pPr>
      <w:rPr>
        <w:rFonts w:hint="default"/>
      </w:rPr>
    </w:lvl>
    <w:lvl w:ilvl="2">
      <w:start w:val="1"/>
      <w:numFmt w:val="lowerRoman"/>
      <w:pStyle w:val="ListBulletIndentedLevel3"/>
      <w:lvlText w:val="%3)"/>
      <w:lvlJc w:val="left"/>
      <w:pPr>
        <w:ind w:left="1080" w:hanging="360"/>
      </w:pPr>
      <w:rPr>
        <w:rFonts w:hint="default"/>
      </w:rPr>
    </w:lvl>
    <w:lvl w:ilvl="3">
      <w:start w:val="1"/>
      <w:numFmt w:val="decimal"/>
      <w:pStyle w:val="ListBulletIndentedLevel4"/>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6" w15:restartNumberingAfterBreak="0">
    <w:nsid w:val="4F412EEC"/>
    <w:multiLevelType w:val="multilevel"/>
    <w:tmpl w:val="78D271A4"/>
    <w:styleLink w:val="amprboxbulletlistorangeLIST"/>
    <w:lvl w:ilvl="0">
      <w:start w:val="1"/>
      <w:numFmt w:val="bullet"/>
      <w:lvlText w:val="•"/>
      <w:lvlJc w:val="left"/>
      <w:pPr>
        <w:ind w:left="360" w:hanging="59"/>
      </w:pPr>
      <w:rPr>
        <w:rFonts w:ascii="Calibri" w:hAnsi="Calibri" w:hint="default"/>
        <w:color w:val="DC3903"/>
      </w:rPr>
    </w:lvl>
    <w:lvl w:ilvl="1">
      <w:start w:val="1"/>
      <w:numFmt w:val="none"/>
      <w:lvlText w:val="&gt;&gt;Table Box Red Border"/>
      <w:lvlJc w:val="left"/>
      <w:pPr>
        <w:ind w:left="0" w:firstLine="301"/>
      </w:pPr>
      <w:rPr>
        <w:rFonts w:hint="default"/>
        <w:b/>
        <w:i w:val="0"/>
        <w:color w:val="FF0000"/>
        <w:u w:val="dotted"/>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7" w15:restartNumberingAfterBreak="0">
    <w:nsid w:val="55C64896"/>
    <w:multiLevelType w:val="multilevel"/>
    <w:tmpl w:val="D61EF4EC"/>
    <w:name w:val="[ampr box]_bullet_list_LIST"/>
    <w:styleLink w:val="OPLISTArabic1aii"/>
    <w:lvl w:ilvl="0">
      <w:start w:val="1"/>
      <w:numFmt w:val="bullet"/>
      <w:lvlText w:val="•"/>
      <w:lvlJc w:val="left"/>
      <w:pPr>
        <w:ind w:left="360" w:hanging="59"/>
      </w:pPr>
      <w:rPr>
        <w:rFonts w:ascii="Calibri" w:hAnsi="Calibri" w:hint="default"/>
      </w:rPr>
    </w:lvl>
    <w:lvl w:ilvl="1">
      <w:start w:val="1"/>
      <w:numFmt w:val="none"/>
      <w:lvlText w:val="&gt;&gt;Table Box Red Border"/>
      <w:lvlJc w:val="left"/>
      <w:pPr>
        <w:ind w:left="0" w:firstLine="301"/>
      </w:pPr>
      <w:rPr>
        <w:rFonts w:hint="default"/>
        <w:b/>
        <w:i w:val="0"/>
        <w:color w:val="FF0000"/>
        <w:u w:val="dotted"/>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8" w15:restartNumberingAfterBreak="0">
    <w:nsid w:val="572913CF"/>
    <w:multiLevelType w:val="multilevel"/>
    <w:tmpl w:val="DF4C249E"/>
    <w:name w:val="Footnote_text_bullet_LIST"/>
    <w:styleLink w:val="FootnotetextbulletLIST"/>
    <w:lvl w:ilvl="0">
      <w:start w:val="1"/>
      <w:numFmt w:val="bullet"/>
      <w:lvlText w:val="•"/>
      <w:lvlJc w:val="left"/>
      <w:pPr>
        <w:ind w:left="964" w:hanging="250"/>
      </w:pPr>
      <w:rPr>
        <w:rFonts w:ascii="Arial" w:hAnsi="Arial"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9" w15:restartNumberingAfterBreak="0">
    <w:nsid w:val="59C52E3D"/>
    <w:multiLevelType w:val="multilevel"/>
    <w:tmpl w:val="164A5860"/>
    <w:styleLink w:val="ListBulletorangeLIST"/>
    <w:lvl w:ilvl="0">
      <w:start w:val="1"/>
      <w:numFmt w:val="bullet"/>
      <w:pStyle w:val="ListBulletorangeLevel1"/>
      <w:lvlText w:val="•"/>
      <w:lvlJc w:val="left"/>
      <w:pPr>
        <w:tabs>
          <w:tab w:val="num" w:pos="397"/>
        </w:tabs>
        <w:ind w:left="397" w:hanging="397"/>
      </w:pPr>
      <w:rPr>
        <w:rFonts w:ascii="Calibri" w:hAnsi="Calibri" w:hint="default"/>
        <w:color w:val="DC3903"/>
      </w:rPr>
    </w:lvl>
    <w:lvl w:ilvl="1">
      <w:start w:val="1"/>
      <w:numFmt w:val="bullet"/>
      <w:lvlText w:val="—"/>
      <w:lvlJc w:val="left"/>
      <w:pPr>
        <w:tabs>
          <w:tab w:val="num" w:pos="1361"/>
        </w:tabs>
        <w:ind w:left="964" w:hanging="397"/>
      </w:pPr>
      <w:rPr>
        <w:rFonts w:ascii="Times New Roman" w:hAnsi="Times New Roman" w:cs="Times New Roman" w:hint="default"/>
        <w:color w:val="003399"/>
        <w:sz w:val="20"/>
      </w:rPr>
    </w:lvl>
    <w:lvl w:ilvl="2">
      <w:start w:val="1"/>
      <w:numFmt w:val="bullet"/>
      <w:lvlText w:val=""/>
      <w:lvlJc w:val="left"/>
      <w:pPr>
        <w:tabs>
          <w:tab w:val="num" w:pos="1928"/>
        </w:tabs>
        <w:ind w:left="1531" w:hanging="397"/>
      </w:pPr>
      <w:rPr>
        <w:rFonts w:ascii="Wingdings" w:hAnsi="Wingdings" w:hint="default"/>
        <w:color w:val="003399"/>
      </w:rPr>
    </w:lvl>
    <w:lvl w:ilvl="3">
      <w:start w:val="1"/>
      <w:numFmt w:val="bullet"/>
      <w:lvlText w:val=""/>
      <w:lvlJc w:val="left"/>
      <w:pPr>
        <w:tabs>
          <w:tab w:val="num" w:pos="2495"/>
        </w:tabs>
        <w:ind w:left="2098" w:hanging="397"/>
      </w:pPr>
      <w:rPr>
        <w:rFonts w:ascii="Wingdings 3" w:hAnsi="Wingdings 3" w:hint="default"/>
        <w:color w:val="003399"/>
      </w:rPr>
    </w:lvl>
    <w:lvl w:ilvl="4">
      <w:numFmt w:val="none"/>
      <w:lvlText w:val=""/>
      <w:lvlJc w:val="left"/>
      <w:pPr>
        <w:ind w:left="0" w:firstLine="0"/>
      </w:pPr>
      <w:rPr>
        <w:rFonts w:hint="default"/>
      </w:rPr>
    </w:lvl>
    <w:lvl w:ilvl="5">
      <w:numFmt w:val="none"/>
      <w:lvlText w:val=""/>
      <w:lvlJc w:val="left"/>
      <w:pPr>
        <w:ind w:left="0" w:firstLine="0"/>
      </w:pPr>
      <w:rPr>
        <w:rFonts w:hint="default"/>
      </w:rPr>
    </w:lvl>
    <w:lvl w:ilvl="6">
      <w:numFmt w:val="none"/>
      <w:lvlText w:val=""/>
      <w:lvlJc w:val="left"/>
      <w:pPr>
        <w:ind w:left="0" w:firstLine="0"/>
      </w:pPr>
      <w:rPr>
        <w:rFonts w:hint="default"/>
      </w:rPr>
    </w:lvl>
    <w:lvl w:ilvl="7">
      <w:numFmt w:val="none"/>
      <w:lvlText w:val=""/>
      <w:lvlJc w:val="left"/>
      <w:pPr>
        <w:ind w:left="0" w:firstLine="0"/>
      </w:pPr>
      <w:rPr>
        <w:rFonts w:hint="default"/>
      </w:rPr>
    </w:lvl>
    <w:lvl w:ilvl="8">
      <w:numFmt w:val="none"/>
      <w:lvlText w:val=""/>
      <w:lvlJc w:val="left"/>
      <w:pPr>
        <w:ind w:left="0" w:firstLine="0"/>
      </w:pPr>
      <w:rPr>
        <w:rFonts w:hint="default"/>
      </w:rPr>
    </w:lvl>
  </w:abstractNum>
  <w:abstractNum w:abstractNumId="40" w15:restartNumberingAfterBreak="0">
    <w:nsid w:val="5D240878"/>
    <w:multiLevelType w:val="multilevel"/>
    <w:tmpl w:val="D61EF4EC"/>
    <w:name w:val="[ampr box]_bullet_list_LIST2"/>
    <w:numStyleLink w:val="amprboxbulletlistLIST"/>
  </w:abstractNum>
  <w:abstractNum w:abstractNumId="41" w15:restartNumberingAfterBreak="0">
    <w:nsid w:val="612E70B1"/>
    <w:multiLevelType w:val="multilevel"/>
    <w:tmpl w:val="E036345E"/>
    <w:name w:val="H_Num_from_H2"/>
    <w:styleLink w:val="HNum-fromh2LIST"/>
    <w:lvl w:ilvl="0">
      <w:start w:val="1"/>
      <w:numFmt w:val="decimal"/>
      <w:pStyle w:val="HNum-fromh2Heading2-1"/>
      <w:lvlText w:val="%1."/>
      <w:lvlJc w:val="left"/>
      <w:pPr>
        <w:ind w:left="907" w:hanging="907"/>
      </w:pPr>
      <w:rPr>
        <w:rFonts w:hint="default"/>
      </w:rPr>
    </w:lvl>
    <w:lvl w:ilvl="1">
      <w:start w:val="1"/>
      <w:numFmt w:val="decimal"/>
      <w:pStyle w:val="HNum-fromh2Heading3-11"/>
      <w:lvlText w:val="%1.%2."/>
      <w:lvlJc w:val="left"/>
      <w:pPr>
        <w:ind w:left="907" w:hanging="907"/>
      </w:pPr>
      <w:rPr>
        <w:rFonts w:hint="default"/>
      </w:rPr>
    </w:lvl>
    <w:lvl w:ilvl="2">
      <w:start w:val="1"/>
      <w:numFmt w:val="decimal"/>
      <w:pStyle w:val="HNum-fromh2Heading4-111"/>
      <w:lvlText w:val="%1.%2.%3."/>
      <w:lvlJc w:val="left"/>
      <w:pPr>
        <w:ind w:left="1616" w:hanging="907"/>
      </w:pPr>
      <w:rPr>
        <w:rFonts w:hint="default"/>
      </w:rPr>
    </w:lvl>
    <w:lvl w:ilvl="3">
      <w:start w:val="1"/>
      <w:numFmt w:val="none"/>
      <w:lvlText w:val=""/>
      <w:lvlJc w:val="left"/>
      <w:pPr>
        <w:ind w:left="0" w:firstLine="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2" w15:restartNumberingAfterBreak="0">
    <w:nsid w:val="632C54AF"/>
    <w:multiLevelType w:val="multilevel"/>
    <w:tmpl w:val="9384A820"/>
    <w:name w:val="ampr_box_BLUE_bullet_list"/>
    <w:styleLink w:val="amprboxBLUEbulletlistLIST"/>
    <w:lvl w:ilvl="0">
      <w:start w:val="1"/>
      <w:numFmt w:val="bullet"/>
      <w:lvlText w:val=""/>
      <w:lvlJc w:val="left"/>
      <w:pPr>
        <w:ind w:left="661" w:hanging="360"/>
      </w:pPr>
      <w:rPr>
        <w:rFonts w:ascii="Symbol" w:hAnsi="Symbol" w:hint="default"/>
        <w:color w:val="DC3903"/>
        <w:sz w:val="16"/>
      </w:rPr>
    </w:lvl>
    <w:lvl w:ilvl="1">
      <w:start w:val="1"/>
      <w:numFmt w:val="bullet"/>
      <w:lvlText w:val="o"/>
      <w:lvlJc w:val="left"/>
      <w:pPr>
        <w:ind w:left="1682" w:hanging="360"/>
      </w:pPr>
      <w:rPr>
        <w:rFonts w:ascii="Courier New" w:hAnsi="Courier New" w:hint="default"/>
      </w:rPr>
    </w:lvl>
    <w:lvl w:ilvl="2">
      <w:start w:val="1"/>
      <w:numFmt w:val="bullet"/>
      <w:lvlText w:val=""/>
      <w:lvlJc w:val="left"/>
      <w:pPr>
        <w:ind w:left="2402" w:hanging="360"/>
      </w:pPr>
      <w:rPr>
        <w:rFonts w:ascii="Wingdings" w:hAnsi="Wingdings" w:hint="default"/>
      </w:rPr>
    </w:lvl>
    <w:lvl w:ilvl="3">
      <w:start w:val="1"/>
      <w:numFmt w:val="bullet"/>
      <w:lvlText w:val=""/>
      <w:lvlJc w:val="left"/>
      <w:pPr>
        <w:ind w:left="3122" w:hanging="360"/>
      </w:pPr>
      <w:rPr>
        <w:rFonts w:ascii="Symbol" w:hAnsi="Symbol" w:hint="default"/>
      </w:rPr>
    </w:lvl>
    <w:lvl w:ilvl="4">
      <w:start w:val="1"/>
      <w:numFmt w:val="bullet"/>
      <w:lvlText w:val="o"/>
      <w:lvlJc w:val="left"/>
      <w:pPr>
        <w:ind w:left="3842" w:hanging="360"/>
      </w:pPr>
      <w:rPr>
        <w:rFonts w:ascii="Courier New" w:hAnsi="Courier New" w:hint="default"/>
      </w:rPr>
    </w:lvl>
    <w:lvl w:ilvl="5">
      <w:start w:val="1"/>
      <w:numFmt w:val="bullet"/>
      <w:lvlText w:val=""/>
      <w:lvlJc w:val="left"/>
      <w:pPr>
        <w:ind w:left="4562" w:hanging="360"/>
      </w:pPr>
      <w:rPr>
        <w:rFonts w:ascii="Wingdings" w:hAnsi="Wingdings" w:hint="default"/>
      </w:rPr>
    </w:lvl>
    <w:lvl w:ilvl="6">
      <w:start w:val="1"/>
      <w:numFmt w:val="bullet"/>
      <w:lvlText w:val=""/>
      <w:lvlJc w:val="left"/>
      <w:pPr>
        <w:ind w:left="5282" w:hanging="360"/>
      </w:pPr>
      <w:rPr>
        <w:rFonts w:ascii="Symbol" w:hAnsi="Symbol" w:hint="default"/>
      </w:rPr>
    </w:lvl>
    <w:lvl w:ilvl="7">
      <w:start w:val="1"/>
      <w:numFmt w:val="bullet"/>
      <w:lvlText w:val="o"/>
      <w:lvlJc w:val="left"/>
      <w:pPr>
        <w:ind w:left="6002" w:hanging="360"/>
      </w:pPr>
      <w:rPr>
        <w:rFonts w:ascii="Courier New" w:hAnsi="Courier New" w:hint="default"/>
      </w:rPr>
    </w:lvl>
    <w:lvl w:ilvl="8">
      <w:start w:val="1"/>
      <w:numFmt w:val="bullet"/>
      <w:lvlText w:val=""/>
      <w:lvlJc w:val="left"/>
      <w:pPr>
        <w:ind w:left="6722" w:hanging="360"/>
      </w:pPr>
      <w:rPr>
        <w:rFonts w:ascii="Wingdings" w:hAnsi="Wingdings" w:hint="default"/>
      </w:rPr>
    </w:lvl>
  </w:abstractNum>
  <w:abstractNum w:abstractNumId="43" w15:restartNumberingAfterBreak="0">
    <w:nsid w:val="6BE50A3E"/>
    <w:multiLevelType w:val="multilevel"/>
    <w:tmpl w:val="64546AD2"/>
    <w:styleLink w:val="LISTBulletforinfographic"/>
    <w:lvl w:ilvl="0">
      <w:start w:val="1"/>
      <w:numFmt w:val="bullet"/>
      <w:pStyle w:val="Bulletforinfographic"/>
      <w:lvlText w:val="•"/>
      <w:lvlJc w:val="left"/>
      <w:pPr>
        <w:tabs>
          <w:tab w:val="num" w:pos="170"/>
        </w:tabs>
        <w:ind w:left="170" w:hanging="170"/>
      </w:pPr>
      <w:rPr>
        <w:rFonts w:ascii="Calibri" w:hAnsi="Calibri" w:hint="default"/>
        <w:color w:val="DC3903"/>
      </w:rPr>
    </w:lvl>
    <w:lvl w:ilvl="1">
      <w:start w:val="1"/>
      <w:numFmt w:val="bullet"/>
      <w:lvlText w:val="—"/>
      <w:lvlJc w:val="left"/>
      <w:pPr>
        <w:tabs>
          <w:tab w:val="num" w:pos="1191"/>
        </w:tabs>
        <w:ind w:left="1587" w:hanging="396"/>
      </w:pPr>
      <w:rPr>
        <w:rFonts w:ascii="Times New Roman" w:hAnsi="Times New Roman" w:cs="Times New Roman" w:hint="default"/>
        <w:color w:val="DE6002" w:themeColor="accent2"/>
        <w:sz w:val="20"/>
      </w:rPr>
    </w:lvl>
    <w:lvl w:ilvl="2">
      <w:start w:val="1"/>
      <w:numFmt w:val="bullet"/>
      <w:lvlText w:val=""/>
      <w:lvlJc w:val="left"/>
      <w:pPr>
        <w:tabs>
          <w:tab w:val="num" w:pos="1984"/>
        </w:tabs>
        <w:ind w:left="2381" w:hanging="397"/>
      </w:pPr>
      <w:rPr>
        <w:rFonts w:ascii="Wingdings" w:hAnsi="Wingdings" w:hint="default"/>
        <w:color w:val="DE6002" w:themeColor="accent2"/>
      </w:rPr>
    </w:lvl>
    <w:lvl w:ilvl="3">
      <w:start w:val="1"/>
      <w:numFmt w:val="bullet"/>
      <w:lvlText w:val=""/>
      <w:lvlJc w:val="left"/>
      <w:pPr>
        <w:tabs>
          <w:tab w:val="num" w:pos="2665"/>
        </w:tabs>
        <w:ind w:left="3005" w:hanging="340"/>
      </w:pPr>
      <w:rPr>
        <w:rFonts w:ascii="Wingdings 3" w:hAnsi="Wingdings 3" w:hint="default"/>
        <w:color w:val="DE6002" w:themeColor="accent2"/>
      </w:rPr>
    </w:lvl>
    <w:lvl w:ilvl="4">
      <w:numFmt w:val="none"/>
      <w:lvlText w:val=""/>
      <w:lvlJc w:val="left"/>
      <w:pPr>
        <w:ind w:left="0" w:firstLine="0"/>
      </w:pPr>
      <w:rPr>
        <w:rFonts w:hint="default"/>
      </w:rPr>
    </w:lvl>
    <w:lvl w:ilvl="5">
      <w:numFmt w:val="none"/>
      <w:lvlText w:val=""/>
      <w:lvlJc w:val="left"/>
      <w:pPr>
        <w:ind w:left="0" w:firstLine="0"/>
      </w:pPr>
      <w:rPr>
        <w:rFonts w:hint="default"/>
      </w:rPr>
    </w:lvl>
    <w:lvl w:ilvl="6">
      <w:numFmt w:val="none"/>
      <w:lvlText w:val=""/>
      <w:lvlJc w:val="left"/>
      <w:pPr>
        <w:ind w:left="0" w:firstLine="0"/>
      </w:pPr>
      <w:rPr>
        <w:rFonts w:hint="default"/>
      </w:rPr>
    </w:lvl>
    <w:lvl w:ilvl="7">
      <w:numFmt w:val="none"/>
      <w:lvlText w:val=""/>
      <w:lvlJc w:val="left"/>
      <w:pPr>
        <w:ind w:left="0" w:firstLine="0"/>
      </w:pPr>
      <w:rPr>
        <w:rFonts w:hint="default"/>
      </w:rPr>
    </w:lvl>
    <w:lvl w:ilvl="8">
      <w:numFmt w:val="none"/>
      <w:lvlText w:val=""/>
      <w:lvlJc w:val="left"/>
      <w:pPr>
        <w:ind w:left="0" w:firstLine="0"/>
      </w:pPr>
      <w:rPr>
        <w:rFonts w:hint="default"/>
      </w:rPr>
    </w:lvl>
  </w:abstractNum>
  <w:abstractNum w:abstractNumId="44" w15:restartNumberingAfterBreak="0">
    <w:nsid w:val="77A675D0"/>
    <w:multiLevelType w:val="multilevel"/>
    <w:tmpl w:val="CB7E4932"/>
    <w:name w:val="ListBulletIndentedLIST"/>
    <w:styleLink w:val="ListBulletIndentedLIST"/>
    <w:lvl w:ilvl="0">
      <w:start w:val="1"/>
      <w:numFmt w:val="bullet"/>
      <w:pStyle w:val="Footnotetextbullet"/>
      <w:lvlText w:val="•"/>
      <w:lvlJc w:val="left"/>
      <w:pPr>
        <w:tabs>
          <w:tab w:val="num" w:pos="1191"/>
        </w:tabs>
        <w:ind w:left="1191" w:hanging="397"/>
      </w:pPr>
      <w:rPr>
        <w:rFonts w:ascii="Calibri" w:hAnsi="Calibri" w:hint="default"/>
        <w:color w:val="DC3903"/>
      </w:rPr>
    </w:lvl>
    <w:lvl w:ilvl="1">
      <w:start w:val="1"/>
      <w:numFmt w:val="bullet"/>
      <w:lvlText w:val="—"/>
      <w:lvlJc w:val="left"/>
      <w:pPr>
        <w:tabs>
          <w:tab w:val="num" w:pos="1758"/>
        </w:tabs>
        <w:ind w:left="1758" w:hanging="397"/>
      </w:pPr>
      <w:rPr>
        <w:rFonts w:ascii="Times New Roman" w:hAnsi="Times New Roman" w:cs="Times New Roman" w:hint="default"/>
        <w:color w:val="DC3903"/>
        <w:sz w:val="20"/>
      </w:rPr>
    </w:lvl>
    <w:lvl w:ilvl="2">
      <w:start w:val="1"/>
      <w:numFmt w:val="bullet"/>
      <w:lvlText w:val=""/>
      <w:lvlJc w:val="left"/>
      <w:pPr>
        <w:tabs>
          <w:tab w:val="num" w:pos="2325"/>
        </w:tabs>
        <w:ind w:left="2325" w:hanging="397"/>
      </w:pPr>
      <w:rPr>
        <w:rFonts w:ascii="Wingdings" w:hAnsi="Wingdings" w:hint="default"/>
        <w:color w:val="DC3903"/>
      </w:rPr>
    </w:lvl>
    <w:lvl w:ilvl="3">
      <w:start w:val="1"/>
      <w:numFmt w:val="bullet"/>
      <w:lvlText w:val=""/>
      <w:lvlJc w:val="left"/>
      <w:pPr>
        <w:tabs>
          <w:tab w:val="num" w:pos="2892"/>
        </w:tabs>
        <w:ind w:left="2892" w:hanging="397"/>
      </w:pPr>
      <w:rPr>
        <w:rFonts w:ascii="Wingdings 3" w:hAnsi="Wingdings 3" w:hint="default"/>
        <w:color w:val="DC3903"/>
      </w:rPr>
    </w:lvl>
    <w:lvl w:ilvl="4">
      <w:numFmt w:val="none"/>
      <w:lvlText w:val=""/>
      <w:lvlJc w:val="left"/>
      <w:pPr>
        <w:ind w:left="0" w:firstLine="0"/>
      </w:pPr>
      <w:rPr>
        <w:rFonts w:hint="default"/>
      </w:rPr>
    </w:lvl>
    <w:lvl w:ilvl="5">
      <w:numFmt w:val="none"/>
      <w:lvlText w:val=""/>
      <w:lvlJc w:val="left"/>
      <w:pPr>
        <w:ind w:left="0" w:firstLine="0"/>
      </w:pPr>
      <w:rPr>
        <w:rFonts w:hint="default"/>
      </w:rPr>
    </w:lvl>
    <w:lvl w:ilvl="6">
      <w:numFmt w:val="none"/>
      <w:lvlText w:val=""/>
      <w:lvlJc w:val="left"/>
      <w:pPr>
        <w:ind w:left="0" w:firstLine="0"/>
      </w:pPr>
      <w:rPr>
        <w:rFonts w:hint="default"/>
      </w:rPr>
    </w:lvl>
    <w:lvl w:ilvl="7">
      <w:numFmt w:val="none"/>
      <w:lvlText w:val=""/>
      <w:lvlJc w:val="left"/>
      <w:pPr>
        <w:ind w:left="0" w:firstLine="0"/>
      </w:pPr>
      <w:rPr>
        <w:rFonts w:hint="default"/>
      </w:rPr>
    </w:lvl>
    <w:lvl w:ilvl="8">
      <w:numFmt w:val="none"/>
      <w:lvlText w:val=""/>
      <w:lvlJc w:val="left"/>
      <w:pPr>
        <w:ind w:left="0" w:firstLine="0"/>
      </w:pPr>
      <w:rPr>
        <w:rFonts w:hint="default"/>
      </w:rPr>
    </w:lvl>
  </w:abstractNum>
  <w:abstractNum w:abstractNumId="45" w15:restartNumberingAfterBreak="0">
    <w:nsid w:val="7ACF38A8"/>
    <w:multiLevelType w:val="multilevel"/>
    <w:tmpl w:val="D61EF4EC"/>
    <w:styleLink w:val="amprboxbulletlistLIST"/>
    <w:lvl w:ilvl="0">
      <w:start w:val="1"/>
      <w:numFmt w:val="bullet"/>
      <w:pStyle w:val="amprboxbulletlist"/>
      <w:lvlText w:val="•"/>
      <w:lvlJc w:val="left"/>
      <w:pPr>
        <w:ind w:left="360" w:hanging="59"/>
      </w:pPr>
      <w:rPr>
        <w:rFonts w:ascii="Calibri" w:hAnsi="Calibri" w:hint="default"/>
      </w:rPr>
    </w:lvl>
    <w:lvl w:ilvl="1">
      <w:start w:val="1"/>
      <w:numFmt w:val="none"/>
      <w:lvlText w:val="&gt;&gt;Table Box Red Border"/>
      <w:lvlJc w:val="left"/>
      <w:pPr>
        <w:ind w:left="0" w:firstLine="301"/>
      </w:pPr>
      <w:rPr>
        <w:rFonts w:hint="default"/>
        <w:b/>
        <w:i w:val="0"/>
        <w:color w:val="FF0000"/>
        <w:u w:val="dotted"/>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241260752">
    <w:abstractNumId w:val="29"/>
  </w:num>
  <w:num w:numId="2" w16cid:durableId="634290100">
    <w:abstractNumId w:val="27"/>
  </w:num>
  <w:num w:numId="3" w16cid:durableId="2106226637">
    <w:abstractNumId w:val="41"/>
  </w:num>
  <w:num w:numId="4" w16cid:durableId="379322711">
    <w:abstractNumId w:val="10"/>
  </w:num>
  <w:num w:numId="5" w16cid:durableId="131481622">
    <w:abstractNumId w:val="32"/>
  </w:num>
  <w:num w:numId="6" w16cid:durableId="1045299818">
    <w:abstractNumId w:val="7"/>
  </w:num>
  <w:num w:numId="7" w16cid:durableId="1401828662">
    <w:abstractNumId w:val="6"/>
  </w:num>
  <w:num w:numId="8" w16cid:durableId="320156577">
    <w:abstractNumId w:val="5"/>
  </w:num>
  <w:num w:numId="9" w16cid:durableId="1998461463">
    <w:abstractNumId w:val="4"/>
  </w:num>
  <w:num w:numId="10" w16cid:durableId="530992287">
    <w:abstractNumId w:val="12"/>
  </w:num>
  <w:num w:numId="11" w16cid:durableId="1546408169">
    <w:abstractNumId w:val="3"/>
  </w:num>
  <w:num w:numId="12" w16cid:durableId="1027296855">
    <w:abstractNumId w:val="2"/>
  </w:num>
  <w:num w:numId="13" w16cid:durableId="651177288">
    <w:abstractNumId w:val="1"/>
  </w:num>
  <w:num w:numId="14" w16cid:durableId="1833179128">
    <w:abstractNumId w:val="0"/>
  </w:num>
  <w:num w:numId="15" w16cid:durableId="776173150">
    <w:abstractNumId w:val="36"/>
  </w:num>
  <w:num w:numId="16" w16cid:durableId="429012566">
    <w:abstractNumId w:val="31"/>
  </w:num>
  <w:num w:numId="17" w16cid:durableId="887032317">
    <w:abstractNumId w:val="43"/>
  </w:num>
  <w:num w:numId="18" w16cid:durableId="1213343454">
    <w:abstractNumId w:val="30"/>
  </w:num>
  <w:num w:numId="19" w16cid:durableId="111634047">
    <w:abstractNumId w:val="35"/>
  </w:num>
  <w:num w:numId="20" w16cid:durableId="813792854">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824661900">
    <w:abstractNumId w:val="45"/>
  </w:num>
  <w:num w:numId="22" w16cid:durableId="150563186">
    <w:abstractNumId w:val="33"/>
  </w:num>
  <w:num w:numId="23" w16cid:durableId="802041408">
    <w:abstractNumId w:val="26"/>
  </w:num>
  <w:num w:numId="24" w16cid:durableId="980309983">
    <w:abstractNumId w:val="42"/>
  </w:num>
  <w:num w:numId="25" w16cid:durableId="961575184">
    <w:abstractNumId w:val="39"/>
  </w:num>
  <w:num w:numId="26" w16cid:durableId="1764838813">
    <w:abstractNumId w:val="38"/>
  </w:num>
  <w:num w:numId="27" w16cid:durableId="1069116631">
    <w:abstractNumId w:val="44"/>
  </w:num>
  <w:num w:numId="28" w16cid:durableId="545530392">
    <w:abstractNumId w:val="8"/>
  </w:num>
  <w:num w:numId="29" w16cid:durableId="1956592937">
    <w:abstractNumId w:val="17"/>
  </w:num>
  <w:num w:numId="30" w16cid:durableId="216741331">
    <w:abstractNumId w:val="12"/>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 w:numId="31" w16cid:durableId="1014041977">
    <w:abstractNumId w:val="15"/>
  </w:num>
  <w:num w:numId="32" w16cid:durableId="193542437">
    <w:abstractNumId w:val="19"/>
  </w:num>
  <w:num w:numId="33" w16cid:durableId="860238660">
    <w:abstractNumId w:val="16"/>
  </w:num>
  <w:num w:numId="34" w16cid:durableId="1830705229">
    <w:abstractNumId w:val="9"/>
  </w:num>
  <w:num w:numId="35" w16cid:durableId="1381325662">
    <w:abstractNumId w:val="22"/>
  </w:num>
  <w:num w:numId="36" w16cid:durableId="1069234949">
    <w:abstractNumId w:val="21"/>
  </w:num>
  <w:num w:numId="37" w16cid:durableId="1071780903">
    <w:abstractNumId w:val="20"/>
  </w:num>
  <w:num w:numId="38" w16cid:durableId="1589848189">
    <w:abstractNumId w:val="28"/>
  </w:num>
  <w:num w:numId="39" w16cid:durableId="171453140">
    <w:abstractNumId w:val="37"/>
  </w:num>
  <w:num w:numId="40" w16cid:durableId="496578183">
    <w:abstractNumId w:val="23"/>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41" w16cid:durableId="1536576403">
    <w:abstractNumId w:val="23"/>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defaultTabStop w:val="720"/>
  <w:hyphenationZone w:val="425"/>
  <w:defaultTableStyle w:val="BodyTable"/>
  <w:drawingGridHorizontalSpacing w:val="245"/>
  <w:drawingGridVerticalSpacing w:val="163"/>
  <w:displayVerticalDrawingGridEvery w:val="2"/>
  <w:characterSpacingControl w:val="doNotCompress"/>
  <w:hdrShapeDefaults>
    <o:shapedefaults v:ext="edit" spidmax="2051"/>
  </w:hdrShapeDefaults>
  <w:footnotePr>
    <w:footnote w:id="-1"/>
    <w:footnote w:id="0"/>
  </w:footnotePr>
  <w:endnotePr>
    <w:pos w:val="sectEnd"/>
    <w:numFmt w:val="lowerLette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ocStatus" w:val="Green"/>
    <w:docVar w:name="EPKit_DocumentHasBeenSaved" w:val="true"/>
    <w:docVar w:name="LW_ACCOMPAGNANT.CP" w:val="to the "/>
    <w:docVar w:name="LW_ANNEX_NBR_FIRST" w:val="2"/>
    <w:docVar w:name="LW_ANNEX_NBR_LAST" w:val="3"/>
    <w:docVar w:name="LW_ANNEX_UNIQUE" w:val="0"/>
    <w:docVar w:name="LW_CORRIGENDUM" w:val="&lt;UNUSED&gt;"/>
    <w:docVar w:name="LW_COVERPAGE_EXISTS" w:val="True"/>
    <w:docVar w:name="LW_COVERPAGE_GUID" w:val="919B780F-5648-4014-9443-16CADC6DC7F2"/>
    <w:docVar w:name="LW_COVERPAGE_TYPE" w:val="1"/>
    <w:docVar w:name="LW_CROSSREFERENCE" w:val="&lt;UNUSED&gt;"/>
    <w:docVar w:name="LW_DocType" w:val="234AAA6DEAFF4DE7AC965E3A785985AE"/>
    <w:docVar w:name="LW_EMISSION" w:val="16.6.2026"/>
    <w:docVar w:name="LW_EMISSION_ISODATE" w:val="2026-06-16"/>
    <w:docVar w:name="LW_EMISSION_LOCATION" w:val="STR"/>
    <w:docVar w:name="LW_EMISSION_PREFIX" w:val="Strasbourg, "/>
    <w:docVar w:name="LW_EMISSION_SUFFIX" w:val=" "/>
    <w:docVar w:name="LW_ID_DOCTYPE_NONLW" w:val="CP-039"/>
    <w:docVar w:name="LW_LANGUE" w:val="EN"/>
    <w:docVar w:name="LW_LEVEL_OF_SENSITIVITY" w:val="Standard treatment"/>
    <w:docVar w:name="LW_NOM.INST" w:val="EUROPEAN COMMISSION"/>
    <w:docVar w:name="LW_NOM.INST_JOINTDOC" w:val="&lt;EMPTY&gt;"/>
    <w:docVar w:name="LW_OBJETACTEPRINCIPAL.CP" w:val="Annual Management and Performance Report for the EU Budget \u8211? 2025 financial year"/>
    <w:docVar w:name="LW_PART_NBR" w:val="&lt;UNUSED&gt;"/>
    <w:docVar w:name="LW_PART_NBR_TOTAL" w:val="&lt;UNUSED&gt;"/>
    <w:docVar w:name="LW_REF.INST.NEW" w:val="COM"/>
    <w:docVar w:name="LW_REF.INST.NEW_ADOPTED" w:val="final"/>
    <w:docVar w:name="LW_REF.INST.NEW_TEXT" w:val="(2026) 824"/>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CP" w:val="ANNEXES_x000b_"/>
    <w:docVar w:name="LW_TYPEACTEPRINCIPAL.CP" w:val="REPORT FROM THE COMMISSION TO THE EUROPEAN PARLIAMENT, THE COUNCIL AND THE COURT OF AUDITORS "/>
  </w:docVars>
  <w:rsids>
    <w:rsidRoot w:val="00B54053"/>
    <w:rsid w:val="00000384"/>
    <w:rsid w:val="000005F5"/>
    <w:rsid w:val="00000704"/>
    <w:rsid w:val="00000760"/>
    <w:rsid w:val="0000093C"/>
    <w:rsid w:val="00000C5F"/>
    <w:rsid w:val="0000111C"/>
    <w:rsid w:val="0000137E"/>
    <w:rsid w:val="0000137F"/>
    <w:rsid w:val="0000155A"/>
    <w:rsid w:val="0000155C"/>
    <w:rsid w:val="00001986"/>
    <w:rsid w:val="00001B8F"/>
    <w:rsid w:val="00001C5C"/>
    <w:rsid w:val="00001D1F"/>
    <w:rsid w:val="00002355"/>
    <w:rsid w:val="00002392"/>
    <w:rsid w:val="0000272E"/>
    <w:rsid w:val="0000272F"/>
    <w:rsid w:val="000029D7"/>
    <w:rsid w:val="00002A51"/>
    <w:rsid w:val="00002AB7"/>
    <w:rsid w:val="00002DAB"/>
    <w:rsid w:val="000034DB"/>
    <w:rsid w:val="00003D5F"/>
    <w:rsid w:val="00003E75"/>
    <w:rsid w:val="0000416B"/>
    <w:rsid w:val="000042F8"/>
    <w:rsid w:val="00004450"/>
    <w:rsid w:val="00004CFF"/>
    <w:rsid w:val="00004EE5"/>
    <w:rsid w:val="000050E4"/>
    <w:rsid w:val="00005299"/>
    <w:rsid w:val="0000573E"/>
    <w:rsid w:val="00005CDB"/>
    <w:rsid w:val="00005E4E"/>
    <w:rsid w:val="00006142"/>
    <w:rsid w:val="000061BA"/>
    <w:rsid w:val="000063A9"/>
    <w:rsid w:val="000066ED"/>
    <w:rsid w:val="000067C3"/>
    <w:rsid w:val="00006A28"/>
    <w:rsid w:val="00006A32"/>
    <w:rsid w:val="00006EFC"/>
    <w:rsid w:val="00006FE9"/>
    <w:rsid w:val="000070C2"/>
    <w:rsid w:val="00007303"/>
    <w:rsid w:val="000074DF"/>
    <w:rsid w:val="0000762B"/>
    <w:rsid w:val="000077E9"/>
    <w:rsid w:val="00007A81"/>
    <w:rsid w:val="00010010"/>
    <w:rsid w:val="0001002A"/>
    <w:rsid w:val="000100C2"/>
    <w:rsid w:val="000102D8"/>
    <w:rsid w:val="000103BD"/>
    <w:rsid w:val="00010561"/>
    <w:rsid w:val="00010DE4"/>
    <w:rsid w:val="00010ED9"/>
    <w:rsid w:val="0001102B"/>
    <w:rsid w:val="000111D8"/>
    <w:rsid w:val="000112F0"/>
    <w:rsid w:val="0001195E"/>
    <w:rsid w:val="00011A15"/>
    <w:rsid w:val="00011A59"/>
    <w:rsid w:val="00011B25"/>
    <w:rsid w:val="00011DF5"/>
    <w:rsid w:val="00012019"/>
    <w:rsid w:val="0001201A"/>
    <w:rsid w:val="00012475"/>
    <w:rsid w:val="000124B3"/>
    <w:rsid w:val="000125D6"/>
    <w:rsid w:val="00012674"/>
    <w:rsid w:val="000126EA"/>
    <w:rsid w:val="00012DA8"/>
    <w:rsid w:val="0001309D"/>
    <w:rsid w:val="00013165"/>
    <w:rsid w:val="0001324F"/>
    <w:rsid w:val="0001341F"/>
    <w:rsid w:val="00013790"/>
    <w:rsid w:val="000140EF"/>
    <w:rsid w:val="000144E0"/>
    <w:rsid w:val="000144F3"/>
    <w:rsid w:val="00014753"/>
    <w:rsid w:val="0001482C"/>
    <w:rsid w:val="00014B81"/>
    <w:rsid w:val="00014CCE"/>
    <w:rsid w:val="0001526E"/>
    <w:rsid w:val="00015C52"/>
    <w:rsid w:val="00015CF3"/>
    <w:rsid w:val="00015E58"/>
    <w:rsid w:val="00016309"/>
    <w:rsid w:val="000166C0"/>
    <w:rsid w:val="00016771"/>
    <w:rsid w:val="00016B3E"/>
    <w:rsid w:val="0001702F"/>
    <w:rsid w:val="000170E1"/>
    <w:rsid w:val="0001723E"/>
    <w:rsid w:val="00017446"/>
    <w:rsid w:val="00017490"/>
    <w:rsid w:val="0001750A"/>
    <w:rsid w:val="00017589"/>
    <w:rsid w:val="0001775F"/>
    <w:rsid w:val="00017794"/>
    <w:rsid w:val="00017834"/>
    <w:rsid w:val="00017883"/>
    <w:rsid w:val="000178A8"/>
    <w:rsid w:val="00017A16"/>
    <w:rsid w:val="00017B13"/>
    <w:rsid w:val="00017B3E"/>
    <w:rsid w:val="00017BB2"/>
    <w:rsid w:val="00017C4A"/>
    <w:rsid w:val="00017DF8"/>
    <w:rsid w:val="00017ED1"/>
    <w:rsid w:val="00017F0E"/>
    <w:rsid w:val="0002030E"/>
    <w:rsid w:val="000203E2"/>
    <w:rsid w:val="0002050E"/>
    <w:rsid w:val="0002058C"/>
    <w:rsid w:val="000207BC"/>
    <w:rsid w:val="00020E8C"/>
    <w:rsid w:val="00020EA0"/>
    <w:rsid w:val="00021152"/>
    <w:rsid w:val="0002138A"/>
    <w:rsid w:val="000213BB"/>
    <w:rsid w:val="000214A2"/>
    <w:rsid w:val="00021585"/>
    <w:rsid w:val="00021601"/>
    <w:rsid w:val="0002163C"/>
    <w:rsid w:val="00021960"/>
    <w:rsid w:val="0002197F"/>
    <w:rsid w:val="00021D68"/>
    <w:rsid w:val="00021E92"/>
    <w:rsid w:val="00021EB3"/>
    <w:rsid w:val="00021FA3"/>
    <w:rsid w:val="000220C3"/>
    <w:rsid w:val="000222D5"/>
    <w:rsid w:val="00022442"/>
    <w:rsid w:val="00022926"/>
    <w:rsid w:val="00022A21"/>
    <w:rsid w:val="00022D5D"/>
    <w:rsid w:val="00022F58"/>
    <w:rsid w:val="000235AD"/>
    <w:rsid w:val="000236B8"/>
    <w:rsid w:val="000236EB"/>
    <w:rsid w:val="000238A9"/>
    <w:rsid w:val="00023C26"/>
    <w:rsid w:val="00023C83"/>
    <w:rsid w:val="00023CD5"/>
    <w:rsid w:val="00023E0E"/>
    <w:rsid w:val="00023F2E"/>
    <w:rsid w:val="00023FF2"/>
    <w:rsid w:val="00024011"/>
    <w:rsid w:val="000241B7"/>
    <w:rsid w:val="0002423B"/>
    <w:rsid w:val="000244F1"/>
    <w:rsid w:val="00024536"/>
    <w:rsid w:val="00024604"/>
    <w:rsid w:val="00024A1D"/>
    <w:rsid w:val="00024C99"/>
    <w:rsid w:val="00025030"/>
    <w:rsid w:val="00025223"/>
    <w:rsid w:val="00025736"/>
    <w:rsid w:val="00025D60"/>
    <w:rsid w:val="00025E37"/>
    <w:rsid w:val="00026032"/>
    <w:rsid w:val="00026190"/>
    <w:rsid w:val="000261AF"/>
    <w:rsid w:val="000261E1"/>
    <w:rsid w:val="000261E7"/>
    <w:rsid w:val="000266EB"/>
    <w:rsid w:val="00026841"/>
    <w:rsid w:val="00026B89"/>
    <w:rsid w:val="00026CF0"/>
    <w:rsid w:val="00026DB5"/>
    <w:rsid w:val="00026E2F"/>
    <w:rsid w:val="00027171"/>
    <w:rsid w:val="0002734C"/>
    <w:rsid w:val="000273E8"/>
    <w:rsid w:val="00027444"/>
    <w:rsid w:val="000277ED"/>
    <w:rsid w:val="0002781B"/>
    <w:rsid w:val="00027C0F"/>
    <w:rsid w:val="00027C9A"/>
    <w:rsid w:val="00027CE8"/>
    <w:rsid w:val="00030003"/>
    <w:rsid w:val="00030183"/>
    <w:rsid w:val="00030569"/>
    <w:rsid w:val="00030E27"/>
    <w:rsid w:val="00030ECD"/>
    <w:rsid w:val="00030EE5"/>
    <w:rsid w:val="00030FFE"/>
    <w:rsid w:val="000312A0"/>
    <w:rsid w:val="000314C1"/>
    <w:rsid w:val="0003176F"/>
    <w:rsid w:val="00031A2E"/>
    <w:rsid w:val="00031C17"/>
    <w:rsid w:val="00031EB1"/>
    <w:rsid w:val="000320AB"/>
    <w:rsid w:val="000325FB"/>
    <w:rsid w:val="00032628"/>
    <w:rsid w:val="000328B2"/>
    <w:rsid w:val="00032927"/>
    <w:rsid w:val="00032B0E"/>
    <w:rsid w:val="00032E2C"/>
    <w:rsid w:val="00032E64"/>
    <w:rsid w:val="0003371F"/>
    <w:rsid w:val="0003379A"/>
    <w:rsid w:val="00033C23"/>
    <w:rsid w:val="00034126"/>
    <w:rsid w:val="00034454"/>
    <w:rsid w:val="000348EA"/>
    <w:rsid w:val="00034947"/>
    <w:rsid w:val="00034B2A"/>
    <w:rsid w:val="00034DCE"/>
    <w:rsid w:val="00034DE4"/>
    <w:rsid w:val="000355F3"/>
    <w:rsid w:val="0003589F"/>
    <w:rsid w:val="00035B28"/>
    <w:rsid w:val="00036178"/>
    <w:rsid w:val="000362E4"/>
    <w:rsid w:val="00036549"/>
    <w:rsid w:val="00036613"/>
    <w:rsid w:val="000366AE"/>
    <w:rsid w:val="00036A05"/>
    <w:rsid w:val="00036B19"/>
    <w:rsid w:val="00036B7A"/>
    <w:rsid w:val="00036D4D"/>
    <w:rsid w:val="00037121"/>
    <w:rsid w:val="0003719F"/>
    <w:rsid w:val="000372A6"/>
    <w:rsid w:val="000372C3"/>
    <w:rsid w:val="000372FE"/>
    <w:rsid w:val="00037504"/>
    <w:rsid w:val="000375D9"/>
    <w:rsid w:val="0003765E"/>
    <w:rsid w:val="00037703"/>
    <w:rsid w:val="0003781E"/>
    <w:rsid w:val="00037E2E"/>
    <w:rsid w:val="0004017B"/>
    <w:rsid w:val="00040181"/>
    <w:rsid w:val="000401F9"/>
    <w:rsid w:val="00040444"/>
    <w:rsid w:val="0004044D"/>
    <w:rsid w:val="000404F8"/>
    <w:rsid w:val="00040626"/>
    <w:rsid w:val="000409D7"/>
    <w:rsid w:val="00040AFF"/>
    <w:rsid w:val="00040B3E"/>
    <w:rsid w:val="00040B46"/>
    <w:rsid w:val="00040C1E"/>
    <w:rsid w:val="00040CFB"/>
    <w:rsid w:val="00041438"/>
    <w:rsid w:val="00041925"/>
    <w:rsid w:val="00041B0A"/>
    <w:rsid w:val="00041C8A"/>
    <w:rsid w:val="00041DCD"/>
    <w:rsid w:val="00041F07"/>
    <w:rsid w:val="00041F6A"/>
    <w:rsid w:val="00042039"/>
    <w:rsid w:val="0004248E"/>
    <w:rsid w:val="000427E8"/>
    <w:rsid w:val="0004281B"/>
    <w:rsid w:val="0004296F"/>
    <w:rsid w:val="00042DBD"/>
    <w:rsid w:val="00042E5A"/>
    <w:rsid w:val="00042F7D"/>
    <w:rsid w:val="00043362"/>
    <w:rsid w:val="000433DB"/>
    <w:rsid w:val="0004354C"/>
    <w:rsid w:val="0004354E"/>
    <w:rsid w:val="00043756"/>
    <w:rsid w:val="0004380D"/>
    <w:rsid w:val="000438D5"/>
    <w:rsid w:val="000439A2"/>
    <w:rsid w:val="00043A62"/>
    <w:rsid w:val="00043E61"/>
    <w:rsid w:val="00043EED"/>
    <w:rsid w:val="0004409B"/>
    <w:rsid w:val="00044195"/>
    <w:rsid w:val="00044308"/>
    <w:rsid w:val="00044377"/>
    <w:rsid w:val="00044409"/>
    <w:rsid w:val="00044460"/>
    <w:rsid w:val="000444D5"/>
    <w:rsid w:val="000445FB"/>
    <w:rsid w:val="00044864"/>
    <w:rsid w:val="00044895"/>
    <w:rsid w:val="00044A07"/>
    <w:rsid w:val="00044BF5"/>
    <w:rsid w:val="0004526D"/>
    <w:rsid w:val="000456B5"/>
    <w:rsid w:val="00045AC5"/>
    <w:rsid w:val="00045CCA"/>
    <w:rsid w:val="00045D07"/>
    <w:rsid w:val="0004634B"/>
    <w:rsid w:val="0004638D"/>
    <w:rsid w:val="00046946"/>
    <w:rsid w:val="00046BC2"/>
    <w:rsid w:val="00046BEA"/>
    <w:rsid w:val="0004712E"/>
    <w:rsid w:val="00047276"/>
    <w:rsid w:val="00047BC6"/>
    <w:rsid w:val="00047BD0"/>
    <w:rsid w:val="00047CFD"/>
    <w:rsid w:val="00047CFE"/>
    <w:rsid w:val="000501E8"/>
    <w:rsid w:val="00050425"/>
    <w:rsid w:val="00050642"/>
    <w:rsid w:val="0005092E"/>
    <w:rsid w:val="00050A6F"/>
    <w:rsid w:val="00050E3E"/>
    <w:rsid w:val="00050ECB"/>
    <w:rsid w:val="000511EE"/>
    <w:rsid w:val="00051321"/>
    <w:rsid w:val="00051625"/>
    <w:rsid w:val="000518A5"/>
    <w:rsid w:val="00051BCF"/>
    <w:rsid w:val="00051F5B"/>
    <w:rsid w:val="0005215B"/>
    <w:rsid w:val="00052263"/>
    <w:rsid w:val="000522A3"/>
    <w:rsid w:val="000525C6"/>
    <w:rsid w:val="0005267B"/>
    <w:rsid w:val="00052A17"/>
    <w:rsid w:val="00052B4E"/>
    <w:rsid w:val="00052CB7"/>
    <w:rsid w:val="00052CF2"/>
    <w:rsid w:val="00052E6A"/>
    <w:rsid w:val="00052F92"/>
    <w:rsid w:val="000531AA"/>
    <w:rsid w:val="00053204"/>
    <w:rsid w:val="0005326E"/>
    <w:rsid w:val="0005342C"/>
    <w:rsid w:val="000534B9"/>
    <w:rsid w:val="0005359F"/>
    <w:rsid w:val="00053641"/>
    <w:rsid w:val="000539C8"/>
    <w:rsid w:val="00053B1B"/>
    <w:rsid w:val="00053BE6"/>
    <w:rsid w:val="00053C76"/>
    <w:rsid w:val="00053F94"/>
    <w:rsid w:val="00054010"/>
    <w:rsid w:val="000542C1"/>
    <w:rsid w:val="00054347"/>
    <w:rsid w:val="00054907"/>
    <w:rsid w:val="00054AEE"/>
    <w:rsid w:val="00054ECA"/>
    <w:rsid w:val="00054F11"/>
    <w:rsid w:val="0005506B"/>
    <w:rsid w:val="00055264"/>
    <w:rsid w:val="00055288"/>
    <w:rsid w:val="00055546"/>
    <w:rsid w:val="000556EF"/>
    <w:rsid w:val="000557B8"/>
    <w:rsid w:val="00055996"/>
    <w:rsid w:val="000559AA"/>
    <w:rsid w:val="00055C0A"/>
    <w:rsid w:val="00055EAC"/>
    <w:rsid w:val="00055F59"/>
    <w:rsid w:val="00055F7F"/>
    <w:rsid w:val="00056205"/>
    <w:rsid w:val="0005621B"/>
    <w:rsid w:val="000562AD"/>
    <w:rsid w:val="000562D3"/>
    <w:rsid w:val="0005654F"/>
    <w:rsid w:val="000565B5"/>
    <w:rsid w:val="00056684"/>
    <w:rsid w:val="000568A9"/>
    <w:rsid w:val="0005696C"/>
    <w:rsid w:val="000569C9"/>
    <w:rsid w:val="00056AB7"/>
    <w:rsid w:val="00056C55"/>
    <w:rsid w:val="00056DA1"/>
    <w:rsid w:val="00057427"/>
    <w:rsid w:val="00057552"/>
    <w:rsid w:val="00057618"/>
    <w:rsid w:val="00057636"/>
    <w:rsid w:val="000577D3"/>
    <w:rsid w:val="00057915"/>
    <w:rsid w:val="0005791A"/>
    <w:rsid w:val="00057C7B"/>
    <w:rsid w:val="00057CFD"/>
    <w:rsid w:val="00057E46"/>
    <w:rsid w:val="000605B7"/>
    <w:rsid w:val="00060B7E"/>
    <w:rsid w:val="00060BDF"/>
    <w:rsid w:val="00060D41"/>
    <w:rsid w:val="00060F88"/>
    <w:rsid w:val="000614A2"/>
    <w:rsid w:val="000614FF"/>
    <w:rsid w:val="00061545"/>
    <w:rsid w:val="00061722"/>
    <w:rsid w:val="00061743"/>
    <w:rsid w:val="000617F7"/>
    <w:rsid w:val="00061951"/>
    <w:rsid w:val="00061E94"/>
    <w:rsid w:val="00062478"/>
    <w:rsid w:val="000624F3"/>
    <w:rsid w:val="00062853"/>
    <w:rsid w:val="0006295D"/>
    <w:rsid w:val="00062A93"/>
    <w:rsid w:val="00062B38"/>
    <w:rsid w:val="00062E0F"/>
    <w:rsid w:val="00062FFC"/>
    <w:rsid w:val="00063343"/>
    <w:rsid w:val="0006338D"/>
    <w:rsid w:val="0006346C"/>
    <w:rsid w:val="0006364E"/>
    <w:rsid w:val="000637DF"/>
    <w:rsid w:val="00063BE3"/>
    <w:rsid w:val="00063C9A"/>
    <w:rsid w:val="00063DDA"/>
    <w:rsid w:val="00063E1D"/>
    <w:rsid w:val="000641B9"/>
    <w:rsid w:val="00064662"/>
    <w:rsid w:val="000646A9"/>
    <w:rsid w:val="00064781"/>
    <w:rsid w:val="00064CFC"/>
    <w:rsid w:val="00064D88"/>
    <w:rsid w:val="00064DB6"/>
    <w:rsid w:val="00064DEC"/>
    <w:rsid w:val="00064E20"/>
    <w:rsid w:val="00064E3B"/>
    <w:rsid w:val="00064F09"/>
    <w:rsid w:val="00065277"/>
    <w:rsid w:val="0006538B"/>
    <w:rsid w:val="000654C7"/>
    <w:rsid w:val="0006550D"/>
    <w:rsid w:val="00065600"/>
    <w:rsid w:val="000656E6"/>
    <w:rsid w:val="000658E0"/>
    <w:rsid w:val="00065BDC"/>
    <w:rsid w:val="00065D4E"/>
    <w:rsid w:val="00065EEA"/>
    <w:rsid w:val="00065FF4"/>
    <w:rsid w:val="00066028"/>
    <w:rsid w:val="0006646B"/>
    <w:rsid w:val="000665E1"/>
    <w:rsid w:val="000669D2"/>
    <w:rsid w:val="00066F30"/>
    <w:rsid w:val="00066FC5"/>
    <w:rsid w:val="00067133"/>
    <w:rsid w:val="00067640"/>
    <w:rsid w:val="000676AA"/>
    <w:rsid w:val="000679EB"/>
    <w:rsid w:val="00067C0D"/>
    <w:rsid w:val="00067CA3"/>
    <w:rsid w:val="00070350"/>
    <w:rsid w:val="00070668"/>
    <w:rsid w:val="000707D7"/>
    <w:rsid w:val="0007088A"/>
    <w:rsid w:val="00070902"/>
    <w:rsid w:val="000709E9"/>
    <w:rsid w:val="00070C25"/>
    <w:rsid w:val="000712D7"/>
    <w:rsid w:val="00071333"/>
    <w:rsid w:val="000713F5"/>
    <w:rsid w:val="000714B6"/>
    <w:rsid w:val="0007164F"/>
    <w:rsid w:val="000716A7"/>
    <w:rsid w:val="00071976"/>
    <w:rsid w:val="00071C84"/>
    <w:rsid w:val="00072690"/>
    <w:rsid w:val="00072A3B"/>
    <w:rsid w:val="00072C7E"/>
    <w:rsid w:val="00072ECF"/>
    <w:rsid w:val="00073347"/>
    <w:rsid w:val="00073637"/>
    <w:rsid w:val="000736B5"/>
    <w:rsid w:val="000737AE"/>
    <w:rsid w:val="00073CE8"/>
    <w:rsid w:val="00074724"/>
    <w:rsid w:val="0007475F"/>
    <w:rsid w:val="00074939"/>
    <w:rsid w:val="00074A2E"/>
    <w:rsid w:val="00074B0A"/>
    <w:rsid w:val="00074D1A"/>
    <w:rsid w:val="00074E77"/>
    <w:rsid w:val="000753BE"/>
    <w:rsid w:val="00075943"/>
    <w:rsid w:val="00075963"/>
    <w:rsid w:val="00075D03"/>
    <w:rsid w:val="00075DD8"/>
    <w:rsid w:val="00076103"/>
    <w:rsid w:val="000761BD"/>
    <w:rsid w:val="000762C8"/>
    <w:rsid w:val="00076421"/>
    <w:rsid w:val="000764BD"/>
    <w:rsid w:val="0007678E"/>
    <w:rsid w:val="000767BE"/>
    <w:rsid w:val="000769DC"/>
    <w:rsid w:val="00076CA2"/>
    <w:rsid w:val="00076CC2"/>
    <w:rsid w:val="000771EC"/>
    <w:rsid w:val="000772B9"/>
    <w:rsid w:val="00077445"/>
    <w:rsid w:val="0007754E"/>
    <w:rsid w:val="0007761B"/>
    <w:rsid w:val="00077771"/>
    <w:rsid w:val="0007795E"/>
    <w:rsid w:val="000779B6"/>
    <w:rsid w:val="00077B79"/>
    <w:rsid w:val="00077C4E"/>
    <w:rsid w:val="00077CD8"/>
    <w:rsid w:val="00077E76"/>
    <w:rsid w:val="00077EDB"/>
    <w:rsid w:val="00077FC5"/>
    <w:rsid w:val="000802FC"/>
    <w:rsid w:val="00080689"/>
    <w:rsid w:val="000809B2"/>
    <w:rsid w:val="00080A03"/>
    <w:rsid w:val="0008172E"/>
    <w:rsid w:val="00081CBD"/>
    <w:rsid w:val="00081E87"/>
    <w:rsid w:val="00081F3F"/>
    <w:rsid w:val="00082219"/>
    <w:rsid w:val="00082291"/>
    <w:rsid w:val="00082688"/>
    <w:rsid w:val="0008282C"/>
    <w:rsid w:val="00082DCE"/>
    <w:rsid w:val="00082FE9"/>
    <w:rsid w:val="000835DB"/>
    <w:rsid w:val="0008368B"/>
    <w:rsid w:val="000836EB"/>
    <w:rsid w:val="0008373A"/>
    <w:rsid w:val="000838AC"/>
    <w:rsid w:val="000838C0"/>
    <w:rsid w:val="00083B5D"/>
    <w:rsid w:val="00083F6E"/>
    <w:rsid w:val="000841EB"/>
    <w:rsid w:val="00084200"/>
    <w:rsid w:val="000844CA"/>
    <w:rsid w:val="00084780"/>
    <w:rsid w:val="00084879"/>
    <w:rsid w:val="00084EBA"/>
    <w:rsid w:val="00085237"/>
    <w:rsid w:val="0008554B"/>
    <w:rsid w:val="00085A0C"/>
    <w:rsid w:val="00085A67"/>
    <w:rsid w:val="00085CB4"/>
    <w:rsid w:val="000863D9"/>
    <w:rsid w:val="000865CB"/>
    <w:rsid w:val="00086EDA"/>
    <w:rsid w:val="0008703F"/>
    <w:rsid w:val="000872DA"/>
    <w:rsid w:val="000876D6"/>
    <w:rsid w:val="00087C22"/>
    <w:rsid w:val="00087C57"/>
    <w:rsid w:val="00087E45"/>
    <w:rsid w:val="00087F24"/>
    <w:rsid w:val="0009013E"/>
    <w:rsid w:val="000901A6"/>
    <w:rsid w:val="000902A1"/>
    <w:rsid w:val="000902A7"/>
    <w:rsid w:val="000907C8"/>
    <w:rsid w:val="000907E9"/>
    <w:rsid w:val="0009089F"/>
    <w:rsid w:val="0009096C"/>
    <w:rsid w:val="00090DFF"/>
    <w:rsid w:val="00090EF2"/>
    <w:rsid w:val="00090F88"/>
    <w:rsid w:val="00090FBE"/>
    <w:rsid w:val="00090FF2"/>
    <w:rsid w:val="0009153F"/>
    <w:rsid w:val="00091963"/>
    <w:rsid w:val="00091BAC"/>
    <w:rsid w:val="00091D11"/>
    <w:rsid w:val="00091DA5"/>
    <w:rsid w:val="00091FC5"/>
    <w:rsid w:val="00092642"/>
    <w:rsid w:val="00092873"/>
    <w:rsid w:val="000929D7"/>
    <w:rsid w:val="000929E3"/>
    <w:rsid w:val="00092A16"/>
    <w:rsid w:val="00092B6A"/>
    <w:rsid w:val="00092E47"/>
    <w:rsid w:val="000932A2"/>
    <w:rsid w:val="00093309"/>
    <w:rsid w:val="0009359E"/>
    <w:rsid w:val="0009360D"/>
    <w:rsid w:val="00093D4B"/>
    <w:rsid w:val="00094019"/>
    <w:rsid w:val="0009413F"/>
    <w:rsid w:val="0009439A"/>
    <w:rsid w:val="00094420"/>
    <w:rsid w:val="00094618"/>
    <w:rsid w:val="00094650"/>
    <w:rsid w:val="000946A7"/>
    <w:rsid w:val="00094923"/>
    <w:rsid w:val="00094985"/>
    <w:rsid w:val="00094A28"/>
    <w:rsid w:val="00095133"/>
    <w:rsid w:val="00095341"/>
    <w:rsid w:val="00095528"/>
    <w:rsid w:val="00095699"/>
    <w:rsid w:val="000958AE"/>
    <w:rsid w:val="00095B26"/>
    <w:rsid w:val="00095DAA"/>
    <w:rsid w:val="00095DB1"/>
    <w:rsid w:val="00095E9E"/>
    <w:rsid w:val="00095F8B"/>
    <w:rsid w:val="00096133"/>
    <w:rsid w:val="00096456"/>
    <w:rsid w:val="0009655A"/>
    <w:rsid w:val="0009676C"/>
    <w:rsid w:val="000967B1"/>
    <w:rsid w:val="000967BE"/>
    <w:rsid w:val="00096933"/>
    <w:rsid w:val="00096B72"/>
    <w:rsid w:val="00096B76"/>
    <w:rsid w:val="00096D14"/>
    <w:rsid w:val="00096E56"/>
    <w:rsid w:val="00097174"/>
    <w:rsid w:val="00097481"/>
    <w:rsid w:val="000975E3"/>
    <w:rsid w:val="000977CE"/>
    <w:rsid w:val="000978D6"/>
    <w:rsid w:val="00097922"/>
    <w:rsid w:val="000979E9"/>
    <w:rsid w:val="00097ACE"/>
    <w:rsid w:val="00097CB7"/>
    <w:rsid w:val="000A0209"/>
    <w:rsid w:val="000A02ED"/>
    <w:rsid w:val="000A04D4"/>
    <w:rsid w:val="000A059B"/>
    <w:rsid w:val="000A0BD8"/>
    <w:rsid w:val="000A10FA"/>
    <w:rsid w:val="000A1256"/>
    <w:rsid w:val="000A12D5"/>
    <w:rsid w:val="000A17C4"/>
    <w:rsid w:val="000A1ADF"/>
    <w:rsid w:val="000A1B9D"/>
    <w:rsid w:val="000A1CF4"/>
    <w:rsid w:val="000A1F53"/>
    <w:rsid w:val="000A221B"/>
    <w:rsid w:val="000A2467"/>
    <w:rsid w:val="000A279D"/>
    <w:rsid w:val="000A297E"/>
    <w:rsid w:val="000A29BC"/>
    <w:rsid w:val="000A2CE2"/>
    <w:rsid w:val="000A3011"/>
    <w:rsid w:val="000A3175"/>
    <w:rsid w:val="000A32FE"/>
    <w:rsid w:val="000A3372"/>
    <w:rsid w:val="000A33BB"/>
    <w:rsid w:val="000A3478"/>
    <w:rsid w:val="000A3B1B"/>
    <w:rsid w:val="000A3FF2"/>
    <w:rsid w:val="000A4096"/>
    <w:rsid w:val="000A4118"/>
    <w:rsid w:val="000A4556"/>
    <w:rsid w:val="000A4888"/>
    <w:rsid w:val="000A4950"/>
    <w:rsid w:val="000A4A21"/>
    <w:rsid w:val="000A4CDC"/>
    <w:rsid w:val="000A525C"/>
    <w:rsid w:val="000A5263"/>
    <w:rsid w:val="000A52DB"/>
    <w:rsid w:val="000A5602"/>
    <w:rsid w:val="000A56B8"/>
    <w:rsid w:val="000A587D"/>
    <w:rsid w:val="000A5D37"/>
    <w:rsid w:val="000A61EF"/>
    <w:rsid w:val="000A645F"/>
    <w:rsid w:val="000A66E7"/>
    <w:rsid w:val="000A66EF"/>
    <w:rsid w:val="000A6790"/>
    <w:rsid w:val="000A6927"/>
    <w:rsid w:val="000A6E46"/>
    <w:rsid w:val="000A6FF8"/>
    <w:rsid w:val="000A72B2"/>
    <w:rsid w:val="000A7394"/>
    <w:rsid w:val="000A77E7"/>
    <w:rsid w:val="000A79A7"/>
    <w:rsid w:val="000A7CCD"/>
    <w:rsid w:val="000A7EC1"/>
    <w:rsid w:val="000A7F5B"/>
    <w:rsid w:val="000B0046"/>
    <w:rsid w:val="000B038C"/>
    <w:rsid w:val="000B03AE"/>
    <w:rsid w:val="000B04AB"/>
    <w:rsid w:val="000B0C99"/>
    <w:rsid w:val="000B0CAF"/>
    <w:rsid w:val="000B0E71"/>
    <w:rsid w:val="000B0FF7"/>
    <w:rsid w:val="000B12DB"/>
    <w:rsid w:val="000B13AA"/>
    <w:rsid w:val="000B188F"/>
    <w:rsid w:val="000B1AEC"/>
    <w:rsid w:val="000B1F75"/>
    <w:rsid w:val="000B1F87"/>
    <w:rsid w:val="000B1F8E"/>
    <w:rsid w:val="000B232F"/>
    <w:rsid w:val="000B26E1"/>
    <w:rsid w:val="000B2A9B"/>
    <w:rsid w:val="000B2B19"/>
    <w:rsid w:val="000B2DA2"/>
    <w:rsid w:val="000B2DC2"/>
    <w:rsid w:val="000B2FF7"/>
    <w:rsid w:val="000B31A4"/>
    <w:rsid w:val="000B358A"/>
    <w:rsid w:val="000B36BF"/>
    <w:rsid w:val="000B36D7"/>
    <w:rsid w:val="000B3B1B"/>
    <w:rsid w:val="000B3B79"/>
    <w:rsid w:val="000B3B88"/>
    <w:rsid w:val="000B3F66"/>
    <w:rsid w:val="000B40A9"/>
    <w:rsid w:val="000B4140"/>
    <w:rsid w:val="000B42C4"/>
    <w:rsid w:val="000B4560"/>
    <w:rsid w:val="000B499C"/>
    <w:rsid w:val="000B49DE"/>
    <w:rsid w:val="000B4B16"/>
    <w:rsid w:val="000B4B93"/>
    <w:rsid w:val="000B4C45"/>
    <w:rsid w:val="000B50E2"/>
    <w:rsid w:val="000B56A7"/>
    <w:rsid w:val="000B5A7B"/>
    <w:rsid w:val="000B5C7D"/>
    <w:rsid w:val="000B5D93"/>
    <w:rsid w:val="000B5E9F"/>
    <w:rsid w:val="000B64E3"/>
    <w:rsid w:val="000B6836"/>
    <w:rsid w:val="000B69A4"/>
    <w:rsid w:val="000B6E89"/>
    <w:rsid w:val="000B7079"/>
    <w:rsid w:val="000B7390"/>
    <w:rsid w:val="000B7894"/>
    <w:rsid w:val="000B7965"/>
    <w:rsid w:val="000B7C4E"/>
    <w:rsid w:val="000B7C94"/>
    <w:rsid w:val="000B7D65"/>
    <w:rsid w:val="000B7FE1"/>
    <w:rsid w:val="000C01AE"/>
    <w:rsid w:val="000C01C0"/>
    <w:rsid w:val="000C024F"/>
    <w:rsid w:val="000C0327"/>
    <w:rsid w:val="000C067A"/>
    <w:rsid w:val="000C085D"/>
    <w:rsid w:val="000C09AA"/>
    <w:rsid w:val="000C0AE6"/>
    <w:rsid w:val="000C0AF1"/>
    <w:rsid w:val="000C0C3D"/>
    <w:rsid w:val="000C0CE5"/>
    <w:rsid w:val="000C0CF6"/>
    <w:rsid w:val="000C0E0B"/>
    <w:rsid w:val="000C0E60"/>
    <w:rsid w:val="000C120C"/>
    <w:rsid w:val="000C1232"/>
    <w:rsid w:val="000C126A"/>
    <w:rsid w:val="000C1435"/>
    <w:rsid w:val="000C14FF"/>
    <w:rsid w:val="000C156B"/>
    <w:rsid w:val="000C1695"/>
    <w:rsid w:val="000C1724"/>
    <w:rsid w:val="000C18E1"/>
    <w:rsid w:val="000C1AC6"/>
    <w:rsid w:val="000C2154"/>
    <w:rsid w:val="000C2226"/>
    <w:rsid w:val="000C23DD"/>
    <w:rsid w:val="000C2812"/>
    <w:rsid w:val="000C2E48"/>
    <w:rsid w:val="000C3128"/>
    <w:rsid w:val="000C32FF"/>
    <w:rsid w:val="000C3697"/>
    <w:rsid w:val="000C396F"/>
    <w:rsid w:val="000C3BA7"/>
    <w:rsid w:val="000C3C2D"/>
    <w:rsid w:val="000C417E"/>
    <w:rsid w:val="000C44BE"/>
    <w:rsid w:val="000C44C4"/>
    <w:rsid w:val="000C45A3"/>
    <w:rsid w:val="000C47BB"/>
    <w:rsid w:val="000C4969"/>
    <w:rsid w:val="000C4A14"/>
    <w:rsid w:val="000C4DCD"/>
    <w:rsid w:val="000C4F89"/>
    <w:rsid w:val="000C4FFF"/>
    <w:rsid w:val="000C520E"/>
    <w:rsid w:val="000C536C"/>
    <w:rsid w:val="000C5747"/>
    <w:rsid w:val="000C5CB6"/>
    <w:rsid w:val="000C60F6"/>
    <w:rsid w:val="000C61BA"/>
    <w:rsid w:val="000C63C0"/>
    <w:rsid w:val="000C64AF"/>
    <w:rsid w:val="000C6B7B"/>
    <w:rsid w:val="000C6BB7"/>
    <w:rsid w:val="000C6CBD"/>
    <w:rsid w:val="000C6D14"/>
    <w:rsid w:val="000C6F97"/>
    <w:rsid w:val="000C6FAF"/>
    <w:rsid w:val="000C709A"/>
    <w:rsid w:val="000C7103"/>
    <w:rsid w:val="000C71E6"/>
    <w:rsid w:val="000C7268"/>
    <w:rsid w:val="000C7590"/>
    <w:rsid w:val="000C75CB"/>
    <w:rsid w:val="000C780C"/>
    <w:rsid w:val="000C79B6"/>
    <w:rsid w:val="000C7A4B"/>
    <w:rsid w:val="000C7F1A"/>
    <w:rsid w:val="000D00E6"/>
    <w:rsid w:val="000D0727"/>
    <w:rsid w:val="000D09C0"/>
    <w:rsid w:val="000D0D56"/>
    <w:rsid w:val="000D0E1A"/>
    <w:rsid w:val="000D0ED5"/>
    <w:rsid w:val="000D10AD"/>
    <w:rsid w:val="000D1562"/>
    <w:rsid w:val="000D1587"/>
    <w:rsid w:val="000D15F2"/>
    <w:rsid w:val="000D175B"/>
    <w:rsid w:val="000D19BC"/>
    <w:rsid w:val="000D1B26"/>
    <w:rsid w:val="000D1D9A"/>
    <w:rsid w:val="000D1F67"/>
    <w:rsid w:val="000D25C6"/>
    <w:rsid w:val="000D25FB"/>
    <w:rsid w:val="000D263E"/>
    <w:rsid w:val="000D287C"/>
    <w:rsid w:val="000D391C"/>
    <w:rsid w:val="000D3B36"/>
    <w:rsid w:val="000D3BB5"/>
    <w:rsid w:val="000D3C7C"/>
    <w:rsid w:val="000D3FC1"/>
    <w:rsid w:val="000D49C0"/>
    <w:rsid w:val="000D4B2F"/>
    <w:rsid w:val="000D4F24"/>
    <w:rsid w:val="000D4F4A"/>
    <w:rsid w:val="000D4FF2"/>
    <w:rsid w:val="000D53F2"/>
    <w:rsid w:val="000D5849"/>
    <w:rsid w:val="000D58FE"/>
    <w:rsid w:val="000D5B03"/>
    <w:rsid w:val="000D5C9B"/>
    <w:rsid w:val="000D5E4E"/>
    <w:rsid w:val="000D640D"/>
    <w:rsid w:val="000D6437"/>
    <w:rsid w:val="000D6452"/>
    <w:rsid w:val="000D648B"/>
    <w:rsid w:val="000D64F0"/>
    <w:rsid w:val="000D67D5"/>
    <w:rsid w:val="000D6A88"/>
    <w:rsid w:val="000D6AF4"/>
    <w:rsid w:val="000D6E51"/>
    <w:rsid w:val="000D6F92"/>
    <w:rsid w:val="000D6FED"/>
    <w:rsid w:val="000D7546"/>
    <w:rsid w:val="000D77B9"/>
    <w:rsid w:val="000D77F4"/>
    <w:rsid w:val="000D78F5"/>
    <w:rsid w:val="000D7AA1"/>
    <w:rsid w:val="000D7C19"/>
    <w:rsid w:val="000D7C7C"/>
    <w:rsid w:val="000E0062"/>
    <w:rsid w:val="000E00EA"/>
    <w:rsid w:val="000E02F4"/>
    <w:rsid w:val="000E0453"/>
    <w:rsid w:val="000E054A"/>
    <w:rsid w:val="000E05A8"/>
    <w:rsid w:val="000E062D"/>
    <w:rsid w:val="000E0665"/>
    <w:rsid w:val="000E07DD"/>
    <w:rsid w:val="000E09A8"/>
    <w:rsid w:val="000E0C88"/>
    <w:rsid w:val="000E106D"/>
    <w:rsid w:val="000E14C9"/>
    <w:rsid w:val="000E152B"/>
    <w:rsid w:val="000E15AD"/>
    <w:rsid w:val="000E16BC"/>
    <w:rsid w:val="000E1A2E"/>
    <w:rsid w:val="000E1D04"/>
    <w:rsid w:val="000E20DF"/>
    <w:rsid w:val="000E214D"/>
    <w:rsid w:val="000E21F7"/>
    <w:rsid w:val="000E2376"/>
    <w:rsid w:val="000E24A4"/>
    <w:rsid w:val="000E2BEC"/>
    <w:rsid w:val="000E2C77"/>
    <w:rsid w:val="000E2D12"/>
    <w:rsid w:val="000E3060"/>
    <w:rsid w:val="000E3087"/>
    <w:rsid w:val="000E321E"/>
    <w:rsid w:val="000E382E"/>
    <w:rsid w:val="000E38D8"/>
    <w:rsid w:val="000E39C6"/>
    <w:rsid w:val="000E3E4F"/>
    <w:rsid w:val="000E3EC3"/>
    <w:rsid w:val="000E4757"/>
    <w:rsid w:val="000E4AE3"/>
    <w:rsid w:val="000E4D6E"/>
    <w:rsid w:val="000E509F"/>
    <w:rsid w:val="000E5199"/>
    <w:rsid w:val="000E5491"/>
    <w:rsid w:val="000E5501"/>
    <w:rsid w:val="000E5700"/>
    <w:rsid w:val="000E599F"/>
    <w:rsid w:val="000E5CC6"/>
    <w:rsid w:val="000E6198"/>
    <w:rsid w:val="000E6301"/>
    <w:rsid w:val="000E63DD"/>
    <w:rsid w:val="000E6587"/>
    <w:rsid w:val="000E6748"/>
    <w:rsid w:val="000E68DD"/>
    <w:rsid w:val="000E6AD4"/>
    <w:rsid w:val="000E6BC1"/>
    <w:rsid w:val="000E6F00"/>
    <w:rsid w:val="000E70A3"/>
    <w:rsid w:val="000E726E"/>
    <w:rsid w:val="000E74A4"/>
    <w:rsid w:val="000E7B41"/>
    <w:rsid w:val="000E7E54"/>
    <w:rsid w:val="000E7FD2"/>
    <w:rsid w:val="000F001D"/>
    <w:rsid w:val="000F0154"/>
    <w:rsid w:val="000F01C4"/>
    <w:rsid w:val="000F027A"/>
    <w:rsid w:val="000F030B"/>
    <w:rsid w:val="000F064C"/>
    <w:rsid w:val="000F0882"/>
    <w:rsid w:val="000F0AFD"/>
    <w:rsid w:val="000F0B2F"/>
    <w:rsid w:val="000F0DB5"/>
    <w:rsid w:val="000F0EA9"/>
    <w:rsid w:val="000F11FD"/>
    <w:rsid w:val="000F1201"/>
    <w:rsid w:val="000F1223"/>
    <w:rsid w:val="000F12A4"/>
    <w:rsid w:val="000F12F1"/>
    <w:rsid w:val="000F14C7"/>
    <w:rsid w:val="000F14DF"/>
    <w:rsid w:val="000F15EF"/>
    <w:rsid w:val="000F16B3"/>
    <w:rsid w:val="000F17B4"/>
    <w:rsid w:val="000F1A85"/>
    <w:rsid w:val="000F1CDF"/>
    <w:rsid w:val="000F1E68"/>
    <w:rsid w:val="000F22A6"/>
    <w:rsid w:val="000F28F1"/>
    <w:rsid w:val="000F3068"/>
    <w:rsid w:val="000F31BC"/>
    <w:rsid w:val="000F327A"/>
    <w:rsid w:val="000F34EC"/>
    <w:rsid w:val="000F350D"/>
    <w:rsid w:val="000F369F"/>
    <w:rsid w:val="000F3875"/>
    <w:rsid w:val="000F388B"/>
    <w:rsid w:val="000F38A3"/>
    <w:rsid w:val="000F3926"/>
    <w:rsid w:val="000F3BD8"/>
    <w:rsid w:val="000F3BDF"/>
    <w:rsid w:val="000F3D39"/>
    <w:rsid w:val="000F3DC5"/>
    <w:rsid w:val="000F4082"/>
    <w:rsid w:val="000F411B"/>
    <w:rsid w:val="000F4165"/>
    <w:rsid w:val="000F453E"/>
    <w:rsid w:val="000F4802"/>
    <w:rsid w:val="000F4B0D"/>
    <w:rsid w:val="000F4B68"/>
    <w:rsid w:val="000F4CB3"/>
    <w:rsid w:val="000F4F2F"/>
    <w:rsid w:val="000F4F48"/>
    <w:rsid w:val="000F5221"/>
    <w:rsid w:val="000F5399"/>
    <w:rsid w:val="000F5772"/>
    <w:rsid w:val="000F580C"/>
    <w:rsid w:val="000F58AC"/>
    <w:rsid w:val="000F58E9"/>
    <w:rsid w:val="000F5926"/>
    <w:rsid w:val="000F5C9A"/>
    <w:rsid w:val="000F5DD0"/>
    <w:rsid w:val="000F5E63"/>
    <w:rsid w:val="000F5FF7"/>
    <w:rsid w:val="000F6170"/>
    <w:rsid w:val="000F6246"/>
    <w:rsid w:val="000F6403"/>
    <w:rsid w:val="000F657D"/>
    <w:rsid w:val="000F669D"/>
    <w:rsid w:val="000F67F2"/>
    <w:rsid w:val="000F6879"/>
    <w:rsid w:val="000F68AE"/>
    <w:rsid w:val="000F6E51"/>
    <w:rsid w:val="000F6F99"/>
    <w:rsid w:val="000F7006"/>
    <w:rsid w:val="000F7499"/>
    <w:rsid w:val="000F751D"/>
    <w:rsid w:val="000F7929"/>
    <w:rsid w:val="000F79D9"/>
    <w:rsid w:val="000F7A12"/>
    <w:rsid w:val="000F7A3F"/>
    <w:rsid w:val="000F7C01"/>
    <w:rsid w:val="000F7CC3"/>
    <w:rsid w:val="000F7DE1"/>
    <w:rsid w:val="000F7FB0"/>
    <w:rsid w:val="0010031B"/>
    <w:rsid w:val="00100358"/>
    <w:rsid w:val="001004C0"/>
    <w:rsid w:val="0010072F"/>
    <w:rsid w:val="001008EA"/>
    <w:rsid w:val="00100999"/>
    <w:rsid w:val="00100A56"/>
    <w:rsid w:val="00100B43"/>
    <w:rsid w:val="00100D52"/>
    <w:rsid w:val="00100ECC"/>
    <w:rsid w:val="00101097"/>
    <w:rsid w:val="00101135"/>
    <w:rsid w:val="00101378"/>
    <w:rsid w:val="001013C6"/>
    <w:rsid w:val="001013FA"/>
    <w:rsid w:val="00101C21"/>
    <w:rsid w:val="00101CF6"/>
    <w:rsid w:val="00101EDB"/>
    <w:rsid w:val="00101FAB"/>
    <w:rsid w:val="001020C2"/>
    <w:rsid w:val="001020F3"/>
    <w:rsid w:val="0010219B"/>
    <w:rsid w:val="001021DA"/>
    <w:rsid w:val="001026B6"/>
    <w:rsid w:val="00102866"/>
    <w:rsid w:val="00102A03"/>
    <w:rsid w:val="00102A11"/>
    <w:rsid w:val="00102BCA"/>
    <w:rsid w:val="00102C3B"/>
    <w:rsid w:val="00102F7D"/>
    <w:rsid w:val="00103262"/>
    <w:rsid w:val="001032CE"/>
    <w:rsid w:val="00103AF2"/>
    <w:rsid w:val="00103EF9"/>
    <w:rsid w:val="00104071"/>
    <w:rsid w:val="001045B9"/>
    <w:rsid w:val="001048FD"/>
    <w:rsid w:val="00104AE1"/>
    <w:rsid w:val="00104D6E"/>
    <w:rsid w:val="00104DC5"/>
    <w:rsid w:val="00104E87"/>
    <w:rsid w:val="00104F42"/>
    <w:rsid w:val="001051DF"/>
    <w:rsid w:val="001053EC"/>
    <w:rsid w:val="00105402"/>
    <w:rsid w:val="0010541B"/>
    <w:rsid w:val="001055B8"/>
    <w:rsid w:val="00105613"/>
    <w:rsid w:val="0010567C"/>
    <w:rsid w:val="0010567D"/>
    <w:rsid w:val="00105682"/>
    <w:rsid w:val="00105A83"/>
    <w:rsid w:val="00105CF6"/>
    <w:rsid w:val="001068F6"/>
    <w:rsid w:val="00107191"/>
    <w:rsid w:val="00107300"/>
    <w:rsid w:val="00107371"/>
    <w:rsid w:val="00107692"/>
    <w:rsid w:val="00107918"/>
    <w:rsid w:val="00107A20"/>
    <w:rsid w:val="00107AE9"/>
    <w:rsid w:val="00107F54"/>
    <w:rsid w:val="00110172"/>
    <w:rsid w:val="0011026D"/>
    <w:rsid w:val="001102A7"/>
    <w:rsid w:val="00110380"/>
    <w:rsid w:val="00110395"/>
    <w:rsid w:val="00110480"/>
    <w:rsid w:val="0011078D"/>
    <w:rsid w:val="00110A53"/>
    <w:rsid w:val="00110F8A"/>
    <w:rsid w:val="00111208"/>
    <w:rsid w:val="00111314"/>
    <w:rsid w:val="001116A7"/>
    <w:rsid w:val="00111827"/>
    <w:rsid w:val="001118C2"/>
    <w:rsid w:val="00111A34"/>
    <w:rsid w:val="00111AD1"/>
    <w:rsid w:val="00111BC7"/>
    <w:rsid w:val="001121E5"/>
    <w:rsid w:val="001122D6"/>
    <w:rsid w:val="001124B6"/>
    <w:rsid w:val="0011257B"/>
    <w:rsid w:val="0011273F"/>
    <w:rsid w:val="00112A8E"/>
    <w:rsid w:val="00112B9D"/>
    <w:rsid w:val="00112BF1"/>
    <w:rsid w:val="00112D39"/>
    <w:rsid w:val="00112FC2"/>
    <w:rsid w:val="0011342F"/>
    <w:rsid w:val="0011365D"/>
    <w:rsid w:val="00113A1F"/>
    <w:rsid w:val="00113AB4"/>
    <w:rsid w:val="00113B18"/>
    <w:rsid w:val="00113D76"/>
    <w:rsid w:val="00113D9A"/>
    <w:rsid w:val="00113FEA"/>
    <w:rsid w:val="001141A5"/>
    <w:rsid w:val="001146A7"/>
    <w:rsid w:val="001146F0"/>
    <w:rsid w:val="00114763"/>
    <w:rsid w:val="00114AD5"/>
    <w:rsid w:val="00114CC4"/>
    <w:rsid w:val="00114CD4"/>
    <w:rsid w:val="00114D06"/>
    <w:rsid w:val="00114DDC"/>
    <w:rsid w:val="00114FF0"/>
    <w:rsid w:val="00115300"/>
    <w:rsid w:val="0011551A"/>
    <w:rsid w:val="00115996"/>
    <w:rsid w:val="00115DFB"/>
    <w:rsid w:val="00115E69"/>
    <w:rsid w:val="00116027"/>
    <w:rsid w:val="00116264"/>
    <w:rsid w:val="001163DD"/>
    <w:rsid w:val="0011649B"/>
    <w:rsid w:val="001168C2"/>
    <w:rsid w:val="00116D2E"/>
    <w:rsid w:val="00117577"/>
    <w:rsid w:val="0011774E"/>
    <w:rsid w:val="001179B2"/>
    <w:rsid w:val="00117EA9"/>
    <w:rsid w:val="00117F36"/>
    <w:rsid w:val="00120059"/>
    <w:rsid w:val="0012046D"/>
    <w:rsid w:val="001204AC"/>
    <w:rsid w:val="00120A97"/>
    <w:rsid w:val="00120AA3"/>
    <w:rsid w:val="00120CD6"/>
    <w:rsid w:val="00120FB4"/>
    <w:rsid w:val="00121550"/>
    <w:rsid w:val="0012174F"/>
    <w:rsid w:val="00121BF5"/>
    <w:rsid w:val="00121C1F"/>
    <w:rsid w:val="00121EA0"/>
    <w:rsid w:val="00121F45"/>
    <w:rsid w:val="00121FA5"/>
    <w:rsid w:val="00121FB2"/>
    <w:rsid w:val="00122122"/>
    <w:rsid w:val="001221F0"/>
    <w:rsid w:val="00122515"/>
    <w:rsid w:val="0012261D"/>
    <w:rsid w:val="001226DE"/>
    <w:rsid w:val="00122FBB"/>
    <w:rsid w:val="0012318E"/>
    <w:rsid w:val="001231BC"/>
    <w:rsid w:val="001234E5"/>
    <w:rsid w:val="001236DE"/>
    <w:rsid w:val="00123982"/>
    <w:rsid w:val="00123C42"/>
    <w:rsid w:val="00123EB3"/>
    <w:rsid w:val="00124110"/>
    <w:rsid w:val="00124195"/>
    <w:rsid w:val="00124656"/>
    <w:rsid w:val="001247C9"/>
    <w:rsid w:val="00124F42"/>
    <w:rsid w:val="0012508B"/>
    <w:rsid w:val="001255F5"/>
    <w:rsid w:val="0012592E"/>
    <w:rsid w:val="00125B82"/>
    <w:rsid w:val="00125D57"/>
    <w:rsid w:val="00125E0D"/>
    <w:rsid w:val="00125ECF"/>
    <w:rsid w:val="00125FAF"/>
    <w:rsid w:val="00126113"/>
    <w:rsid w:val="0012672B"/>
    <w:rsid w:val="0012687A"/>
    <w:rsid w:val="00126909"/>
    <w:rsid w:val="00126B36"/>
    <w:rsid w:val="00126BD8"/>
    <w:rsid w:val="00126D76"/>
    <w:rsid w:val="00126DBF"/>
    <w:rsid w:val="00126DC7"/>
    <w:rsid w:val="0012734C"/>
    <w:rsid w:val="00127372"/>
    <w:rsid w:val="001279DA"/>
    <w:rsid w:val="00127E81"/>
    <w:rsid w:val="00127E8F"/>
    <w:rsid w:val="00127F45"/>
    <w:rsid w:val="001300BF"/>
    <w:rsid w:val="001301C1"/>
    <w:rsid w:val="001301E9"/>
    <w:rsid w:val="0013021D"/>
    <w:rsid w:val="00130357"/>
    <w:rsid w:val="00130810"/>
    <w:rsid w:val="001308B3"/>
    <w:rsid w:val="00130A85"/>
    <w:rsid w:val="00130B3F"/>
    <w:rsid w:val="00130CCA"/>
    <w:rsid w:val="00130F4B"/>
    <w:rsid w:val="0013100C"/>
    <w:rsid w:val="001310F3"/>
    <w:rsid w:val="001319BC"/>
    <w:rsid w:val="00132084"/>
    <w:rsid w:val="00132417"/>
    <w:rsid w:val="0013249F"/>
    <w:rsid w:val="0013293B"/>
    <w:rsid w:val="00132C99"/>
    <w:rsid w:val="00132CF8"/>
    <w:rsid w:val="001330A9"/>
    <w:rsid w:val="001336DA"/>
    <w:rsid w:val="00134B32"/>
    <w:rsid w:val="00134C04"/>
    <w:rsid w:val="001351B3"/>
    <w:rsid w:val="00135288"/>
    <w:rsid w:val="00135313"/>
    <w:rsid w:val="00135425"/>
    <w:rsid w:val="001354BB"/>
    <w:rsid w:val="001354FA"/>
    <w:rsid w:val="0013571A"/>
    <w:rsid w:val="0013652F"/>
    <w:rsid w:val="00136867"/>
    <w:rsid w:val="00136B45"/>
    <w:rsid w:val="00136E4B"/>
    <w:rsid w:val="00136F4D"/>
    <w:rsid w:val="00137227"/>
    <w:rsid w:val="00137341"/>
    <w:rsid w:val="00137908"/>
    <w:rsid w:val="00137CD8"/>
    <w:rsid w:val="00137F8F"/>
    <w:rsid w:val="00137FA6"/>
    <w:rsid w:val="00140010"/>
    <w:rsid w:val="001402D0"/>
    <w:rsid w:val="001404A2"/>
    <w:rsid w:val="001405FC"/>
    <w:rsid w:val="0014061A"/>
    <w:rsid w:val="00140814"/>
    <w:rsid w:val="00140987"/>
    <w:rsid w:val="00140994"/>
    <w:rsid w:val="00140A3B"/>
    <w:rsid w:val="00140C2B"/>
    <w:rsid w:val="00140EE6"/>
    <w:rsid w:val="0014117A"/>
    <w:rsid w:val="001412DD"/>
    <w:rsid w:val="001412F7"/>
    <w:rsid w:val="0014130A"/>
    <w:rsid w:val="00141781"/>
    <w:rsid w:val="001418D1"/>
    <w:rsid w:val="00141973"/>
    <w:rsid w:val="00141996"/>
    <w:rsid w:val="00141CE3"/>
    <w:rsid w:val="00141F76"/>
    <w:rsid w:val="0014202D"/>
    <w:rsid w:val="001426C7"/>
    <w:rsid w:val="0014270A"/>
    <w:rsid w:val="00142987"/>
    <w:rsid w:val="00142B6C"/>
    <w:rsid w:val="00142C61"/>
    <w:rsid w:val="00142D9D"/>
    <w:rsid w:val="00143114"/>
    <w:rsid w:val="001432EC"/>
    <w:rsid w:val="00143475"/>
    <w:rsid w:val="0014348C"/>
    <w:rsid w:val="00143534"/>
    <w:rsid w:val="00143667"/>
    <w:rsid w:val="001439F3"/>
    <w:rsid w:val="00143A60"/>
    <w:rsid w:val="00143A9C"/>
    <w:rsid w:val="00143DDD"/>
    <w:rsid w:val="00143F16"/>
    <w:rsid w:val="00143F84"/>
    <w:rsid w:val="00143F90"/>
    <w:rsid w:val="0014403B"/>
    <w:rsid w:val="001443AE"/>
    <w:rsid w:val="001445D8"/>
    <w:rsid w:val="00144634"/>
    <w:rsid w:val="00144894"/>
    <w:rsid w:val="00144B14"/>
    <w:rsid w:val="00144B5B"/>
    <w:rsid w:val="00144B84"/>
    <w:rsid w:val="00144C78"/>
    <w:rsid w:val="00144F14"/>
    <w:rsid w:val="00144F5D"/>
    <w:rsid w:val="00145078"/>
    <w:rsid w:val="0014533F"/>
    <w:rsid w:val="00145371"/>
    <w:rsid w:val="0014537A"/>
    <w:rsid w:val="001455EF"/>
    <w:rsid w:val="001456B6"/>
    <w:rsid w:val="00145964"/>
    <w:rsid w:val="00145A58"/>
    <w:rsid w:val="00145C79"/>
    <w:rsid w:val="0014681B"/>
    <w:rsid w:val="00146E0A"/>
    <w:rsid w:val="00147077"/>
    <w:rsid w:val="0014741F"/>
    <w:rsid w:val="00147606"/>
    <w:rsid w:val="00147933"/>
    <w:rsid w:val="00147E01"/>
    <w:rsid w:val="00147F79"/>
    <w:rsid w:val="00150194"/>
    <w:rsid w:val="001501E5"/>
    <w:rsid w:val="00150610"/>
    <w:rsid w:val="001506ED"/>
    <w:rsid w:val="00150771"/>
    <w:rsid w:val="001508FF"/>
    <w:rsid w:val="00150E5C"/>
    <w:rsid w:val="00150EF5"/>
    <w:rsid w:val="00150F0E"/>
    <w:rsid w:val="0015110D"/>
    <w:rsid w:val="0015129D"/>
    <w:rsid w:val="001512D1"/>
    <w:rsid w:val="001512FD"/>
    <w:rsid w:val="001516B0"/>
    <w:rsid w:val="0015174F"/>
    <w:rsid w:val="00151C80"/>
    <w:rsid w:val="00151D10"/>
    <w:rsid w:val="00151EEE"/>
    <w:rsid w:val="0015200B"/>
    <w:rsid w:val="0015200C"/>
    <w:rsid w:val="0015239A"/>
    <w:rsid w:val="00152483"/>
    <w:rsid w:val="001527C0"/>
    <w:rsid w:val="00152941"/>
    <w:rsid w:val="00152A37"/>
    <w:rsid w:val="00152BF7"/>
    <w:rsid w:val="00152DA7"/>
    <w:rsid w:val="00152EA8"/>
    <w:rsid w:val="00152F3B"/>
    <w:rsid w:val="001532C2"/>
    <w:rsid w:val="001532FD"/>
    <w:rsid w:val="00153354"/>
    <w:rsid w:val="00153402"/>
    <w:rsid w:val="00153814"/>
    <w:rsid w:val="0015390C"/>
    <w:rsid w:val="001539D8"/>
    <w:rsid w:val="00153E88"/>
    <w:rsid w:val="00153F91"/>
    <w:rsid w:val="0015473A"/>
    <w:rsid w:val="00154E4F"/>
    <w:rsid w:val="00154E6E"/>
    <w:rsid w:val="0015507F"/>
    <w:rsid w:val="0015514F"/>
    <w:rsid w:val="001551CB"/>
    <w:rsid w:val="001552D5"/>
    <w:rsid w:val="00155407"/>
    <w:rsid w:val="0015568F"/>
    <w:rsid w:val="001559F6"/>
    <w:rsid w:val="00155B81"/>
    <w:rsid w:val="00155C33"/>
    <w:rsid w:val="00155D1C"/>
    <w:rsid w:val="00155E17"/>
    <w:rsid w:val="001562EE"/>
    <w:rsid w:val="00156364"/>
    <w:rsid w:val="00156389"/>
    <w:rsid w:val="00156A04"/>
    <w:rsid w:val="00156E5C"/>
    <w:rsid w:val="001573CB"/>
    <w:rsid w:val="001579CF"/>
    <w:rsid w:val="00157EEB"/>
    <w:rsid w:val="00157EFF"/>
    <w:rsid w:val="00160415"/>
    <w:rsid w:val="00160595"/>
    <w:rsid w:val="0016075B"/>
    <w:rsid w:val="00160D11"/>
    <w:rsid w:val="00160DAA"/>
    <w:rsid w:val="00160DCC"/>
    <w:rsid w:val="00161414"/>
    <w:rsid w:val="00161585"/>
    <w:rsid w:val="001615FD"/>
    <w:rsid w:val="0016195E"/>
    <w:rsid w:val="001621E3"/>
    <w:rsid w:val="0016259E"/>
    <w:rsid w:val="001625B9"/>
    <w:rsid w:val="0016262A"/>
    <w:rsid w:val="001626A2"/>
    <w:rsid w:val="001627CF"/>
    <w:rsid w:val="0016290E"/>
    <w:rsid w:val="00162940"/>
    <w:rsid w:val="00162C96"/>
    <w:rsid w:val="00162EBE"/>
    <w:rsid w:val="00162F90"/>
    <w:rsid w:val="00162FB0"/>
    <w:rsid w:val="001632AC"/>
    <w:rsid w:val="0016332C"/>
    <w:rsid w:val="00163402"/>
    <w:rsid w:val="00163869"/>
    <w:rsid w:val="00163963"/>
    <w:rsid w:val="001639F0"/>
    <w:rsid w:val="00163BC6"/>
    <w:rsid w:val="00163C7F"/>
    <w:rsid w:val="00163DE6"/>
    <w:rsid w:val="00163E26"/>
    <w:rsid w:val="00163F65"/>
    <w:rsid w:val="00163FCE"/>
    <w:rsid w:val="00164174"/>
    <w:rsid w:val="001646EE"/>
    <w:rsid w:val="00164A9D"/>
    <w:rsid w:val="00164B83"/>
    <w:rsid w:val="00164D5F"/>
    <w:rsid w:val="00165289"/>
    <w:rsid w:val="001653D8"/>
    <w:rsid w:val="00165811"/>
    <w:rsid w:val="0016582C"/>
    <w:rsid w:val="00165AEA"/>
    <w:rsid w:val="00165BDA"/>
    <w:rsid w:val="00165EB9"/>
    <w:rsid w:val="00165EF4"/>
    <w:rsid w:val="00165F61"/>
    <w:rsid w:val="00165FF1"/>
    <w:rsid w:val="00166041"/>
    <w:rsid w:val="001660F6"/>
    <w:rsid w:val="001663D7"/>
    <w:rsid w:val="001664A9"/>
    <w:rsid w:val="00167322"/>
    <w:rsid w:val="001675BA"/>
    <w:rsid w:val="00167742"/>
    <w:rsid w:val="001677B1"/>
    <w:rsid w:val="00167959"/>
    <w:rsid w:val="00167989"/>
    <w:rsid w:val="00167B7A"/>
    <w:rsid w:val="00167BA7"/>
    <w:rsid w:val="00167F6F"/>
    <w:rsid w:val="00170127"/>
    <w:rsid w:val="001701F8"/>
    <w:rsid w:val="001702B5"/>
    <w:rsid w:val="00170486"/>
    <w:rsid w:val="00170538"/>
    <w:rsid w:val="0017074B"/>
    <w:rsid w:val="00170C18"/>
    <w:rsid w:val="00170C4E"/>
    <w:rsid w:val="00170C98"/>
    <w:rsid w:val="00170DAD"/>
    <w:rsid w:val="00171273"/>
    <w:rsid w:val="001715B8"/>
    <w:rsid w:val="00171631"/>
    <w:rsid w:val="00171647"/>
    <w:rsid w:val="001717D7"/>
    <w:rsid w:val="001723B9"/>
    <w:rsid w:val="001724D5"/>
    <w:rsid w:val="00172572"/>
    <w:rsid w:val="001726D5"/>
    <w:rsid w:val="00172BF2"/>
    <w:rsid w:val="0017300B"/>
    <w:rsid w:val="001730AB"/>
    <w:rsid w:val="0017337E"/>
    <w:rsid w:val="001734C6"/>
    <w:rsid w:val="00173711"/>
    <w:rsid w:val="001737AD"/>
    <w:rsid w:val="00173810"/>
    <w:rsid w:val="00173FAF"/>
    <w:rsid w:val="0017413D"/>
    <w:rsid w:val="00174473"/>
    <w:rsid w:val="001747CC"/>
    <w:rsid w:val="00174A48"/>
    <w:rsid w:val="00174F06"/>
    <w:rsid w:val="00174F49"/>
    <w:rsid w:val="00174FF6"/>
    <w:rsid w:val="00175006"/>
    <w:rsid w:val="001751BE"/>
    <w:rsid w:val="00175249"/>
    <w:rsid w:val="0017533E"/>
    <w:rsid w:val="00175457"/>
    <w:rsid w:val="00175A2D"/>
    <w:rsid w:val="00176059"/>
    <w:rsid w:val="001762FB"/>
    <w:rsid w:val="00176A2F"/>
    <w:rsid w:val="00176D89"/>
    <w:rsid w:val="00176EDE"/>
    <w:rsid w:val="00177097"/>
    <w:rsid w:val="001771EF"/>
    <w:rsid w:val="00177391"/>
    <w:rsid w:val="00177543"/>
    <w:rsid w:val="0017754E"/>
    <w:rsid w:val="00177566"/>
    <w:rsid w:val="00177791"/>
    <w:rsid w:val="00177872"/>
    <w:rsid w:val="00177E80"/>
    <w:rsid w:val="001802AE"/>
    <w:rsid w:val="0018069F"/>
    <w:rsid w:val="001806EB"/>
    <w:rsid w:val="001808C3"/>
    <w:rsid w:val="00180B88"/>
    <w:rsid w:val="00180DD8"/>
    <w:rsid w:val="00180F4D"/>
    <w:rsid w:val="001814F8"/>
    <w:rsid w:val="0018160C"/>
    <w:rsid w:val="00181835"/>
    <w:rsid w:val="0018187C"/>
    <w:rsid w:val="00181C9C"/>
    <w:rsid w:val="00182389"/>
    <w:rsid w:val="001824DA"/>
    <w:rsid w:val="001827A3"/>
    <w:rsid w:val="001829AF"/>
    <w:rsid w:val="00182DAE"/>
    <w:rsid w:val="00183A71"/>
    <w:rsid w:val="00183C59"/>
    <w:rsid w:val="0018405A"/>
    <w:rsid w:val="00184387"/>
    <w:rsid w:val="00184B21"/>
    <w:rsid w:val="00185065"/>
    <w:rsid w:val="00185099"/>
    <w:rsid w:val="001853F5"/>
    <w:rsid w:val="001854AD"/>
    <w:rsid w:val="001855F5"/>
    <w:rsid w:val="001858DE"/>
    <w:rsid w:val="00185ED5"/>
    <w:rsid w:val="001864B8"/>
    <w:rsid w:val="001864F1"/>
    <w:rsid w:val="00186510"/>
    <w:rsid w:val="0018653E"/>
    <w:rsid w:val="00186B51"/>
    <w:rsid w:val="00186C87"/>
    <w:rsid w:val="00186D2E"/>
    <w:rsid w:val="00186FD9"/>
    <w:rsid w:val="00186FFE"/>
    <w:rsid w:val="00187274"/>
    <w:rsid w:val="00187362"/>
    <w:rsid w:val="001873FA"/>
    <w:rsid w:val="0018748E"/>
    <w:rsid w:val="00187644"/>
    <w:rsid w:val="00187A37"/>
    <w:rsid w:val="001900DC"/>
    <w:rsid w:val="00190337"/>
    <w:rsid w:val="001906C7"/>
    <w:rsid w:val="00190E71"/>
    <w:rsid w:val="00190F00"/>
    <w:rsid w:val="001912E2"/>
    <w:rsid w:val="00191456"/>
    <w:rsid w:val="001918EC"/>
    <w:rsid w:val="001918F8"/>
    <w:rsid w:val="00191C23"/>
    <w:rsid w:val="00191D93"/>
    <w:rsid w:val="001920F8"/>
    <w:rsid w:val="00192270"/>
    <w:rsid w:val="001925D8"/>
    <w:rsid w:val="001926EB"/>
    <w:rsid w:val="0019277B"/>
    <w:rsid w:val="00192826"/>
    <w:rsid w:val="00192887"/>
    <w:rsid w:val="0019295D"/>
    <w:rsid w:val="00192A68"/>
    <w:rsid w:val="00192A6A"/>
    <w:rsid w:val="00192CC5"/>
    <w:rsid w:val="00192EC3"/>
    <w:rsid w:val="00193037"/>
    <w:rsid w:val="00193128"/>
    <w:rsid w:val="001933AA"/>
    <w:rsid w:val="00193521"/>
    <w:rsid w:val="00193678"/>
    <w:rsid w:val="00193789"/>
    <w:rsid w:val="001937B4"/>
    <w:rsid w:val="001938B4"/>
    <w:rsid w:val="0019393D"/>
    <w:rsid w:val="00193ADB"/>
    <w:rsid w:val="00193B3F"/>
    <w:rsid w:val="00193C1A"/>
    <w:rsid w:val="00194129"/>
    <w:rsid w:val="00194155"/>
    <w:rsid w:val="001941DC"/>
    <w:rsid w:val="001943BA"/>
    <w:rsid w:val="0019445E"/>
    <w:rsid w:val="001948B0"/>
    <w:rsid w:val="00194E99"/>
    <w:rsid w:val="00194F62"/>
    <w:rsid w:val="00195293"/>
    <w:rsid w:val="00195298"/>
    <w:rsid w:val="001954AE"/>
    <w:rsid w:val="0019557D"/>
    <w:rsid w:val="0019562C"/>
    <w:rsid w:val="001959B7"/>
    <w:rsid w:val="00195D4D"/>
    <w:rsid w:val="00195F00"/>
    <w:rsid w:val="00195FF3"/>
    <w:rsid w:val="001961EE"/>
    <w:rsid w:val="00196521"/>
    <w:rsid w:val="001966F2"/>
    <w:rsid w:val="00196718"/>
    <w:rsid w:val="00196BAB"/>
    <w:rsid w:val="00196DAC"/>
    <w:rsid w:val="00196DB1"/>
    <w:rsid w:val="00196E0F"/>
    <w:rsid w:val="00196EEC"/>
    <w:rsid w:val="00196F73"/>
    <w:rsid w:val="00196FCC"/>
    <w:rsid w:val="0019714C"/>
    <w:rsid w:val="0019715A"/>
    <w:rsid w:val="00197269"/>
    <w:rsid w:val="00197722"/>
    <w:rsid w:val="00197A65"/>
    <w:rsid w:val="00197A7E"/>
    <w:rsid w:val="00197A95"/>
    <w:rsid w:val="00197B53"/>
    <w:rsid w:val="00197BDC"/>
    <w:rsid w:val="00197CF3"/>
    <w:rsid w:val="00197EBF"/>
    <w:rsid w:val="00197ECF"/>
    <w:rsid w:val="001A0308"/>
    <w:rsid w:val="001A0316"/>
    <w:rsid w:val="001A04C2"/>
    <w:rsid w:val="001A0508"/>
    <w:rsid w:val="001A0628"/>
    <w:rsid w:val="001A07BF"/>
    <w:rsid w:val="001A0872"/>
    <w:rsid w:val="001A0881"/>
    <w:rsid w:val="001A0B4A"/>
    <w:rsid w:val="001A0CB3"/>
    <w:rsid w:val="001A0F28"/>
    <w:rsid w:val="001A1185"/>
    <w:rsid w:val="001A1C78"/>
    <w:rsid w:val="001A1D43"/>
    <w:rsid w:val="001A204B"/>
    <w:rsid w:val="001A2476"/>
    <w:rsid w:val="001A259E"/>
    <w:rsid w:val="001A2BAB"/>
    <w:rsid w:val="001A2C1A"/>
    <w:rsid w:val="001A2C59"/>
    <w:rsid w:val="001A3067"/>
    <w:rsid w:val="001A31CE"/>
    <w:rsid w:val="001A3246"/>
    <w:rsid w:val="001A341D"/>
    <w:rsid w:val="001A35B5"/>
    <w:rsid w:val="001A3806"/>
    <w:rsid w:val="001A3B11"/>
    <w:rsid w:val="001A3B97"/>
    <w:rsid w:val="001A3C5A"/>
    <w:rsid w:val="001A3CD7"/>
    <w:rsid w:val="001A3D99"/>
    <w:rsid w:val="001A3E1F"/>
    <w:rsid w:val="001A3E4B"/>
    <w:rsid w:val="001A404A"/>
    <w:rsid w:val="001A418D"/>
    <w:rsid w:val="001A431C"/>
    <w:rsid w:val="001A433D"/>
    <w:rsid w:val="001A4351"/>
    <w:rsid w:val="001A438E"/>
    <w:rsid w:val="001A4699"/>
    <w:rsid w:val="001A48EE"/>
    <w:rsid w:val="001A4938"/>
    <w:rsid w:val="001A4A04"/>
    <w:rsid w:val="001A4AC3"/>
    <w:rsid w:val="001A4C60"/>
    <w:rsid w:val="001A4CC9"/>
    <w:rsid w:val="001A50BC"/>
    <w:rsid w:val="001A5198"/>
    <w:rsid w:val="001A52B2"/>
    <w:rsid w:val="001A53E1"/>
    <w:rsid w:val="001A5467"/>
    <w:rsid w:val="001A5582"/>
    <w:rsid w:val="001A57BF"/>
    <w:rsid w:val="001A5814"/>
    <w:rsid w:val="001A5875"/>
    <w:rsid w:val="001A5879"/>
    <w:rsid w:val="001A5FD1"/>
    <w:rsid w:val="001A607F"/>
    <w:rsid w:val="001A6392"/>
    <w:rsid w:val="001A6683"/>
    <w:rsid w:val="001A66CB"/>
    <w:rsid w:val="001A6A97"/>
    <w:rsid w:val="001A70B9"/>
    <w:rsid w:val="001A7622"/>
    <w:rsid w:val="001A7896"/>
    <w:rsid w:val="001A7A0B"/>
    <w:rsid w:val="001A7A78"/>
    <w:rsid w:val="001A7DB9"/>
    <w:rsid w:val="001A7F01"/>
    <w:rsid w:val="001A7FC8"/>
    <w:rsid w:val="001AB0E6"/>
    <w:rsid w:val="001B0141"/>
    <w:rsid w:val="001B03EB"/>
    <w:rsid w:val="001B06E2"/>
    <w:rsid w:val="001B09E1"/>
    <w:rsid w:val="001B0BEB"/>
    <w:rsid w:val="001B0BEC"/>
    <w:rsid w:val="001B0CDC"/>
    <w:rsid w:val="001B1228"/>
    <w:rsid w:val="001B1291"/>
    <w:rsid w:val="001B150A"/>
    <w:rsid w:val="001B1876"/>
    <w:rsid w:val="001B18D8"/>
    <w:rsid w:val="001B1A23"/>
    <w:rsid w:val="001B1B85"/>
    <w:rsid w:val="001B1CF5"/>
    <w:rsid w:val="001B1E8E"/>
    <w:rsid w:val="001B207C"/>
    <w:rsid w:val="001B211A"/>
    <w:rsid w:val="001B2217"/>
    <w:rsid w:val="001B248F"/>
    <w:rsid w:val="001B24CC"/>
    <w:rsid w:val="001B2825"/>
    <w:rsid w:val="001B2854"/>
    <w:rsid w:val="001B29E8"/>
    <w:rsid w:val="001B2ED9"/>
    <w:rsid w:val="001B2EDF"/>
    <w:rsid w:val="001B321B"/>
    <w:rsid w:val="001B321E"/>
    <w:rsid w:val="001B3233"/>
    <w:rsid w:val="001B35E4"/>
    <w:rsid w:val="001B372E"/>
    <w:rsid w:val="001B377E"/>
    <w:rsid w:val="001B3787"/>
    <w:rsid w:val="001B38A9"/>
    <w:rsid w:val="001B3B2E"/>
    <w:rsid w:val="001B3C7C"/>
    <w:rsid w:val="001B3CB9"/>
    <w:rsid w:val="001B3D4C"/>
    <w:rsid w:val="001B3F18"/>
    <w:rsid w:val="001B4169"/>
    <w:rsid w:val="001B436F"/>
    <w:rsid w:val="001B4578"/>
    <w:rsid w:val="001B4824"/>
    <w:rsid w:val="001B4A49"/>
    <w:rsid w:val="001B4AE9"/>
    <w:rsid w:val="001B4E86"/>
    <w:rsid w:val="001B4F58"/>
    <w:rsid w:val="001B50BD"/>
    <w:rsid w:val="001B520C"/>
    <w:rsid w:val="001B5370"/>
    <w:rsid w:val="001B551A"/>
    <w:rsid w:val="001B596F"/>
    <w:rsid w:val="001B5BAA"/>
    <w:rsid w:val="001B62A0"/>
    <w:rsid w:val="001B635C"/>
    <w:rsid w:val="001B6498"/>
    <w:rsid w:val="001B69CB"/>
    <w:rsid w:val="001B6BC5"/>
    <w:rsid w:val="001B6E7C"/>
    <w:rsid w:val="001B7074"/>
    <w:rsid w:val="001B7107"/>
    <w:rsid w:val="001B72D0"/>
    <w:rsid w:val="001B755F"/>
    <w:rsid w:val="001B757C"/>
    <w:rsid w:val="001B7798"/>
    <w:rsid w:val="001B7A3A"/>
    <w:rsid w:val="001B7A45"/>
    <w:rsid w:val="001B7A81"/>
    <w:rsid w:val="001B7B84"/>
    <w:rsid w:val="001B7D16"/>
    <w:rsid w:val="001B7E0A"/>
    <w:rsid w:val="001B7E37"/>
    <w:rsid w:val="001C00F3"/>
    <w:rsid w:val="001C0279"/>
    <w:rsid w:val="001C051E"/>
    <w:rsid w:val="001C06E8"/>
    <w:rsid w:val="001C0880"/>
    <w:rsid w:val="001C0A91"/>
    <w:rsid w:val="001C0F2C"/>
    <w:rsid w:val="001C109D"/>
    <w:rsid w:val="001C16B6"/>
    <w:rsid w:val="001C1747"/>
    <w:rsid w:val="001C19D1"/>
    <w:rsid w:val="001C1CB4"/>
    <w:rsid w:val="001C1CFA"/>
    <w:rsid w:val="001C1FD8"/>
    <w:rsid w:val="001C21B7"/>
    <w:rsid w:val="001C21D4"/>
    <w:rsid w:val="001C24AA"/>
    <w:rsid w:val="001C2598"/>
    <w:rsid w:val="001C2A73"/>
    <w:rsid w:val="001C2B7A"/>
    <w:rsid w:val="001C3021"/>
    <w:rsid w:val="001C36A9"/>
    <w:rsid w:val="001C3734"/>
    <w:rsid w:val="001C3AFD"/>
    <w:rsid w:val="001C4250"/>
    <w:rsid w:val="001C427D"/>
    <w:rsid w:val="001C4563"/>
    <w:rsid w:val="001C4631"/>
    <w:rsid w:val="001C4ECB"/>
    <w:rsid w:val="001C5339"/>
    <w:rsid w:val="001C5495"/>
    <w:rsid w:val="001C5A0B"/>
    <w:rsid w:val="001C5B13"/>
    <w:rsid w:val="001C5BC2"/>
    <w:rsid w:val="001C5CCD"/>
    <w:rsid w:val="001C5DC9"/>
    <w:rsid w:val="001C627C"/>
    <w:rsid w:val="001C63DF"/>
    <w:rsid w:val="001C6785"/>
    <w:rsid w:val="001C6823"/>
    <w:rsid w:val="001C6844"/>
    <w:rsid w:val="001C6B1C"/>
    <w:rsid w:val="001C6B49"/>
    <w:rsid w:val="001C6BC9"/>
    <w:rsid w:val="001C6D18"/>
    <w:rsid w:val="001C6EA9"/>
    <w:rsid w:val="001C7384"/>
    <w:rsid w:val="001C745C"/>
    <w:rsid w:val="001C791C"/>
    <w:rsid w:val="001C7951"/>
    <w:rsid w:val="001C7C4C"/>
    <w:rsid w:val="001C7CAB"/>
    <w:rsid w:val="001C7CCC"/>
    <w:rsid w:val="001C7E12"/>
    <w:rsid w:val="001C7FDB"/>
    <w:rsid w:val="001D0118"/>
    <w:rsid w:val="001D0429"/>
    <w:rsid w:val="001D057B"/>
    <w:rsid w:val="001D08B2"/>
    <w:rsid w:val="001D0EE0"/>
    <w:rsid w:val="001D0FF1"/>
    <w:rsid w:val="001D136A"/>
    <w:rsid w:val="001D1764"/>
    <w:rsid w:val="001D1DCB"/>
    <w:rsid w:val="001D2010"/>
    <w:rsid w:val="001D24AF"/>
    <w:rsid w:val="001D24F8"/>
    <w:rsid w:val="001D26B7"/>
    <w:rsid w:val="001D2DE1"/>
    <w:rsid w:val="001D3109"/>
    <w:rsid w:val="001D320D"/>
    <w:rsid w:val="001D3264"/>
    <w:rsid w:val="001D350D"/>
    <w:rsid w:val="001D35C0"/>
    <w:rsid w:val="001D3605"/>
    <w:rsid w:val="001D3AA4"/>
    <w:rsid w:val="001D3E01"/>
    <w:rsid w:val="001D4112"/>
    <w:rsid w:val="001D42AB"/>
    <w:rsid w:val="001D47EB"/>
    <w:rsid w:val="001D4924"/>
    <w:rsid w:val="001D4BA7"/>
    <w:rsid w:val="001D4F03"/>
    <w:rsid w:val="001D4F47"/>
    <w:rsid w:val="001D5A9A"/>
    <w:rsid w:val="001D5B80"/>
    <w:rsid w:val="001D5D22"/>
    <w:rsid w:val="001D5E23"/>
    <w:rsid w:val="001D6588"/>
    <w:rsid w:val="001D666C"/>
    <w:rsid w:val="001D674B"/>
    <w:rsid w:val="001D6753"/>
    <w:rsid w:val="001D6840"/>
    <w:rsid w:val="001D6934"/>
    <w:rsid w:val="001D69D9"/>
    <w:rsid w:val="001D6A42"/>
    <w:rsid w:val="001D6BD9"/>
    <w:rsid w:val="001D6CE7"/>
    <w:rsid w:val="001D6DCD"/>
    <w:rsid w:val="001D7213"/>
    <w:rsid w:val="001D725E"/>
    <w:rsid w:val="001D72D2"/>
    <w:rsid w:val="001D77C2"/>
    <w:rsid w:val="001D7836"/>
    <w:rsid w:val="001D7A65"/>
    <w:rsid w:val="001E0398"/>
    <w:rsid w:val="001E042F"/>
    <w:rsid w:val="001E0481"/>
    <w:rsid w:val="001E052D"/>
    <w:rsid w:val="001E06E6"/>
    <w:rsid w:val="001E0815"/>
    <w:rsid w:val="001E08F3"/>
    <w:rsid w:val="001E095A"/>
    <w:rsid w:val="001E0998"/>
    <w:rsid w:val="001E0C96"/>
    <w:rsid w:val="001E0D05"/>
    <w:rsid w:val="001E1031"/>
    <w:rsid w:val="001E131A"/>
    <w:rsid w:val="001E138C"/>
    <w:rsid w:val="001E141B"/>
    <w:rsid w:val="001E187C"/>
    <w:rsid w:val="001E1A56"/>
    <w:rsid w:val="001E1AE3"/>
    <w:rsid w:val="001E1DB0"/>
    <w:rsid w:val="001E2390"/>
    <w:rsid w:val="001E2515"/>
    <w:rsid w:val="001E2651"/>
    <w:rsid w:val="001E27E0"/>
    <w:rsid w:val="001E289F"/>
    <w:rsid w:val="001E2A55"/>
    <w:rsid w:val="001E2C8B"/>
    <w:rsid w:val="001E3019"/>
    <w:rsid w:val="001E315F"/>
    <w:rsid w:val="001E3298"/>
    <w:rsid w:val="001E3337"/>
    <w:rsid w:val="001E3803"/>
    <w:rsid w:val="001E40B8"/>
    <w:rsid w:val="001E419B"/>
    <w:rsid w:val="001E41A7"/>
    <w:rsid w:val="001E4309"/>
    <w:rsid w:val="001E495A"/>
    <w:rsid w:val="001E4C7E"/>
    <w:rsid w:val="001E5070"/>
    <w:rsid w:val="001E5201"/>
    <w:rsid w:val="001E52B6"/>
    <w:rsid w:val="001E5354"/>
    <w:rsid w:val="001E54B6"/>
    <w:rsid w:val="001E563C"/>
    <w:rsid w:val="001E58AD"/>
    <w:rsid w:val="001E5A37"/>
    <w:rsid w:val="001E5A50"/>
    <w:rsid w:val="001E5B76"/>
    <w:rsid w:val="001E5C90"/>
    <w:rsid w:val="001E5D89"/>
    <w:rsid w:val="001E5E4F"/>
    <w:rsid w:val="001E6266"/>
    <w:rsid w:val="001E62BA"/>
    <w:rsid w:val="001E6377"/>
    <w:rsid w:val="001E65AE"/>
    <w:rsid w:val="001E66B3"/>
    <w:rsid w:val="001E69B1"/>
    <w:rsid w:val="001E6CF0"/>
    <w:rsid w:val="001E6E8F"/>
    <w:rsid w:val="001E767F"/>
    <w:rsid w:val="001E7A19"/>
    <w:rsid w:val="001E7AC8"/>
    <w:rsid w:val="001E7AE1"/>
    <w:rsid w:val="001E7D1E"/>
    <w:rsid w:val="001F0223"/>
    <w:rsid w:val="001F04FA"/>
    <w:rsid w:val="001F05F1"/>
    <w:rsid w:val="001F08D8"/>
    <w:rsid w:val="001F0A6F"/>
    <w:rsid w:val="001F0A75"/>
    <w:rsid w:val="001F0AC2"/>
    <w:rsid w:val="001F11B6"/>
    <w:rsid w:val="001F12A3"/>
    <w:rsid w:val="001F1555"/>
    <w:rsid w:val="001F1B84"/>
    <w:rsid w:val="001F1D9C"/>
    <w:rsid w:val="001F1F34"/>
    <w:rsid w:val="001F2028"/>
    <w:rsid w:val="001F2209"/>
    <w:rsid w:val="001F2342"/>
    <w:rsid w:val="001F237B"/>
    <w:rsid w:val="001F2783"/>
    <w:rsid w:val="001F2BD3"/>
    <w:rsid w:val="001F313C"/>
    <w:rsid w:val="001F37E1"/>
    <w:rsid w:val="001F3879"/>
    <w:rsid w:val="001F39EE"/>
    <w:rsid w:val="001F3ECE"/>
    <w:rsid w:val="001F44FD"/>
    <w:rsid w:val="001F478C"/>
    <w:rsid w:val="001F47E1"/>
    <w:rsid w:val="001F48BF"/>
    <w:rsid w:val="001F4A9B"/>
    <w:rsid w:val="001F4AC6"/>
    <w:rsid w:val="001F4B1D"/>
    <w:rsid w:val="001F5175"/>
    <w:rsid w:val="001F5288"/>
    <w:rsid w:val="001F5776"/>
    <w:rsid w:val="001F5834"/>
    <w:rsid w:val="001F584C"/>
    <w:rsid w:val="001F58D0"/>
    <w:rsid w:val="001F58F0"/>
    <w:rsid w:val="001F5C0E"/>
    <w:rsid w:val="001F6006"/>
    <w:rsid w:val="001F618E"/>
    <w:rsid w:val="001F63DD"/>
    <w:rsid w:val="001F6495"/>
    <w:rsid w:val="001F6516"/>
    <w:rsid w:val="001F6926"/>
    <w:rsid w:val="001F6A14"/>
    <w:rsid w:val="001F6A66"/>
    <w:rsid w:val="001F6F1A"/>
    <w:rsid w:val="001F7186"/>
    <w:rsid w:val="001F718A"/>
    <w:rsid w:val="001F760E"/>
    <w:rsid w:val="001F7797"/>
    <w:rsid w:val="001F780E"/>
    <w:rsid w:val="001F79FD"/>
    <w:rsid w:val="001F7C2B"/>
    <w:rsid w:val="001F7DBC"/>
    <w:rsid w:val="001F7F04"/>
    <w:rsid w:val="0020044C"/>
    <w:rsid w:val="002005E4"/>
    <w:rsid w:val="002008A5"/>
    <w:rsid w:val="00200FDC"/>
    <w:rsid w:val="00201078"/>
    <w:rsid w:val="00201416"/>
    <w:rsid w:val="0020153A"/>
    <w:rsid w:val="002018F4"/>
    <w:rsid w:val="00201B1B"/>
    <w:rsid w:val="00201D2D"/>
    <w:rsid w:val="00201EAF"/>
    <w:rsid w:val="00201EB3"/>
    <w:rsid w:val="00201F51"/>
    <w:rsid w:val="00201F97"/>
    <w:rsid w:val="00202033"/>
    <w:rsid w:val="002021F6"/>
    <w:rsid w:val="002025A8"/>
    <w:rsid w:val="002026D2"/>
    <w:rsid w:val="00202762"/>
    <w:rsid w:val="00202ECC"/>
    <w:rsid w:val="002030EA"/>
    <w:rsid w:val="00203377"/>
    <w:rsid w:val="002034F1"/>
    <w:rsid w:val="00203652"/>
    <w:rsid w:val="002036E2"/>
    <w:rsid w:val="00203A6D"/>
    <w:rsid w:val="00203ADD"/>
    <w:rsid w:val="002046C9"/>
    <w:rsid w:val="002046E4"/>
    <w:rsid w:val="00204D63"/>
    <w:rsid w:val="00204D81"/>
    <w:rsid w:val="00204FFB"/>
    <w:rsid w:val="0020517D"/>
    <w:rsid w:val="00205497"/>
    <w:rsid w:val="002054D9"/>
    <w:rsid w:val="002059A6"/>
    <w:rsid w:val="002059C5"/>
    <w:rsid w:val="00205C6C"/>
    <w:rsid w:val="00205E01"/>
    <w:rsid w:val="0020621E"/>
    <w:rsid w:val="002066BB"/>
    <w:rsid w:val="0020674C"/>
    <w:rsid w:val="00206A8E"/>
    <w:rsid w:val="00206AE7"/>
    <w:rsid w:val="00206BEA"/>
    <w:rsid w:val="00206C19"/>
    <w:rsid w:val="00206CC3"/>
    <w:rsid w:val="00206F19"/>
    <w:rsid w:val="00206F76"/>
    <w:rsid w:val="00207160"/>
    <w:rsid w:val="00207233"/>
    <w:rsid w:val="0020746B"/>
    <w:rsid w:val="002078DF"/>
    <w:rsid w:val="00207949"/>
    <w:rsid w:val="00207A3B"/>
    <w:rsid w:val="00207A3F"/>
    <w:rsid w:val="00207B0B"/>
    <w:rsid w:val="00207B59"/>
    <w:rsid w:val="00207C84"/>
    <w:rsid w:val="00207CD6"/>
    <w:rsid w:val="00207DD8"/>
    <w:rsid w:val="00210305"/>
    <w:rsid w:val="00210635"/>
    <w:rsid w:val="002106CA"/>
    <w:rsid w:val="00210D22"/>
    <w:rsid w:val="00210EEE"/>
    <w:rsid w:val="0021101E"/>
    <w:rsid w:val="0021109C"/>
    <w:rsid w:val="002112FA"/>
    <w:rsid w:val="00211348"/>
    <w:rsid w:val="002115D9"/>
    <w:rsid w:val="0021168C"/>
    <w:rsid w:val="0021183A"/>
    <w:rsid w:val="00211917"/>
    <w:rsid w:val="0021198D"/>
    <w:rsid w:val="002119CB"/>
    <w:rsid w:val="00211AE6"/>
    <w:rsid w:val="00211E4B"/>
    <w:rsid w:val="002120CD"/>
    <w:rsid w:val="002121C3"/>
    <w:rsid w:val="00212284"/>
    <w:rsid w:val="0021242A"/>
    <w:rsid w:val="00212911"/>
    <w:rsid w:val="00212B79"/>
    <w:rsid w:val="00212BE8"/>
    <w:rsid w:val="00212CCA"/>
    <w:rsid w:val="00212D24"/>
    <w:rsid w:val="00212EA2"/>
    <w:rsid w:val="00213401"/>
    <w:rsid w:val="0021361E"/>
    <w:rsid w:val="0021364D"/>
    <w:rsid w:val="002136B4"/>
    <w:rsid w:val="00213732"/>
    <w:rsid w:val="002137A0"/>
    <w:rsid w:val="00213879"/>
    <w:rsid w:val="0021389E"/>
    <w:rsid w:val="00213918"/>
    <w:rsid w:val="00213944"/>
    <w:rsid w:val="00213945"/>
    <w:rsid w:val="0021395E"/>
    <w:rsid w:val="00213AB9"/>
    <w:rsid w:val="00213CC1"/>
    <w:rsid w:val="00214199"/>
    <w:rsid w:val="0021434A"/>
    <w:rsid w:val="0021495B"/>
    <w:rsid w:val="002149B6"/>
    <w:rsid w:val="00214CDB"/>
    <w:rsid w:val="00214EC4"/>
    <w:rsid w:val="00214F41"/>
    <w:rsid w:val="0021515D"/>
    <w:rsid w:val="00215405"/>
    <w:rsid w:val="002154A8"/>
    <w:rsid w:val="00215646"/>
    <w:rsid w:val="00215AFD"/>
    <w:rsid w:val="00215B29"/>
    <w:rsid w:val="00215CF5"/>
    <w:rsid w:val="00216371"/>
    <w:rsid w:val="002166F3"/>
    <w:rsid w:val="002167E0"/>
    <w:rsid w:val="00216AF1"/>
    <w:rsid w:val="00216D97"/>
    <w:rsid w:val="00216DB0"/>
    <w:rsid w:val="00216E15"/>
    <w:rsid w:val="00216E29"/>
    <w:rsid w:val="00216F28"/>
    <w:rsid w:val="00217269"/>
    <w:rsid w:val="0021727E"/>
    <w:rsid w:val="002172E7"/>
    <w:rsid w:val="002176AB"/>
    <w:rsid w:val="00217731"/>
    <w:rsid w:val="002179EA"/>
    <w:rsid w:val="00217F3C"/>
    <w:rsid w:val="0022010B"/>
    <w:rsid w:val="0022074C"/>
    <w:rsid w:val="0022087C"/>
    <w:rsid w:val="002208FF"/>
    <w:rsid w:val="00220A44"/>
    <w:rsid w:val="00220C1C"/>
    <w:rsid w:val="00220C67"/>
    <w:rsid w:val="00220D77"/>
    <w:rsid w:val="00220FC6"/>
    <w:rsid w:val="002211D0"/>
    <w:rsid w:val="00221208"/>
    <w:rsid w:val="002217E5"/>
    <w:rsid w:val="002219F8"/>
    <w:rsid w:val="00221B20"/>
    <w:rsid w:val="00221B56"/>
    <w:rsid w:val="00221BAB"/>
    <w:rsid w:val="00221C10"/>
    <w:rsid w:val="00221D73"/>
    <w:rsid w:val="00221E84"/>
    <w:rsid w:val="002222A2"/>
    <w:rsid w:val="002222F6"/>
    <w:rsid w:val="00222732"/>
    <w:rsid w:val="00222B82"/>
    <w:rsid w:val="002232E1"/>
    <w:rsid w:val="00223A22"/>
    <w:rsid w:val="00223AEC"/>
    <w:rsid w:val="00223B38"/>
    <w:rsid w:val="00223C49"/>
    <w:rsid w:val="00223D7F"/>
    <w:rsid w:val="00223F2E"/>
    <w:rsid w:val="002240AB"/>
    <w:rsid w:val="002240F8"/>
    <w:rsid w:val="00224199"/>
    <w:rsid w:val="002241AF"/>
    <w:rsid w:val="00224712"/>
    <w:rsid w:val="00224B5E"/>
    <w:rsid w:val="00224C10"/>
    <w:rsid w:val="00224EB8"/>
    <w:rsid w:val="00225261"/>
    <w:rsid w:val="002253CD"/>
    <w:rsid w:val="0022557E"/>
    <w:rsid w:val="002256FD"/>
    <w:rsid w:val="00225844"/>
    <w:rsid w:val="00225959"/>
    <w:rsid w:val="00225A20"/>
    <w:rsid w:val="00225CF6"/>
    <w:rsid w:val="00225F54"/>
    <w:rsid w:val="00226080"/>
    <w:rsid w:val="00226291"/>
    <w:rsid w:val="00226505"/>
    <w:rsid w:val="002265A8"/>
    <w:rsid w:val="002267BB"/>
    <w:rsid w:val="00226930"/>
    <w:rsid w:val="00226A56"/>
    <w:rsid w:val="00226A7A"/>
    <w:rsid w:val="00227803"/>
    <w:rsid w:val="00227846"/>
    <w:rsid w:val="00227868"/>
    <w:rsid w:val="00227917"/>
    <w:rsid w:val="00227AB6"/>
    <w:rsid w:val="00227BB7"/>
    <w:rsid w:val="00227DDF"/>
    <w:rsid w:val="00230483"/>
    <w:rsid w:val="002307D3"/>
    <w:rsid w:val="00230999"/>
    <w:rsid w:val="00230A3D"/>
    <w:rsid w:val="00230ED5"/>
    <w:rsid w:val="002312EA"/>
    <w:rsid w:val="002314BE"/>
    <w:rsid w:val="002314E9"/>
    <w:rsid w:val="002316CD"/>
    <w:rsid w:val="00231D0A"/>
    <w:rsid w:val="00231FB1"/>
    <w:rsid w:val="00232034"/>
    <w:rsid w:val="0023214B"/>
    <w:rsid w:val="002324E9"/>
    <w:rsid w:val="00232600"/>
    <w:rsid w:val="00232869"/>
    <w:rsid w:val="00232B25"/>
    <w:rsid w:val="00233586"/>
    <w:rsid w:val="0023366E"/>
    <w:rsid w:val="00233C27"/>
    <w:rsid w:val="00233F3D"/>
    <w:rsid w:val="00233FD6"/>
    <w:rsid w:val="002340B7"/>
    <w:rsid w:val="0023430C"/>
    <w:rsid w:val="00234C4D"/>
    <w:rsid w:val="00234D19"/>
    <w:rsid w:val="00234D84"/>
    <w:rsid w:val="00234F14"/>
    <w:rsid w:val="00234F1E"/>
    <w:rsid w:val="00234FDF"/>
    <w:rsid w:val="00235222"/>
    <w:rsid w:val="002352A7"/>
    <w:rsid w:val="002352E9"/>
    <w:rsid w:val="0023541C"/>
    <w:rsid w:val="002354EB"/>
    <w:rsid w:val="00236088"/>
    <w:rsid w:val="00236152"/>
    <w:rsid w:val="0023617A"/>
    <w:rsid w:val="002363F2"/>
    <w:rsid w:val="0023647C"/>
    <w:rsid w:val="002364B9"/>
    <w:rsid w:val="002367B3"/>
    <w:rsid w:val="00236884"/>
    <w:rsid w:val="0023688C"/>
    <w:rsid w:val="002368AA"/>
    <w:rsid w:val="002368F0"/>
    <w:rsid w:val="00236AB6"/>
    <w:rsid w:val="00237365"/>
    <w:rsid w:val="00237384"/>
    <w:rsid w:val="002373AB"/>
    <w:rsid w:val="002375C8"/>
    <w:rsid w:val="00237610"/>
    <w:rsid w:val="00237674"/>
    <w:rsid w:val="00237A75"/>
    <w:rsid w:val="00237C6D"/>
    <w:rsid w:val="00237E99"/>
    <w:rsid w:val="0024000F"/>
    <w:rsid w:val="002400EF"/>
    <w:rsid w:val="0024016D"/>
    <w:rsid w:val="00240279"/>
    <w:rsid w:val="00240340"/>
    <w:rsid w:val="002403E5"/>
    <w:rsid w:val="00240512"/>
    <w:rsid w:val="0024104C"/>
    <w:rsid w:val="002410C8"/>
    <w:rsid w:val="00241104"/>
    <w:rsid w:val="00241158"/>
    <w:rsid w:val="00241590"/>
    <w:rsid w:val="002416E3"/>
    <w:rsid w:val="002417A4"/>
    <w:rsid w:val="00241E21"/>
    <w:rsid w:val="00241E35"/>
    <w:rsid w:val="00241F46"/>
    <w:rsid w:val="002423F7"/>
    <w:rsid w:val="00242463"/>
    <w:rsid w:val="0024249A"/>
    <w:rsid w:val="00242903"/>
    <w:rsid w:val="00242A91"/>
    <w:rsid w:val="00242C24"/>
    <w:rsid w:val="00243069"/>
    <w:rsid w:val="0024322A"/>
    <w:rsid w:val="00243645"/>
    <w:rsid w:val="00243853"/>
    <w:rsid w:val="00243AA9"/>
    <w:rsid w:val="00243C65"/>
    <w:rsid w:val="00243ED2"/>
    <w:rsid w:val="00244000"/>
    <w:rsid w:val="00244634"/>
    <w:rsid w:val="00244759"/>
    <w:rsid w:val="00244782"/>
    <w:rsid w:val="00244A00"/>
    <w:rsid w:val="00244B42"/>
    <w:rsid w:val="00244D44"/>
    <w:rsid w:val="002456B5"/>
    <w:rsid w:val="0024583F"/>
    <w:rsid w:val="00245922"/>
    <w:rsid w:val="002459A8"/>
    <w:rsid w:val="00245BD8"/>
    <w:rsid w:val="00245F25"/>
    <w:rsid w:val="00246119"/>
    <w:rsid w:val="00246136"/>
    <w:rsid w:val="0024631F"/>
    <w:rsid w:val="0024636A"/>
    <w:rsid w:val="002464CD"/>
    <w:rsid w:val="002465D5"/>
    <w:rsid w:val="00246A9D"/>
    <w:rsid w:val="00246FAC"/>
    <w:rsid w:val="0024717F"/>
    <w:rsid w:val="00247322"/>
    <w:rsid w:val="00247393"/>
    <w:rsid w:val="00247597"/>
    <w:rsid w:val="00247605"/>
    <w:rsid w:val="002477B6"/>
    <w:rsid w:val="00247A69"/>
    <w:rsid w:val="00247BA3"/>
    <w:rsid w:val="0025022D"/>
    <w:rsid w:val="002504C6"/>
    <w:rsid w:val="0025062D"/>
    <w:rsid w:val="00250850"/>
    <w:rsid w:val="002509B9"/>
    <w:rsid w:val="002509C0"/>
    <w:rsid w:val="00250A0E"/>
    <w:rsid w:val="00250CE5"/>
    <w:rsid w:val="00250D06"/>
    <w:rsid w:val="00250DF2"/>
    <w:rsid w:val="0025104F"/>
    <w:rsid w:val="00251193"/>
    <w:rsid w:val="002512DA"/>
    <w:rsid w:val="002515F0"/>
    <w:rsid w:val="0025162F"/>
    <w:rsid w:val="00251793"/>
    <w:rsid w:val="00251863"/>
    <w:rsid w:val="002518F7"/>
    <w:rsid w:val="00251932"/>
    <w:rsid w:val="00251979"/>
    <w:rsid w:val="00251EAE"/>
    <w:rsid w:val="00251EF7"/>
    <w:rsid w:val="002522D6"/>
    <w:rsid w:val="00252663"/>
    <w:rsid w:val="00252680"/>
    <w:rsid w:val="0025268F"/>
    <w:rsid w:val="0025279B"/>
    <w:rsid w:val="00252829"/>
    <w:rsid w:val="00252873"/>
    <w:rsid w:val="002528EA"/>
    <w:rsid w:val="00252A27"/>
    <w:rsid w:val="00252AC4"/>
    <w:rsid w:val="00252BDF"/>
    <w:rsid w:val="002530B2"/>
    <w:rsid w:val="00253391"/>
    <w:rsid w:val="00253507"/>
    <w:rsid w:val="002535A0"/>
    <w:rsid w:val="002535BB"/>
    <w:rsid w:val="00253638"/>
    <w:rsid w:val="002536AB"/>
    <w:rsid w:val="00253ACD"/>
    <w:rsid w:val="00253B01"/>
    <w:rsid w:val="00253CCF"/>
    <w:rsid w:val="00253E73"/>
    <w:rsid w:val="00253E93"/>
    <w:rsid w:val="00254060"/>
    <w:rsid w:val="00254075"/>
    <w:rsid w:val="00254827"/>
    <w:rsid w:val="00254883"/>
    <w:rsid w:val="00254ABF"/>
    <w:rsid w:val="00254B4F"/>
    <w:rsid w:val="00254B79"/>
    <w:rsid w:val="00254C18"/>
    <w:rsid w:val="002551C3"/>
    <w:rsid w:val="00255397"/>
    <w:rsid w:val="00255398"/>
    <w:rsid w:val="002553F8"/>
    <w:rsid w:val="002554EA"/>
    <w:rsid w:val="00255742"/>
    <w:rsid w:val="002559EE"/>
    <w:rsid w:val="00255AD4"/>
    <w:rsid w:val="00255BEE"/>
    <w:rsid w:val="002567A5"/>
    <w:rsid w:val="002569F8"/>
    <w:rsid w:val="00256B83"/>
    <w:rsid w:val="00256D10"/>
    <w:rsid w:val="00256EB5"/>
    <w:rsid w:val="00257405"/>
    <w:rsid w:val="002575DB"/>
    <w:rsid w:val="00257CD6"/>
    <w:rsid w:val="00257F14"/>
    <w:rsid w:val="00260279"/>
    <w:rsid w:val="00260399"/>
    <w:rsid w:val="002606C2"/>
    <w:rsid w:val="002606C7"/>
    <w:rsid w:val="002607DB"/>
    <w:rsid w:val="00260F02"/>
    <w:rsid w:val="002611B7"/>
    <w:rsid w:val="0026125D"/>
    <w:rsid w:val="00261337"/>
    <w:rsid w:val="0026171B"/>
    <w:rsid w:val="002617DC"/>
    <w:rsid w:val="002619BB"/>
    <w:rsid w:val="00261DF3"/>
    <w:rsid w:val="00261F06"/>
    <w:rsid w:val="00261FFC"/>
    <w:rsid w:val="00262457"/>
    <w:rsid w:val="0026245B"/>
    <w:rsid w:val="00262463"/>
    <w:rsid w:val="0026250D"/>
    <w:rsid w:val="0026282F"/>
    <w:rsid w:val="00262849"/>
    <w:rsid w:val="002629BF"/>
    <w:rsid w:val="00262AA5"/>
    <w:rsid w:val="00262C8B"/>
    <w:rsid w:val="00263547"/>
    <w:rsid w:val="002639FE"/>
    <w:rsid w:val="00263F56"/>
    <w:rsid w:val="00263FFF"/>
    <w:rsid w:val="0026428D"/>
    <w:rsid w:val="002642DF"/>
    <w:rsid w:val="0026441C"/>
    <w:rsid w:val="0026448E"/>
    <w:rsid w:val="00264491"/>
    <w:rsid w:val="00264777"/>
    <w:rsid w:val="002648E2"/>
    <w:rsid w:val="00264B29"/>
    <w:rsid w:val="00264BAF"/>
    <w:rsid w:val="00264CFC"/>
    <w:rsid w:val="00264D6B"/>
    <w:rsid w:val="0026543C"/>
    <w:rsid w:val="0026550A"/>
    <w:rsid w:val="0026570B"/>
    <w:rsid w:val="002657D0"/>
    <w:rsid w:val="00265D9C"/>
    <w:rsid w:val="0026610E"/>
    <w:rsid w:val="0026626C"/>
    <w:rsid w:val="0026658B"/>
    <w:rsid w:val="0026664B"/>
    <w:rsid w:val="00266704"/>
    <w:rsid w:val="002667EA"/>
    <w:rsid w:val="002668EA"/>
    <w:rsid w:val="00266B06"/>
    <w:rsid w:val="00266D14"/>
    <w:rsid w:val="00266D5F"/>
    <w:rsid w:val="00267067"/>
    <w:rsid w:val="00267131"/>
    <w:rsid w:val="00267139"/>
    <w:rsid w:val="00267210"/>
    <w:rsid w:val="0026730A"/>
    <w:rsid w:val="002673E7"/>
    <w:rsid w:val="00267B1E"/>
    <w:rsid w:val="00267DF9"/>
    <w:rsid w:val="00267FD0"/>
    <w:rsid w:val="002702D1"/>
    <w:rsid w:val="002704C8"/>
    <w:rsid w:val="002707DA"/>
    <w:rsid w:val="00270882"/>
    <w:rsid w:val="00270892"/>
    <w:rsid w:val="00270D1D"/>
    <w:rsid w:val="00270DAA"/>
    <w:rsid w:val="0027110F"/>
    <w:rsid w:val="0027163A"/>
    <w:rsid w:val="00271654"/>
    <w:rsid w:val="002718BF"/>
    <w:rsid w:val="002719EA"/>
    <w:rsid w:val="00271FA5"/>
    <w:rsid w:val="00271FEC"/>
    <w:rsid w:val="00272013"/>
    <w:rsid w:val="002723D5"/>
    <w:rsid w:val="00272547"/>
    <w:rsid w:val="00272573"/>
    <w:rsid w:val="0027284D"/>
    <w:rsid w:val="002728A6"/>
    <w:rsid w:val="00272908"/>
    <w:rsid w:val="00272EEC"/>
    <w:rsid w:val="00272F56"/>
    <w:rsid w:val="0027342C"/>
    <w:rsid w:val="00273472"/>
    <w:rsid w:val="00273594"/>
    <w:rsid w:val="002737F3"/>
    <w:rsid w:val="00273B1E"/>
    <w:rsid w:val="00273F38"/>
    <w:rsid w:val="0027406E"/>
    <w:rsid w:val="00274155"/>
    <w:rsid w:val="00274259"/>
    <w:rsid w:val="00274392"/>
    <w:rsid w:val="00274AFC"/>
    <w:rsid w:val="00274C1F"/>
    <w:rsid w:val="00274C42"/>
    <w:rsid w:val="0027510A"/>
    <w:rsid w:val="0027527D"/>
    <w:rsid w:val="002753DD"/>
    <w:rsid w:val="00275493"/>
    <w:rsid w:val="002754EC"/>
    <w:rsid w:val="00275531"/>
    <w:rsid w:val="002755BD"/>
    <w:rsid w:val="002757FB"/>
    <w:rsid w:val="00275A75"/>
    <w:rsid w:val="0027626B"/>
    <w:rsid w:val="00276449"/>
    <w:rsid w:val="002768FF"/>
    <w:rsid w:val="002769F0"/>
    <w:rsid w:val="00276C5E"/>
    <w:rsid w:val="00276D05"/>
    <w:rsid w:val="0027700E"/>
    <w:rsid w:val="0027700F"/>
    <w:rsid w:val="0027703D"/>
    <w:rsid w:val="002770BE"/>
    <w:rsid w:val="00277512"/>
    <w:rsid w:val="00277649"/>
    <w:rsid w:val="002777A0"/>
    <w:rsid w:val="00277CF2"/>
    <w:rsid w:val="00277D0B"/>
    <w:rsid w:val="002800BE"/>
    <w:rsid w:val="002800EE"/>
    <w:rsid w:val="002801C0"/>
    <w:rsid w:val="002801E2"/>
    <w:rsid w:val="002803A1"/>
    <w:rsid w:val="00280850"/>
    <w:rsid w:val="002808B9"/>
    <w:rsid w:val="00280900"/>
    <w:rsid w:val="00280C0E"/>
    <w:rsid w:val="00280D2A"/>
    <w:rsid w:val="00280D52"/>
    <w:rsid w:val="00280FFF"/>
    <w:rsid w:val="002810B4"/>
    <w:rsid w:val="002811F7"/>
    <w:rsid w:val="00281568"/>
    <w:rsid w:val="0028170D"/>
    <w:rsid w:val="00281A84"/>
    <w:rsid w:val="00281AA7"/>
    <w:rsid w:val="00281BB1"/>
    <w:rsid w:val="00281BB5"/>
    <w:rsid w:val="00281C66"/>
    <w:rsid w:val="00281C93"/>
    <w:rsid w:val="00281CEC"/>
    <w:rsid w:val="00281D07"/>
    <w:rsid w:val="00281EB9"/>
    <w:rsid w:val="0028216A"/>
    <w:rsid w:val="00282546"/>
    <w:rsid w:val="002827D5"/>
    <w:rsid w:val="00282C31"/>
    <w:rsid w:val="00282C58"/>
    <w:rsid w:val="00282F11"/>
    <w:rsid w:val="00282F58"/>
    <w:rsid w:val="00282FBB"/>
    <w:rsid w:val="00283173"/>
    <w:rsid w:val="002836A1"/>
    <w:rsid w:val="002837D7"/>
    <w:rsid w:val="00283873"/>
    <w:rsid w:val="0028392B"/>
    <w:rsid w:val="00283D2D"/>
    <w:rsid w:val="00283F0F"/>
    <w:rsid w:val="00284372"/>
    <w:rsid w:val="002843D5"/>
    <w:rsid w:val="00284656"/>
    <w:rsid w:val="00284826"/>
    <w:rsid w:val="00285152"/>
    <w:rsid w:val="002852E9"/>
    <w:rsid w:val="00285378"/>
    <w:rsid w:val="002854C6"/>
    <w:rsid w:val="00285BC6"/>
    <w:rsid w:val="00285BDF"/>
    <w:rsid w:val="0028634F"/>
    <w:rsid w:val="0028641C"/>
    <w:rsid w:val="002865D9"/>
    <w:rsid w:val="002868F1"/>
    <w:rsid w:val="00286B37"/>
    <w:rsid w:val="00286B74"/>
    <w:rsid w:val="00286E40"/>
    <w:rsid w:val="00286E8A"/>
    <w:rsid w:val="00286F16"/>
    <w:rsid w:val="00287226"/>
    <w:rsid w:val="002874D8"/>
    <w:rsid w:val="00287597"/>
    <w:rsid w:val="002877C2"/>
    <w:rsid w:val="00287824"/>
    <w:rsid w:val="00287B9F"/>
    <w:rsid w:val="00287C31"/>
    <w:rsid w:val="00287D89"/>
    <w:rsid w:val="00287F25"/>
    <w:rsid w:val="00287FE5"/>
    <w:rsid w:val="0029001E"/>
    <w:rsid w:val="00290087"/>
    <w:rsid w:val="00290156"/>
    <w:rsid w:val="002901C7"/>
    <w:rsid w:val="0029024E"/>
    <w:rsid w:val="0029036E"/>
    <w:rsid w:val="00290894"/>
    <w:rsid w:val="00290E34"/>
    <w:rsid w:val="002912A2"/>
    <w:rsid w:val="0029136B"/>
    <w:rsid w:val="002913A7"/>
    <w:rsid w:val="00291580"/>
    <w:rsid w:val="00291699"/>
    <w:rsid w:val="00291E08"/>
    <w:rsid w:val="00291E5B"/>
    <w:rsid w:val="00291E9B"/>
    <w:rsid w:val="00291F39"/>
    <w:rsid w:val="0029207E"/>
    <w:rsid w:val="00292159"/>
    <w:rsid w:val="002924A9"/>
    <w:rsid w:val="0029253F"/>
    <w:rsid w:val="00292D29"/>
    <w:rsid w:val="00292E47"/>
    <w:rsid w:val="00292E79"/>
    <w:rsid w:val="002938B8"/>
    <w:rsid w:val="0029393E"/>
    <w:rsid w:val="00293F2A"/>
    <w:rsid w:val="00294095"/>
    <w:rsid w:val="0029425F"/>
    <w:rsid w:val="0029434D"/>
    <w:rsid w:val="00294520"/>
    <w:rsid w:val="00294782"/>
    <w:rsid w:val="0029484E"/>
    <w:rsid w:val="002948E6"/>
    <w:rsid w:val="002949DE"/>
    <w:rsid w:val="00294C77"/>
    <w:rsid w:val="00294CCC"/>
    <w:rsid w:val="00294D2A"/>
    <w:rsid w:val="00294F6C"/>
    <w:rsid w:val="00295093"/>
    <w:rsid w:val="0029510C"/>
    <w:rsid w:val="002955E8"/>
    <w:rsid w:val="002957A6"/>
    <w:rsid w:val="002957B9"/>
    <w:rsid w:val="00295935"/>
    <w:rsid w:val="00296174"/>
    <w:rsid w:val="002964E0"/>
    <w:rsid w:val="0029694F"/>
    <w:rsid w:val="00296E8B"/>
    <w:rsid w:val="00297066"/>
    <w:rsid w:val="0029714E"/>
    <w:rsid w:val="0029746C"/>
    <w:rsid w:val="002974D3"/>
    <w:rsid w:val="0029750D"/>
    <w:rsid w:val="00297670"/>
    <w:rsid w:val="002976F8"/>
    <w:rsid w:val="00297979"/>
    <w:rsid w:val="00297CE8"/>
    <w:rsid w:val="00297D48"/>
    <w:rsid w:val="00297D77"/>
    <w:rsid w:val="002A0366"/>
    <w:rsid w:val="002A036C"/>
    <w:rsid w:val="002A03AB"/>
    <w:rsid w:val="002A0522"/>
    <w:rsid w:val="002A08A9"/>
    <w:rsid w:val="002A09F8"/>
    <w:rsid w:val="002A0B74"/>
    <w:rsid w:val="002A0D05"/>
    <w:rsid w:val="002A0DAD"/>
    <w:rsid w:val="002A0EDE"/>
    <w:rsid w:val="002A0F3C"/>
    <w:rsid w:val="002A107A"/>
    <w:rsid w:val="002A116F"/>
    <w:rsid w:val="002A132A"/>
    <w:rsid w:val="002A1573"/>
    <w:rsid w:val="002A1A24"/>
    <w:rsid w:val="002A1C92"/>
    <w:rsid w:val="002A1D8C"/>
    <w:rsid w:val="002A1E37"/>
    <w:rsid w:val="002A209C"/>
    <w:rsid w:val="002A23E7"/>
    <w:rsid w:val="002A254F"/>
    <w:rsid w:val="002A2571"/>
    <w:rsid w:val="002A262C"/>
    <w:rsid w:val="002A2AFA"/>
    <w:rsid w:val="002A2B79"/>
    <w:rsid w:val="002A2F9C"/>
    <w:rsid w:val="002A2FD7"/>
    <w:rsid w:val="002A3239"/>
    <w:rsid w:val="002A33B4"/>
    <w:rsid w:val="002A34C9"/>
    <w:rsid w:val="002A3503"/>
    <w:rsid w:val="002A3930"/>
    <w:rsid w:val="002A3970"/>
    <w:rsid w:val="002A3EBA"/>
    <w:rsid w:val="002A401B"/>
    <w:rsid w:val="002A44B3"/>
    <w:rsid w:val="002A4AB1"/>
    <w:rsid w:val="002A4ADA"/>
    <w:rsid w:val="002A4E1C"/>
    <w:rsid w:val="002A504F"/>
    <w:rsid w:val="002A5254"/>
    <w:rsid w:val="002A532C"/>
    <w:rsid w:val="002A57EF"/>
    <w:rsid w:val="002A5BE6"/>
    <w:rsid w:val="002A5D31"/>
    <w:rsid w:val="002A610B"/>
    <w:rsid w:val="002A614D"/>
    <w:rsid w:val="002A631A"/>
    <w:rsid w:val="002A632F"/>
    <w:rsid w:val="002A656B"/>
    <w:rsid w:val="002A6745"/>
    <w:rsid w:val="002A6AAE"/>
    <w:rsid w:val="002A6B2E"/>
    <w:rsid w:val="002A6E28"/>
    <w:rsid w:val="002A6E7D"/>
    <w:rsid w:val="002A6EAA"/>
    <w:rsid w:val="002A7141"/>
    <w:rsid w:val="002A73B6"/>
    <w:rsid w:val="002A75EF"/>
    <w:rsid w:val="002A7759"/>
    <w:rsid w:val="002A7901"/>
    <w:rsid w:val="002A7968"/>
    <w:rsid w:val="002A79E2"/>
    <w:rsid w:val="002A7BE1"/>
    <w:rsid w:val="002B052C"/>
    <w:rsid w:val="002B08A0"/>
    <w:rsid w:val="002B0BBC"/>
    <w:rsid w:val="002B0DCB"/>
    <w:rsid w:val="002B0E40"/>
    <w:rsid w:val="002B0E6A"/>
    <w:rsid w:val="002B0EEB"/>
    <w:rsid w:val="002B0FA6"/>
    <w:rsid w:val="002B1444"/>
    <w:rsid w:val="002B18D3"/>
    <w:rsid w:val="002B19A6"/>
    <w:rsid w:val="002B1AFE"/>
    <w:rsid w:val="002B1B23"/>
    <w:rsid w:val="002B1CE6"/>
    <w:rsid w:val="002B1DAB"/>
    <w:rsid w:val="002B1F99"/>
    <w:rsid w:val="002B248C"/>
    <w:rsid w:val="002B251E"/>
    <w:rsid w:val="002B2536"/>
    <w:rsid w:val="002B2A22"/>
    <w:rsid w:val="002B2A4A"/>
    <w:rsid w:val="002B2E14"/>
    <w:rsid w:val="002B2E83"/>
    <w:rsid w:val="002B3269"/>
    <w:rsid w:val="002B34A1"/>
    <w:rsid w:val="002B34A8"/>
    <w:rsid w:val="002B34FE"/>
    <w:rsid w:val="002B355C"/>
    <w:rsid w:val="002B358F"/>
    <w:rsid w:val="002B37D4"/>
    <w:rsid w:val="002B3BA5"/>
    <w:rsid w:val="002B4209"/>
    <w:rsid w:val="002B4238"/>
    <w:rsid w:val="002B42FB"/>
    <w:rsid w:val="002B44C4"/>
    <w:rsid w:val="002B44CE"/>
    <w:rsid w:val="002B44D3"/>
    <w:rsid w:val="002B4791"/>
    <w:rsid w:val="002B4C51"/>
    <w:rsid w:val="002B4F4C"/>
    <w:rsid w:val="002B50F1"/>
    <w:rsid w:val="002B51ED"/>
    <w:rsid w:val="002B52C7"/>
    <w:rsid w:val="002B569A"/>
    <w:rsid w:val="002B574E"/>
    <w:rsid w:val="002B586B"/>
    <w:rsid w:val="002B5884"/>
    <w:rsid w:val="002B59E5"/>
    <w:rsid w:val="002B5BD9"/>
    <w:rsid w:val="002B5C07"/>
    <w:rsid w:val="002B5D6E"/>
    <w:rsid w:val="002B5DE3"/>
    <w:rsid w:val="002B5E33"/>
    <w:rsid w:val="002B60CF"/>
    <w:rsid w:val="002B63D4"/>
    <w:rsid w:val="002B697C"/>
    <w:rsid w:val="002B6A70"/>
    <w:rsid w:val="002B6DE1"/>
    <w:rsid w:val="002B71F4"/>
    <w:rsid w:val="002B757F"/>
    <w:rsid w:val="002B7618"/>
    <w:rsid w:val="002B776D"/>
    <w:rsid w:val="002B7924"/>
    <w:rsid w:val="002B7A02"/>
    <w:rsid w:val="002B7AC6"/>
    <w:rsid w:val="002B7B20"/>
    <w:rsid w:val="002B7C21"/>
    <w:rsid w:val="002B7D23"/>
    <w:rsid w:val="002B7E25"/>
    <w:rsid w:val="002B7E63"/>
    <w:rsid w:val="002B7EA0"/>
    <w:rsid w:val="002C012F"/>
    <w:rsid w:val="002C06EE"/>
    <w:rsid w:val="002C0F9F"/>
    <w:rsid w:val="002C114E"/>
    <w:rsid w:val="002C11B2"/>
    <w:rsid w:val="002C1925"/>
    <w:rsid w:val="002C1C22"/>
    <w:rsid w:val="002C1CB5"/>
    <w:rsid w:val="002C1CC2"/>
    <w:rsid w:val="002C1FC5"/>
    <w:rsid w:val="002C21B7"/>
    <w:rsid w:val="002C2301"/>
    <w:rsid w:val="002C2415"/>
    <w:rsid w:val="002C24BC"/>
    <w:rsid w:val="002C2807"/>
    <w:rsid w:val="002C2B7D"/>
    <w:rsid w:val="002C2C8B"/>
    <w:rsid w:val="002C2D69"/>
    <w:rsid w:val="002C2D87"/>
    <w:rsid w:val="002C3131"/>
    <w:rsid w:val="002C33B8"/>
    <w:rsid w:val="002C35B7"/>
    <w:rsid w:val="002C3923"/>
    <w:rsid w:val="002C3A1A"/>
    <w:rsid w:val="002C3C03"/>
    <w:rsid w:val="002C3CB5"/>
    <w:rsid w:val="002C3F79"/>
    <w:rsid w:val="002C3F9C"/>
    <w:rsid w:val="002C3FB5"/>
    <w:rsid w:val="002C4A01"/>
    <w:rsid w:val="002C4D89"/>
    <w:rsid w:val="002C4D9A"/>
    <w:rsid w:val="002C4DA5"/>
    <w:rsid w:val="002C4DB8"/>
    <w:rsid w:val="002C525F"/>
    <w:rsid w:val="002C526E"/>
    <w:rsid w:val="002C5309"/>
    <w:rsid w:val="002C5896"/>
    <w:rsid w:val="002C5A11"/>
    <w:rsid w:val="002C5BBA"/>
    <w:rsid w:val="002C5D4E"/>
    <w:rsid w:val="002C5DA8"/>
    <w:rsid w:val="002C5E87"/>
    <w:rsid w:val="002C61C1"/>
    <w:rsid w:val="002C6B38"/>
    <w:rsid w:val="002C6C26"/>
    <w:rsid w:val="002C6C4B"/>
    <w:rsid w:val="002C6CF7"/>
    <w:rsid w:val="002C6DB3"/>
    <w:rsid w:val="002C6DE4"/>
    <w:rsid w:val="002C706D"/>
    <w:rsid w:val="002C7474"/>
    <w:rsid w:val="002C7C5D"/>
    <w:rsid w:val="002C7E2B"/>
    <w:rsid w:val="002D0006"/>
    <w:rsid w:val="002D086C"/>
    <w:rsid w:val="002D08CD"/>
    <w:rsid w:val="002D0926"/>
    <w:rsid w:val="002D0EC9"/>
    <w:rsid w:val="002D0F1A"/>
    <w:rsid w:val="002D13B8"/>
    <w:rsid w:val="002D1505"/>
    <w:rsid w:val="002D1996"/>
    <w:rsid w:val="002D1BD3"/>
    <w:rsid w:val="002D20A9"/>
    <w:rsid w:val="002D21F6"/>
    <w:rsid w:val="002D2445"/>
    <w:rsid w:val="002D2685"/>
    <w:rsid w:val="002D26DD"/>
    <w:rsid w:val="002D2C47"/>
    <w:rsid w:val="002D2F04"/>
    <w:rsid w:val="002D2F9A"/>
    <w:rsid w:val="002D2FDB"/>
    <w:rsid w:val="002D30A5"/>
    <w:rsid w:val="002D35DD"/>
    <w:rsid w:val="002D3638"/>
    <w:rsid w:val="002D3AE1"/>
    <w:rsid w:val="002D3B26"/>
    <w:rsid w:val="002D3E73"/>
    <w:rsid w:val="002D4440"/>
    <w:rsid w:val="002D4B58"/>
    <w:rsid w:val="002D4B67"/>
    <w:rsid w:val="002D4D47"/>
    <w:rsid w:val="002D4D9C"/>
    <w:rsid w:val="002D4F17"/>
    <w:rsid w:val="002D5016"/>
    <w:rsid w:val="002D5195"/>
    <w:rsid w:val="002D5349"/>
    <w:rsid w:val="002D5386"/>
    <w:rsid w:val="002D5448"/>
    <w:rsid w:val="002D5467"/>
    <w:rsid w:val="002D5814"/>
    <w:rsid w:val="002D5860"/>
    <w:rsid w:val="002D586D"/>
    <w:rsid w:val="002D58F1"/>
    <w:rsid w:val="002D5921"/>
    <w:rsid w:val="002D5BC5"/>
    <w:rsid w:val="002D5E43"/>
    <w:rsid w:val="002D6013"/>
    <w:rsid w:val="002D6108"/>
    <w:rsid w:val="002D638F"/>
    <w:rsid w:val="002D6420"/>
    <w:rsid w:val="002D652C"/>
    <w:rsid w:val="002D6558"/>
    <w:rsid w:val="002D6782"/>
    <w:rsid w:val="002D67DB"/>
    <w:rsid w:val="002D6D4C"/>
    <w:rsid w:val="002D7239"/>
    <w:rsid w:val="002D73AC"/>
    <w:rsid w:val="002D7488"/>
    <w:rsid w:val="002D7711"/>
    <w:rsid w:val="002D7967"/>
    <w:rsid w:val="002D7AC4"/>
    <w:rsid w:val="002E01DF"/>
    <w:rsid w:val="002E020F"/>
    <w:rsid w:val="002E02A2"/>
    <w:rsid w:val="002E02A3"/>
    <w:rsid w:val="002E0843"/>
    <w:rsid w:val="002E0A18"/>
    <w:rsid w:val="002E0C1D"/>
    <w:rsid w:val="002E0E8E"/>
    <w:rsid w:val="002E0E98"/>
    <w:rsid w:val="002E128D"/>
    <w:rsid w:val="002E1427"/>
    <w:rsid w:val="002E15BD"/>
    <w:rsid w:val="002E1BD7"/>
    <w:rsid w:val="002E1BE0"/>
    <w:rsid w:val="002E1C9A"/>
    <w:rsid w:val="002E1DD5"/>
    <w:rsid w:val="002E1FE4"/>
    <w:rsid w:val="002E1FEC"/>
    <w:rsid w:val="002E20A8"/>
    <w:rsid w:val="002E20F1"/>
    <w:rsid w:val="002E2239"/>
    <w:rsid w:val="002E246F"/>
    <w:rsid w:val="002E260E"/>
    <w:rsid w:val="002E2624"/>
    <w:rsid w:val="002E2901"/>
    <w:rsid w:val="002E2E96"/>
    <w:rsid w:val="002E30CD"/>
    <w:rsid w:val="002E35BD"/>
    <w:rsid w:val="002E375F"/>
    <w:rsid w:val="002E3A2E"/>
    <w:rsid w:val="002E3AB0"/>
    <w:rsid w:val="002E3B4F"/>
    <w:rsid w:val="002E3BBB"/>
    <w:rsid w:val="002E3BD4"/>
    <w:rsid w:val="002E3D88"/>
    <w:rsid w:val="002E3E27"/>
    <w:rsid w:val="002E4019"/>
    <w:rsid w:val="002E4161"/>
    <w:rsid w:val="002E441B"/>
    <w:rsid w:val="002E44BC"/>
    <w:rsid w:val="002E5047"/>
    <w:rsid w:val="002E51D1"/>
    <w:rsid w:val="002E5277"/>
    <w:rsid w:val="002E5355"/>
    <w:rsid w:val="002E53CF"/>
    <w:rsid w:val="002E5438"/>
    <w:rsid w:val="002E5782"/>
    <w:rsid w:val="002E6033"/>
    <w:rsid w:val="002E6332"/>
    <w:rsid w:val="002E6435"/>
    <w:rsid w:val="002E6925"/>
    <w:rsid w:val="002E6A13"/>
    <w:rsid w:val="002E6AF3"/>
    <w:rsid w:val="002E7028"/>
    <w:rsid w:val="002E72A3"/>
    <w:rsid w:val="002E73AF"/>
    <w:rsid w:val="002E78A7"/>
    <w:rsid w:val="002E7B9C"/>
    <w:rsid w:val="002E7BB3"/>
    <w:rsid w:val="002E7BC9"/>
    <w:rsid w:val="002E7D43"/>
    <w:rsid w:val="002E7D90"/>
    <w:rsid w:val="002E7ED7"/>
    <w:rsid w:val="002F01A9"/>
    <w:rsid w:val="002F02AB"/>
    <w:rsid w:val="002F0431"/>
    <w:rsid w:val="002F0D64"/>
    <w:rsid w:val="002F0DA3"/>
    <w:rsid w:val="002F0E72"/>
    <w:rsid w:val="002F110C"/>
    <w:rsid w:val="002F121C"/>
    <w:rsid w:val="002F12AE"/>
    <w:rsid w:val="002F1426"/>
    <w:rsid w:val="002F1783"/>
    <w:rsid w:val="002F18E9"/>
    <w:rsid w:val="002F1C81"/>
    <w:rsid w:val="002F1EE5"/>
    <w:rsid w:val="002F20F8"/>
    <w:rsid w:val="002F2108"/>
    <w:rsid w:val="002F21BB"/>
    <w:rsid w:val="002F2204"/>
    <w:rsid w:val="002F2244"/>
    <w:rsid w:val="002F22A3"/>
    <w:rsid w:val="002F231C"/>
    <w:rsid w:val="002F23E9"/>
    <w:rsid w:val="002F258F"/>
    <w:rsid w:val="002F2766"/>
    <w:rsid w:val="002F288B"/>
    <w:rsid w:val="002F2B77"/>
    <w:rsid w:val="002F316A"/>
    <w:rsid w:val="002F318E"/>
    <w:rsid w:val="002F34CB"/>
    <w:rsid w:val="002F36AA"/>
    <w:rsid w:val="002F36FB"/>
    <w:rsid w:val="002F3745"/>
    <w:rsid w:val="002F37D1"/>
    <w:rsid w:val="002F3B90"/>
    <w:rsid w:val="002F4567"/>
    <w:rsid w:val="002F4672"/>
    <w:rsid w:val="002F4B9D"/>
    <w:rsid w:val="002F4E27"/>
    <w:rsid w:val="002F4EAD"/>
    <w:rsid w:val="002F52B4"/>
    <w:rsid w:val="002F546F"/>
    <w:rsid w:val="002F593F"/>
    <w:rsid w:val="002F5B14"/>
    <w:rsid w:val="002F5F43"/>
    <w:rsid w:val="002F5F5F"/>
    <w:rsid w:val="002F5FEE"/>
    <w:rsid w:val="002F616D"/>
    <w:rsid w:val="002F6199"/>
    <w:rsid w:val="002F637C"/>
    <w:rsid w:val="002F6380"/>
    <w:rsid w:val="002F644C"/>
    <w:rsid w:val="002F64B0"/>
    <w:rsid w:val="002F6702"/>
    <w:rsid w:val="002F699F"/>
    <w:rsid w:val="002F7074"/>
    <w:rsid w:val="002F7240"/>
    <w:rsid w:val="002F755F"/>
    <w:rsid w:val="002F7787"/>
    <w:rsid w:val="002F797F"/>
    <w:rsid w:val="002F79E3"/>
    <w:rsid w:val="002F7D28"/>
    <w:rsid w:val="002F7DBC"/>
    <w:rsid w:val="00300325"/>
    <w:rsid w:val="003005E6"/>
    <w:rsid w:val="003006B3"/>
    <w:rsid w:val="00300815"/>
    <w:rsid w:val="0030099C"/>
    <w:rsid w:val="00300A6C"/>
    <w:rsid w:val="0030132C"/>
    <w:rsid w:val="0030163D"/>
    <w:rsid w:val="00301BC7"/>
    <w:rsid w:val="00301C37"/>
    <w:rsid w:val="00301C5E"/>
    <w:rsid w:val="00301FB7"/>
    <w:rsid w:val="00302198"/>
    <w:rsid w:val="003021AC"/>
    <w:rsid w:val="003021FD"/>
    <w:rsid w:val="0030227F"/>
    <w:rsid w:val="00302281"/>
    <w:rsid w:val="00302474"/>
    <w:rsid w:val="0030276D"/>
    <w:rsid w:val="00302FBF"/>
    <w:rsid w:val="00302FE1"/>
    <w:rsid w:val="00303148"/>
    <w:rsid w:val="0030326C"/>
    <w:rsid w:val="0030345D"/>
    <w:rsid w:val="00303526"/>
    <w:rsid w:val="0030370B"/>
    <w:rsid w:val="00303729"/>
    <w:rsid w:val="0030389F"/>
    <w:rsid w:val="003038C2"/>
    <w:rsid w:val="00303A1C"/>
    <w:rsid w:val="00303AED"/>
    <w:rsid w:val="003040B2"/>
    <w:rsid w:val="0030435B"/>
    <w:rsid w:val="0030450F"/>
    <w:rsid w:val="00304611"/>
    <w:rsid w:val="0030468B"/>
    <w:rsid w:val="003049EC"/>
    <w:rsid w:val="00304ACE"/>
    <w:rsid w:val="00304D09"/>
    <w:rsid w:val="00304E16"/>
    <w:rsid w:val="003050AF"/>
    <w:rsid w:val="003050C4"/>
    <w:rsid w:val="00305274"/>
    <w:rsid w:val="00305408"/>
    <w:rsid w:val="0030558F"/>
    <w:rsid w:val="00305BDA"/>
    <w:rsid w:val="00306078"/>
    <w:rsid w:val="003060AB"/>
    <w:rsid w:val="00306277"/>
    <w:rsid w:val="0030633E"/>
    <w:rsid w:val="00306393"/>
    <w:rsid w:val="003064FC"/>
    <w:rsid w:val="00306580"/>
    <w:rsid w:val="003065AC"/>
    <w:rsid w:val="00306765"/>
    <w:rsid w:val="0030676D"/>
    <w:rsid w:val="003069BE"/>
    <w:rsid w:val="00306BB5"/>
    <w:rsid w:val="00306BFC"/>
    <w:rsid w:val="00306F39"/>
    <w:rsid w:val="00307208"/>
    <w:rsid w:val="00307539"/>
    <w:rsid w:val="00307579"/>
    <w:rsid w:val="003077BC"/>
    <w:rsid w:val="00307880"/>
    <w:rsid w:val="00307C6D"/>
    <w:rsid w:val="00307E2A"/>
    <w:rsid w:val="00307F34"/>
    <w:rsid w:val="00307FEB"/>
    <w:rsid w:val="00310093"/>
    <w:rsid w:val="0031021B"/>
    <w:rsid w:val="0031060A"/>
    <w:rsid w:val="00310657"/>
    <w:rsid w:val="003106E3"/>
    <w:rsid w:val="003107F1"/>
    <w:rsid w:val="00310A12"/>
    <w:rsid w:val="00310F18"/>
    <w:rsid w:val="00310FAC"/>
    <w:rsid w:val="00311111"/>
    <w:rsid w:val="00311261"/>
    <w:rsid w:val="00311382"/>
    <w:rsid w:val="003113C8"/>
    <w:rsid w:val="003116AD"/>
    <w:rsid w:val="00311867"/>
    <w:rsid w:val="003121E1"/>
    <w:rsid w:val="00312373"/>
    <w:rsid w:val="00312468"/>
    <w:rsid w:val="003124A4"/>
    <w:rsid w:val="00312507"/>
    <w:rsid w:val="00312866"/>
    <w:rsid w:val="00312873"/>
    <w:rsid w:val="00312C99"/>
    <w:rsid w:val="00312DEE"/>
    <w:rsid w:val="00312EA0"/>
    <w:rsid w:val="00312EBE"/>
    <w:rsid w:val="00312F61"/>
    <w:rsid w:val="00312FDF"/>
    <w:rsid w:val="00312FE9"/>
    <w:rsid w:val="003131B4"/>
    <w:rsid w:val="003134CA"/>
    <w:rsid w:val="00313553"/>
    <w:rsid w:val="00313593"/>
    <w:rsid w:val="00313713"/>
    <w:rsid w:val="00313B90"/>
    <w:rsid w:val="00313B9A"/>
    <w:rsid w:val="003140DC"/>
    <w:rsid w:val="00314431"/>
    <w:rsid w:val="00314472"/>
    <w:rsid w:val="00314576"/>
    <w:rsid w:val="003147BB"/>
    <w:rsid w:val="003148BA"/>
    <w:rsid w:val="00314A1D"/>
    <w:rsid w:val="00314ADF"/>
    <w:rsid w:val="00314CAC"/>
    <w:rsid w:val="00315161"/>
    <w:rsid w:val="00315200"/>
    <w:rsid w:val="00315556"/>
    <w:rsid w:val="003155CC"/>
    <w:rsid w:val="00315811"/>
    <w:rsid w:val="003158EF"/>
    <w:rsid w:val="00315A9E"/>
    <w:rsid w:val="00315D4B"/>
    <w:rsid w:val="00315FD6"/>
    <w:rsid w:val="0031602B"/>
    <w:rsid w:val="00316180"/>
    <w:rsid w:val="003165A8"/>
    <w:rsid w:val="0031662D"/>
    <w:rsid w:val="00316E1C"/>
    <w:rsid w:val="00316EED"/>
    <w:rsid w:val="00317032"/>
    <w:rsid w:val="003171D7"/>
    <w:rsid w:val="0031731F"/>
    <w:rsid w:val="003177E9"/>
    <w:rsid w:val="0031792A"/>
    <w:rsid w:val="00317B81"/>
    <w:rsid w:val="00317F5D"/>
    <w:rsid w:val="00320146"/>
    <w:rsid w:val="003201BA"/>
    <w:rsid w:val="00320474"/>
    <w:rsid w:val="0032055D"/>
    <w:rsid w:val="003209CD"/>
    <w:rsid w:val="00320ACF"/>
    <w:rsid w:val="00320AFC"/>
    <w:rsid w:val="00320B90"/>
    <w:rsid w:val="00320D10"/>
    <w:rsid w:val="003210E9"/>
    <w:rsid w:val="00321916"/>
    <w:rsid w:val="00321A13"/>
    <w:rsid w:val="00322102"/>
    <w:rsid w:val="003221D2"/>
    <w:rsid w:val="00322337"/>
    <w:rsid w:val="00322425"/>
    <w:rsid w:val="003229F3"/>
    <w:rsid w:val="00322DB1"/>
    <w:rsid w:val="003230DD"/>
    <w:rsid w:val="003230EA"/>
    <w:rsid w:val="003231DD"/>
    <w:rsid w:val="003236C5"/>
    <w:rsid w:val="00323730"/>
    <w:rsid w:val="003239A9"/>
    <w:rsid w:val="00323E0A"/>
    <w:rsid w:val="00323EE9"/>
    <w:rsid w:val="00323EF7"/>
    <w:rsid w:val="00323F2D"/>
    <w:rsid w:val="00323FC7"/>
    <w:rsid w:val="003243DD"/>
    <w:rsid w:val="0032453D"/>
    <w:rsid w:val="003245FE"/>
    <w:rsid w:val="0032464F"/>
    <w:rsid w:val="003246CA"/>
    <w:rsid w:val="0032488A"/>
    <w:rsid w:val="00324E16"/>
    <w:rsid w:val="00324E48"/>
    <w:rsid w:val="00324F35"/>
    <w:rsid w:val="00324F7E"/>
    <w:rsid w:val="00325170"/>
    <w:rsid w:val="00325278"/>
    <w:rsid w:val="0032530A"/>
    <w:rsid w:val="00325A53"/>
    <w:rsid w:val="00325D37"/>
    <w:rsid w:val="00325D9E"/>
    <w:rsid w:val="00326257"/>
    <w:rsid w:val="003263CE"/>
    <w:rsid w:val="00326742"/>
    <w:rsid w:val="00326A36"/>
    <w:rsid w:val="00326CA0"/>
    <w:rsid w:val="003273DE"/>
    <w:rsid w:val="003274F6"/>
    <w:rsid w:val="00327B0D"/>
    <w:rsid w:val="00327B34"/>
    <w:rsid w:val="00327CFF"/>
    <w:rsid w:val="00327DB6"/>
    <w:rsid w:val="003301E7"/>
    <w:rsid w:val="00330399"/>
    <w:rsid w:val="0033083C"/>
    <w:rsid w:val="0033089E"/>
    <w:rsid w:val="00330A22"/>
    <w:rsid w:val="00330BD7"/>
    <w:rsid w:val="00330F03"/>
    <w:rsid w:val="00330F2A"/>
    <w:rsid w:val="00331077"/>
    <w:rsid w:val="003314CB"/>
    <w:rsid w:val="003318E2"/>
    <w:rsid w:val="00331900"/>
    <w:rsid w:val="00331A0E"/>
    <w:rsid w:val="00332172"/>
    <w:rsid w:val="0033243B"/>
    <w:rsid w:val="003326A5"/>
    <w:rsid w:val="00332704"/>
    <w:rsid w:val="00332DC9"/>
    <w:rsid w:val="00332E8B"/>
    <w:rsid w:val="0033311B"/>
    <w:rsid w:val="0033314F"/>
    <w:rsid w:val="0033327C"/>
    <w:rsid w:val="00333318"/>
    <w:rsid w:val="0033333E"/>
    <w:rsid w:val="00333525"/>
    <w:rsid w:val="003336B0"/>
    <w:rsid w:val="00333704"/>
    <w:rsid w:val="00333707"/>
    <w:rsid w:val="00333800"/>
    <w:rsid w:val="00333AED"/>
    <w:rsid w:val="00333C7B"/>
    <w:rsid w:val="00333ED6"/>
    <w:rsid w:val="003343DE"/>
    <w:rsid w:val="0033450A"/>
    <w:rsid w:val="00334679"/>
    <w:rsid w:val="0033487B"/>
    <w:rsid w:val="00334D96"/>
    <w:rsid w:val="003350CC"/>
    <w:rsid w:val="003351F7"/>
    <w:rsid w:val="00335205"/>
    <w:rsid w:val="0033539B"/>
    <w:rsid w:val="0033549B"/>
    <w:rsid w:val="00335654"/>
    <w:rsid w:val="003356C7"/>
    <w:rsid w:val="003356E5"/>
    <w:rsid w:val="00335A8C"/>
    <w:rsid w:val="00335B1F"/>
    <w:rsid w:val="00335C26"/>
    <w:rsid w:val="00335D55"/>
    <w:rsid w:val="00335DC4"/>
    <w:rsid w:val="00335EA7"/>
    <w:rsid w:val="00336151"/>
    <w:rsid w:val="003361AB"/>
    <w:rsid w:val="003361F9"/>
    <w:rsid w:val="00336218"/>
    <w:rsid w:val="00336238"/>
    <w:rsid w:val="00336479"/>
    <w:rsid w:val="003366BB"/>
    <w:rsid w:val="003366C2"/>
    <w:rsid w:val="00336873"/>
    <w:rsid w:val="00336970"/>
    <w:rsid w:val="00336A52"/>
    <w:rsid w:val="00336C71"/>
    <w:rsid w:val="00336D5E"/>
    <w:rsid w:val="003372CE"/>
    <w:rsid w:val="0033786A"/>
    <w:rsid w:val="003378B7"/>
    <w:rsid w:val="00340A11"/>
    <w:rsid w:val="00340EAF"/>
    <w:rsid w:val="00340F3E"/>
    <w:rsid w:val="0034106C"/>
    <w:rsid w:val="00341242"/>
    <w:rsid w:val="003414BD"/>
    <w:rsid w:val="0034159A"/>
    <w:rsid w:val="00341832"/>
    <w:rsid w:val="003418CD"/>
    <w:rsid w:val="00341A9F"/>
    <w:rsid w:val="00341C33"/>
    <w:rsid w:val="00341EB3"/>
    <w:rsid w:val="003421EC"/>
    <w:rsid w:val="00342357"/>
    <w:rsid w:val="00342374"/>
    <w:rsid w:val="00342521"/>
    <w:rsid w:val="0034278A"/>
    <w:rsid w:val="003427CB"/>
    <w:rsid w:val="00342828"/>
    <w:rsid w:val="0034289F"/>
    <w:rsid w:val="003428CB"/>
    <w:rsid w:val="00342989"/>
    <w:rsid w:val="003429DF"/>
    <w:rsid w:val="0034337C"/>
    <w:rsid w:val="00343E1E"/>
    <w:rsid w:val="00343ED4"/>
    <w:rsid w:val="0034406B"/>
    <w:rsid w:val="003443A9"/>
    <w:rsid w:val="0034453F"/>
    <w:rsid w:val="00344D5F"/>
    <w:rsid w:val="003452FC"/>
    <w:rsid w:val="0034538D"/>
    <w:rsid w:val="00345895"/>
    <w:rsid w:val="0034599F"/>
    <w:rsid w:val="003459A0"/>
    <w:rsid w:val="00345A07"/>
    <w:rsid w:val="00345C1C"/>
    <w:rsid w:val="00345D12"/>
    <w:rsid w:val="00345F1E"/>
    <w:rsid w:val="00345F79"/>
    <w:rsid w:val="003461F7"/>
    <w:rsid w:val="003464BC"/>
    <w:rsid w:val="00346991"/>
    <w:rsid w:val="00346BEF"/>
    <w:rsid w:val="00346D2C"/>
    <w:rsid w:val="00346E2B"/>
    <w:rsid w:val="00346E78"/>
    <w:rsid w:val="00346ED4"/>
    <w:rsid w:val="003471FA"/>
    <w:rsid w:val="00347609"/>
    <w:rsid w:val="00347A89"/>
    <w:rsid w:val="0035047F"/>
    <w:rsid w:val="003504BE"/>
    <w:rsid w:val="0035088B"/>
    <w:rsid w:val="003508CC"/>
    <w:rsid w:val="00350A95"/>
    <w:rsid w:val="00350DAE"/>
    <w:rsid w:val="00350E69"/>
    <w:rsid w:val="00350FB3"/>
    <w:rsid w:val="0035115B"/>
    <w:rsid w:val="003514AE"/>
    <w:rsid w:val="0035151F"/>
    <w:rsid w:val="003517BD"/>
    <w:rsid w:val="00351BC6"/>
    <w:rsid w:val="00352039"/>
    <w:rsid w:val="0035203C"/>
    <w:rsid w:val="0035210C"/>
    <w:rsid w:val="00352135"/>
    <w:rsid w:val="00352191"/>
    <w:rsid w:val="00352479"/>
    <w:rsid w:val="0035258F"/>
    <w:rsid w:val="00352A3A"/>
    <w:rsid w:val="00352AF1"/>
    <w:rsid w:val="00352E17"/>
    <w:rsid w:val="0035318A"/>
    <w:rsid w:val="00353427"/>
    <w:rsid w:val="003538E9"/>
    <w:rsid w:val="00353A2F"/>
    <w:rsid w:val="00353BBF"/>
    <w:rsid w:val="00353D93"/>
    <w:rsid w:val="00353F87"/>
    <w:rsid w:val="00353FB4"/>
    <w:rsid w:val="00354044"/>
    <w:rsid w:val="00354184"/>
    <w:rsid w:val="0035439C"/>
    <w:rsid w:val="00354449"/>
    <w:rsid w:val="00354581"/>
    <w:rsid w:val="003546F3"/>
    <w:rsid w:val="0035481C"/>
    <w:rsid w:val="0035499A"/>
    <w:rsid w:val="00354D68"/>
    <w:rsid w:val="00354ED9"/>
    <w:rsid w:val="0035515B"/>
    <w:rsid w:val="00355165"/>
    <w:rsid w:val="003551CB"/>
    <w:rsid w:val="003551F0"/>
    <w:rsid w:val="0035534A"/>
    <w:rsid w:val="003553C9"/>
    <w:rsid w:val="003556DD"/>
    <w:rsid w:val="00355B58"/>
    <w:rsid w:val="00355C12"/>
    <w:rsid w:val="00355C89"/>
    <w:rsid w:val="00355D76"/>
    <w:rsid w:val="0035622C"/>
    <w:rsid w:val="00356696"/>
    <w:rsid w:val="003568C3"/>
    <w:rsid w:val="00357325"/>
    <w:rsid w:val="00357572"/>
    <w:rsid w:val="003579FD"/>
    <w:rsid w:val="00357B34"/>
    <w:rsid w:val="00357EE3"/>
    <w:rsid w:val="00357F7C"/>
    <w:rsid w:val="003602FE"/>
    <w:rsid w:val="00360592"/>
    <w:rsid w:val="00360841"/>
    <w:rsid w:val="00360C4E"/>
    <w:rsid w:val="00360CEE"/>
    <w:rsid w:val="00360D85"/>
    <w:rsid w:val="00361122"/>
    <w:rsid w:val="0036149C"/>
    <w:rsid w:val="00361520"/>
    <w:rsid w:val="00361582"/>
    <w:rsid w:val="0036174E"/>
    <w:rsid w:val="00361E3F"/>
    <w:rsid w:val="00361F6C"/>
    <w:rsid w:val="00362434"/>
    <w:rsid w:val="0036259A"/>
    <w:rsid w:val="00362683"/>
    <w:rsid w:val="00362726"/>
    <w:rsid w:val="00362767"/>
    <w:rsid w:val="003633D7"/>
    <w:rsid w:val="003633F4"/>
    <w:rsid w:val="00363462"/>
    <w:rsid w:val="003636BC"/>
    <w:rsid w:val="0036370A"/>
    <w:rsid w:val="0036382B"/>
    <w:rsid w:val="00363CFB"/>
    <w:rsid w:val="00363DC4"/>
    <w:rsid w:val="00363E77"/>
    <w:rsid w:val="00363F8A"/>
    <w:rsid w:val="0036417E"/>
    <w:rsid w:val="003641A9"/>
    <w:rsid w:val="003642C5"/>
    <w:rsid w:val="00364386"/>
    <w:rsid w:val="0036439E"/>
    <w:rsid w:val="003644D5"/>
    <w:rsid w:val="00364671"/>
    <w:rsid w:val="00364714"/>
    <w:rsid w:val="003647B9"/>
    <w:rsid w:val="00364861"/>
    <w:rsid w:val="00364A7E"/>
    <w:rsid w:val="00364B9D"/>
    <w:rsid w:val="003651B5"/>
    <w:rsid w:val="0036529C"/>
    <w:rsid w:val="003652CF"/>
    <w:rsid w:val="003653BB"/>
    <w:rsid w:val="00365531"/>
    <w:rsid w:val="003656D0"/>
    <w:rsid w:val="00365AAC"/>
    <w:rsid w:val="00365BFD"/>
    <w:rsid w:val="00366157"/>
    <w:rsid w:val="0036639B"/>
    <w:rsid w:val="003663FE"/>
    <w:rsid w:val="0036650C"/>
    <w:rsid w:val="003668BC"/>
    <w:rsid w:val="00366A04"/>
    <w:rsid w:val="00366BFA"/>
    <w:rsid w:val="00366D1D"/>
    <w:rsid w:val="00366D73"/>
    <w:rsid w:val="003670CA"/>
    <w:rsid w:val="003671B9"/>
    <w:rsid w:val="0036727F"/>
    <w:rsid w:val="00367322"/>
    <w:rsid w:val="003677F3"/>
    <w:rsid w:val="0036797E"/>
    <w:rsid w:val="00367A9E"/>
    <w:rsid w:val="00367BC5"/>
    <w:rsid w:val="00367D63"/>
    <w:rsid w:val="00367E09"/>
    <w:rsid w:val="00367E78"/>
    <w:rsid w:val="00370069"/>
    <w:rsid w:val="003701E8"/>
    <w:rsid w:val="00370348"/>
    <w:rsid w:val="0037044B"/>
    <w:rsid w:val="00370676"/>
    <w:rsid w:val="003707CF"/>
    <w:rsid w:val="00370A2C"/>
    <w:rsid w:val="00370D04"/>
    <w:rsid w:val="00370F53"/>
    <w:rsid w:val="00371204"/>
    <w:rsid w:val="003713C1"/>
    <w:rsid w:val="0037178B"/>
    <w:rsid w:val="0037190E"/>
    <w:rsid w:val="00371929"/>
    <w:rsid w:val="0037193E"/>
    <w:rsid w:val="00371AFF"/>
    <w:rsid w:val="0037202C"/>
    <w:rsid w:val="003727C0"/>
    <w:rsid w:val="0037299C"/>
    <w:rsid w:val="00372A0F"/>
    <w:rsid w:val="00372B9A"/>
    <w:rsid w:val="00372F73"/>
    <w:rsid w:val="003730F0"/>
    <w:rsid w:val="003731C1"/>
    <w:rsid w:val="00373224"/>
    <w:rsid w:val="00373237"/>
    <w:rsid w:val="003737BC"/>
    <w:rsid w:val="00373926"/>
    <w:rsid w:val="00373970"/>
    <w:rsid w:val="00373B7E"/>
    <w:rsid w:val="00373D3F"/>
    <w:rsid w:val="00373EB3"/>
    <w:rsid w:val="00374170"/>
    <w:rsid w:val="00374301"/>
    <w:rsid w:val="0037456E"/>
    <w:rsid w:val="00374808"/>
    <w:rsid w:val="0037484F"/>
    <w:rsid w:val="00374888"/>
    <w:rsid w:val="0037493F"/>
    <w:rsid w:val="00374B4D"/>
    <w:rsid w:val="00374E7D"/>
    <w:rsid w:val="00375153"/>
    <w:rsid w:val="00375623"/>
    <w:rsid w:val="00375AF3"/>
    <w:rsid w:val="00375B66"/>
    <w:rsid w:val="00375BE4"/>
    <w:rsid w:val="00375D57"/>
    <w:rsid w:val="00375D9E"/>
    <w:rsid w:val="00375DDF"/>
    <w:rsid w:val="00375E77"/>
    <w:rsid w:val="00375FAA"/>
    <w:rsid w:val="0037666F"/>
    <w:rsid w:val="003767CE"/>
    <w:rsid w:val="00376805"/>
    <w:rsid w:val="00376A93"/>
    <w:rsid w:val="00376AC5"/>
    <w:rsid w:val="00376B83"/>
    <w:rsid w:val="00376C37"/>
    <w:rsid w:val="00376C7A"/>
    <w:rsid w:val="00376FFE"/>
    <w:rsid w:val="003771C7"/>
    <w:rsid w:val="003774BA"/>
    <w:rsid w:val="00377552"/>
    <w:rsid w:val="003775A0"/>
    <w:rsid w:val="00377772"/>
    <w:rsid w:val="00377790"/>
    <w:rsid w:val="00377909"/>
    <w:rsid w:val="0037793A"/>
    <w:rsid w:val="00377A7B"/>
    <w:rsid w:val="00377B18"/>
    <w:rsid w:val="00377D00"/>
    <w:rsid w:val="00377E84"/>
    <w:rsid w:val="00377EE2"/>
    <w:rsid w:val="00380057"/>
    <w:rsid w:val="003805AE"/>
    <w:rsid w:val="00380D0B"/>
    <w:rsid w:val="00380DE1"/>
    <w:rsid w:val="00380DE2"/>
    <w:rsid w:val="00380F2D"/>
    <w:rsid w:val="00380FB0"/>
    <w:rsid w:val="00381765"/>
    <w:rsid w:val="00381782"/>
    <w:rsid w:val="0038184D"/>
    <w:rsid w:val="00381984"/>
    <w:rsid w:val="00381E00"/>
    <w:rsid w:val="00382175"/>
    <w:rsid w:val="003821B3"/>
    <w:rsid w:val="0038237A"/>
    <w:rsid w:val="0038247A"/>
    <w:rsid w:val="003824F7"/>
    <w:rsid w:val="00382546"/>
    <w:rsid w:val="0038265A"/>
    <w:rsid w:val="0038271B"/>
    <w:rsid w:val="00382E37"/>
    <w:rsid w:val="00383020"/>
    <w:rsid w:val="003832B9"/>
    <w:rsid w:val="003832DD"/>
    <w:rsid w:val="0038349A"/>
    <w:rsid w:val="00383B14"/>
    <w:rsid w:val="00383BD7"/>
    <w:rsid w:val="00383BDD"/>
    <w:rsid w:val="00383CC5"/>
    <w:rsid w:val="00383D94"/>
    <w:rsid w:val="00383FC1"/>
    <w:rsid w:val="00383FE0"/>
    <w:rsid w:val="0038406E"/>
    <w:rsid w:val="00384099"/>
    <w:rsid w:val="003843FD"/>
    <w:rsid w:val="00384931"/>
    <w:rsid w:val="00384A20"/>
    <w:rsid w:val="00384E40"/>
    <w:rsid w:val="00385430"/>
    <w:rsid w:val="003854CF"/>
    <w:rsid w:val="00385612"/>
    <w:rsid w:val="00385688"/>
    <w:rsid w:val="003856C3"/>
    <w:rsid w:val="003856E6"/>
    <w:rsid w:val="00385A6C"/>
    <w:rsid w:val="00385B3A"/>
    <w:rsid w:val="00385C76"/>
    <w:rsid w:val="00385C96"/>
    <w:rsid w:val="00385CE3"/>
    <w:rsid w:val="00385E3B"/>
    <w:rsid w:val="00385ED0"/>
    <w:rsid w:val="003860EE"/>
    <w:rsid w:val="003862DC"/>
    <w:rsid w:val="003868E4"/>
    <w:rsid w:val="00386975"/>
    <w:rsid w:val="00386989"/>
    <w:rsid w:val="00386997"/>
    <w:rsid w:val="00386A79"/>
    <w:rsid w:val="00386AF0"/>
    <w:rsid w:val="00386D30"/>
    <w:rsid w:val="0038710A"/>
    <w:rsid w:val="00387796"/>
    <w:rsid w:val="00387846"/>
    <w:rsid w:val="003879E2"/>
    <w:rsid w:val="00387A6B"/>
    <w:rsid w:val="00390604"/>
    <w:rsid w:val="0039060E"/>
    <w:rsid w:val="0039069A"/>
    <w:rsid w:val="00390725"/>
    <w:rsid w:val="0039085F"/>
    <w:rsid w:val="00390ACC"/>
    <w:rsid w:val="00390B6D"/>
    <w:rsid w:val="00390C8C"/>
    <w:rsid w:val="00390CE1"/>
    <w:rsid w:val="00390E3E"/>
    <w:rsid w:val="00390F3D"/>
    <w:rsid w:val="00391078"/>
    <w:rsid w:val="003910FE"/>
    <w:rsid w:val="00391384"/>
    <w:rsid w:val="00391E7E"/>
    <w:rsid w:val="00391EDE"/>
    <w:rsid w:val="003921F0"/>
    <w:rsid w:val="003923C4"/>
    <w:rsid w:val="003924F5"/>
    <w:rsid w:val="0039286C"/>
    <w:rsid w:val="00392881"/>
    <w:rsid w:val="003928B9"/>
    <w:rsid w:val="00392A76"/>
    <w:rsid w:val="00392ACA"/>
    <w:rsid w:val="00392BD4"/>
    <w:rsid w:val="00392C81"/>
    <w:rsid w:val="00392F49"/>
    <w:rsid w:val="00392FEB"/>
    <w:rsid w:val="00393004"/>
    <w:rsid w:val="003933B9"/>
    <w:rsid w:val="0039346A"/>
    <w:rsid w:val="00393683"/>
    <w:rsid w:val="003936D9"/>
    <w:rsid w:val="0039394F"/>
    <w:rsid w:val="00393AE6"/>
    <w:rsid w:val="00393CEF"/>
    <w:rsid w:val="00393F39"/>
    <w:rsid w:val="003941E0"/>
    <w:rsid w:val="00394290"/>
    <w:rsid w:val="0039437B"/>
    <w:rsid w:val="003944CD"/>
    <w:rsid w:val="00394521"/>
    <w:rsid w:val="0039457F"/>
    <w:rsid w:val="00394611"/>
    <w:rsid w:val="003949BC"/>
    <w:rsid w:val="00394BB2"/>
    <w:rsid w:val="00394C9D"/>
    <w:rsid w:val="00395039"/>
    <w:rsid w:val="00395119"/>
    <w:rsid w:val="003951DC"/>
    <w:rsid w:val="00395254"/>
    <w:rsid w:val="0039544E"/>
    <w:rsid w:val="003955BC"/>
    <w:rsid w:val="00395BF9"/>
    <w:rsid w:val="00395D29"/>
    <w:rsid w:val="00396096"/>
    <w:rsid w:val="0039643D"/>
    <w:rsid w:val="00396446"/>
    <w:rsid w:val="00396632"/>
    <w:rsid w:val="003966F3"/>
    <w:rsid w:val="00396A1D"/>
    <w:rsid w:val="00396CC3"/>
    <w:rsid w:val="00396EC9"/>
    <w:rsid w:val="00396F6F"/>
    <w:rsid w:val="00397260"/>
    <w:rsid w:val="003975E3"/>
    <w:rsid w:val="00397752"/>
    <w:rsid w:val="00397887"/>
    <w:rsid w:val="00397909"/>
    <w:rsid w:val="0039792F"/>
    <w:rsid w:val="00397D38"/>
    <w:rsid w:val="003A01BB"/>
    <w:rsid w:val="003A0529"/>
    <w:rsid w:val="003A066C"/>
    <w:rsid w:val="003A06A8"/>
    <w:rsid w:val="003A0A5D"/>
    <w:rsid w:val="003A0CA9"/>
    <w:rsid w:val="003A0FE4"/>
    <w:rsid w:val="003A1224"/>
    <w:rsid w:val="003A1350"/>
    <w:rsid w:val="003A1637"/>
    <w:rsid w:val="003A1998"/>
    <w:rsid w:val="003A1B6D"/>
    <w:rsid w:val="003A1D99"/>
    <w:rsid w:val="003A1F7B"/>
    <w:rsid w:val="003A2179"/>
    <w:rsid w:val="003A2646"/>
    <w:rsid w:val="003A2B39"/>
    <w:rsid w:val="003A2BA9"/>
    <w:rsid w:val="003A2F88"/>
    <w:rsid w:val="003A3015"/>
    <w:rsid w:val="003A3079"/>
    <w:rsid w:val="003A3367"/>
    <w:rsid w:val="003A3402"/>
    <w:rsid w:val="003A39E8"/>
    <w:rsid w:val="003A3B83"/>
    <w:rsid w:val="003A3D3C"/>
    <w:rsid w:val="003A3E1B"/>
    <w:rsid w:val="003A46FC"/>
    <w:rsid w:val="003A4A13"/>
    <w:rsid w:val="003A4D02"/>
    <w:rsid w:val="003A4EBD"/>
    <w:rsid w:val="003A5164"/>
    <w:rsid w:val="003A5436"/>
    <w:rsid w:val="003A5751"/>
    <w:rsid w:val="003A5B99"/>
    <w:rsid w:val="003A5C44"/>
    <w:rsid w:val="003A5D5E"/>
    <w:rsid w:val="003A68A3"/>
    <w:rsid w:val="003A6A8B"/>
    <w:rsid w:val="003A6AE4"/>
    <w:rsid w:val="003A6D99"/>
    <w:rsid w:val="003A7006"/>
    <w:rsid w:val="003A71F2"/>
    <w:rsid w:val="003A7306"/>
    <w:rsid w:val="003A74FA"/>
    <w:rsid w:val="003A7667"/>
    <w:rsid w:val="003A7955"/>
    <w:rsid w:val="003A7B1C"/>
    <w:rsid w:val="003A7B26"/>
    <w:rsid w:val="003A7B91"/>
    <w:rsid w:val="003A7C25"/>
    <w:rsid w:val="003A7CED"/>
    <w:rsid w:val="003A7D37"/>
    <w:rsid w:val="003B00CF"/>
    <w:rsid w:val="003B016B"/>
    <w:rsid w:val="003B0293"/>
    <w:rsid w:val="003B0465"/>
    <w:rsid w:val="003B05CD"/>
    <w:rsid w:val="003B060E"/>
    <w:rsid w:val="003B07C7"/>
    <w:rsid w:val="003B0C39"/>
    <w:rsid w:val="003B0C4D"/>
    <w:rsid w:val="003B0E23"/>
    <w:rsid w:val="003B0E38"/>
    <w:rsid w:val="003B0FD1"/>
    <w:rsid w:val="003B1151"/>
    <w:rsid w:val="003B129E"/>
    <w:rsid w:val="003B1339"/>
    <w:rsid w:val="003B13A3"/>
    <w:rsid w:val="003B166A"/>
    <w:rsid w:val="003B16DE"/>
    <w:rsid w:val="003B1757"/>
    <w:rsid w:val="003B17EE"/>
    <w:rsid w:val="003B1BC5"/>
    <w:rsid w:val="003B1CB0"/>
    <w:rsid w:val="003B1D81"/>
    <w:rsid w:val="003B1DC8"/>
    <w:rsid w:val="003B1E14"/>
    <w:rsid w:val="003B1E6D"/>
    <w:rsid w:val="003B2081"/>
    <w:rsid w:val="003B21A4"/>
    <w:rsid w:val="003B229E"/>
    <w:rsid w:val="003B2820"/>
    <w:rsid w:val="003B288C"/>
    <w:rsid w:val="003B2950"/>
    <w:rsid w:val="003B29C2"/>
    <w:rsid w:val="003B2D73"/>
    <w:rsid w:val="003B2FCA"/>
    <w:rsid w:val="003B3964"/>
    <w:rsid w:val="003B3EAF"/>
    <w:rsid w:val="003B47D2"/>
    <w:rsid w:val="003B4C87"/>
    <w:rsid w:val="003B4CB5"/>
    <w:rsid w:val="003B4CEF"/>
    <w:rsid w:val="003B4CFF"/>
    <w:rsid w:val="003B4D9F"/>
    <w:rsid w:val="003B5129"/>
    <w:rsid w:val="003B5240"/>
    <w:rsid w:val="003B57DB"/>
    <w:rsid w:val="003B5AFD"/>
    <w:rsid w:val="003B5C2B"/>
    <w:rsid w:val="003B5C63"/>
    <w:rsid w:val="003B6132"/>
    <w:rsid w:val="003B635C"/>
    <w:rsid w:val="003B6564"/>
    <w:rsid w:val="003B6640"/>
    <w:rsid w:val="003B675F"/>
    <w:rsid w:val="003B6935"/>
    <w:rsid w:val="003B6E3B"/>
    <w:rsid w:val="003B6EFB"/>
    <w:rsid w:val="003B6F1F"/>
    <w:rsid w:val="003B705A"/>
    <w:rsid w:val="003B753B"/>
    <w:rsid w:val="003B76B5"/>
    <w:rsid w:val="003B7728"/>
    <w:rsid w:val="003B7879"/>
    <w:rsid w:val="003B7A19"/>
    <w:rsid w:val="003B7AFC"/>
    <w:rsid w:val="003C0249"/>
    <w:rsid w:val="003C02C5"/>
    <w:rsid w:val="003C0D4E"/>
    <w:rsid w:val="003C11B1"/>
    <w:rsid w:val="003C1257"/>
    <w:rsid w:val="003C1499"/>
    <w:rsid w:val="003C173D"/>
    <w:rsid w:val="003C1826"/>
    <w:rsid w:val="003C1915"/>
    <w:rsid w:val="003C1B1A"/>
    <w:rsid w:val="003C2232"/>
    <w:rsid w:val="003C24B4"/>
    <w:rsid w:val="003C24FE"/>
    <w:rsid w:val="003C257C"/>
    <w:rsid w:val="003C25BE"/>
    <w:rsid w:val="003C2DF9"/>
    <w:rsid w:val="003C2E3C"/>
    <w:rsid w:val="003C3034"/>
    <w:rsid w:val="003C30AD"/>
    <w:rsid w:val="003C3644"/>
    <w:rsid w:val="003C36D4"/>
    <w:rsid w:val="003C3724"/>
    <w:rsid w:val="003C39E6"/>
    <w:rsid w:val="003C3C12"/>
    <w:rsid w:val="003C3D12"/>
    <w:rsid w:val="003C446F"/>
    <w:rsid w:val="003C47A4"/>
    <w:rsid w:val="003C491B"/>
    <w:rsid w:val="003C495E"/>
    <w:rsid w:val="003C49AE"/>
    <w:rsid w:val="003C4A10"/>
    <w:rsid w:val="003C4A32"/>
    <w:rsid w:val="003C4AB0"/>
    <w:rsid w:val="003C4E2C"/>
    <w:rsid w:val="003C4F34"/>
    <w:rsid w:val="003C4F93"/>
    <w:rsid w:val="003C59C7"/>
    <w:rsid w:val="003C5D01"/>
    <w:rsid w:val="003C5F00"/>
    <w:rsid w:val="003C5FE4"/>
    <w:rsid w:val="003C6411"/>
    <w:rsid w:val="003C681D"/>
    <w:rsid w:val="003C6BD0"/>
    <w:rsid w:val="003C6DBF"/>
    <w:rsid w:val="003C6F11"/>
    <w:rsid w:val="003C700A"/>
    <w:rsid w:val="003C7337"/>
    <w:rsid w:val="003C733B"/>
    <w:rsid w:val="003C7665"/>
    <w:rsid w:val="003C767D"/>
    <w:rsid w:val="003C76C9"/>
    <w:rsid w:val="003C79DD"/>
    <w:rsid w:val="003C79FF"/>
    <w:rsid w:val="003C7A9F"/>
    <w:rsid w:val="003C7B0C"/>
    <w:rsid w:val="003C7B75"/>
    <w:rsid w:val="003C7C66"/>
    <w:rsid w:val="003C7CDC"/>
    <w:rsid w:val="003C7D87"/>
    <w:rsid w:val="003D0169"/>
    <w:rsid w:val="003D03AD"/>
    <w:rsid w:val="003D03DC"/>
    <w:rsid w:val="003D0415"/>
    <w:rsid w:val="003D07AE"/>
    <w:rsid w:val="003D0978"/>
    <w:rsid w:val="003D0C10"/>
    <w:rsid w:val="003D0C5E"/>
    <w:rsid w:val="003D0EE8"/>
    <w:rsid w:val="003D11D0"/>
    <w:rsid w:val="003D1355"/>
    <w:rsid w:val="003D1369"/>
    <w:rsid w:val="003D1673"/>
    <w:rsid w:val="003D1783"/>
    <w:rsid w:val="003D19C7"/>
    <w:rsid w:val="003D1C3F"/>
    <w:rsid w:val="003D1D45"/>
    <w:rsid w:val="003D1E4A"/>
    <w:rsid w:val="003D1E50"/>
    <w:rsid w:val="003D1FC1"/>
    <w:rsid w:val="003D2013"/>
    <w:rsid w:val="003D2066"/>
    <w:rsid w:val="003D2921"/>
    <w:rsid w:val="003D2991"/>
    <w:rsid w:val="003D2B6A"/>
    <w:rsid w:val="003D2C62"/>
    <w:rsid w:val="003D2D48"/>
    <w:rsid w:val="003D2D60"/>
    <w:rsid w:val="003D2E40"/>
    <w:rsid w:val="003D326C"/>
    <w:rsid w:val="003D32E0"/>
    <w:rsid w:val="003D34DF"/>
    <w:rsid w:val="003D34F7"/>
    <w:rsid w:val="003D3B13"/>
    <w:rsid w:val="003D3CC5"/>
    <w:rsid w:val="003D3FF4"/>
    <w:rsid w:val="003D4136"/>
    <w:rsid w:val="003D455D"/>
    <w:rsid w:val="003D4635"/>
    <w:rsid w:val="003D475D"/>
    <w:rsid w:val="003D477D"/>
    <w:rsid w:val="003D4E20"/>
    <w:rsid w:val="003D4EFD"/>
    <w:rsid w:val="003D51A3"/>
    <w:rsid w:val="003D51CF"/>
    <w:rsid w:val="003D553A"/>
    <w:rsid w:val="003D5630"/>
    <w:rsid w:val="003D585E"/>
    <w:rsid w:val="003D58AB"/>
    <w:rsid w:val="003D58FC"/>
    <w:rsid w:val="003D5AE6"/>
    <w:rsid w:val="003D5C8E"/>
    <w:rsid w:val="003D5C98"/>
    <w:rsid w:val="003D5E6D"/>
    <w:rsid w:val="003D5FD0"/>
    <w:rsid w:val="003D5FF1"/>
    <w:rsid w:val="003D6187"/>
    <w:rsid w:val="003D622F"/>
    <w:rsid w:val="003D6394"/>
    <w:rsid w:val="003D6779"/>
    <w:rsid w:val="003D68AF"/>
    <w:rsid w:val="003D70F3"/>
    <w:rsid w:val="003D7277"/>
    <w:rsid w:val="003D7280"/>
    <w:rsid w:val="003D73CF"/>
    <w:rsid w:val="003D74B8"/>
    <w:rsid w:val="003D75CC"/>
    <w:rsid w:val="003D7768"/>
    <w:rsid w:val="003D7CAD"/>
    <w:rsid w:val="003D7DEF"/>
    <w:rsid w:val="003E00CF"/>
    <w:rsid w:val="003E04B2"/>
    <w:rsid w:val="003E0521"/>
    <w:rsid w:val="003E06DB"/>
    <w:rsid w:val="003E0F9A"/>
    <w:rsid w:val="003E111E"/>
    <w:rsid w:val="003E11F5"/>
    <w:rsid w:val="003E157A"/>
    <w:rsid w:val="003E1ABE"/>
    <w:rsid w:val="003E1E8D"/>
    <w:rsid w:val="003E241C"/>
    <w:rsid w:val="003E26AF"/>
    <w:rsid w:val="003E2946"/>
    <w:rsid w:val="003E2C9D"/>
    <w:rsid w:val="003E2E74"/>
    <w:rsid w:val="003E2FB9"/>
    <w:rsid w:val="003E3336"/>
    <w:rsid w:val="003E34D6"/>
    <w:rsid w:val="003E3619"/>
    <w:rsid w:val="003E39C7"/>
    <w:rsid w:val="003E3A24"/>
    <w:rsid w:val="003E3AA3"/>
    <w:rsid w:val="003E3B89"/>
    <w:rsid w:val="003E3CDC"/>
    <w:rsid w:val="003E3CFF"/>
    <w:rsid w:val="003E4243"/>
    <w:rsid w:val="003E4875"/>
    <w:rsid w:val="003E49D5"/>
    <w:rsid w:val="003E4E2E"/>
    <w:rsid w:val="003E4F9E"/>
    <w:rsid w:val="003E52BC"/>
    <w:rsid w:val="003E575F"/>
    <w:rsid w:val="003E58E9"/>
    <w:rsid w:val="003E593D"/>
    <w:rsid w:val="003E5B07"/>
    <w:rsid w:val="003E5CB7"/>
    <w:rsid w:val="003E5DBC"/>
    <w:rsid w:val="003E5E2B"/>
    <w:rsid w:val="003E5FFF"/>
    <w:rsid w:val="003E60B7"/>
    <w:rsid w:val="003E639B"/>
    <w:rsid w:val="003E63D2"/>
    <w:rsid w:val="003E6540"/>
    <w:rsid w:val="003E6905"/>
    <w:rsid w:val="003E6988"/>
    <w:rsid w:val="003E6AF8"/>
    <w:rsid w:val="003E6BDC"/>
    <w:rsid w:val="003E6CDB"/>
    <w:rsid w:val="003E7115"/>
    <w:rsid w:val="003E75A6"/>
    <w:rsid w:val="003E7642"/>
    <w:rsid w:val="003E781F"/>
    <w:rsid w:val="003E7DCD"/>
    <w:rsid w:val="003E7FC5"/>
    <w:rsid w:val="003F0192"/>
    <w:rsid w:val="003F0194"/>
    <w:rsid w:val="003F0777"/>
    <w:rsid w:val="003F07BE"/>
    <w:rsid w:val="003F0898"/>
    <w:rsid w:val="003F092C"/>
    <w:rsid w:val="003F0952"/>
    <w:rsid w:val="003F098A"/>
    <w:rsid w:val="003F0A2C"/>
    <w:rsid w:val="003F0A44"/>
    <w:rsid w:val="003F0A82"/>
    <w:rsid w:val="003F0E19"/>
    <w:rsid w:val="003F121C"/>
    <w:rsid w:val="003F153F"/>
    <w:rsid w:val="003F1548"/>
    <w:rsid w:val="003F163E"/>
    <w:rsid w:val="003F182E"/>
    <w:rsid w:val="003F1AEE"/>
    <w:rsid w:val="003F1C79"/>
    <w:rsid w:val="003F1CB8"/>
    <w:rsid w:val="003F1CBF"/>
    <w:rsid w:val="003F1D15"/>
    <w:rsid w:val="003F2064"/>
    <w:rsid w:val="003F28B0"/>
    <w:rsid w:val="003F29FB"/>
    <w:rsid w:val="003F2A19"/>
    <w:rsid w:val="003F2B5D"/>
    <w:rsid w:val="003F2BE9"/>
    <w:rsid w:val="003F2CA4"/>
    <w:rsid w:val="003F2E1E"/>
    <w:rsid w:val="003F30DD"/>
    <w:rsid w:val="003F31E8"/>
    <w:rsid w:val="003F37F4"/>
    <w:rsid w:val="003F3950"/>
    <w:rsid w:val="003F3A73"/>
    <w:rsid w:val="003F3AAA"/>
    <w:rsid w:val="003F3AAE"/>
    <w:rsid w:val="003F3BF3"/>
    <w:rsid w:val="003F3C31"/>
    <w:rsid w:val="003F3C68"/>
    <w:rsid w:val="003F3E8E"/>
    <w:rsid w:val="003F3FD3"/>
    <w:rsid w:val="003F4007"/>
    <w:rsid w:val="003F41F9"/>
    <w:rsid w:val="003F42CA"/>
    <w:rsid w:val="003F433E"/>
    <w:rsid w:val="003F4439"/>
    <w:rsid w:val="003F4B2B"/>
    <w:rsid w:val="003F4DDD"/>
    <w:rsid w:val="003F50EC"/>
    <w:rsid w:val="003F51DC"/>
    <w:rsid w:val="003F5319"/>
    <w:rsid w:val="003F5449"/>
    <w:rsid w:val="003F55C4"/>
    <w:rsid w:val="003F561B"/>
    <w:rsid w:val="003F56C5"/>
    <w:rsid w:val="003F5AC7"/>
    <w:rsid w:val="003F5C6F"/>
    <w:rsid w:val="003F5F0E"/>
    <w:rsid w:val="003F5F62"/>
    <w:rsid w:val="003F61D5"/>
    <w:rsid w:val="003F626F"/>
    <w:rsid w:val="003F62FA"/>
    <w:rsid w:val="003F6350"/>
    <w:rsid w:val="003F66A2"/>
    <w:rsid w:val="003F6C52"/>
    <w:rsid w:val="003F6D59"/>
    <w:rsid w:val="003F6F30"/>
    <w:rsid w:val="003F6FEB"/>
    <w:rsid w:val="003F71E0"/>
    <w:rsid w:val="003F7226"/>
    <w:rsid w:val="003F7282"/>
    <w:rsid w:val="003F732C"/>
    <w:rsid w:val="003F74B2"/>
    <w:rsid w:val="003F74E8"/>
    <w:rsid w:val="003F756C"/>
    <w:rsid w:val="003F75D6"/>
    <w:rsid w:val="003F79D2"/>
    <w:rsid w:val="003F7E00"/>
    <w:rsid w:val="0040008C"/>
    <w:rsid w:val="0040025E"/>
    <w:rsid w:val="00400649"/>
    <w:rsid w:val="00400768"/>
    <w:rsid w:val="00400785"/>
    <w:rsid w:val="004007A9"/>
    <w:rsid w:val="004008C6"/>
    <w:rsid w:val="004008DB"/>
    <w:rsid w:val="0040096D"/>
    <w:rsid w:val="004009E5"/>
    <w:rsid w:val="00400E4A"/>
    <w:rsid w:val="00400F20"/>
    <w:rsid w:val="004016AD"/>
    <w:rsid w:val="004019C4"/>
    <w:rsid w:val="00401C70"/>
    <w:rsid w:val="00401E55"/>
    <w:rsid w:val="00401F9B"/>
    <w:rsid w:val="004020ED"/>
    <w:rsid w:val="004021AB"/>
    <w:rsid w:val="004023E6"/>
    <w:rsid w:val="00402544"/>
    <w:rsid w:val="0040277C"/>
    <w:rsid w:val="0040298F"/>
    <w:rsid w:val="00402BAD"/>
    <w:rsid w:val="00402F8E"/>
    <w:rsid w:val="0040321F"/>
    <w:rsid w:val="004035D0"/>
    <w:rsid w:val="0040365F"/>
    <w:rsid w:val="00403BB1"/>
    <w:rsid w:val="00403D08"/>
    <w:rsid w:val="00403DF0"/>
    <w:rsid w:val="00403EC6"/>
    <w:rsid w:val="00403F9F"/>
    <w:rsid w:val="00403FBB"/>
    <w:rsid w:val="00404073"/>
    <w:rsid w:val="00404076"/>
    <w:rsid w:val="0040421E"/>
    <w:rsid w:val="004046C9"/>
    <w:rsid w:val="00404AB5"/>
    <w:rsid w:val="00404ABD"/>
    <w:rsid w:val="00404AE2"/>
    <w:rsid w:val="00404EB5"/>
    <w:rsid w:val="00404F2C"/>
    <w:rsid w:val="0040508C"/>
    <w:rsid w:val="004055AE"/>
    <w:rsid w:val="004056D6"/>
    <w:rsid w:val="0040599C"/>
    <w:rsid w:val="004059BF"/>
    <w:rsid w:val="00405C28"/>
    <w:rsid w:val="00405C58"/>
    <w:rsid w:val="00405C80"/>
    <w:rsid w:val="00405D36"/>
    <w:rsid w:val="00405DB4"/>
    <w:rsid w:val="00405E5F"/>
    <w:rsid w:val="00405E7F"/>
    <w:rsid w:val="00406484"/>
    <w:rsid w:val="00406543"/>
    <w:rsid w:val="00406804"/>
    <w:rsid w:val="00406A2E"/>
    <w:rsid w:val="00406DAA"/>
    <w:rsid w:val="00406FB3"/>
    <w:rsid w:val="0040753B"/>
    <w:rsid w:val="004076D6"/>
    <w:rsid w:val="0040787D"/>
    <w:rsid w:val="00407C64"/>
    <w:rsid w:val="00407F0C"/>
    <w:rsid w:val="00407FC4"/>
    <w:rsid w:val="00410087"/>
    <w:rsid w:val="0041033C"/>
    <w:rsid w:val="00410792"/>
    <w:rsid w:val="004109F6"/>
    <w:rsid w:val="00410A79"/>
    <w:rsid w:val="00410C35"/>
    <w:rsid w:val="00410D2A"/>
    <w:rsid w:val="00410DBC"/>
    <w:rsid w:val="00410FD0"/>
    <w:rsid w:val="00411C46"/>
    <w:rsid w:val="00411CBE"/>
    <w:rsid w:val="00411CCD"/>
    <w:rsid w:val="00412077"/>
    <w:rsid w:val="0041214F"/>
    <w:rsid w:val="0041222C"/>
    <w:rsid w:val="00412348"/>
    <w:rsid w:val="004124CC"/>
    <w:rsid w:val="004124E6"/>
    <w:rsid w:val="0041285C"/>
    <w:rsid w:val="004129B7"/>
    <w:rsid w:val="00412A40"/>
    <w:rsid w:val="00412B7E"/>
    <w:rsid w:val="00412B92"/>
    <w:rsid w:val="00412CB4"/>
    <w:rsid w:val="00412DBC"/>
    <w:rsid w:val="00412F06"/>
    <w:rsid w:val="00412F1B"/>
    <w:rsid w:val="00413224"/>
    <w:rsid w:val="00413304"/>
    <w:rsid w:val="004133D5"/>
    <w:rsid w:val="00413545"/>
    <w:rsid w:val="00413638"/>
    <w:rsid w:val="00413643"/>
    <w:rsid w:val="0041391D"/>
    <w:rsid w:val="004139BD"/>
    <w:rsid w:val="004139C8"/>
    <w:rsid w:val="00413D9F"/>
    <w:rsid w:val="00414086"/>
    <w:rsid w:val="00414109"/>
    <w:rsid w:val="00414190"/>
    <w:rsid w:val="00414243"/>
    <w:rsid w:val="00414472"/>
    <w:rsid w:val="004145DA"/>
    <w:rsid w:val="00414698"/>
    <w:rsid w:val="004148CC"/>
    <w:rsid w:val="00414921"/>
    <w:rsid w:val="00414972"/>
    <w:rsid w:val="00414ACF"/>
    <w:rsid w:val="00414B16"/>
    <w:rsid w:val="00414CCD"/>
    <w:rsid w:val="00414D1E"/>
    <w:rsid w:val="00414F81"/>
    <w:rsid w:val="004151DC"/>
    <w:rsid w:val="0041540F"/>
    <w:rsid w:val="00415614"/>
    <w:rsid w:val="00415870"/>
    <w:rsid w:val="00415958"/>
    <w:rsid w:val="00415EC3"/>
    <w:rsid w:val="004163DB"/>
    <w:rsid w:val="0041657F"/>
    <w:rsid w:val="00416911"/>
    <w:rsid w:val="00416A5F"/>
    <w:rsid w:val="00416B6D"/>
    <w:rsid w:val="00416C51"/>
    <w:rsid w:val="00416D83"/>
    <w:rsid w:val="00416F73"/>
    <w:rsid w:val="004170BE"/>
    <w:rsid w:val="0041720C"/>
    <w:rsid w:val="0041756E"/>
    <w:rsid w:val="004178B6"/>
    <w:rsid w:val="00417E86"/>
    <w:rsid w:val="00417FCB"/>
    <w:rsid w:val="00420145"/>
    <w:rsid w:val="004201D0"/>
    <w:rsid w:val="0042047D"/>
    <w:rsid w:val="00420739"/>
    <w:rsid w:val="00420915"/>
    <w:rsid w:val="00420A00"/>
    <w:rsid w:val="00420A4A"/>
    <w:rsid w:val="00420B85"/>
    <w:rsid w:val="00420DF4"/>
    <w:rsid w:val="00420FC1"/>
    <w:rsid w:val="004213D6"/>
    <w:rsid w:val="004214D5"/>
    <w:rsid w:val="00421C0A"/>
    <w:rsid w:val="00421E86"/>
    <w:rsid w:val="00422133"/>
    <w:rsid w:val="004221F0"/>
    <w:rsid w:val="00422348"/>
    <w:rsid w:val="0042262E"/>
    <w:rsid w:val="0042265D"/>
    <w:rsid w:val="00422841"/>
    <w:rsid w:val="00422A51"/>
    <w:rsid w:val="00422C65"/>
    <w:rsid w:val="00422E90"/>
    <w:rsid w:val="00422FE5"/>
    <w:rsid w:val="00423184"/>
    <w:rsid w:val="004232D8"/>
    <w:rsid w:val="00423A12"/>
    <w:rsid w:val="00423DD3"/>
    <w:rsid w:val="00423DF9"/>
    <w:rsid w:val="00423E17"/>
    <w:rsid w:val="0042409D"/>
    <w:rsid w:val="00424437"/>
    <w:rsid w:val="00424516"/>
    <w:rsid w:val="004245E6"/>
    <w:rsid w:val="0042493E"/>
    <w:rsid w:val="00424994"/>
    <w:rsid w:val="00424E5B"/>
    <w:rsid w:val="00424E9D"/>
    <w:rsid w:val="00424EFE"/>
    <w:rsid w:val="00424FBF"/>
    <w:rsid w:val="0042526D"/>
    <w:rsid w:val="004254D2"/>
    <w:rsid w:val="0042553F"/>
    <w:rsid w:val="004258CD"/>
    <w:rsid w:val="004258D9"/>
    <w:rsid w:val="00425C30"/>
    <w:rsid w:val="00425E72"/>
    <w:rsid w:val="00426041"/>
    <w:rsid w:val="0042613B"/>
    <w:rsid w:val="004263EF"/>
    <w:rsid w:val="00426510"/>
    <w:rsid w:val="0042658D"/>
    <w:rsid w:val="004265EC"/>
    <w:rsid w:val="0042666A"/>
    <w:rsid w:val="0042667A"/>
    <w:rsid w:val="004267E3"/>
    <w:rsid w:val="004269AC"/>
    <w:rsid w:val="004269C6"/>
    <w:rsid w:val="00426BA3"/>
    <w:rsid w:val="00426C5F"/>
    <w:rsid w:val="00426FD8"/>
    <w:rsid w:val="0042712C"/>
    <w:rsid w:val="004271DA"/>
    <w:rsid w:val="00427482"/>
    <w:rsid w:val="00427665"/>
    <w:rsid w:val="004278F5"/>
    <w:rsid w:val="00427A7A"/>
    <w:rsid w:val="00427CF5"/>
    <w:rsid w:val="00427DB9"/>
    <w:rsid w:val="00427EA3"/>
    <w:rsid w:val="00430177"/>
    <w:rsid w:val="0043017E"/>
    <w:rsid w:val="004301E7"/>
    <w:rsid w:val="00430264"/>
    <w:rsid w:val="00430281"/>
    <w:rsid w:val="004302E5"/>
    <w:rsid w:val="004305E3"/>
    <w:rsid w:val="0043089D"/>
    <w:rsid w:val="004308B2"/>
    <w:rsid w:val="00430EDA"/>
    <w:rsid w:val="004310C9"/>
    <w:rsid w:val="0043155F"/>
    <w:rsid w:val="00431829"/>
    <w:rsid w:val="0043186D"/>
    <w:rsid w:val="00431A0A"/>
    <w:rsid w:val="00431DCD"/>
    <w:rsid w:val="00431E26"/>
    <w:rsid w:val="00431EF6"/>
    <w:rsid w:val="0043206F"/>
    <w:rsid w:val="004321BA"/>
    <w:rsid w:val="00432512"/>
    <w:rsid w:val="004327C1"/>
    <w:rsid w:val="00432809"/>
    <w:rsid w:val="00432922"/>
    <w:rsid w:val="00432935"/>
    <w:rsid w:val="00432AEF"/>
    <w:rsid w:val="00432FBD"/>
    <w:rsid w:val="004334D5"/>
    <w:rsid w:val="00433521"/>
    <w:rsid w:val="00433722"/>
    <w:rsid w:val="00433A33"/>
    <w:rsid w:val="00433A6F"/>
    <w:rsid w:val="00433BCB"/>
    <w:rsid w:val="00434219"/>
    <w:rsid w:val="004346CE"/>
    <w:rsid w:val="0043475C"/>
    <w:rsid w:val="00434A31"/>
    <w:rsid w:val="00434B49"/>
    <w:rsid w:val="00434E0C"/>
    <w:rsid w:val="00434EA1"/>
    <w:rsid w:val="004351A8"/>
    <w:rsid w:val="0043522E"/>
    <w:rsid w:val="00435316"/>
    <w:rsid w:val="004354AD"/>
    <w:rsid w:val="0043567B"/>
    <w:rsid w:val="00435866"/>
    <w:rsid w:val="00435970"/>
    <w:rsid w:val="00435B8F"/>
    <w:rsid w:val="00435CA1"/>
    <w:rsid w:val="00436329"/>
    <w:rsid w:val="00436355"/>
    <w:rsid w:val="00436446"/>
    <w:rsid w:val="004365F7"/>
    <w:rsid w:val="00436746"/>
    <w:rsid w:val="00436753"/>
    <w:rsid w:val="004369EF"/>
    <w:rsid w:val="00437061"/>
    <w:rsid w:val="0043728F"/>
    <w:rsid w:val="0043732F"/>
    <w:rsid w:val="004373A0"/>
    <w:rsid w:val="004374EA"/>
    <w:rsid w:val="004375E0"/>
    <w:rsid w:val="004377D1"/>
    <w:rsid w:val="004378D3"/>
    <w:rsid w:val="00437989"/>
    <w:rsid w:val="00437A45"/>
    <w:rsid w:val="00440149"/>
    <w:rsid w:val="004401CB"/>
    <w:rsid w:val="004405EF"/>
    <w:rsid w:val="004406A2"/>
    <w:rsid w:val="00440843"/>
    <w:rsid w:val="00440863"/>
    <w:rsid w:val="00440B7C"/>
    <w:rsid w:val="00440BCF"/>
    <w:rsid w:val="00440C76"/>
    <w:rsid w:val="004412A5"/>
    <w:rsid w:val="004413D2"/>
    <w:rsid w:val="00441542"/>
    <w:rsid w:val="00441BC7"/>
    <w:rsid w:val="00441C7C"/>
    <w:rsid w:val="00441CD4"/>
    <w:rsid w:val="00441E7A"/>
    <w:rsid w:val="0044204F"/>
    <w:rsid w:val="004421A4"/>
    <w:rsid w:val="004421C8"/>
    <w:rsid w:val="00442403"/>
    <w:rsid w:val="00442495"/>
    <w:rsid w:val="0044257C"/>
    <w:rsid w:val="004425FD"/>
    <w:rsid w:val="0044290F"/>
    <w:rsid w:val="004429E3"/>
    <w:rsid w:val="00442B75"/>
    <w:rsid w:val="00443B35"/>
    <w:rsid w:val="004442F7"/>
    <w:rsid w:val="00444310"/>
    <w:rsid w:val="0044445D"/>
    <w:rsid w:val="00444824"/>
    <w:rsid w:val="00444D03"/>
    <w:rsid w:val="00445381"/>
    <w:rsid w:val="00445698"/>
    <w:rsid w:val="00445715"/>
    <w:rsid w:val="00445B7F"/>
    <w:rsid w:val="00445CF9"/>
    <w:rsid w:val="00445FB1"/>
    <w:rsid w:val="00446183"/>
    <w:rsid w:val="004461B4"/>
    <w:rsid w:val="0044625F"/>
    <w:rsid w:val="004462BE"/>
    <w:rsid w:val="0044634F"/>
    <w:rsid w:val="00446436"/>
    <w:rsid w:val="00446514"/>
    <w:rsid w:val="004465B4"/>
    <w:rsid w:val="004465D7"/>
    <w:rsid w:val="004466C0"/>
    <w:rsid w:val="004466C8"/>
    <w:rsid w:val="00446C5C"/>
    <w:rsid w:val="00446CD2"/>
    <w:rsid w:val="00446D2B"/>
    <w:rsid w:val="0044717D"/>
    <w:rsid w:val="00447D4C"/>
    <w:rsid w:val="00447D4F"/>
    <w:rsid w:val="00447D65"/>
    <w:rsid w:val="00447EC7"/>
    <w:rsid w:val="0045051F"/>
    <w:rsid w:val="004505E5"/>
    <w:rsid w:val="00450633"/>
    <w:rsid w:val="00450DA6"/>
    <w:rsid w:val="00450E8E"/>
    <w:rsid w:val="00451180"/>
    <w:rsid w:val="004512E9"/>
    <w:rsid w:val="0045168B"/>
    <w:rsid w:val="004517C6"/>
    <w:rsid w:val="0045187E"/>
    <w:rsid w:val="00451948"/>
    <w:rsid w:val="004519B1"/>
    <w:rsid w:val="00451CD3"/>
    <w:rsid w:val="00452012"/>
    <w:rsid w:val="00452056"/>
    <w:rsid w:val="00452298"/>
    <w:rsid w:val="004524A2"/>
    <w:rsid w:val="00452A58"/>
    <w:rsid w:val="00452A74"/>
    <w:rsid w:val="00452BB8"/>
    <w:rsid w:val="004539FB"/>
    <w:rsid w:val="00453BA0"/>
    <w:rsid w:val="00453C68"/>
    <w:rsid w:val="00454284"/>
    <w:rsid w:val="00454476"/>
    <w:rsid w:val="0045466B"/>
    <w:rsid w:val="00454EFC"/>
    <w:rsid w:val="00454FA2"/>
    <w:rsid w:val="00454FD2"/>
    <w:rsid w:val="00455309"/>
    <w:rsid w:val="00455596"/>
    <w:rsid w:val="00455C1B"/>
    <w:rsid w:val="00455D46"/>
    <w:rsid w:val="00456195"/>
    <w:rsid w:val="00456248"/>
    <w:rsid w:val="004562D9"/>
    <w:rsid w:val="0045641F"/>
    <w:rsid w:val="00456619"/>
    <w:rsid w:val="00456965"/>
    <w:rsid w:val="004569C5"/>
    <w:rsid w:val="00456A93"/>
    <w:rsid w:val="00457140"/>
    <w:rsid w:val="0045724C"/>
    <w:rsid w:val="004575B3"/>
    <w:rsid w:val="00457678"/>
    <w:rsid w:val="00457744"/>
    <w:rsid w:val="00457C3F"/>
    <w:rsid w:val="00457E17"/>
    <w:rsid w:val="00457EFD"/>
    <w:rsid w:val="00460023"/>
    <w:rsid w:val="0046006C"/>
    <w:rsid w:val="004600F1"/>
    <w:rsid w:val="004601FF"/>
    <w:rsid w:val="004606FA"/>
    <w:rsid w:val="004607EE"/>
    <w:rsid w:val="00460850"/>
    <w:rsid w:val="00460DE0"/>
    <w:rsid w:val="00460E39"/>
    <w:rsid w:val="00460FC0"/>
    <w:rsid w:val="0046141D"/>
    <w:rsid w:val="004614EE"/>
    <w:rsid w:val="004616BF"/>
    <w:rsid w:val="00461891"/>
    <w:rsid w:val="00461ABF"/>
    <w:rsid w:val="00461B6D"/>
    <w:rsid w:val="00461D19"/>
    <w:rsid w:val="00461F6A"/>
    <w:rsid w:val="0046244D"/>
    <w:rsid w:val="00462903"/>
    <w:rsid w:val="004629DA"/>
    <w:rsid w:val="00462B92"/>
    <w:rsid w:val="00462D8B"/>
    <w:rsid w:val="00462E54"/>
    <w:rsid w:val="00462F6E"/>
    <w:rsid w:val="00462FF6"/>
    <w:rsid w:val="00463085"/>
    <w:rsid w:val="00463149"/>
    <w:rsid w:val="004631B8"/>
    <w:rsid w:val="004632DD"/>
    <w:rsid w:val="004635E5"/>
    <w:rsid w:val="00463615"/>
    <w:rsid w:val="00463667"/>
    <w:rsid w:val="004636F5"/>
    <w:rsid w:val="00463A54"/>
    <w:rsid w:val="00463A97"/>
    <w:rsid w:val="00463BC7"/>
    <w:rsid w:val="00463DFB"/>
    <w:rsid w:val="004648BD"/>
    <w:rsid w:val="00464A33"/>
    <w:rsid w:val="00464DAA"/>
    <w:rsid w:val="00465093"/>
    <w:rsid w:val="0046511E"/>
    <w:rsid w:val="00465393"/>
    <w:rsid w:val="0046549A"/>
    <w:rsid w:val="004656AE"/>
    <w:rsid w:val="00465E14"/>
    <w:rsid w:val="00465F22"/>
    <w:rsid w:val="004663D6"/>
    <w:rsid w:val="00466482"/>
    <w:rsid w:val="004664E1"/>
    <w:rsid w:val="00466A4B"/>
    <w:rsid w:val="00466B01"/>
    <w:rsid w:val="00466BAE"/>
    <w:rsid w:val="0046714C"/>
    <w:rsid w:val="004671EA"/>
    <w:rsid w:val="004672C3"/>
    <w:rsid w:val="0046761B"/>
    <w:rsid w:val="0046776E"/>
    <w:rsid w:val="0046781C"/>
    <w:rsid w:val="004678EA"/>
    <w:rsid w:val="0046792C"/>
    <w:rsid w:val="0046792E"/>
    <w:rsid w:val="00467AEE"/>
    <w:rsid w:val="0047074C"/>
    <w:rsid w:val="00470966"/>
    <w:rsid w:val="00470DCC"/>
    <w:rsid w:val="00471088"/>
    <w:rsid w:val="0047115D"/>
    <w:rsid w:val="004711B2"/>
    <w:rsid w:val="00471370"/>
    <w:rsid w:val="004713EB"/>
    <w:rsid w:val="004717AD"/>
    <w:rsid w:val="00471804"/>
    <w:rsid w:val="00472131"/>
    <w:rsid w:val="004722B0"/>
    <w:rsid w:val="00472426"/>
    <w:rsid w:val="00472504"/>
    <w:rsid w:val="004725A3"/>
    <w:rsid w:val="004725AF"/>
    <w:rsid w:val="004725FD"/>
    <w:rsid w:val="0047261A"/>
    <w:rsid w:val="0047266E"/>
    <w:rsid w:val="00472776"/>
    <w:rsid w:val="00472A28"/>
    <w:rsid w:val="00472CFB"/>
    <w:rsid w:val="0047306E"/>
    <w:rsid w:val="00473119"/>
    <w:rsid w:val="00473488"/>
    <w:rsid w:val="0047361E"/>
    <w:rsid w:val="004736D9"/>
    <w:rsid w:val="004738F1"/>
    <w:rsid w:val="00473A9B"/>
    <w:rsid w:val="00473B6A"/>
    <w:rsid w:val="00473D11"/>
    <w:rsid w:val="00473E0A"/>
    <w:rsid w:val="00473E16"/>
    <w:rsid w:val="00473F3D"/>
    <w:rsid w:val="00474018"/>
    <w:rsid w:val="004741E5"/>
    <w:rsid w:val="00474260"/>
    <w:rsid w:val="004742E1"/>
    <w:rsid w:val="004743DB"/>
    <w:rsid w:val="00474690"/>
    <w:rsid w:val="004746BD"/>
    <w:rsid w:val="004749F3"/>
    <w:rsid w:val="00474A3E"/>
    <w:rsid w:val="00474A98"/>
    <w:rsid w:val="00474AA0"/>
    <w:rsid w:val="00474B13"/>
    <w:rsid w:val="00474C93"/>
    <w:rsid w:val="00474EEB"/>
    <w:rsid w:val="00474F9E"/>
    <w:rsid w:val="004751B9"/>
    <w:rsid w:val="004751C4"/>
    <w:rsid w:val="004751F0"/>
    <w:rsid w:val="004753AE"/>
    <w:rsid w:val="00475745"/>
    <w:rsid w:val="00475754"/>
    <w:rsid w:val="0047584A"/>
    <w:rsid w:val="004758CA"/>
    <w:rsid w:val="00475982"/>
    <w:rsid w:val="00475C8F"/>
    <w:rsid w:val="00475CEC"/>
    <w:rsid w:val="00475DD4"/>
    <w:rsid w:val="00475EDC"/>
    <w:rsid w:val="004760A2"/>
    <w:rsid w:val="0047670F"/>
    <w:rsid w:val="00476A74"/>
    <w:rsid w:val="00476BBB"/>
    <w:rsid w:val="00476C3F"/>
    <w:rsid w:val="00476EFF"/>
    <w:rsid w:val="00476FAB"/>
    <w:rsid w:val="0047722C"/>
    <w:rsid w:val="0047735D"/>
    <w:rsid w:val="004775F6"/>
    <w:rsid w:val="00477832"/>
    <w:rsid w:val="00477A03"/>
    <w:rsid w:val="00477B49"/>
    <w:rsid w:val="00477B7B"/>
    <w:rsid w:val="00477F19"/>
    <w:rsid w:val="00477F57"/>
    <w:rsid w:val="00480321"/>
    <w:rsid w:val="00480415"/>
    <w:rsid w:val="004805DC"/>
    <w:rsid w:val="00480840"/>
    <w:rsid w:val="00480912"/>
    <w:rsid w:val="00480B7D"/>
    <w:rsid w:val="00480DDD"/>
    <w:rsid w:val="00481329"/>
    <w:rsid w:val="004813DC"/>
    <w:rsid w:val="0048144A"/>
    <w:rsid w:val="00481497"/>
    <w:rsid w:val="00481538"/>
    <w:rsid w:val="00481651"/>
    <w:rsid w:val="00481673"/>
    <w:rsid w:val="0048199C"/>
    <w:rsid w:val="00481C03"/>
    <w:rsid w:val="00481EC4"/>
    <w:rsid w:val="004820EF"/>
    <w:rsid w:val="00482279"/>
    <w:rsid w:val="004823CB"/>
    <w:rsid w:val="00482719"/>
    <w:rsid w:val="004828A9"/>
    <w:rsid w:val="00482926"/>
    <w:rsid w:val="00482E8D"/>
    <w:rsid w:val="00482F09"/>
    <w:rsid w:val="004830E5"/>
    <w:rsid w:val="00483731"/>
    <w:rsid w:val="00483B72"/>
    <w:rsid w:val="00483B83"/>
    <w:rsid w:val="00483D6C"/>
    <w:rsid w:val="00483F93"/>
    <w:rsid w:val="00484109"/>
    <w:rsid w:val="00484168"/>
    <w:rsid w:val="0048462A"/>
    <w:rsid w:val="00484AE8"/>
    <w:rsid w:val="004853CA"/>
    <w:rsid w:val="004857D6"/>
    <w:rsid w:val="004857F4"/>
    <w:rsid w:val="0048587B"/>
    <w:rsid w:val="00485A01"/>
    <w:rsid w:val="00485CAD"/>
    <w:rsid w:val="00485E2B"/>
    <w:rsid w:val="00486078"/>
    <w:rsid w:val="00486286"/>
    <w:rsid w:val="004863C6"/>
    <w:rsid w:val="0048658D"/>
    <w:rsid w:val="004865F8"/>
    <w:rsid w:val="004866AE"/>
    <w:rsid w:val="004866EE"/>
    <w:rsid w:val="00486FE5"/>
    <w:rsid w:val="004874BF"/>
    <w:rsid w:val="004875A9"/>
    <w:rsid w:val="00487E14"/>
    <w:rsid w:val="00487F8C"/>
    <w:rsid w:val="00490064"/>
    <w:rsid w:val="0049033B"/>
    <w:rsid w:val="0049045E"/>
    <w:rsid w:val="00490474"/>
    <w:rsid w:val="0049053C"/>
    <w:rsid w:val="004907FA"/>
    <w:rsid w:val="00490A81"/>
    <w:rsid w:val="004910FA"/>
    <w:rsid w:val="00491408"/>
    <w:rsid w:val="00491D77"/>
    <w:rsid w:val="00492273"/>
    <w:rsid w:val="004922C1"/>
    <w:rsid w:val="004922FF"/>
    <w:rsid w:val="0049241E"/>
    <w:rsid w:val="004924A1"/>
    <w:rsid w:val="00492515"/>
    <w:rsid w:val="00492B57"/>
    <w:rsid w:val="00492E71"/>
    <w:rsid w:val="0049357D"/>
    <w:rsid w:val="0049374D"/>
    <w:rsid w:val="00493A1C"/>
    <w:rsid w:val="00493B2A"/>
    <w:rsid w:val="00493CDF"/>
    <w:rsid w:val="00493CF1"/>
    <w:rsid w:val="00493DAD"/>
    <w:rsid w:val="00494278"/>
    <w:rsid w:val="00494461"/>
    <w:rsid w:val="004944DE"/>
    <w:rsid w:val="00494514"/>
    <w:rsid w:val="00494AAB"/>
    <w:rsid w:val="00494FE6"/>
    <w:rsid w:val="0049511A"/>
    <w:rsid w:val="00495286"/>
    <w:rsid w:val="0049546F"/>
    <w:rsid w:val="004957CC"/>
    <w:rsid w:val="004958F0"/>
    <w:rsid w:val="00495AE4"/>
    <w:rsid w:val="00496321"/>
    <w:rsid w:val="0049641F"/>
    <w:rsid w:val="00496577"/>
    <w:rsid w:val="00496605"/>
    <w:rsid w:val="00496864"/>
    <w:rsid w:val="0049692D"/>
    <w:rsid w:val="004969D7"/>
    <w:rsid w:val="00496BD8"/>
    <w:rsid w:val="00496EA8"/>
    <w:rsid w:val="00497006"/>
    <w:rsid w:val="00497224"/>
    <w:rsid w:val="004972AA"/>
    <w:rsid w:val="00497323"/>
    <w:rsid w:val="0049799F"/>
    <w:rsid w:val="004979D9"/>
    <w:rsid w:val="00497A26"/>
    <w:rsid w:val="00497B93"/>
    <w:rsid w:val="00497C4A"/>
    <w:rsid w:val="00497E4C"/>
    <w:rsid w:val="00497FD2"/>
    <w:rsid w:val="004A000A"/>
    <w:rsid w:val="004A0042"/>
    <w:rsid w:val="004A05CE"/>
    <w:rsid w:val="004A088A"/>
    <w:rsid w:val="004A09D3"/>
    <w:rsid w:val="004A09FF"/>
    <w:rsid w:val="004A0C4E"/>
    <w:rsid w:val="004A0F26"/>
    <w:rsid w:val="004A1327"/>
    <w:rsid w:val="004A139E"/>
    <w:rsid w:val="004A1419"/>
    <w:rsid w:val="004A163A"/>
    <w:rsid w:val="004A178E"/>
    <w:rsid w:val="004A17D6"/>
    <w:rsid w:val="004A17DF"/>
    <w:rsid w:val="004A19B3"/>
    <w:rsid w:val="004A1ADF"/>
    <w:rsid w:val="004A1F39"/>
    <w:rsid w:val="004A2406"/>
    <w:rsid w:val="004A2640"/>
    <w:rsid w:val="004A2A21"/>
    <w:rsid w:val="004A2C60"/>
    <w:rsid w:val="004A2C7A"/>
    <w:rsid w:val="004A31DF"/>
    <w:rsid w:val="004A31F7"/>
    <w:rsid w:val="004A3355"/>
    <w:rsid w:val="004A35D0"/>
    <w:rsid w:val="004A35F3"/>
    <w:rsid w:val="004A377C"/>
    <w:rsid w:val="004A3A2D"/>
    <w:rsid w:val="004A3A86"/>
    <w:rsid w:val="004A3B10"/>
    <w:rsid w:val="004A3BE3"/>
    <w:rsid w:val="004A3D65"/>
    <w:rsid w:val="004A3ECC"/>
    <w:rsid w:val="004A42FA"/>
    <w:rsid w:val="004A434B"/>
    <w:rsid w:val="004A44E9"/>
    <w:rsid w:val="004A46EA"/>
    <w:rsid w:val="004A47D0"/>
    <w:rsid w:val="004A4856"/>
    <w:rsid w:val="004A4A5E"/>
    <w:rsid w:val="004A4BF0"/>
    <w:rsid w:val="004A4C4E"/>
    <w:rsid w:val="004A4FB0"/>
    <w:rsid w:val="004A50FE"/>
    <w:rsid w:val="004A5120"/>
    <w:rsid w:val="004A516F"/>
    <w:rsid w:val="004A51FF"/>
    <w:rsid w:val="004A585A"/>
    <w:rsid w:val="004A595B"/>
    <w:rsid w:val="004A5C4B"/>
    <w:rsid w:val="004A5CAF"/>
    <w:rsid w:val="004A5FEF"/>
    <w:rsid w:val="004A6137"/>
    <w:rsid w:val="004A61B2"/>
    <w:rsid w:val="004A623E"/>
    <w:rsid w:val="004A6265"/>
    <w:rsid w:val="004A63A7"/>
    <w:rsid w:val="004A657D"/>
    <w:rsid w:val="004A6A8D"/>
    <w:rsid w:val="004A6B1F"/>
    <w:rsid w:val="004A6FC7"/>
    <w:rsid w:val="004A71FB"/>
    <w:rsid w:val="004A7310"/>
    <w:rsid w:val="004A74DB"/>
    <w:rsid w:val="004A759D"/>
    <w:rsid w:val="004A78BD"/>
    <w:rsid w:val="004A7B7D"/>
    <w:rsid w:val="004A7C7B"/>
    <w:rsid w:val="004A7ED8"/>
    <w:rsid w:val="004B00E4"/>
    <w:rsid w:val="004B00FD"/>
    <w:rsid w:val="004B027C"/>
    <w:rsid w:val="004B03A8"/>
    <w:rsid w:val="004B0433"/>
    <w:rsid w:val="004B0E44"/>
    <w:rsid w:val="004B0E45"/>
    <w:rsid w:val="004B0FA9"/>
    <w:rsid w:val="004B1058"/>
    <w:rsid w:val="004B15EB"/>
    <w:rsid w:val="004B16BF"/>
    <w:rsid w:val="004B1754"/>
    <w:rsid w:val="004B1A55"/>
    <w:rsid w:val="004B1A7C"/>
    <w:rsid w:val="004B1E2C"/>
    <w:rsid w:val="004B2189"/>
    <w:rsid w:val="004B235B"/>
    <w:rsid w:val="004B23C9"/>
    <w:rsid w:val="004B2424"/>
    <w:rsid w:val="004B24BC"/>
    <w:rsid w:val="004B24DF"/>
    <w:rsid w:val="004B2674"/>
    <w:rsid w:val="004B290C"/>
    <w:rsid w:val="004B29F8"/>
    <w:rsid w:val="004B2B75"/>
    <w:rsid w:val="004B2FE2"/>
    <w:rsid w:val="004B32C0"/>
    <w:rsid w:val="004B345B"/>
    <w:rsid w:val="004B370F"/>
    <w:rsid w:val="004B38F2"/>
    <w:rsid w:val="004B3B8C"/>
    <w:rsid w:val="004B3CC1"/>
    <w:rsid w:val="004B3D7C"/>
    <w:rsid w:val="004B3E37"/>
    <w:rsid w:val="004B3F7B"/>
    <w:rsid w:val="004B40AF"/>
    <w:rsid w:val="004B4A7C"/>
    <w:rsid w:val="004B4FFE"/>
    <w:rsid w:val="004B5004"/>
    <w:rsid w:val="004B5248"/>
    <w:rsid w:val="004B5C24"/>
    <w:rsid w:val="004B5C3B"/>
    <w:rsid w:val="004B5E7A"/>
    <w:rsid w:val="004B5F2C"/>
    <w:rsid w:val="004B5F33"/>
    <w:rsid w:val="004B5FCB"/>
    <w:rsid w:val="004B66CE"/>
    <w:rsid w:val="004B6E35"/>
    <w:rsid w:val="004B6E5C"/>
    <w:rsid w:val="004B6F11"/>
    <w:rsid w:val="004B6FEF"/>
    <w:rsid w:val="004B75F2"/>
    <w:rsid w:val="004B771B"/>
    <w:rsid w:val="004B7777"/>
    <w:rsid w:val="004B77B3"/>
    <w:rsid w:val="004B7891"/>
    <w:rsid w:val="004B78EE"/>
    <w:rsid w:val="004B7AA5"/>
    <w:rsid w:val="004B7ADC"/>
    <w:rsid w:val="004B7BFE"/>
    <w:rsid w:val="004B7D4F"/>
    <w:rsid w:val="004B7EFF"/>
    <w:rsid w:val="004B7FA6"/>
    <w:rsid w:val="004C00A6"/>
    <w:rsid w:val="004C026E"/>
    <w:rsid w:val="004C04F1"/>
    <w:rsid w:val="004C057A"/>
    <w:rsid w:val="004C0696"/>
    <w:rsid w:val="004C0819"/>
    <w:rsid w:val="004C0CAF"/>
    <w:rsid w:val="004C0CC8"/>
    <w:rsid w:val="004C10A8"/>
    <w:rsid w:val="004C1166"/>
    <w:rsid w:val="004C11AB"/>
    <w:rsid w:val="004C1400"/>
    <w:rsid w:val="004C163F"/>
    <w:rsid w:val="004C171B"/>
    <w:rsid w:val="004C1AE3"/>
    <w:rsid w:val="004C1AFC"/>
    <w:rsid w:val="004C1D20"/>
    <w:rsid w:val="004C1DA7"/>
    <w:rsid w:val="004C2155"/>
    <w:rsid w:val="004C2177"/>
    <w:rsid w:val="004C228E"/>
    <w:rsid w:val="004C22EA"/>
    <w:rsid w:val="004C235B"/>
    <w:rsid w:val="004C2419"/>
    <w:rsid w:val="004C2509"/>
    <w:rsid w:val="004C26FB"/>
    <w:rsid w:val="004C2C47"/>
    <w:rsid w:val="004C2E78"/>
    <w:rsid w:val="004C3129"/>
    <w:rsid w:val="004C32D4"/>
    <w:rsid w:val="004C36ED"/>
    <w:rsid w:val="004C3714"/>
    <w:rsid w:val="004C3833"/>
    <w:rsid w:val="004C3A8F"/>
    <w:rsid w:val="004C3B18"/>
    <w:rsid w:val="004C3E9D"/>
    <w:rsid w:val="004C3F72"/>
    <w:rsid w:val="004C4087"/>
    <w:rsid w:val="004C411E"/>
    <w:rsid w:val="004C4377"/>
    <w:rsid w:val="004C476D"/>
    <w:rsid w:val="004C4999"/>
    <w:rsid w:val="004C49DF"/>
    <w:rsid w:val="004C4BE0"/>
    <w:rsid w:val="004C4BFE"/>
    <w:rsid w:val="004C4C3C"/>
    <w:rsid w:val="004C4EBB"/>
    <w:rsid w:val="004C514E"/>
    <w:rsid w:val="004C5269"/>
    <w:rsid w:val="004C52C5"/>
    <w:rsid w:val="004C55D8"/>
    <w:rsid w:val="004C5662"/>
    <w:rsid w:val="004C56EC"/>
    <w:rsid w:val="004C583B"/>
    <w:rsid w:val="004C5877"/>
    <w:rsid w:val="004C58FA"/>
    <w:rsid w:val="004C5F3F"/>
    <w:rsid w:val="004C6752"/>
    <w:rsid w:val="004C6880"/>
    <w:rsid w:val="004C6F2B"/>
    <w:rsid w:val="004C7000"/>
    <w:rsid w:val="004C73FF"/>
    <w:rsid w:val="004C74DC"/>
    <w:rsid w:val="004C7AA8"/>
    <w:rsid w:val="004C7B7E"/>
    <w:rsid w:val="004C7EA9"/>
    <w:rsid w:val="004C7F63"/>
    <w:rsid w:val="004D0187"/>
    <w:rsid w:val="004D0780"/>
    <w:rsid w:val="004D0988"/>
    <w:rsid w:val="004D0CDC"/>
    <w:rsid w:val="004D160C"/>
    <w:rsid w:val="004D168F"/>
    <w:rsid w:val="004D1903"/>
    <w:rsid w:val="004D197B"/>
    <w:rsid w:val="004D1A26"/>
    <w:rsid w:val="004D1C3E"/>
    <w:rsid w:val="004D1FA8"/>
    <w:rsid w:val="004D21B2"/>
    <w:rsid w:val="004D22FD"/>
    <w:rsid w:val="004D233A"/>
    <w:rsid w:val="004D2431"/>
    <w:rsid w:val="004D26BF"/>
    <w:rsid w:val="004D2E38"/>
    <w:rsid w:val="004D32C7"/>
    <w:rsid w:val="004D3544"/>
    <w:rsid w:val="004D35B4"/>
    <w:rsid w:val="004D3666"/>
    <w:rsid w:val="004D36DE"/>
    <w:rsid w:val="004D3751"/>
    <w:rsid w:val="004D395D"/>
    <w:rsid w:val="004D39F5"/>
    <w:rsid w:val="004D436C"/>
    <w:rsid w:val="004D47FF"/>
    <w:rsid w:val="004D4A00"/>
    <w:rsid w:val="004D4E75"/>
    <w:rsid w:val="004D5039"/>
    <w:rsid w:val="004D5121"/>
    <w:rsid w:val="004D520A"/>
    <w:rsid w:val="004D5456"/>
    <w:rsid w:val="004D5469"/>
    <w:rsid w:val="004D56C2"/>
    <w:rsid w:val="004D57CD"/>
    <w:rsid w:val="004D58CF"/>
    <w:rsid w:val="004D59DC"/>
    <w:rsid w:val="004D59FA"/>
    <w:rsid w:val="004D5BB6"/>
    <w:rsid w:val="004D5C2C"/>
    <w:rsid w:val="004D5D70"/>
    <w:rsid w:val="004D5D8E"/>
    <w:rsid w:val="004D5FEA"/>
    <w:rsid w:val="004D5FFC"/>
    <w:rsid w:val="004D6105"/>
    <w:rsid w:val="004D6192"/>
    <w:rsid w:val="004D657C"/>
    <w:rsid w:val="004D6655"/>
    <w:rsid w:val="004D686B"/>
    <w:rsid w:val="004D696D"/>
    <w:rsid w:val="004D6A13"/>
    <w:rsid w:val="004D6A66"/>
    <w:rsid w:val="004D6BC0"/>
    <w:rsid w:val="004D6BF0"/>
    <w:rsid w:val="004D6F2B"/>
    <w:rsid w:val="004D6F83"/>
    <w:rsid w:val="004D6F9D"/>
    <w:rsid w:val="004D724D"/>
    <w:rsid w:val="004D725D"/>
    <w:rsid w:val="004D7524"/>
    <w:rsid w:val="004D75F7"/>
    <w:rsid w:val="004D77EA"/>
    <w:rsid w:val="004D7924"/>
    <w:rsid w:val="004D7BE4"/>
    <w:rsid w:val="004D7D1B"/>
    <w:rsid w:val="004D7DA8"/>
    <w:rsid w:val="004D7FB5"/>
    <w:rsid w:val="004E0586"/>
    <w:rsid w:val="004E0A4A"/>
    <w:rsid w:val="004E0D6E"/>
    <w:rsid w:val="004E1377"/>
    <w:rsid w:val="004E140D"/>
    <w:rsid w:val="004E14A6"/>
    <w:rsid w:val="004E14D3"/>
    <w:rsid w:val="004E15CC"/>
    <w:rsid w:val="004E15DF"/>
    <w:rsid w:val="004E1B96"/>
    <w:rsid w:val="004E1D13"/>
    <w:rsid w:val="004E1EE1"/>
    <w:rsid w:val="004E242C"/>
    <w:rsid w:val="004E266A"/>
    <w:rsid w:val="004E27C1"/>
    <w:rsid w:val="004E2CA0"/>
    <w:rsid w:val="004E2F8A"/>
    <w:rsid w:val="004E3104"/>
    <w:rsid w:val="004E32C5"/>
    <w:rsid w:val="004E382D"/>
    <w:rsid w:val="004E3908"/>
    <w:rsid w:val="004E3BD4"/>
    <w:rsid w:val="004E3BE2"/>
    <w:rsid w:val="004E3DA1"/>
    <w:rsid w:val="004E3FC8"/>
    <w:rsid w:val="004E401C"/>
    <w:rsid w:val="004E44E4"/>
    <w:rsid w:val="004E461A"/>
    <w:rsid w:val="004E46A7"/>
    <w:rsid w:val="004E489E"/>
    <w:rsid w:val="004E49F0"/>
    <w:rsid w:val="004E4BC9"/>
    <w:rsid w:val="004E4C38"/>
    <w:rsid w:val="004E4E1B"/>
    <w:rsid w:val="004E4F6C"/>
    <w:rsid w:val="004E5143"/>
    <w:rsid w:val="004E5499"/>
    <w:rsid w:val="004E56AE"/>
    <w:rsid w:val="004E589C"/>
    <w:rsid w:val="004E5994"/>
    <w:rsid w:val="004E59C8"/>
    <w:rsid w:val="004E6523"/>
    <w:rsid w:val="004E653D"/>
    <w:rsid w:val="004E6733"/>
    <w:rsid w:val="004E691F"/>
    <w:rsid w:val="004E6A32"/>
    <w:rsid w:val="004E6AC6"/>
    <w:rsid w:val="004E6C03"/>
    <w:rsid w:val="004E6CD9"/>
    <w:rsid w:val="004E74D4"/>
    <w:rsid w:val="004E74EA"/>
    <w:rsid w:val="004E7961"/>
    <w:rsid w:val="004E79C1"/>
    <w:rsid w:val="004E7F66"/>
    <w:rsid w:val="004F0249"/>
    <w:rsid w:val="004F06D9"/>
    <w:rsid w:val="004F07B8"/>
    <w:rsid w:val="004F0C78"/>
    <w:rsid w:val="004F0CF5"/>
    <w:rsid w:val="004F0FC4"/>
    <w:rsid w:val="004F14A4"/>
    <w:rsid w:val="004F17F4"/>
    <w:rsid w:val="004F1BAD"/>
    <w:rsid w:val="004F1CC3"/>
    <w:rsid w:val="004F229A"/>
    <w:rsid w:val="004F242E"/>
    <w:rsid w:val="004F2577"/>
    <w:rsid w:val="004F262A"/>
    <w:rsid w:val="004F2878"/>
    <w:rsid w:val="004F28D7"/>
    <w:rsid w:val="004F29D5"/>
    <w:rsid w:val="004F2AAD"/>
    <w:rsid w:val="004F2ACC"/>
    <w:rsid w:val="004F2BE0"/>
    <w:rsid w:val="004F2E89"/>
    <w:rsid w:val="004F3386"/>
    <w:rsid w:val="004F33A5"/>
    <w:rsid w:val="004F3D4E"/>
    <w:rsid w:val="004F3D63"/>
    <w:rsid w:val="004F3E76"/>
    <w:rsid w:val="004F3E7F"/>
    <w:rsid w:val="004F41DF"/>
    <w:rsid w:val="004F4520"/>
    <w:rsid w:val="004F47E4"/>
    <w:rsid w:val="004F48C2"/>
    <w:rsid w:val="004F4C63"/>
    <w:rsid w:val="004F4F64"/>
    <w:rsid w:val="004F5390"/>
    <w:rsid w:val="004F53A4"/>
    <w:rsid w:val="004F54EB"/>
    <w:rsid w:val="004F5979"/>
    <w:rsid w:val="004F59DE"/>
    <w:rsid w:val="004F5B30"/>
    <w:rsid w:val="004F5B53"/>
    <w:rsid w:val="004F5B5B"/>
    <w:rsid w:val="004F5C99"/>
    <w:rsid w:val="004F5EB2"/>
    <w:rsid w:val="004F5F10"/>
    <w:rsid w:val="004F5F80"/>
    <w:rsid w:val="004F61F4"/>
    <w:rsid w:val="004F645E"/>
    <w:rsid w:val="004F65AA"/>
    <w:rsid w:val="004F6899"/>
    <w:rsid w:val="004F6B8C"/>
    <w:rsid w:val="004F6CA8"/>
    <w:rsid w:val="004F6CB7"/>
    <w:rsid w:val="004F73BE"/>
    <w:rsid w:val="004F77CD"/>
    <w:rsid w:val="004F7841"/>
    <w:rsid w:val="004F7A35"/>
    <w:rsid w:val="004F7A3D"/>
    <w:rsid w:val="004F7B2A"/>
    <w:rsid w:val="004F7B62"/>
    <w:rsid w:val="004F7CC0"/>
    <w:rsid w:val="004F7D6F"/>
    <w:rsid w:val="004F7EC4"/>
    <w:rsid w:val="004F7FFB"/>
    <w:rsid w:val="0050003D"/>
    <w:rsid w:val="005000E2"/>
    <w:rsid w:val="0050061B"/>
    <w:rsid w:val="00500CB1"/>
    <w:rsid w:val="00500D2C"/>
    <w:rsid w:val="00500D3D"/>
    <w:rsid w:val="00500D67"/>
    <w:rsid w:val="00500F41"/>
    <w:rsid w:val="005011BD"/>
    <w:rsid w:val="00501223"/>
    <w:rsid w:val="0050124B"/>
    <w:rsid w:val="0050124E"/>
    <w:rsid w:val="005012C8"/>
    <w:rsid w:val="0050149E"/>
    <w:rsid w:val="005015AE"/>
    <w:rsid w:val="005018A7"/>
    <w:rsid w:val="005018B3"/>
    <w:rsid w:val="00501A39"/>
    <w:rsid w:val="00501E48"/>
    <w:rsid w:val="00501F09"/>
    <w:rsid w:val="00501F7A"/>
    <w:rsid w:val="005027AF"/>
    <w:rsid w:val="0050298A"/>
    <w:rsid w:val="00502993"/>
    <w:rsid w:val="00502C32"/>
    <w:rsid w:val="00502E86"/>
    <w:rsid w:val="005031BD"/>
    <w:rsid w:val="005031D1"/>
    <w:rsid w:val="0050355A"/>
    <w:rsid w:val="00503676"/>
    <w:rsid w:val="005036D6"/>
    <w:rsid w:val="00503991"/>
    <w:rsid w:val="00503B23"/>
    <w:rsid w:val="00503B46"/>
    <w:rsid w:val="00503C8B"/>
    <w:rsid w:val="005044D7"/>
    <w:rsid w:val="00504B81"/>
    <w:rsid w:val="00504E65"/>
    <w:rsid w:val="00504F12"/>
    <w:rsid w:val="00505187"/>
    <w:rsid w:val="00505230"/>
    <w:rsid w:val="0050530B"/>
    <w:rsid w:val="005059F6"/>
    <w:rsid w:val="00505BF7"/>
    <w:rsid w:val="00505D45"/>
    <w:rsid w:val="00505DA9"/>
    <w:rsid w:val="00505E30"/>
    <w:rsid w:val="00505FEC"/>
    <w:rsid w:val="0050603A"/>
    <w:rsid w:val="0050610D"/>
    <w:rsid w:val="00506215"/>
    <w:rsid w:val="005062AA"/>
    <w:rsid w:val="00506406"/>
    <w:rsid w:val="0050642D"/>
    <w:rsid w:val="0050649B"/>
    <w:rsid w:val="0050660F"/>
    <w:rsid w:val="005066EC"/>
    <w:rsid w:val="005068A3"/>
    <w:rsid w:val="005068D2"/>
    <w:rsid w:val="00506AB7"/>
    <w:rsid w:val="00506B9D"/>
    <w:rsid w:val="00506C92"/>
    <w:rsid w:val="00506E10"/>
    <w:rsid w:val="00506E44"/>
    <w:rsid w:val="005070C3"/>
    <w:rsid w:val="0050760F"/>
    <w:rsid w:val="00507973"/>
    <w:rsid w:val="005079B3"/>
    <w:rsid w:val="00507BEE"/>
    <w:rsid w:val="00507D5F"/>
    <w:rsid w:val="00507E2B"/>
    <w:rsid w:val="00507E86"/>
    <w:rsid w:val="00510134"/>
    <w:rsid w:val="005101E4"/>
    <w:rsid w:val="0051066E"/>
    <w:rsid w:val="0051081D"/>
    <w:rsid w:val="0051090F"/>
    <w:rsid w:val="00510AFD"/>
    <w:rsid w:val="00510C99"/>
    <w:rsid w:val="00510F27"/>
    <w:rsid w:val="00510FB7"/>
    <w:rsid w:val="00511201"/>
    <w:rsid w:val="005112BF"/>
    <w:rsid w:val="00511473"/>
    <w:rsid w:val="00511AF6"/>
    <w:rsid w:val="00511ED5"/>
    <w:rsid w:val="00511F2F"/>
    <w:rsid w:val="00512188"/>
    <w:rsid w:val="0051238D"/>
    <w:rsid w:val="005124F4"/>
    <w:rsid w:val="005126E2"/>
    <w:rsid w:val="00512727"/>
    <w:rsid w:val="0051283C"/>
    <w:rsid w:val="00512C82"/>
    <w:rsid w:val="00512CE8"/>
    <w:rsid w:val="00512D42"/>
    <w:rsid w:val="0051343E"/>
    <w:rsid w:val="00513911"/>
    <w:rsid w:val="00513927"/>
    <w:rsid w:val="00513AC8"/>
    <w:rsid w:val="00514003"/>
    <w:rsid w:val="00514031"/>
    <w:rsid w:val="00514287"/>
    <w:rsid w:val="005145EE"/>
    <w:rsid w:val="005148D7"/>
    <w:rsid w:val="00514C62"/>
    <w:rsid w:val="00514E40"/>
    <w:rsid w:val="00515024"/>
    <w:rsid w:val="005150C3"/>
    <w:rsid w:val="00515666"/>
    <w:rsid w:val="00515A16"/>
    <w:rsid w:val="00515C18"/>
    <w:rsid w:val="00515CE7"/>
    <w:rsid w:val="005160D1"/>
    <w:rsid w:val="00516260"/>
    <w:rsid w:val="00516276"/>
    <w:rsid w:val="0051658C"/>
    <w:rsid w:val="00516690"/>
    <w:rsid w:val="005168A6"/>
    <w:rsid w:val="005170EF"/>
    <w:rsid w:val="005171B7"/>
    <w:rsid w:val="005172A5"/>
    <w:rsid w:val="005173D7"/>
    <w:rsid w:val="0051753F"/>
    <w:rsid w:val="00517BF1"/>
    <w:rsid w:val="00517C2A"/>
    <w:rsid w:val="005200CC"/>
    <w:rsid w:val="00520268"/>
    <w:rsid w:val="00520297"/>
    <w:rsid w:val="005202DD"/>
    <w:rsid w:val="005211FC"/>
    <w:rsid w:val="00521314"/>
    <w:rsid w:val="00521445"/>
    <w:rsid w:val="0052146F"/>
    <w:rsid w:val="00521586"/>
    <w:rsid w:val="0052159D"/>
    <w:rsid w:val="005215C8"/>
    <w:rsid w:val="005216B1"/>
    <w:rsid w:val="00521784"/>
    <w:rsid w:val="00521CE8"/>
    <w:rsid w:val="00521E3F"/>
    <w:rsid w:val="00521E4A"/>
    <w:rsid w:val="00521E6C"/>
    <w:rsid w:val="00522354"/>
    <w:rsid w:val="0052279E"/>
    <w:rsid w:val="005227A5"/>
    <w:rsid w:val="00522878"/>
    <w:rsid w:val="00522D8A"/>
    <w:rsid w:val="00522E4E"/>
    <w:rsid w:val="005230D9"/>
    <w:rsid w:val="00523382"/>
    <w:rsid w:val="005235F1"/>
    <w:rsid w:val="00523642"/>
    <w:rsid w:val="00523958"/>
    <w:rsid w:val="00523B54"/>
    <w:rsid w:val="00523C0C"/>
    <w:rsid w:val="00523DB2"/>
    <w:rsid w:val="005240AC"/>
    <w:rsid w:val="005242FF"/>
    <w:rsid w:val="00524345"/>
    <w:rsid w:val="005246BE"/>
    <w:rsid w:val="00524947"/>
    <w:rsid w:val="00524953"/>
    <w:rsid w:val="0052496E"/>
    <w:rsid w:val="00524ED2"/>
    <w:rsid w:val="00525073"/>
    <w:rsid w:val="005251EA"/>
    <w:rsid w:val="005252D6"/>
    <w:rsid w:val="0052574B"/>
    <w:rsid w:val="00525F15"/>
    <w:rsid w:val="00526169"/>
    <w:rsid w:val="00526620"/>
    <w:rsid w:val="0052663C"/>
    <w:rsid w:val="0052671B"/>
    <w:rsid w:val="005267D1"/>
    <w:rsid w:val="00526DBE"/>
    <w:rsid w:val="00526DEE"/>
    <w:rsid w:val="00526FC3"/>
    <w:rsid w:val="005273F6"/>
    <w:rsid w:val="0052750A"/>
    <w:rsid w:val="00527724"/>
    <w:rsid w:val="005278EB"/>
    <w:rsid w:val="00527B39"/>
    <w:rsid w:val="00527D43"/>
    <w:rsid w:val="00530086"/>
    <w:rsid w:val="00530298"/>
    <w:rsid w:val="00530376"/>
    <w:rsid w:val="005304FA"/>
    <w:rsid w:val="00530576"/>
    <w:rsid w:val="00530785"/>
    <w:rsid w:val="005309DF"/>
    <w:rsid w:val="00530C38"/>
    <w:rsid w:val="0053108D"/>
    <w:rsid w:val="005313EE"/>
    <w:rsid w:val="0053140E"/>
    <w:rsid w:val="0053171E"/>
    <w:rsid w:val="0053176D"/>
    <w:rsid w:val="0053179B"/>
    <w:rsid w:val="005317BC"/>
    <w:rsid w:val="00531822"/>
    <w:rsid w:val="00531C25"/>
    <w:rsid w:val="005321DE"/>
    <w:rsid w:val="00532210"/>
    <w:rsid w:val="00532268"/>
    <w:rsid w:val="005322C7"/>
    <w:rsid w:val="005328FF"/>
    <w:rsid w:val="00532902"/>
    <w:rsid w:val="00532977"/>
    <w:rsid w:val="00532ADF"/>
    <w:rsid w:val="00532BB3"/>
    <w:rsid w:val="00532D0B"/>
    <w:rsid w:val="00532F45"/>
    <w:rsid w:val="00532F5E"/>
    <w:rsid w:val="005330F4"/>
    <w:rsid w:val="00533126"/>
    <w:rsid w:val="005332D2"/>
    <w:rsid w:val="005335CB"/>
    <w:rsid w:val="00533685"/>
    <w:rsid w:val="00533CB0"/>
    <w:rsid w:val="00533E9E"/>
    <w:rsid w:val="00533ED1"/>
    <w:rsid w:val="00534164"/>
    <w:rsid w:val="0053430F"/>
    <w:rsid w:val="0053434B"/>
    <w:rsid w:val="005343E9"/>
    <w:rsid w:val="005344AE"/>
    <w:rsid w:val="00534D3D"/>
    <w:rsid w:val="00534DFC"/>
    <w:rsid w:val="0053546C"/>
    <w:rsid w:val="005357FC"/>
    <w:rsid w:val="00535EDD"/>
    <w:rsid w:val="005360F4"/>
    <w:rsid w:val="005363C1"/>
    <w:rsid w:val="005364A2"/>
    <w:rsid w:val="005364F4"/>
    <w:rsid w:val="0053689F"/>
    <w:rsid w:val="005368FF"/>
    <w:rsid w:val="00536CA0"/>
    <w:rsid w:val="00536EDC"/>
    <w:rsid w:val="00537139"/>
    <w:rsid w:val="00537142"/>
    <w:rsid w:val="005372FF"/>
    <w:rsid w:val="00537A1D"/>
    <w:rsid w:val="00537AA9"/>
    <w:rsid w:val="00537B41"/>
    <w:rsid w:val="00537C19"/>
    <w:rsid w:val="00540096"/>
    <w:rsid w:val="005400C7"/>
    <w:rsid w:val="00540496"/>
    <w:rsid w:val="005404F2"/>
    <w:rsid w:val="005405B7"/>
    <w:rsid w:val="005406B4"/>
    <w:rsid w:val="00540AA5"/>
    <w:rsid w:val="00540BDB"/>
    <w:rsid w:val="00541106"/>
    <w:rsid w:val="0054112E"/>
    <w:rsid w:val="00541261"/>
    <w:rsid w:val="00541319"/>
    <w:rsid w:val="005413B3"/>
    <w:rsid w:val="0054159B"/>
    <w:rsid w:val="00541759"/>
    <w:rsid w:val="005418D4"/>
    <w:rsid w:val="00541918"/>
    <w:rsid w:val="005419C4"/>
    <w:rsid w:val="00541D77"/>
    <w:rsid w:val="00541DF4"/>
    <w:rsid w:val="00541F94"/>
    <w:rsid w:val="005421D3"/>
    <w:rsid w:val="005422E9"/>
    <w:rsid w:val="005423D1"/>
    <w:rsid w:val="0054243C"/>
    <w:rsid w:val="0054252A"/>
    <w:rsid w:val="0054259A"/>
    <w:rsid w:val="00542777"/>
    <w:rsid w:val="00542845"/>
    <w:rsid w:val="005429F4"/>
    <w:rsid w:val="00542D1D"/>
    <w:rsid w:val="00542DDC"/>
    <w:rsid w:val="00542E74"/>
    <w:rsid w:val="00543169"/>
    <w:rsid w:val="0054397C"/>
    <w:rsid w:val="005439B5"/>
    <w:rsid w:val="00543A95"/>
    <w:rsid w:val="00543D10"/>
    <w:rsid w:val="00544239"/>
    <w:rsid w:val="005449B7"/>
    <w:rsid w:val="00544AC7"/>
    <w:rsid w:val="00544BBE"/>
    <w:rsid w:val="00544CAB"/>
    <w:rsid w:val="00544CEC"/>
    <w:rsid w:val="00544D19"/>
    <w:rsid w:val="00544DA7"/>
    <w:rsid w:val="00544ECE"/>
    <w:rsid w:val="00544FF3"/>
    <w:rsid w:val="00545432"/>
    <w:rsid w:val="005455D9"/>
    <w:rsid w:val="005455FF"/>
    <w:rsid w:val="0054570D"/>
    <w:rsid w:val="00545794"/>
    <w:rsid w:val="005457BC"/>
    <w:rsid w:val="0054589A"/>
    <w:rsid w:val="00545AC5"/>
    <w:rsid w:val="00545B3C"/>
    <w:rsid w:val="00545D04"/>
    <w:rsid w:val="005461FE"/>
    <w:rsid w:val="0054643C"/>
    <w:rsid w:val="00546637"/>
    <w:rsid w:val="00546854"/>
    <w:rsid w:val="0054695D"/>
    <w:rsid w:val="00546978"/>
    <w:rsid w:val="00546A0F"/>
    <w:rsid w:val="00546A68"/>
    <w:rsid w:val="00546AB6"/>
    <w:rsid w:val="00547426"/>
    <w:rsid w:val="0054745C"/>
    <w:rsid w:val="00547595"/>
    <w:rsid w:val="005478B8"/>
    <w:rsid w:val="00547D0F"/>
    <w:rsid w:val="00547DB9"/>
    <w:rsid w:val="00547F1F"/>
    <w:rsid w:val="00550087"/>
    <w:rsid w:val="00550104"/>
    <w:rsid w:val="00550177"/>
    <w:rsid w:val="00550196"/>
    <w:rsid w:val="00550304"/>
    <w:rsid w:val="005503E4"/>
    <w:rsid w:val="0055048B"/>
    <w:rsid w:val="00550C88"/>
    <w:rsid w:val="005511DB"/>
    <w:rsid w:val="00551423"/>
    <w:rsid w:val="00551749"/>
    <w:rsid w:val="0055183F"/>
    <w:rsid w:val="0055188F"/>
    <w:rsid w:val="0055194D"/>
    <w:rsid w:val="00551CC0"/>
    <w:rsid w:val="00551EAC"/>
    <w:rsid w:val="00552006"/>
    <w:rsid w:val="005524E4"/>
    <w:rsid w:val="0055268E"/>
    <w:rsid w:val="00552BC6"/>
    <w:rsid w:val="00552D17"/>
    <w:rsid w:val="00552FA0"/>
    <w:rsid w:val="005530F0"/>
    <w:rsid w:val="005532AE"/>
    <w:rsid w:val="005533FB"/>
    <w:rsid w:val="005537D9"/>
    <w:rsid w:val="0055396B"/>
    <w:rsid w:val="00553A90"/>
    <w:rsid w:val="00553AC2"/>
    <w:rsid w:val="00553B19"/>
    <w:rsid w:val="00553DCA"/>
    <w:rsid w:val="00553E75"/>
    <w:rsid w:val="0055405D"/>
    <w:rsid w:val="00554269"/>
    <w:rsid w:val="005545D7"/>
    <w:rsid w:val="00554829"/>
    <w:rsid w:val="00554AB1"/>
    <w:rsid w:val="00554B51"/>
    <w:rsid w:val="00554C31"/>
    <w:rsid w:val="00554C75"/>
    <w:rsid w:val="00554DE6"/>
    <w:rsid w:val="00554EF9"/>
    <w:rsid w:val="00555211"/>
    <w:rsid w:val="00555238"/>
    <w:rsid w:val="005552EB"/>
    <w:rsid w:val="005552F3"/>
    <w:rsid w:val="005555C3"/>
    <w:rsid w:val="0055572A"/>
    <w:rsid w:val="00555A3C"/>
    <w:rsid w:val="00555CAE"/>
    <w:rsid w:val="00555EE3"/>
    <w:rsid w:val="005568D4"/>
    <w:rsid w:val="0055754E"/>
    <w:rsid w:val="00557572"/>
    <w:rsid w:val="0055758E"/>
    <w:rsid w:val="005575F7"/>
    <w:rsid w:val="005576DF"/>
    <w:rsid w:val="0055775D"/>
    <w:rsid w:val="00557C00"/>
    <w:rsid w:val="00557C9C"/>
    <w:rsid w:val="00557D79"/>
    <w:rsid w:val="00557E02"/>
    <w:rsid w:val="00557E4F"/>
    <w:rsid w:val="005603E8"/>
    <w:rsid w:val="005608EE"/>
    <w:rsid w:val="005610BB"/>
    <w:rsid w:val="0056114C"/>
    <w:rsid w:val="00561219"/>
    <w:rsid w:val="005612E7"/>
    <w:rsid w:val="00561404"/>
    <w:rsid w:val="0056176E"/>
    <w:rsid w:val="005619FB"/>
    <w:rsid w:val="00561A87"/>
    <w:rsid w:val="00561BF3"/>
    <w:rsid w:val="005621F1"/>
    <w:rsid w:val="00562452"/>
    <w:rsid w:val="005625C5"/>
    <w:rsid w:val="0056269C"/>
    <w:rsid w:val="0056293A"/>
    <w:rsid w:val="00562BAA"/>
    <w:rsid w:val="00562C7D"/>
    <w:rsid w:val="00562F0F"/>
    <w:rsid w:val="00562FDA"/>
    <w:rsid w:val="00562FE2"/>
    <w:rsid w:val="00563025"/>
    <w:rsid w:val="005632F1"/>
    <w:rsid w:val="00563869"/>
    <w:rsid w:val="005638B8"/>
    <w:rsid w:val="005638BE"/>
    <w:rsid w:val="005639F7"/>
    <w:rsid w:val="00563AE7"/>
    <w:rsid w:val="00563B02"/>
    <w:rsid w:val="00563DB1"/>
    <w:rsid w:val="005640A9"/>
    <w:rsid w:val="005640E1"/>
    <w:rsid w:val="005644E9"/>
    <w:rsid w:val="005645C2"/>
    <w:rsid w:val="00564B30"/>
    <w:rsid w:val="00564CE0"/>
    <w:rsid w:val="00564FDE"/>
    <w:rsid w:val="005650DC"/>
    <w:rsid w:val="00565315"/>
    <w:rsid w:val="005653E7"/>
    <w:rsid w:val="0056542D"/>
    <w:rsid w:val="0056577E"/>
    <w:rsid w:val="00566117"/>
    <w:rsid w:val="005661E8"/>
    <w:rsid w:val="00566567"/>
    <w:rsid w:val="005665A3"/>
    <w:rsid w:val="00566712"/>
    <w:rsid w:val="00566B53"/>
    <w:rsid w:val="00566D5F"/>
    <w:rsid w:val="0056727D"/>
    <w:rsid w:val="00567325"/>
    <w:rsid w:val="0056736A"/>
    <w:rsid w:val="0056767E"/>
    <w:rsid w:val="0056770F"/>
    <w:rsid w:val="00567B81"/>
    <w:rsid w:val="00567C8C"/>
    <w:rsid w:val="00567FF2"/>
    <w:rsid w:val="00570029"/>
    <w:rsid w:val="00570048"/>
    <w:rsid w:val="0057005B"/>
    <w:rsid w:val="00570094"/>
    <w:rsid w:val="005707BB"/>
    <w:rsid w:val="00570912"/>
    <w:rsid w:val="00570970"/>
    <w:rsid w:val="00570A7E"/>
    <w:rsid w:val="00570D97"/>
    <w:rsid w:val="00570DD0"/>
    <w:rsid w:val="00570FAE"/>
    <w:rsid w:val="0057102D"/>
    <w:rsid w:val="0057122A"/>
    <w:rsid w:val="00571472"/>
    <w:rsid w:val="005716FB"/>
    <w:rsid w:val="0057180A"/>
    <w:rsid w:val="00571FDF"/>
    <w:rsid w:val="005723BA"/>
    <w:rsid w:val="00572483"/>
    <w:rsid w:val="00572558"/>
    <w:rsid w:val="005732FB"/>
    <w:rsid w:val="00573B6F"/>
    <w:rsid w:val="00573EA9"/>
    <w:rsid w:val="00573FC1"/>
    <w:rsid w:val="00574055"/>
    <w:rsid w:val="00574077"/>
    <w:rsid w:val="00574121"/>
    <w:rsid w:val="005742DD"/>
    <w:rsid w:val="00574790"/>
    <w:rsid w:val="00574D5F"/>
    <w:rsid w:val="00575287"/>
    <w:rsid w:val="00575340"/>
    <w:rsid w:val="005754A5"/>
    <w:rsid w:val="005755D3"/>
    <w:rsid w:val="00575A2C"/>
    <w:rsid w:val="00575BB4"/>
    <w:rsid w:val="0057609A"/>
    <w:rsid w:val="0057619F"/>
    <w:rsid w:val="00576249"/>
    <w:rsid w:val="005762BA"/>
    <w:rsid w:val="005763EE"/>
    <w:rsid w:val="00576414"/>
    <w:rsid w:val="00576544"/>
    <w:rsid w:val="0057668D"/>
    <w:rsid w:val="0057675E"/>
    <w:rsid w:val="00576921"/>
    <w:rsid w:val="00576C75"/>
    <w:rsid w:val="00576FCA"/>
    <w:rsid w:val="005772EB"/>
    <w:rsid w:val="00577385"/>
    <w:rsid w:val="0057770E"/>
    <w:rsid w:val="005779C6"/>
    <w:rsid w:val="00577AB1"/>
    <w:rsid w:val="00577AED"/>
    <w:rsid w:val="00577B04"/>
    <w:rsid w:val="00577B8E"/>
    <w:rsid w:val="005800D6"/>
    <w:rsid w:val="00580358"/>
    <w:rsid w:val="0058035D"/>
    <w:rsid w:val="00580B2A"/>
    <w:rsid w:val="00580BAC"/>
    <w:rsid w:val="005810BA"/>
    <w:rsid w:val="005811C3"/>
    <w:rsid w:val="00581439"/>
    <w:rsid w:val="00581813"/>
    <w:rsid w:val="005818DB"/>
    <w:rsid w:val="0058198B"/>
    <w:rsid w:val="00581BC3"/>
    <w:rsid w:val="00581C57"/>
    <w:rsid w:val="00581E22"/>
    <w:rsid w:val="00581E5E"/>
    <w:rsid w:val="00581EB7"/>
    <w:rsid w:val="00581EBC"/>
    <w:rsid w:val="00582272"/>
    <w:rsid w:val="0058232B"/>
    <w:rsid w:val="00582BAF"/>
    <w:rsid w:val="00582D07"/>
    <w:rsid w:val="00583242"/>
    <w:rsid w:val="005833F4"/>
    <w:rsid w:val="00583725"/>
    <w:rsid w:val="005837DE"/>
    <w:rsid w:val="00583817"/>
    <w:rsid w:val="00583A82"/>
    <w:rsid w:val="00583BE7"/>
    <w:rsid w:val="00583DAA"/>
    <w:rsid w:val="00583E2A"/>
    <w:rsid w:val="0058419A"/>
    <w:rsid w:val="005848CB"/>
    <w:rsid w:val="00584AC0"/>
    <w:rsid w:val="00584D51"/>
    <w:rsid w:val="00584FC0"/>
    <w:rsid w:val="0058503E"/>
    <w:rsid w:val="00585114"/>
    <w:rsid w:val="00585722"/>
    <w:rsid w:val="005857D8"/>
    <w:rsid w:val="005857DF"/>
    <w:rsid w:val="00585936"/>
    <w:rsid w:val="00585C2D"/>
    <w:rsid w:val="00585F07"/>
    <w:rsid w:val="00586037"/>
    <w:rsid w:val="00586055"/>
    <w:rsid w:val="005860D4"/>
    <w:rsid w:val="005862E2"/>
    <w:rsid w:val="00586747"/>
    <w:rsid w:val="00586753"/>
    <w:rsid w:val="00586997"/>
    <w:rsid w:val="00586FEC"/>
    <w:rsid w:val="00587258"/>
    <w:rsid w:val="00587265"/>
    <w:rsid w:val="0058758D"/>
    <w:rsid w:val="0058761B"/>
    <w:rsid w:val="005877DD"/>
    <w:rsid w:val="00587A97"/>
    <w:rsid w:val="005905D1"/>
    <w:rsid w:val="00590AB6"/>
    <w:rsid w:val="00590B88"/>
    <w:rsid w:val="00590CBE"/>
    <w:rsid w:val="00590D63"/>
    <w:rsid w:val="00590EE7"/>
    <w:rsid w:val="00590F50"/>
    <w:rsid w:val="00590FA9"/>
    <w:rsid w:val="005910E6"/>
    <w:rsid w:val="005912AE"/>
    <w:rsid w:val="005916E9"/>
    <w:rsid w:val="00591B93"/>
    <w:rsid w:val="00591C2E"/>
    <w:rsid w:val="00591C4E"/>
    <w:rsid w:val="00591D85"/>
    <w:rsid w:val="00591FAC"/>
    <w:rsid w:val="005922B6"/>
    <w:rsid w:val="005923A1"/>
    <w:rsid w:val="005929EF"/>
    <w:rsid w:val="00592A0E"/>
    <w:rsid w:val="00592A7F"/>
    <w:rsid w:val="00592DA5"/>
    <w:rsid w:val="005930D3"/>
    <w:rsid w:val="00593252"/>
    <w:rsid w:val="005932EF"/>
    <w:rsid w:val="00593605"/>
    <w:rsid w:val="00593901"/>
    <w:rsid w:val="00593928"/>
    <w:rsid w:val="00593996"/>
    <w:rsid w:val="00593BEC"/>
    <w:rsid w:val="00593C0B"/>
    <w:rsid w:val="00593CA1"/>
    <w:rsid w:val="00593CDA"/>
    <w:rsid w:val="00593F29"/>
    <w:rsid w:val="00593FB2"/>
    <w:rsid w:val="0059404C"/>
    <w:rsid w:val="005941E7"/>
    <w:rsid w:val="0059436A"/>
    <w:rsid w:val="00594449"/>
    <w:rsid w:val="00594500"/>
    <w:rsid w:val="005945C3"/>
    <w:rsid w:val="00594829"/>
    <w:rsid w:val="00594D85"/>
    <w:rsid w:val="0059548C"/>
    <w:rsid w:val="005959A5"/>
    <w:rsid w:val="005959FD"/>
    <w:rsid w:val="00595F51"/>
    <w:rsid w:val="00595FD1"/>
    <w:rsid w:val="00595FD8"/>
    <w:rsid w:val="00596461"/>
    <w:rsid w:val="005964F9"/>
    <w:rsid w:val="0059653F"/>
    <w:rsid w:val="0059660F"/>
    <w:rsid w:val="00596DFB"/>
    <w:rsid w:val="005973D4"/>
    <w:rsid w:val="00597616"/>
    <w:rsid w:val="0059763D"/>
    <w:rsid w:val="00597B7B"/>
    <w:rsid w:val="00597D90"/>
    <w:rsid w:val="00597FEA"/>
    <w:rsid w:val="005A048F"/>
    <w:rsid w:val="005A053F"/>
    <w:rsid w:val="005A0B61"/>
    <w:rsid w:val="005A0D59"/>
    <w:rsid w:val="005A10D0"/>
    <w:rsid w:val="005A1702"/>
    <w:rsid w:val="005A1901"/>
    <w:rsid w:val="005A1A6E"/>
    <w:rsid w:val="005A1D3F"/>
    <w:rsid w:val="005A1E91"/>
    <w:rsid w:val="005A1F4D"/>
    <w:rsid w:val="005A2090"/>
    <w:rsid w:val="005A2247"/>
    <w:rsid w:val="005A256C"/>
    <w:rsid w:val="005A25F8"/>
    <w:rsid w:val="005A26E6"/>
    <w:rsid w:val="005A2744"/>
    <w:rsid w:val="005A2BC9"/>
    <w:rsid w:val="005A30C3"/>
    <w:rsid w:val="005A318C"/>
    <w:rsid w:val="005A33E0"/>
    <w:rsid w:val="005A34D4"/>
    <w:rsid w:val="005A37F6"/>
    <w:rsid w:val="005A38DD"/>
    <w:rsid w:val="005A39F0"/>
    <w:rsid w:val="005A3AE9"/>
    <w:rsid w:val="005A3C30"/>
    <w:rsid w:val="005A3D30"/>
    <w:rsid w:val="005A3E82"/>
    <w:rsid w:val="005A422E"/>
    <w:rsid w:val="005A4348"/>
    <w:rsid w:val="005A4539"/>
    <w:rsid w:val="005A459C"/>
    <w:rsid w:val="005A463B"/>
    <w:rsid w:val="005A4926"/>
    <w:rsid w:val="005A4E17"/>
    <w:rsid w:val="005A4EA5"/>
    <w:rsid w:val="005A55CE"/>
    <w:rsid w:val="005A59A3"/>
    <w:rsid w:val="005A5CFA"/>
    <w:rsid w:val="005A5DED"/>
    <w:rsid w:val="005A5EC4"/>
    <w:rsid w:val="005A5F27"/>
    <w:rsid w:val="005A642A"/>
    <w:rsid w:val="005A67F7"/>
    <w:rsid w:val="005A692F"/>
    <w:rsid w:val="005A6945"/>
    <w:rsid w:val="005A6B3E"/>
    <w:rsid w:val="005A6C05"/>
    <w:rsid w:val="005A6C18"/>
    <w:rsid w:val="005A75D3"/>
    <w:rsid w:val="005A76A7"/>
    <w:rsid w:val="005A78F0"/>
    <w:rsid w:val="005A7EF1"/>
    <w:rsid w:val="005B0B31"/>
    <w:rsid w:val="005B0C41"/>
    <w:rsid w:val="005B1364"/>
    <w:rsid w:val="005B166E"/>
    <w:rsid w:val="005B17A9"/>
    <w:rsid w:val="005B18CA"/>
    <w:rsid w:val="005B19E1"/>
    <w:rsid w:val="005B19F3"/>
    <w:rsid w:val="005B1F9D"/>
    <w:rsid w:val="005B1FA4"/>
    <w:rsid w:val="005B2026"/>
    <w:rsid w:val="005B2120"/>
    <w:rsid w:val="005B219D"/>
    <w:rsid w:val="005B25EE"/>
    <w:rsid w:val="005B2E58"/>
    <w:rsid w:val="005B2F78"/>
    <w:rsid w:val="005B35EE"/>
    <w:rsid w:val="005B372C"/>
    <w:rsid w:val="005B3789"/>
    <w:rsid w:val="005B38AD"/>
    <w:rsid w:val="005B39BC"/>
    <w:rsid w:val="005B3B02"/>
    <w:rsid w:val="005B3B4B"/>
    <w:rsid w:val="005B3E6F"/>
    <w:rsid w:val="005B3ED4"/>
    <w:rsid w:val="005B3EFC"/>
    <w:rsid w:val="005B3F7C"/>
    <w:rsid w:val="005B3FDD"/>
    <w:rsid w:val="005B408C"/>
    <w:rsid w:val="005B473D"/>
    <w:rsid w:val="005B4916"/>
    <w:rsid w:val="005B4978"/>
    <w:rsid w:val="005B49D2"/>
    <w:rsid w:val="005B4D6E"/>
    <w:rsid w:val="005B4E74"/>
    <w:rsid w:val="005B4F07"/>
    <w:rsid w:val="005B50E2"/>
    <w:rsid w:val="005B537D"/>
    <w:rsid w:val="005B5804"/>
    <w:rsid w:val="005B58E1"/>
    <w:rsid w:val="005B5CBF"/>
    <w:rsid w:val="005B6265"/>
    <w:rsid w:val="005B64F5"/>
    <w:rsid w:val="005B68D8"/>
    <w:rsid w:val="005B707F"/>
    <w:rsid w:val="005B7298"/>
    <w:rsid w:val="005B7300"/>
    <w:rsid w:val="005B787A"/>
    <w:rsid w:val="005B79B4"/>
    <w:rsid w:val="005B7A41"/>
    <w:rsid w:val="005B7D2D"/>
    <w:rsid w:val="005C0488"/>
    <w:rsid w:val="005C06F2"/>
    <w:rsid w:val="005C099B"/>
    <w:rsid w:val="005C09F9"/>
    <w:rsid w:val="005C0D49"/>
    <w:rsid w:val="005C0DA1"/>
    <w:rsid w:val="005C0F05"/>
    <w:rsid w:val="005C109B"/>
    <w:rsid w:val="005C11D1"/>
    <w:rsid w:val="005C1432"/>
    <w:rsid w:val="005C1525"/>
    <w:rsid w:val="005C15B9"/>
    <w:rsid w:val="005C1823"/>
    <w:rsid w:val="005C187E"/>
    <w:rsid w:val="005C198E"/>
    <w:rsid w:val="005C1A91"/>
    <w:rsid w:val="005C1AEB"/>
    <w:rsid w:val="005C1E80"/>
    <w:rsid w:val="005C1EB0"/>
    <w:rsid w:val="005C1F8E"/>
    <w:rsid w:val="005C201E"/>
    <w:rsid w:val="005C2435"/>
    <w:rsid w:val="005C285A"/>
    <w:rsid w:val="005C2AAE"/>
    <w:rsid w:val="005C2BE2"/>
    <w:rsid w:val="005C2FC9"/>
    <w:rsid w:val="005C3314"/>
    <w:rsid w:val="005C35B0"/>
    <w:rsid w:val="005C368E"/>
    <w:rsid w:val="005C3B32"/>
    <w:rsid w:val="005C3DF3"/>
    <w:rsid w:val="005C406E"/>
    <w:rsid w:val="005C407E"/>
    <w:rsid w:val="005C40C1"/>
    <w:rsid w:val="005C47BC"/>
    <w:rsid w:val="005C47CA"/>
    <w:rsid w:val="005C5056"/>
    <w:rsid w:val="005C5334"/>
    <w:rsid w:val="005C5367"/>
    <w:rsid w:val="005C53F5"/>
    <w:rsid w:val="005C54F3"/>
    <w:rsid w:val="005C5518"/>
    <w:rsid w:val="005C56D6"/>
    <w:rsid w:val="005C5705"/>
    <w:rsid w:val="005C59FD"/>
    <w:rsid w:val="005C5ACF"/>
    <w:rsid w:val="005C5B12"/>
    <w:rsid w:val="005C5EAD"/>
    <w:rsid w:val="005C60B0"/>
    <w:rsid w:val="005C6570"/>
    <w:rsid w:val="005C69DD"/>
    <w:rsid w:val="005C6AF6"/>
    <w:rsid w:val="005C6D6F"/>
    <w:rsid w:val="005C704D"/>
    <w:rsid w:val="005C7180"/>
    <w:rsid w:val="005C738E"/>
    <w:rsid w:val="005C741F"/>
    <w:rsid w:val="005C74E7"/>
    <w:rsid w:val="005C7552"/>
    <w:rsid w:val="005C7849"/>
    <w:rsid w:val="005C79DE"/>
    <w:rsid w:val="005C7AA5"/>
    <w:rsid w:val="005C7BB3"/>
    <w:rsid w:val="005C7CC6"/>
    <w:rsid w:val="005C7EA3"/>
    <w:rsid w:val="005D000B"/>
    <w:rsid w:val="005D01B5"/>
    <w:rsid w:val="005D024B"/>
    <w:rsid w:val="005D0529"/>
    <w:rsid w:val="005D062A"/>
    <w:rsid w:val="005D06D0"/>
    <w:rsid w:val="005D09D0"/>
    <w:rsid w:val="005D16D0"/>
    <w:rsid w:val="005D173C"/>
    <w:rsid w:val="005D178E"/>
    <w:rsid w:val="005D1BE1"/>
    <w:rsid w:val="005D1BEE"/>
    <w:rsid w:val="005D1F72"/>
    <w:rsid w:val="005D22C6"/>
    <w:rsid w:val="005D230B"/>
    <w:rsid w:val="005D23A1"/>
    <w:rsid w:val="005D272A"/>
    <w:rsid w:val="005D27C3"/>
    <w:rsid w:val="005D2820"/>
    <w:rsid w:val="005D2962"/>
    <w:rsid w:val="005D2EB4"/>
    <w:rsid w:val="005D30DE"/>
    <w:rsid w:val="005D35DC"/>
    <w:rsid w:val="005D3695"/>
    <w:rsid w:val="005D3995"/>
    <w:rsid w:val="005D39EF"/>
    <w:rsid w:val="005D39FA"/>
    <w:rsid w:val="005D3C25"/>
    <w:rsid w:val="005D405A"/>
    <w:rsid w:val="005D44AC"/>
    <w:rsid w:val="005D45D7"/>
    <w:rsid w:val="005D4729"/>
    <w:rsid w:val="005D48C5"/>
    <w:rsid w:val="005D4D1D"/>
    <w:rsid w:val="005D4D69"/>
    <w:rsid w:val="005D4E18"/>
    <w:rsid w:val="005D4E37"/>
    <w:rsid w:val="005D4EBA"/>
    <w:rsid w:val="005D5626"/>
    <w:rsid w:val="005D5A0F"/>
    <w:rsid w:val="005D60D1"/>
    <w:rsid w:val="005D61D0"/>
    <w:rsid w:val="005D6274"/>
    <w:rsid w:val="005D63AB"/>
    <w:rsid w:val="005D6506"/>
    <w:rsid w:val="005D659F"/>
    <w:rsid w:val="005D6606"/>
    <w:rsid w:val="005D6A48"/>
    <w:rsid w:val="005D6DFD"/>
    <w:rsid w:val="005D713E"/>
    <w:rsid w:val="005D7288"/>
    <w:rsid w:val="005D7719"/>
    <w:rsid w:val="005D797E"/>
    <w:rsid w:val="005D7BD0"/>
    <w:rsid w:val="005D7EFA"/>
    <w:rsid w:val="005E0272"/>
    <w:rsid w:val="005E0281"/>
    <w:rsid w:val="005E067B"/>
    <w:rsid w:val="005E09BD"/>
    <w:rsid w:val="005E0CE6"/>
    <w:rsid w:val="005E100D"/>
    <w:rsid w:val="005E1048"/>
    <w:rsid w:val="005E107E"/>
    <w:rsid w:val="005E13B8"/>
    <w:rsid w:val="005E13D2"/>
    <w:rsid w:val="005E1486"/>
    <w:rsid w:val="005E1488"/>
    <w:rsid w:val="005E14B3"/>
    <w:rsid w:val="005E14CD"/>
    <w:rsid w:val="005E1543"/>
    <w:rsid w:val="005E178D"/>
    <w:rsid w:val="005E1868"/>
    <w:rsid w:val="005E1B18"/>
    <w:rsid w:val="005E1B94"/>
    <w:rsid w:val="005E1E9F"/>
    <w:rsid w:val="005E207B"/>
    <w:rsid w:val="005E2086"/>
    <w:rsid w:val="005E20B8"/>
    <w:rsid w:val="005E2186"/>
    <w:rsid w:val="005E2457"/>
    <w:rsid w:val="005E2A2B"/>
    <w:rsid w:val="005E2F1B"/>
    <w:rsid w:val="005E308B"/>
    <w:rsid w:val="005E31FF"/>
    <w:rsid w:val="005E32D9"/>
    <w:rsid w:val="005E34FD"/>
    <w:rsid w:val="005E397A"/>
    <w:rsid w:val="005E3ADE"/>
    <w:rsid w:val="005E3BB1"/>
    <w:rsid w:val="005E4032"/>
    <w:rsid w:val="005E41E2"/>
    <w:rsid w:val="005E4449"/>
    <w:rsid w:val="005E45EC"/>
    <w:rsid w:val="005E45F6"/>
    <w:rsid w:val="005E4753"/>
    <w:rsid w:val="005E4AC2"/>
    <w:rsid w:val="005E4AF1"/>
    <w:rsid w:val="005E4B08"/>
    <w:rsid w:val="005E5195"/>
    <w:rsid w:val="005E53EE"/>
    <w:rsid w:val="005E54BD"/>
    <w:rsid w:val="005E550F"/>
    <w:rsid w:val="005E5805"/>
    <w:rsid w:val="005E5BA9"/>
    <w:rsid w:val="005E5DBB"/>
    <w:rsid w:val="005E5F7F"/>
    <w:rsid w:val="005E621E"/>
    <w:rsid w:val="005E6364"/>
    <w:rsid w:val="005E63FB"/>
    <w:rsid w:val="005E6589"/>
    <w:rsid w:val="005E6880"/>
    <w:rsid w:val="005E6970"/>
    <w:rsid w:val="005E699A"/>
    <w:rsid w:val="005E6BF8"/>
    <w:rsid w:val="005E6C6A"/>
    <w:rsid w:val="005E725F"/>
    <w:rsid w:val="005E72C4"/>
    <w:rsid w:val="005E7533"/>
    <w:rsid w:val="005E7829"/>
    <w:rsid w:val="005E7863"/>
    <w:rsid w:val="005E7D8E"/>
    <w:rsid w:val="005E7DBD"/>
    <w:rsid w:val="005E7DDB"/>
    <w:rsid w:val="005E7E62"/>
    <w:rsid w:val="005F002D"/>
    <w:rsid w:val="005F00F8"/>
    <w:rsid w:val="005F0215"/>
    <w:rsid w:val="005F0B44"/>
    <w:rsid w:val="005F0BB3"/>
    <w:rsid w:val="005F0BC7"/>
    <w:rsid w:val="005F0C72"/>
    <w:rsid w:val="005F0CF7"/>
    <w:rsid w:val="005F0E95"/>
    <w:rsid w:val="005F128F"/>
    <w:rsid w:val="005F1393"/>
    <w:rsid w:val="005F1516"/>
    <w:rsid w:val="005F1D74"/>
    <w:rsid w:val="005F1DDB"/>
    <w:rsid w:val="005F1E2C"/>
    <w:rsid w:val="005F2016"/>
    <w:rsid w:val="005F2612"/>
    <w:rsid w:val="005F2787"/>
    <w:rsid w:val="005F287B"/>
    <w:rsid w:val="005F2A3F"/>
    <w:rsid w:val="005F2D5F"/>
    <w:rsid w:val="005F2E1A"/>
    <w:rsid w:val="005F2F60"/>
    <w:rsid w:val="005F315D"/>
    <w:rsid w:val="005F318E"/>
    <w:rsid w:val="005F3451"/>
    <w:rsid w:val="005F35CF"/>
    <w:rsid w:val="005F378F"/>
    <w:rsid w:val="005F3B17"/>
    <w:rsid w:val="005F3C31"/>
    <w:rsid w:val="005F4039"/>
    <w:rsid w:val="005F4304"/>
    <w:rsid w:val="005F43FD"/>
    <w:rsid w:val="005F466A"/>
    <w:rsid w:val="005F4B8C"/>
    <w:rsid w:val="005F4BAF"/>
    <w:rsid w:val="005F4C51"/>
    <w:rsid w:val="005F4FEC"/>
    <w:rsid w:val="005F532E"/>
    <w:rsid w:val="005F5340"/>
    <w:rsid w:val="005F5631"/>
    <w:rsid w:val="005F5922"/>
    <w:rsid w:val="005F5977"/>
    <w:rsid w:val="005F5A7D"/>
    <w:rsid w:val="005F668C"/>
    <w:rsid w:val="005F66D7"/>
    <w:rsid w:val="005F6774"/>
    <w:rsid w:val="005F682B"/>
    <w:rsid w:val="005F6833"/>
    <w:rsid w:val="005F6AF5"/>
    <w:rsid w:val="005F6D95"/>
    <w:rsid w:val="005F6E36"/>
    <w:rsid w:val="005F7472"/>
    <w:rsid w:val="005F77AC"/>
    <w:rsid w:val="005F77C2"/>
    <w:rsid w:val="005F7887"/>
    <w:rsid w:val="005F7A6C"/>
    <w:rsid w:val="005F7C10"/>
    <w:rsid w:val="005F7DDA"/>
    <w:rsid w:val="005F7EA0"/>
    <w:rsid w:val="00600001"/>
    <w:rsid w:val="0060016D"/>
    <w:rsid w:val="006008EE"/>
    <w:rsid w:val="00600A65"/>
    <w:rsid w:val="00600B55"/>
    <w:rsid w:val="00600B91"/>
    <w:rsid w:val="00600ED9"/>
    <w:rsid w:val="00600FF8"/>
    <w:rsid w:val="00601096"/>
    <w:rsid w:val="00601229"/>
    <w:rsid w:val="00601822"/>
    <w:rsid w:val="0060197C"/>
    <w:rsid w:val="00601A9C"/>
    <w:rsid w:val="00601B73"/>
    <w:rsid w:val="00601B8F"/>
    <w:rsid w:val="00601B92"/>
    <w:rsid w:val="0060217E"/>
    <w:rsid w:val="00602187"/>
    <w:rsid w:val="00602255"/>
    <w:rsid w:val="00602556"/>
    <w:rsid w:val="0060277C"/>
    <w:rsid w:val="00602AE3"/>
    <w:rsid w:val="00602EAE"/>
    <w:rsid w:val="0060327F"/>
    <w:rsid w:val="00603805"/>
    <w:rsid w:val="0060393E"/>
    <w:rsid w:val="00603C51"/>
    <w:rsid w:val="00604222"/>
    <w:rsid w:val="00604288"/>
    <w:rsid w:val="0060445F"/>
    <w:rsid w:val="00604758"/>
    <w:rsid w:val="006049DD"/>
    <w:rsid w:val="00604B34"/>
    <w:rsid w:val="00604D75"/>
    <w:rsid w:val="00604F12"/>
    <w:rsid w:val="00605321"/>
    <w:rsid w:val="00605400"/>
    <w:rsid w:val="00605515"/>
    <w:rsid w:val="00605663"/>
    <w:rsid w:val="0060594D"/>
    <w:rsid w:val="00605CC1"/>
    <w:rsid w:val="00605CF4"/>
    <w:rsid w:val="00605DC8"/>
    <w:rsid w:val="00605DE5"/>
    <w:rsid w:val="00605EA0"/>
    <w:rsid w:val="00606146"/>
    <w:rsid w:val="0060636B"/>
    <w:rsid w:val="006063C9"/>
    <w:rsid w:val="006066AD"/>
    <w:rsid w:val="006067C5"/>
    <w:rsid w:val="006068D1"/>
    <w:rsid w:val="00606A8B"/>
    <w:rsid w:val="00606C1F"/>
    <w:rsid w:val="00606EAB"/>
    <w:rsid w:val="00606ECF"/>
    <w:rsid w:val="00607076"/>
    <w:rsid w:val="00607577"/>
    <w:rsid w:val="0060773F"/>
    <w:rsid w:val="00607844"/>
    <w:rsid w:val="00607869"/>
    <w:rsid w:val="006078BF"/>
    <w:rsid w:val="00607A33"/>
    <w:rsid w:val="00607C50"/>
    <w:rsid w:val="00610255"/>
    <w:rsid w:val="0061068A"/>
    <w:rsid w:val="00610B71"/>
    <w:rsid w:val="00610C09"/>
    <w:rsid w:val="00611070"/>
    <w:rsid w:val="00611233"/>
    <w:rsid w:val="00611392"/>
    <w:rsid w:val="00611580"/>
    <w:rsid w:val="006116D3"/>
    <w:rsid w:val="006118D9"/>
    <w:rsid w:val="00611BDE"/>
    <w:rsid w:val="00611C2A"/>
    <w:rsid w:val="00611DDB"/>
    <w:rsid w:val="00611ED2"/>
    <w:rsid w:val="00611F76"/>
    <w:rsid w:val="00611FC7"/>
    <w:rsid w:val="006121BE"/>
    <w:rsid w:val="006126A3"/>
    <w:rsid w:val="006126BE"/>
    <w:rsid w:val="00612819"/>
    <w:rsid w:val="00612891"/>
    <w:rsid w:val="00612A0E"/>
    <w:rsid w:val="00612A95"/>
    <w:rsid w:val="00612C62"/>
    <w:rsid w:val="00612CC8"/>
    <w:rsid w:val="00612DF0"/>
    <w:rsid w:val="0061350E"/>
    <w:rsid w:val="00613730"/>
    <w:rsid w:val="00613796"/>
    <w:rsid w:val="00613900"/>
    <w:rsid w:val="00613D4D"/>
    <w:rsid w:val="00613E9B"/>
    <w:rsid w:val="0061402E"/>
    <w:rsid w:val="00614089"/>
    <w:rsid w:val="006142CE"/>
    <w:rsid w:val="00614377"/>
    <w:rsid w:val="006144BD"/>
    <w:rsid w:val="0061475C"/>
    <w:rsid w:val="006147AE"/>
    <w:rsid w:val="00614857"/>
    <w:rsid w:val="00614CB5"/>
    <w:rsid w:val="00615283"/>
    <w:rsid w:val="006154E0"/>
    <w:rsid w:val="0061571D"/>
    <w:rsid w:val="006157FB"/>
    <w:rsid w:val="0061583F"/>
    <w:rsid w:val="00615F68"/>
    <w:rsid w:val="006160C6"/>
    <w:rsid w:val="0061632B"/>
    <w:rsid w:val="006164C1"/>
    <w:rsid w:val="00616598"/>
    <w:rsid w:val="00616653"/>
    <w:rsid w:val="00616786"/>
    <w:rsid w:val="00616791"/>
    <w:rsid w:val="00616899"/>
    <w:rsid w:val="00616B7A"/>
    <w:rsid w:val="00616BF6"/>
    <w:rsid w:val="00616C87"/>
    <w:rsid w:val="00616DDE"/>
    <w:rsid w:val="00617241"/>
    <w:rsid w:val="006173B9"/>
    <w:rsid w:val="006176C8"/>
    <w:rsid w:val="006176EE"/>
    <w:rsid w:val="00617C09"/>
    <w:rsid w:val="00617C8B"/>
    <w:rsid w:val="00617D6A"/>
    <w:rsid w:val="006201E8"/>
    <w:rsid w:val="00620541"/>
    <w:rsid w:val="006205DE"/>
    <w:rsid w:val="00620601"/>
    <w:rsid w:val="00620A5D"/>
    <w:rsid w:val="00620CEA"/>
    <w:rsid w:val="00620EE4"/>
    <w:rsid w:val="00621065"/>
    <w:rsid w:val="006214EC"/>
    <w:rsid w:val="006216F1"/>
    <w:rsid w:val="0062184E"/>
    <w:rsid w:val="00621C94"/>
    <w:rsid w:val="00621E92"/>
    <w:rsid w:val="00621FAE"/>
    <w:rsid w:val="006222A2"/>
    <w:rsid w:val="0062251F"/>
    <w:rsid w:val="0062253F"/>
    <w:rsid w:val="006228EF"/>
    <w:rsid w:val="00622B04"/>
    <w:rsid w:val="00622CFE"/>
    <w:rsid w:val="00622E20"/>
    <w:rsid w:val="00622F93"/>
    <w:rsid w:val="00622FB6"/>
    <w:rsid w:val="0062318C"/>
    <w:rsid w:val="0062329E"/>
    <w:rsid w:val="00623905"/>
    <w:rsid w:val="00623D74"/>
    <w:rsid w:val="00623E0C"/>
    <w:rsid w:val="00623F43"/>
    <w:rsid w:val="00624040"/>
    <w:rsid w:val="00624081"/>
    <w:rsid w:val="0062417D"/>
    <w:rsid w:val="006241B5"/>
    <w:rsid w:val="006242C6"/>
    <w:rsid w:val="0062445C"/>
    <w:rsid w:val="00624BD8"/>
    <w:rsid w:val="00625228"/>
    <w:rsid w:val="006253E5"/>
    <w:rsid w:val="0062546C"/>
    <w:rsid w:val="0062567E"/>
    <w:rsid w:val="00625809"/>
    <w:rsid w:val="00625812"/>
    <w:rsid w:val="00625983"/>
    <w:rsid w:val="00625B3A"/>
    <w:rsid w:val="00625D8D"/>
    <w:rsid w:val="00625E94"/>
    <w:rsid w:val="00625EB3"/>
    <w:rsid w:val="00625ED5"/>
    <w:rsid w:val="0062601C"/>
    <w:rsid w:val="00626399"/>
    <w:rsid w:val="0062650F"/>
    <w:rsid w:val="00626516"/>
    <w:rsid w:val="0062660B"/>
    <w:rsid w:val="00626D96"/>
    <w:rsid w:val="006271DF"/>
    <w:rsid w:val="00627384"/>
    <w:rsid w:val="006273F8"/>
    <w:rsid w:val="00627EBC"/>
    <w:rsid w:val="00627F68"/>
    <w:rsid w:val="00627FDB"/>
    <w:rsid w:val="006303EA"/>
    <w:rsid w:val="00630650"/>
    <w:rsid w:val="00630733"/>
    <w:rsid w:val="00630776"/>
    <w:rsid w:val="00630901"/>
    <w:rsid w:val="006311BC"/>
    <w:rsid w:val="006313D9"/>
    <w:rsid w:val="006319D4"/>
    <w:rsid w:val="00631D76"/>
    <w:rsid w:val="00631DBA"/>
    <w:rsid w:val="00631EAC"/>
    <w:rsid w:val="00631EAF"/>
    <w:rsid w:val="0063217D"/>
    <w:rsid w:val="0063223E"/>
    <w:rsid w:val="00632305"/>
    <w:rsid w:val="0063255A"/>
    <w:rsid w:val="006325B5"/>
    <w:rsid w:val="00632944"/>
    <w:rsid w:val="00632D4D"/>
    <w:rsid w:val="00632EF2"/>
    <w:rsid w:val="00632F0A"/>
    <w:rsid w:val="00632F79"/>
    <w:rsid w:val="00633277"/>
    <w:rsid w:val="0063331E"/>
    <w:rsid w:val="00633564"/>
    <w:rsid w:val="00633B58"/>
    <w:rsid w:val="00633C43"/>
    <w:rsid w:val="00634024"/>
    <w:rsid w:val="006341D0"/>
    <w:rsid w:val="006341DD"/>
    <w:rsid w:val="0063446C"/>
    <w:rsid w:val="006344BF"/>
    <w:rsid w:val="0063457D"/>
    <w:rsid w:val="0063458C"/>
    <w:rsid w:val="006347DB"/>
    <w:rsid w:val="00634FBE"/>
    <w:rsid w:val="00635298"/>
    <w:rsid w:val="006352F1"/>
    <w:rsid w:val="006352F4"/>
    <w:rsid w:val="0063534A"/>
    <w:rsid w:val="00635390"/>
    <w:rsid w:val="006353A0"/>
    <w:rsid w:val="00635403"/>
    <w:rsid w:val="00635491"/>
    <w:rsid w:val="006354F9"/>
    <w:rsid w:val="0063552F"/>
    <w:rsid w:val="0063572F"/>
    <w:rsid w:val="00635B2D"/>
    <w:rsid w:val="00635C51"/>
    <w:rsid w:val="00636000"/>
    <w:rsid w:val="006361E8"/>
    <w:rsid w:val="00636B56"/>
    <w:rsid w:val="00636C54"/>
    <w:rsid w:val="00636CCE"/>
    <w:rsid w:val="00636F03"/>
    <w:rsid w:val="0063747A"/>
    <w:rsid w:val="0063783D"/>
    <w:rsid w:val="00637881"/>
    <w:rsid w:val="00637937"/>
    <w:rsid w:val="0063798F"/>
    <w:rsid w:val="006379A5"/>
    <w:rsid w:val="00637A4A"/>
    <w:rsid w:val="00637E51"/>
    <w:rsid w:val="00640028"/>
    <w:rsid w:val="006400F6"/>
    <w:rsid w:val="00640256"/>
    <w:rsid w:val="0064059D"/>
    <w:rsid w:val="00640868"/>
    <w:rsid w:val="00640AA7"/>
    <w:rsid w:val="00640AFF"/>
    <w:rsid w:val="00640CBE"/>
    <w:rsid w:val="00640E8A"/>
    <w:rsid w:val="006410B9"/>
    <w:rsid w:val="00641127"/>
    <w:rsid w:val="00641142"/>
    <w:rsid w:val="0064134D"/>
    <w:rsid w:val="006413FB"/>
    <w:rsid w:val="00641589"/>
    <w:rsid w:val="006418A4"/>
    <w:rsid w:val="0064196A"/>
    <w:rsid w:val="006419FD"/>
    <w:rsid w:val="00641BF0"/>
    <w:rsid w:val="00641C1C"/>
    <w:rsid w:val="00641C74"/>
    <w:rsid w:val="00641D47"/>
    <w:rsid w:val="00641F81"/>
    <w:rsid w:val="006420B9"/>
    <w:rsid w:val="0064236A"/>
    <w:rsid w:val="006423F2"/>
    <w:rsid w:val="00642743"/>
    <w:rsid w:val="00642818"/>
    <w:rsid w:val="00642EEC"/>
    <w:rsid w:val="00642F71"/>
    <w:rsid w:val="00642FE4"/>
    <w:rsid w:val="006431FD"/>
    <w:rsid w:val="006435FD"/>
    <w:rsid w:val="0064371E"/>
    <w:rsid w:val="00643A6A"/>
    <w:rsid w:val="00643A99"/>
    <w:rsid w:val="00643D2D"/>
    <w:rsid w:val="00643F81"/>
    <w:rsid w:val="0064424F"/>
    <w:rsid w:val="006443C2"/>
    <w:rsid w:val="006446C5"/>
    <w:rsid w:val="00645016"/>
    <w:rsid w:val="006450E6"/>
    <w:rsid w:val="00645237"/>
    <w:rsid w:val="00645924"/>
    <w:rsid w:val="00645C1A"/>
    <w:rsid w:val="00645C39"/>
    <w:rsid w:val="00645CF6"/>
    <w:rsid w:val="00645D64"/>
    <w:rsid w:val="00645D7D"/>
    <w:rsid w:val="00645E5C"/>
    <w:rsid w:val="00645EF4"/>
    <w:rsid w:val="00646055"/>
    <w:rsid w:val="006460D2"/>
    <w:rsid w:val="006460F3"/>
    <w:rsid w:val="00646765"/>
    <w:rsid w:val="006467AB"/>
    <w:rsid w:val="00646FC6"/>
    <w:rsid w:val="0064716B"/>
    <w:rsid w:val="006474C8"/>
    <w:rsid w:val="0064768B"/>
    <w:rsid w:val="006476F4"/>
    <w:rsid w:val="006478E7"/>
    <w:rsid w:val="00647BAE"/>
    <w:rsid w:val="00647C50"/>
    <w:rsid w:val="00647CCB"/>
    <w:rsid w:val="00647D1D"/>
    <w:rsid w:val="00647F3F"/>
    <w:rsid w:val="00647FAD"/>
    <w:rsid w:val="00650120"/>
    <w:rsid w:val="00650612"/>
    <w:rsid w:val="00650C59"/>
    <w:rsid w:val="00650EDC"/>
    <w:rsid w:val="00650F0C"/>
    <w:rsid w:val="006512A7"/>
    <w:rsid w:val="00651909"/>
    <w:rsid w:val="00651C37"/>
    <w:rsid w:val="00651D1C"/>
    <w:rsid w:val="00651F53"/>
    <w:rsid w:val="00652113"/>
    <w:rsid w:val="0065214E"/>
    <w:rsid w:val="00652372"/>
    <w:rsid w:val="006524C9"/>
    <w:rsid w:val="006525CF"/>
    <w:rsid w:val="006527D6"/>
    <w:rsid w:val="00652FFB"/>
    <w:rsid w:val="006531F0"/>
    <w:rsid w:val="00653269"/>
    <w:rsid w:val="006532A2"/>
    <w:rsid w:val="0065342E"/>
    <w:rsid w:val="0065383A"/>
    <w:rsid w:val="00653D09"/>
    <w:rsid w:val="006540C5"/>
    <w:rsid w:val="006540DA"/>
    <w:rsid w:val="006542B0"/>
    <w:rsid w:val="0065436F"/>
    <w:rsid w:val="006548C8"/>
    <w:rsid w:val="00654B7C"/>
    <w:rsid w:val="00654BCA"/>
    <w:rsid w:val="00654EB5"/>
    <w:rsid w:val="006550A2"/>
    <w:rsid w:val="006550D4"/>
    <w:rsid w:val="00655243"/>
    <w:rsid w:val="00655457"/>
    <w:rsid w:val="0065545C"/>
    <w:rsid w:val="00655819"/>
    <w:rsid w:val="00655864"/>
    <w:rsid w:val="00655A23"/>
    <w:rsid w:val="00655B19"/>
    <w:rsid w:val="00655EC7"/>
    <w:rsid w:val="00655EEF"/>
    <w:rsid w:val="00655FCA"/>
    <w:rsid w:val="0065606D"/>
    <w:rsid w:val="0065607B"/>
    <w:rsid w:val="0065637F"/>
    <w:rsid w:val="0065652E"/>
    <w:rsid w:val="00656615"/>
    <w:rsid w:val="0065687C"/>
    <w:rsid w:val="00656903"/>
    <w:rsid w:val="0065699F"/>
    <w:rsid w:val="00656CEE"/>
    <w:rsid w:val="00656D80"/>
    <w:rsid w:val="00656DBA"/>
    <w:rsid w:val="00656EBB"/>
    <w:rsid w:val="00656FA7"/>
    <w:rsid w:val="00657043"/>
    <w:rsid w:val="0065715D"/>
    <w:rsid w:val="00657188"/>
    <w:rsid w:val="00657492"/>
    <w:rsid w:val="00657563"/>
    <w:rsid w:val="00657635"/>
    <w:rsid w:val="00657654"/>
    <w:rsid w:val="0065798C"/>
    <w:rsid w:val="00657B8C"/>
    <w:rsid w:val="00657D49"/>
    <w:rsid w:val="00657DBC"/>
    <w:rsid w:val="006600A8"/>
    <w:rsid w:val="006602D2"/>
    <w:rsid w:val="006607B9"/>
    <w:rsid w:val="006608CA"/>
    <w:rsid w:val="00660F1E"/>
    <w:rsid w:val="00660FA6"/>
    <w:rsid w:val="0066195F"/>
    <w:rsid w:val="00661A7B"/>
    <w:rsid w:val="00661D21"/>
    <w:rsid w:val="006620C2"/>
    <w:rsid w:val="006620E2"/>
    <w:rsid w:val="00662964"/>
    <w:rsid w:val="00662972"/>
    <w:rsid w:val="00662A2A"/>
    <w:rsid w:val="00662A6F"/>
    <w:rsid w:val="00662AB7"/>
    <w:rsid w:val="00662B2A"/>
    <w:rsid w:val="00662E9E"/>
    <w:rsid w:val="00662F73"/>
    <w:rsid w:val="006632A4"/>
    <w:rsid w:val="00663324"/>
    <w:rsid w:val="00663368"/>
    <w:rsid w:val="00664244"/>
    <w:rsid w:val="0066430F"/>
    <w:rsid w:val="00664365"/>
    <w:rsid w:val="00664561"/>
    <w:rsid w:val="006646A3"/>
    <w:rsid w:val="00664785"/>
    <w:rsid w:val="0066483E"/>
    <w:rsid w:val="0066488C"/>
    <w:rsid w:val="006649FF"/>
    <w:rsid w:val="00664A57"/>
    <w:rsid w:val="00664D3B"/>
    <w:rsid w:val="00664DB3"/>
    <w:rsid w:val="00664DE1"/>
    <w:rsid w:val="00665050"/>
    <w:rsid w:val="006650DE"/>
    <w:rsid w:val="0066570F"/>
    <w:rsid w:val="00665749"/>
    <w:rsid w:val="0066592C"/>
    <w:rsid w:val="006659D1"/>
    <w:rsid w:val="00665AD9"/>
    <w:rsid w:val="00665AE8"/>
    <w:rsid w:val="00665E09"/>
    <w:rsid w:val="00666590"/>
    <w:rsid w:val="0066660C"/>
    <w:rsid w:val="00666925"/>
    <w:rsid w:val="006669F5"/>
    <w:rsid w:val="00666D0F"/>
    <w:rsid w:val="00666F46"/>
    <w:rsid w:val="00666F56"/>
    <w:rsid w:val="00667090"/>
    <w:rsid w:val="006672C5"/>
    <w:rsid w:val="00667360"/>
    <w:rsid w:val="006673D4"/>
    <w:rsid w:val="0066784D"/>
    <w:rsid w:val="00667878"/>
    <w:rsid w:val="00667986"/>
    <w:rsid w:val="00667B74"/>
    <w:rsid w:val="00667C60"/>
    <w:rsid w:val="00667F61"/>
    <w:rsid w:val="00670016"/>
    <w:rsid w:val="00670179"/>
    <w:rsid w:val="006703B4"/>
    <w:rsid w:val="006705DB"/>
    <w:rsid w:val="006706A4"/>
    <w:rsid w:val="006707A3"/>
    <w:rsid w:val="006708B2"/>
    <w:rsid w:val="0067092C"/>
    <w:rsid w:val="00670A19"/>
    <w:rsid w:val="00670C7A"/>
    <w:rsid w:val="00670D8A"/>
    <w:rsid w:val="00670E13"/>
    <w:rsid w:val="00670E66"/>
    <w:rsid w:val="00670F2B"/>
    <w:rsid w:val="0067108F"/>
    <w:rsid w:val="00671240"/>
    <w:rsid w:val="0067133D"/>
    <w:rsid w:val="0067141C"/>
    <w:rsid w:val="0067165A"/>
    <w:rsid w:val="006719C0"/>
    <w:rsid w:val="00671C97"/>
    <w:rsid w:val="00671EA6"/>
    <w:rsid w:val="0067235C"/>
    <w:rsid w:val="006724AD"/>
    <w:rsid w:val="0067250F"/>
    <w:rsid w:val="0067257D"/>
    <w:rsid w:val="00672964"/>
    <w:rsid w:val="00672A2A"/>
    <w:rsid w:val="00672C48"/>
    <w:rsid w:val="00672DED"/>
    <w:rsid w:val="00672E3A"/>
    <w:rsid w:val="00672E45"/>
    <w:rsid w:val="00672F00"/>
    <w:rsid w:val="006733BB"/>
    <w:rsid w:val="00673833"/>
    <w:rsid w:val="00673897"/>
    <w:rsid w:val="00673B20"/>
    <w:rsid w:val="00673B75"/>
    <w:rsid w:val="00673BF6"/>
    <w:rsid w:val="00673DE4"/>
    <w:rsid w:val="00673DEB"/>
    <w:rsid w:val="00674303"/>
    <w:rsid w:val="006745A2"/>
    <w:rsid w:val="00674871"/>
    <w:rsid w:val="006749D4"/>
    <w:rsid w:val="00674B31"/>
    <w:rsid w:val="00674CCB"/>
    <w:rsid w:val="0067598B"/>
    <w:rsid w:val="00675B3C"/>
    <w:rsid w:val="00675D9D"/>
    <w:rsid w:val="00675F32"/>
    <w:rsid w:val="0067653A"/>
    <w:rsid w:val="00676B75"/>
    <w:rsid w:val="00676F03"/>
    <w:rsid w:val="006772BE"/>
    <w:rsid w:val="006773CD"/>
    <w:rsid w:val="0067751D"/>
    <w:rsid w:val="00677D32"/>
    <w:rsid w:val="00677FAA"/>
    <w:rsid w:val="006801DF"/>
    <w:rsid w:val="00680289"/>
    <w:rsid w:val="00680549"/>
    <w:rsid w:val="00680565"/>
    <w:rsid w:val="0068056E"/>
    <w:rsid w:val="00680BD6"/>
    <w:rsid w:val="00680D85"/>
    <w:rsid w:val="00680EB1"/>
    <w:rsid w:val="006810F9"/>
    <w:rsid w:val="00681162"/>
    <w:rsid w:val="006814D9"/>
    <w:rsid w:val="00681696"/>
    <w:rsid w:val="0068193D"/>
    <w:rsid w:val="00681A0F"/>
    <w:rsid w:val="00681C51"/>
    <w:rsid w:val="00681EBB"/>
    <w:rsid w:val="006820DE"/>
    <w:rsid w:val="006824FE"/>
    <w:rsid w:val="0068253D"/>
    <w:rsid w:val="00682671"/>
    <w:rsid w:val="0068270D"/>
    <w:rsid w:val="0068321E"/>
    <w:rsid w:val="00683693"/>
    <w:rsid w:val="00683763"/>
    <w:rsid w:val="0068385D"/>
    <w:rsid w:val="0068394D"/>
    <w:rsid w:val="0068398C"/>
    <w:rsid w:val="00683EA1"/>
    <w:rsid w:val="00683EB1"/>
    <w:rsid w:val="00683ED7"/>
    <w:rsid w:val="00683F8E"/>
    <w:rsid w:val="006841E7"/>
    <w:rsid w:val="00684202"/>
    <w:rsid w:val="00684949"/>
    <w:rsid w:val="00684C4C"/>
    <w:rsid w:val="00684D2D"/>
    <w:rsid w:val="00684FE3"/>
    <w:rsid w:val="006853FF"/>
    <w:rsid w:val="00685427"/>
    <w:rsid w:val="0068572A"/>
    <w:rsid w:val="006859D0"/>
    <w:rsid w:val="00685A0C"/>
    <w:rsid w:val="00685A89"/>
    <w:rsid w:val="00685C78"/>
    <w:rsid w:val="006861D0"/>
    <w:rsid w:val="006861F3"/>
    <w:rsid w:val="006863DB"/>
    <w:rsid w:val="006863F9"/>
    <w:rsid w:val="00686C2E"/>
    <w:rsid w:val="00686CE0"/>
    <w:rsid w:val="00687176"/>
    <w:rsid w:val="00687363"/>
    <w:rsid w:val="00687A64"/>
    <w:rsid w:val="00690077"/>
    <w:rsid w:val="0069031F"/>
    <w:rsid w:val="00690511"/>
    <w:rsid w:val="00690598"/>
    <w:rsid w:val="0069063B"/>
    <w:rsid w:val="006907FA"/>
    <w:rsid w:val="006909ED"/>
    <w:rsid w:val="00690EDA"/>
    <w:rsid w:val="00690FDA"/>
    <w:rsid w:val="0069117E"/>
    <w:rsid w:val="00691302"/>
    <w:rsid w:val="006913C2"/>
    <w:rsid w:val="00691701"/>
    <w:rsid w:val="006917A0"/>
    <w:rsid w:val="006918AE"/>
    <w:rsid w:val="00691CCE"/>
    <w:rsid w:val="006920AB"/>
    <w:rsid w:val="006921D1"/>
    <w:rsid w:val="00692205"/>
    <w:rsid w:val="0069221B"/>
    <w:rsid w:val="0069231A"/>
    <w:rsid w:val="00692772"/>
    <w:rsid w:val="0069299B"/>
    <w:rsid w:val="00692AD6"/>
    <w:rsid w:val="00693143"/>
    <w:rsid w:val="0069316B"/>
    <w:rsid w:val="00693573"/>
    <w:rsid w:val="006936D2"/>
    <w:rsid w:val="006936E5"/>
    <w:rsid w:val="00693805"/>
    <w:rsid w:val="00693872"/>
    <w:rsid w:val="006938FE"/>
    <w:rsid w:val="00694111"/>
    <w:rsid w:val="00694536"/>
    <w:rsid w:val="006947CD"/>
    <w:rsid w:val="006947E2"/>
    <w:rsid w:val="006949CE"/>
    <w:rsid w:val="00694E0D"/>
    <w:rsid w:val="00695209"/>
    <w:rsid w:val="00695415"/>
    <w:rsid w:val="006954C4"/>
    <w:rsid w:val="006957E2"/>
    <w:rsid w:val="006957EE"/>
    <w:rsid w:val="00695A06"/>
    <w:rsid w:val="006961D5"/>
    <w:rsid w:val="0069635A"/>
    <w:rsid w:val="006966FA"/>
    <w:rsid w:val="00696947"/>
    <w:rsid w:val="00696AAD"/>
    <w:rsid w:val="00696B6F"/>
    <w:rsid w:val="0069757A"/>
    <w:rsid w:val="0069764D"/>
    <w:rsid w:val="0069765C"/>
    <w:rsid w:val="0069784A"/>
    <w:rsid w:val="00697884"/>
    <w:rsid w:val="006979B5"/>
    <w:rsid w:val="00697A25"/>
    <w:rsid w:val="00697F45"/>
    <w:rsid w:val="00697F9B"/>
    <w:rsid w:val="006A0031"/>
    <w:rsid w:val="006A003C"/>
    <w:rsid w:val="006A00E0"/>
    <w:rsid w:val="006A03EC"/>
    <w:rsid w:val="006A0C6D"/>
    <w:rsid w:val="006A1181"/>
    <w:rsid w:val="006A1708"/>
    <w:rsid w:val="006A1AD1"/>
    <w:rsid w:val="006A1AEF"/>
    <w:rsid w:val="006A1B71"/>
    <w:rsid w:val="006A1DDD"/>
    <w:rsid w:val="006A1E04"/>
    <w:rsid w:val="006A1E66"/>
    <w:rsid w:val="006A1F07"/>
    <w:rsid w:val="006A1FCF"/>
    <w:rsid w:val="006A2039"/>
    <w:rsid w:val="006A20E7"/>
    <w:rsid w:val="006A22E8"/>
    <w:rsid w:val="006A2406"/>
    <w:rsid w:val="006A2537"/>
    <w:rsid w:val="006A2965"/>
    <w:rsid w:val="006A296C"/>
    <w:rsid w:val="006A2AB8"/>
    <w:rsid w:val="006A2AC4"/>
    <w:rsid w:val="006A2DC0"/>
    <w:rsid w:val="006A2E64"/>
    <w:rsid w:val="006A343D"/>
    <w:rsid w:val="006A346D"/>
    <w:rsid w:val="006A36CF"/>
    <w:rsid w:val="006A37D1"/>
    <w:rsid w:val="006A38C5"/>
    <w:rsid w:val="006A3AD8"/>
    <w:rsid w:val="006A3B4B"/>
    <w:rsid w:val="006A3BBF"/>
    <w:rsid w:val="006A3C5F"/>
    <w:rsid w:val="006A3DFC"/>
    <w:rsid w:val="006A3F69"/>
    <w:rsid w:val="006A4167"/>
    <w:rsid w:val="006A46B4"/>
    <w:rsid w:val="006A46F3"/>
    <w:rsid w:val="006A4782"/>
    <w:rsid w:val="006A481E"/>
    <w:rsid w:val="006A4923"/>
    <w:rsid w:val="006A4E2E"/>
    <w:rsid w:val="006A4F05"/>
    <w:rsid w:val="006A5348"/>
    <w:rsid w:val="006A5418"/>
    <w:rsid w:val="006A5460"/>
    <w:rsid w:val="006A578F"/>
    <w:rsid w:val="006A57B6"/>
    <w:rsid w:val="006A5AEF"/>
    <w:rsid w:val="006A5D1E"/>
    <w:rsid w:val="006A6075"/>
    <w:rsid w:val="006A60ED"/>
    <w:rsid w:val="006A6139"/>
    <w:rsid w:val="006A61EB"/>
    <w:rsid w:val="006A6290"/>
    <w:rsid w:val="006A65BD"/>
    <w:rsid w:val="006A6A22"/>
    <w:rsid w:val="006A6A98"/>
    <w:rsid w:val="006A6BBC"/>
    <w:rsid w:val="006A6C1D"/>
    <w:rsid w:val="006A6CA5"/>
    <w:rsid w:val="006A6CAD"/>
    <w:rsid w:val="006A7006"/>
    <w:rsid w:val="006A738E"/>
    <w:rsid w:val="006A744A"/>
    <w:rsid w:val="006A7482"/>
    <w:rsid w:val="006A75F9"/>
    <w:rsid w:val="006A76F7"/>
    <w:rsid w:val="006A7A09"/>
    <w:rsid w:val="006A7A26"/>
    <w:rsid w:val="006A7D16"/>
    <w:rsid w:val="006B009B"/>
    <w:rsid w:val="006B035F"/>
    <w:rsid w:val="006B05D4"/>
    <w:rsid w:val="006B063F"/>
    <w:rsid w:val="006B075B"/>
    <w:rsid w:val="006B0802"/>
    <w:rsid w:val="006B098F"/>
    <w:rsid w:val="006B0B4C"/>
    <w:rsid w:val="006B1036"/>
    <w:rsid w:val="006B1242"/>
    <w:rsid w:val="006B124A"/>
    <w:rsid w:val="006B1797"/>
    <w:rsid w:val="006B18C7"/>
    <w:rsid w:val="006B19B4"/>
    <w:rsid w:val="006B1A43"/>
    <w:rsid w:val="006B1DF1"/>
    <w:rsid w:val="006B1F25"/>
    <w:rsid w:val="006B23E0"/>
    <w:rsid w:val="006B25B3"/>
    <w:rsid w:val="006B299D"/>
    <w:rsid w:val="006B2C47"/>
    <w:rsid w:val="006B2DA8"/>
    <w:rsid w:val="006B3370"/>
    <w:rsid w:val="006B33B1"/>
    <w:rsid w:val="006B35FA"/>
    <w:rsid w:val="006B3794"/>
    <w:rsid w:val="006B37C3"/>
    <w:rsid w:val="006B3A08"/>
    <w:rsid w:val="006B3FD3"/>
    <w:rsid w:val="006B406E"/>
    <w:rsid w:val="006B450A"/>
    <w:rsid w:val="006B47B5"/>
    <w:rsid w:val="006B4EF2"/>
    <w:rsid w:val="006B4F33"/>
    <w:rsid w:val="006B5098"/>
    <w:rsid w:val="006B524B"/>
    <w:rsid w:val="006B5517"/>
    <w:rsid w:val="006B55BF"/>
    <w:rsid w:val="006B55CC"/>
    <w:rsid w:val="006B55DA"/>
    <w:rsid w:val="006B5690"/>
    <w:rsid w:val="006B5AFC"/>
    <w:rsid w:val="006B5B22"/>
    <w:rsid w:val="006B5B88"/>
    <w:rsid w:val="006B5C8F"/>
    <w:rsid w:val="006B5CCE"/>
    <w:rsid w:val="006B60B7"/>
    <w:rsid w:val="006B644C"/>
    <w:rsid w:val="006B64B1"/>
    <w:rsid w:val="006B6630"/>
    <w:rsid w:val="006B6835"/>
    <w:rsid w:val="006B6AB9"/>
    <w:rsid w:val="006B6AD3"/>
    <w:rsid w:val="006B7972"/>
    <w:rsid w:val="006B7D29"/>
    <w:rsid w:val="006B7DE9"/>
    <w:rsid w:val="006B7FAE"/>
    <w:rsid w:val="006B7FD2"/>
    <w:rsid w:val="006C068F"/>
    <w:rsid w:val="006C07F5"/>
    <w:rsid w:val="006C0A78"/>
    <w:rsid w:val="006C0B8D"/>
    <w:rsid w:val="006C0C40"/>
    <w:rsid w:val="006C0C46"/>
    <w:rsid w:val="006C0FB1"/>
    <w:rsid w:val="006C11BD"/>
    <w:rsid w:val="006C1457"/>
    <w:rsid w:val="006C165A"/>
    <w:rsid w:val="006C16BE"/>
    <w:rsid w:val="006C1786"/>
    <w:rsid w:val="006C1D72"/>
    <w:rsid w:val="006C1EBC"/>
    <w:rsid w:val="006C201E"/>
    <w:rsid w:val="006C2094"/>
    <w:rsid w:val="006C221F"/>
    <w:rsid w:val="006C238E"/>
    <w:rsid w:val="006C252F"/>
    <w:rsid w:val="006C2593"/>
    <w:rsid w:val="006C25C5"/>
    <w:rsid w:val="006C2728"/>
    <w:rsid w:val="006C28CF"/>
    <w:rsid w:val="006C2ACC"/>
    <w:rsid w:val="006C2B68"/>
    <w:rsid w:val="006C2D16"/>
    <w:rsid w:val="006C2E64"/>
    <w:rsid w:val="006C3133"/>
    <w:rsid w:val="006C34E6"/>
    <w:rsid w:val="006C3EC7"/>
    <w:rsid w:val="006C3F72"/>
    <w:rsid w:val="006C4016"/>
    <w:rsid w:val="006C4078"/>
    <w:rsid w:val="006C44E8"/>
    <w:rsid w:val="006C47F5"/>
    <w:rsid w:val="006C48F7"/>
    <w:rsid w:val="006C4ECF"/>
    <w:rsid w:val="006C4F5C"/>
    <w:rsid w:val="006C51DE"/>
    <w:rsid w:val="006C584C"/>
    <w:rsid w:val="006C58A8"/>
    <w:rsid w:val="006C5B56"/>
    <w:rsid w:val="006C5C57"/>
    <w:rsid w:val="006C5D04"/>
    <w:rsid w:val="006C5D65"/>
    <w:rsid w:val="006C5EC3"/>
    <w:rsid w:val="006C61EB"/>
    <w:rsid w:val="006C65D7"/>
    <w:rsid w:val="006C6985"/>
    <w:rsid w:val="006C6A5A"/>
    <w:rsid w:val="006C6A7E"/>
    <w:rsid w:val="006C6C8F"/>
    <w:rsid w:val="006C7042"/>
    <w:rsid w:val="006C7257"/>
    <w:rsid w:val="006C733D"/>
    <w:rsid w:val="006C75D7"/>
    <w:rsid w:val="006C79F2"/>
    <w:rsid w:val="006C7A47"/>
    <w:rsid w:val="006C7B67"/>
    <w:rsid w:val="006C7CD3"/>
    <w:rsid w:val="006C7D8D"/>
    <w:rsid w:val="006D052F"/>
    <w:rsid w:val="006D0B37"/>
    <w:rsid w:val="006D0CF7"/>
    <w:rsid w:val="006D0D7E"/>
    <w:rsid w:val="006D115E"/>
    <w:rsid w:val="006D133B"/>
    <w:rsid w:val="006D15F4"/>
    <w:rsid w:val="006D16B9"/>
    <w:rsid w:val="006D1C54"/>
    <w:rsid w:val="006D1D87"/>
    <w:rsid w:val="006D1EB8"/>
    <w:rsid w:val="006D21B9"/>
    <w:rsid w:val="006D25D3"/>
    <w:rsid w:val="006D2699"/>
    <w:rsid w:val="006D28CC"/>
    <w:rsid w:val="006D28CF"/>
    <w:rsid w:val="006D2B94"/>
    <w:rsid w:val="006D2D3A"/>
    <w:rsid w:val="006D3057"/>
    <w:rsid w:val="006D3420"/>
    <w:rsid w:val="006D34FD"/>
    <w:rsid w:val="006D371B"/>
    <w:rsid w:val="006D3B23"/>
    <w:rsid w:val="006D3B30"/>
    <w:rsid w:val="006D3C55"/>
    <w:rsid w:val="006D3C69"/>
    <w:rsid w:val="006D3D00"/>
    <w:rsid w:val="006D3EA3"/>
    <w:rsid w:val="006D3FC6"/>
    <w:rsid w:val="006D4102"/>
    <w:rsid w:val="006D4133"/>
    <w:rsid w:val="006D41E0"/>
    <w:rsid w:val="006D4674"/>
    <w:rsid w:val="006D4802"/>
    <w:rsid w:val="006D48DA"/>
    <w:rsid w:val="006D4B0B"/>
    <w:rsid w:val="006D4C6F"/>
    <w:rsid w:val="006D4C8A"/>
    <w:rsid w:val="006D4EA1"/>
    <w:rsid w:val="006D4EC2"/>
    <w:rsid w:val="006D502B"/>
    <w:rsid w:val="006D512B"/>
    <w:rsid w:val="006D5299"/>
    <w:rsid w:val="006D52E1"/>
    <w:rsid w:val="006D5461"/>
    <w:rsid w:val="006D54E0"/>
    <w:rsid w:val="006D574F"/>
    <w:rsid w:val="006D58C4"/>
    <w:rsid w:val="006D5CEC"/>
    <w:rsid w:val="006D5F30"/>
    <w:rsid w:val="006D5FA1"/>
    <w:rsid w:val="006D5FC7"/>
    <w:rsid w:val="006D62E5"/>
    <w:rsid w:val="006D6334"/>
    <w:rsid w:val="006D633D"/>
    <w:rsid w:val="006D6447"/>
    <w:rsid w:val="006D6878"/>
    <w:rsid w:val="006D6983"/>
    <w:rsid w:val="006D6B0C"/>
    <w:rsid w:val="006D6F16"/>
    <w:rsid w:val="006D737C"/>
    <w:rsid w:val="006D760D"/>
    <w:rsid w:val="006D762D"/>
    <w:rsid w:val="006D7906"/>
    <w:rsid w:val="006D7956"/>
    <w:rsid w:val="006D7E03"/>
    <w:rsid w:val="006E0075"/>
    <w:rsid w:val="006E0132"/>
    <w:rsid w:val="006E0282"/>
    <w:rsid w:val="006E031B"/>
    <w:rsid w:val="006E036F"/>
    <w:rsid w:val="006E0454"/>
    <w:rsid w:val="006E07C4"/>
    <w:rsid w:val="006E0957"/>
    <w:rsid w:val="006E096C"/>
    <w:rsid w:val="006E0D29"/>
    <w:rsid w:val="006E0F2D"/>
    <w:rsid w:val="006E127C"/>
    <w:rsid w:val="006E12B8"/>
    <w:rsid w:val="006E13DC"/>
    <w:rsid w:val="006E1451"/>
    <w:rsid w:val="006E148B"/>
    <w:rsid w:val="006E1861"/>
    <w:rsid w:val="006E1B85"/>
    <w:rsid w:val="006E1BCA"/>
    <w:rsid w:val="006E1D4C"/>
    <w:rsid w:val="006E1D97"/>
    <w:rsid w:val="006E1E58"/>
    <w:rsid w:val="006E2084"/>
    <w:rsid w:val="006E2136"/>
    <w:rsid w:val="006E29CE"/>
    <w:rsid w:val="006E29E3"/>
    <w:rsid w:val="006E2BEB"/>
    <w:rsid w:val="006E347E"/>
    <w:rsid w:val="006E3802"/>
    <w:rsid w:val="006E39C2"/>
    <w:rsid w:val="006E46DF"/>
    <w:rsid w:val="006E46F4"/>
    <w:rsid w:val="006E4822"/>
    <w:rsid w:val="006E489F"/>
    <w:rsid w:val="006E48B1"/>
    <w:rsid w:val="006E4BD3"/>
    <w:rsid w:val="006E4F7C"/>
    <w:rsid w:val="006E5080"/>
    <w:rsid w:val="006E51D3"/>
    <w:rsid w:val="006E546E"/>
    <w:rsid w:val="006E574B"/>
    <w:rsid w:val="006E5867"/>
    <w:rsid w:val="006E58A9"/>
    <w:rsid w:val="006E5958"/>
    <w:rsid w:val="006E5BDF"/>
    <w:rsid w:val="006E5C0D"/>
    <w:rsid w:val="006E5D7D"/>
    <w:rsid w:val="006E5EA5"/>
    <w:rsid w:val="006E635D"/>
    <w:rsid w:val="006E662C"/>
    <w:rsid w:val="006E68A4"/>
    <w:rsid w:val="006E697E"/>
    <w:rsid w:val="006E6A84"/>
    <w:rsid w:val="006E6BA7"/>
    <w:rsid w:val="006E70B0"/>
    <w:rsid w:val="006E7399"/>
    <w:rsid w:val="006E765E"/>
    <w:rsid w:val="006E770D"/>
    <w:rsid w:val="006E779A"/>
    <w:rsid w:val="006E77DC"/>
    <w:rsid w:val="006E7D69"/>
    <w:rsid w:val="006F0000"/>
    <w:rsid w:val="006F0015"/>
    <w:rsid w:val="006F0054"/>
    <w:rsid w:val="006F008C"/>
    <w:rsid w:val="006F01E0"/>
    <w:rsid w:val="006F0219"/>
    <w:rsid w:val="006F0392"/>
    <w:rsid w:val="006F041F"/>
    <w:rsid w:val="006F048E"/>
    <w:rsid w:val="006F069C"/>
    <w:rsid w:val="006F0AEA"/>
    <w:rsid w:val="006F0D3E"/>
    <w:rsid w:val="006F0D73"/>
    <w:rsid w:val="006F1067"/>
    <w:rsid w:val="006F108C"/>
    <w:rsid w:val="006F1219"/>
    <w:rsid w:val="006F12C6"/>
    <w:rsid w:val="006F1393"/>
    <w:rsid w:val="006F14D7"/>
    <w:rsid w:val="006F16E6"/>
    <w:rsid w:val="006F2122"/>
    <w:rsid w:val="006F213C"/>
    <w:rsid w:val="006F22C1"/>
    <w:rsid w:val="006F24BD"/>
    <w:rsid w:val="006F258C"/>
    <w:rsid w:val="006F2662"/>
    <w:rsid w:val="006F2A5D"/>
    <w:rsid w:val="006F2C9D"/>
    <w:rsid w:val="006F2FE9"/>
    <w:rsid w:val="006F3203"/>
    <w:rsid w:val="006F3598"/>
    <w:rsid w:val="006F36E8"/>
    <w:rsid w:val="006F389C"/>
    <w:rsid w:val="006F3C42"/>
    <w:rsid w:val="006F3D53"/>
    <w:rsid w:val="006F3F3B"/>
    <w:rsid w:val="006F3FD1"/>
    <w:rsid w:val="006F407E"/>
    <w:rsid w:val="006F4482"/>
    <w:rsid w:val="006F44E1"/>
    <w:rsid w:val="006F44F4"/>
    <w:rsid w:val="006F4A5B"/>
    <w:rsid w:val="006F4D35"/>
    <w:rsid w:val="006F4ED0"/>
    <w:rsid w:val="006F5227"/>
    <w:rsid w:val="006F523E"/>
    <w:rsid w:val="006F55C1"/>
    <w:rsid w:val="006F57B3"/>
    <w:rsid w:val="006F57C7"/>
    <w:rsid w:val="006F5A5E"/>
    <w:rsid w:val="006F5EAD"/>
    <w:rsid w:val="006F60FB"/>
    <w:rsid w:val="006F621E"/>
    <w:rsid w:val="006F65A0"/>
    <w:rsid w:val="006F6699"/>
    <w:rsid w:val="006F66D8"/>
    <w:rsid w:val="006F68C8"/>
    <w:rsid w:val="006F69AB"/>
    <w:rsid w:val="006F6A9B"/>
    <w:rsid w:val="006F6B93"/>
    <w:rsid w:val="006F6C80"/>
    <w:rsid w:val="006F73FB"/>
    <w:rsid w:val="006F74FF"/>
    <w:rsid w:val="006F7595"/>
    <w:rsid w:val="006F7911"/>
    <w:rsid w:val="006F7BE7"/>
    <w:rsid w:val="006F7FF6"/>
    <w:rsid w:val="00700005"/>
    <w:rsid w:val="00700529"/>
    <w:rsid w:val="00700595"/>
    <w:rsid w:val="0070073B"/>
    <w:rsid w:val="00700786"/>
    <w:rsid w:val="0070092A"/>
    <w:rsid w:val="007009C7"/>
    <w:rsid w:val="00700A66"/>
    <w:rsid w:val="00700AE7"/>
    <w:rsid w:val="00700BDA"/>
    <w:rsid w:val="00700BEB"/>
    <w:rsid w:val="00700C6C"/>
    <w:rsid w:val="00700C93"/>
    <w:rsid w:val="00700FCB"/>
    <w:rsid w:val="007010FF"/>
    <w:rsid w:val="0070136E"/>
    <w:rsid w:val="00701574"/>
    <w:rsid w:val="007016FA"/>
    <w:rsid w:val="007017A0"/>
    <w:rsid w:val="00701A94"/>
    <w:rsid w:val="00701B56"/>
    <w:rsid w:val="00701C62"/>
    <w:rsid w:val="007022C1"/>
    <w:rsid w:val="00702987"/>
    <w:rsid w:val="00702F43"/>
    <w:rsid w:val="00702FED"/>
    <w:rsid w:val="00703170"/>
    <w:rsid w:val="00703522"/>
    <w:rsid w:val="00703659"/>
    <w:rsid w:val="007036F0"/>
    <w:rsid w:val="00703B69"/>
    <w:rsid w:val="00703D39"/>
    <w:rsid w:val="00703E1D"/>
    <w:rsid w:val="00703F90"/>
    <w:rsid w:val="00703FD0"/>
    <w:rsid w:val="007042AA"/>
    <w:rsid w:val="00704399"/>
    <w:rsid w:val="007043DC"/>
    <w:rsid w:val="00704682"/>
    <w:rsid w:val="0070475E"/>
    <w:rsid w:val="00704789"/>
    <w:rsid w:val="0070498A"/>
    <w:rsid w:val="00704C83"/>
    <w:rsid w:val="00704ED1"/>
    <w:rsid w:val="0070510E"/>
    <w:rsid w:val="007051A9"/>
    <w:rsid w:val="00705354"/>
    <w:rsid w:val="007054BB"/>
    <w:rsid w:val="00705663"/>
    <w:rsid w:val="007058A1"/>
    <w:rsid w:val="0070595D"/>
    <w:rsid w:val="00705AC9"/>
    <w:rsid w:val="00705E82"/>
    <w:rsid w:val="00706197"/>
    <w:rsid w:val="00706202"/>
    <w:rsid w:val="00706459"/>
    <w:rsid w:val="0070645F"/>
    <w:rsid w:val="007064A6"/>
    <w:rsid w:val="00706585"/>
    <w:rsid w:val="00706596"/>
    <w:rsid w:val="007065F1"/>
    <w:rsid w:val="00706606"/>
    <w:rsid w:val="007066D7"/>
    <w:rsid w:val="007069F9"/>
    <w:rsid w:val="00706A77"/>
    <w:rsid w:val="00706A83"/>
    <w:rsid w:val="00706B03"/>
    <w:rsid w:val="00706D7E"/>
    <w:rsid w:val="007072B4"/>
    <w:rsid w:val="00707459"/>
    <w:rsid w:val="00707482"/>
    <w:rsid w:val="00707560"/>
    <w:rsid w:val="007075C6"/>
    <w:rsid w:val="00707643"/>
    <w:rsid w:val="007077EA"/>
    <w:rsid w:val="00707DAD"/>
    <w:rsid w:val="00707FB4"/>
    <w:rsid w:val="007100B0"/>
    <w:rsid w:val="0071010C"/>
    <w:rsid w:val="007101C3"/>
    <w:rsid w:val="007106B2"/>
    <w:rsid w:val="00710889"/>
    <w:rsid w:val="00710968"/>
    <w:rsid w:val="00710CE6"/>
    <w:rsid w:val="00710FC0"/>
    <w:rsid w:val="007110CA"/>
    <w:rsid w:val="00711151"/>
    <w:rsid w:val="0071126B"/>
    <w:rsid w:val="00711444"/>
    <w:rsid w:val="00711891"/>
    <w:rsid w:val="007119C2"/>
    <w:rsid w:val="00711CA4"/>
    <w:rsid w:val="00711FFB"/>
    <w:rsid w:val="0071239B"/>
    <w:rsid w:val="00712621"/>
    <w:rsid w:val="00712A09"/>
    <w:rsid w:val="00712A7E"/>
    <w:rsid w:val="00712B5A"/>
    <w:rsid w:val="00712FF0"/>
    <w:rsid w:val="00713151"/>
    <w:rsid w:val="0071340E"/>
    <w:rsid w:val="00713524"/>
    <w:rsid w:val="0071381D"/>
    <w:rsid w:val="00713A39"/>
    <w:rsid w:val="00713A97"/>
    <w:rsid w:val="00713BA8"/>
    <w:rsid w:val="00713F62"/>
    <w:rsid w:val="007140EC"/>
    <w:rsid w:val="0071412C"/>
    <w:rsid w:val="007141AD"/>
    <w:rsid w:val="00714765"/>
    <w:rsid w:val="007149D9"/>
    <w:rsid w:val="00714A5D"/>
    <w:rsid w:val="00714A7A"/>
    <w:rsid w:val="00714F83"/>
    <w:rsid w:val="007154B6"/>
    <w:rsid w:val="007156F8"/>
    <w:rsid w:val="007157B7"/>
    <w:rsid w:val="00715BF5"/>
    <w:rsid w:val="00715FA3"/>
    <w:rsid w:val="007161DB"/>
    <w:rsid w:val="00716654"/>
    <w:rsid w:val="00716792"/>
    <w:rsid w:val="00716D16"/>
    <w:rsid w:val="00716D3A"/>
    <w:rsid w:val="00716FF2"/>
    <w:rsid w:val="007175FA"/>
    <w:rsid w:val="00717675"/>
    <w:rsid w:val="00717731"/>
    <w:rsid w:val="00717948"/>
    <w:rsid w:val="0071794A"/>
    <w:rsid w:val="00717B59"/>
    <w:rsid w:val="00717E9D"/>
    <w:rsid w:val="00720051"/>
    <w:rsid w:val="007205DF"/>
    <w:rsid w:val="007209B8"/>
    <w:rsid w:val="007211B2"/>
    <w:rsid w:val="007211B9"/>
    <w:rsid w:val="007213A7"/>
    <w:rsid w:val="00721480"/>
    <w:rsid w:val="0072149F"/>
    <w:rsid w:val="0072153A"/>
    <w:rsid w:val="00721CD6"/>
    <w:rsid w:val="00721FB5"/>
    <w:rsid w:val="0072210F"/>
    <w:rsid w:val="007221BB"/>
    <w:rsid w:val="0072242C"/>
    <w:rsid w:val="0072260A"/>
    <w:rsid w:val="00722648"/>
    <w:rsid w:val="00722814"/>
    <w:rsid w:val="0072294F"/>
    <w:rsid w:val="00722DB7"/>
    <w:rsid w:val="00722FE7"/>
    <w:rsid w:val="007234A3"/>
    <w:rsid w:val="007234E2"/>
    <w:rsid w:val="007235A2"/>
    <w:rsid w:val="007236C1"/>
    <w:rsid w:val="007237EE"/>
    <w:rsid w:val="00723822"/>
    <w:rsid w:val="00723A62"/>
    <w:rsid w:val="00723CC5"/>
    <w:rsid w:val="00723E50"/>
    <w:rsid w:val="00723E9B"/>
    <w:rsid w:val="00724012"/>
    <w:rsid w:val="007240B4"/>
    <w:rsid w:val="00724136"/>
    <w:rsid w:val="00724334"/>
    <w:rsid w:val="0072466E"/>
    <w:rsid w:val="00724712"/>
    <w:rsid w:val="00724C97"/>
    <w:rsid w:val="00724CD3"/>
    <w:rsid w:val="00724F17"/>
    <w:rsid w:val="00725016"/>
    <w:rsid w:val="00725201"/>
    <w:rsid w:val="007252F5"/>
    <w:rsid w:val="00725451"/>
    <w:rsid w:val="0072554B"/>
    <w:rsid w:val="00725553"/>
    <w:rsid w:val="00725650"/>
    <w:rsid w:val="007257BA"/>
    <w:rsid w:val="00725C74"/>
    <w:rsid w:val="00725D31"/>
    <w:rsid w:val="00725E9F"/>
    <w:rsid w:val="0072676C"/>
    <w:rsid w:val="0072687B"/>
    <w:rsid w:val="0072698E"/>
    <w:rsid w:val="007269FB"/>
    <w:rsid w:val="00726C94"/>
    <w:rsid w:val="00726D73"/>
    <w:rsid w:val="00726F63"/>
    <w:rsid w:val="00726FB1"/>
    <w:rsid w:val="00726FB8"/>
    <w:rsid w:val="007271AD"/>
    <w:rsid w:val="007271EF"/>
    <w:rsid w:val="007277ED"/>
    <w:rsid w:val="0072790C"/>
    <w:rsid w:val="00727930"/>
    <w:rsid w:val="00727E6E"/>
    <w:rsid w:val="0073025B"/>
    <w:rsid w:val="00730494"/>
    <w:rsid w:val="007304B9"/>
    <w:rsid w:val="00730AC0"/>
    <w:rsid w:val="00730F46"/>
    <w:rsid w:val="007319AC"/>
    <w:rsid w:val="00731B40"/>
    <w:rsid w:val="00732111"/>
    <w:rsid w:val="00732320"/>
    <w:rsid w:val="00732475"/>
    <w:rsid w:val="00732695"/>
    <w:rsid w:val="007329A5"/>
    <w:rsid w:val="00732A4B"/>
    <w:rsid w:val="00732AB8"/>
    <w:rsid w:val="00732DD3"/>
    <w:rsid w:val="0073332E"/>
    <w:rsid w:val="007333B6"/>
    <w:rsid w:val="00733591"/>
    <w:rsid w:val="0073366A"/>
    <w:rsid w:val="007336A8"/>
    <w:rsid w:val="00733767"/>
    <w:rsid w:val="00733CB6"/>
    <w:rsid w:val="007341C4"/>
    <w:rsid w:val="00734348"/>
    <w:rsid w:val="0073465C"/>
    <w:rsid w:val="00734906"/>
    <w:rsid w:val="007349EB"/>
    <w:rsid w:val="00734C24"/>
    <w:rsid w:val="00734C8C"/>
    <w:rsid w:val="00734DE2"/>
    <w:rsid w:val="00734FFC"/>
    <w:rsid w:val="00735503"/>
    <w:rsid w:val="00735858"/>
    <w:rsid w:val="00735929"/>
    <w:rsid w:val="007359AF"/>
    <w:rsid w:val="00735ACC"/>
    <w:rsid w:val="00735BA7"/>
    <w:rsid w:val="00735D5F"/>
    <w:rsid w:val="00735F37"/>
    <w:rsid w:val="007360D1"/>
    <w:rsid w:val="007361A8"/>
    <w:rsid w:val="00736294"/>
    <w:rsid w:val="0073645E"/>
    <w:rsid w:val="0073659E"/>
    <w:rsid w:val="00736746"/>
    <w:rsid w:val="00736A23"/>
    <w:rsid w:val="00736CDB"/>
    <w:rsid w:val="00736D96"/>
    <w:rsid w:val="00737219"/>
    <w:rsid w:val="007374D9"/>
    <w:rsid w:val="0073778C"/>
    <w:rsid w:val="00737879"/>
    <w:rsid w:val="00737B5C"/>
    <w:rsid w:val="0074010A"/>
    <w:rsid w:val="00740158"/>
    <w:rsid w:val="0074020D"/>
    <w:rsid w:val="007402E4"/>
    <w:rsid w:val="0074064E"/>
    <w:rsid w:val="00740652"/>
    <w:rsid w:val="0074077E"/>
    <w:rsid w:val="007407AA"/>
    <w:rsid w:val="00740832"/>
    <w:rsid w:val="00740BEA"/>
    <w:rsid w:val="00740C80"/>
    <w:rsid w:val="00740E59"/>
    <w:rsid w:val="0074125D"/>
    <w:rsid w:val="0074184F"/>
    <w:rsid w:val="007419B9"/>
    <w:rsid w:val="00741B34"/>
    <w:rsid w:val="00741D32"/>
    <w:rsid w:val="00741E1C"/>
    <w:rsid w:val="00742472"/>
    <w:rsid w:val="0074265D"/>
    <w:rsid w:val="007429E7"/>
    <w:rsid w:val="00742B66"/>
    <w:rsid w:val="00742C11"/>
    <w:rsid w:val="007433BA"/>
    <w:rsid w:val="0074341B"/>
    <w:rsid w:val="0074353A"/>
    <w:rsid w:val="007435CD"/>
    <w:rsid w:val="00743E13"/>
    <w:rsid w:val="00743F5D"/>
    <w:rsid w:val="00744695"/>
    <w:rsid w:val="007447C3"/>
    <w:rsid w:val="00744E68"/>
    <w:rsid w:val="0074525F"/>
    <w:rsid w:val="007452D3"/>
    <w:rsid w:val="00745377"/>
    <w:rsid w:val="00745395"/>
    <w:rsid w:val="00745898"/>
    <w:rsid w:val="0074590B"/>
    <w:rsid w:val="007459C9"/>
    <w:rsid w:val="00745CBB"/>
    <w:rsid w:val="00745D63"/>
    <w:rsid w:val="00745D8A"/>
    <w:rsid w:val="00745E13"/>
    <w:rsid w:val="00745F43"/>
    <w:rsid w:val="00746326"/>
    <w:rsid w:val="007467BE"/>
    <w:rsid w:val="007469AC"/>
    <w:rsid w:val="00746A59"/>
    <w:rsid w:val="00746B87"/>
    <w:rsid w:val="00746BE5"/>
    <w:rsid w:val="00746CB5"/>
    <w:rsid w:val="00746D09"/>
    <w:rsid w:val="00746D96"/>
    <w:rsid w:val="0074702C"/>
    <w:rsid w:val="007473CA"/>
    <w:rsid w:val="007474A6"/>
    <w:rsid w:val="00747614"/>
    <w:rsid w:val="0074788A"/>
    <w:rsid w:val="0074796B"/>
    <w:rsid w:val="00747BF5"/>
    <w:rsid w:val="00747C47"/>
    <w:rsid w:val="00747DDF"/>
    <w:rsid w:val="00747EF6"/>
    <w:rsid w:val="00750198"/>
    <w:rsid w:val="007501A2"/>
    <w:rsid w:val="007501BC"/>
    <w:rsid w:val="007503AB"/>
    <w:rsid w:val="007503B5"/>
    <w:rsid w:val="0075126C"/>
    <w:rsid w:val="00751499"/>
    <w:rsid w:val="0075167E"/>
    <w:rsid w:val="00751BB2"/>
    <w:rsid w:val="00751C83"/>
    <w:rsid w:val="00751D38"/>
    <w:rsid w:val="00751E0E"/>
    <w:rsid w:val="0075214A"/>
    <w:rsid w:val="00752412"/>
    <w:rsid w:val="007524C5"/>
    <w:rsid w:val="00752583"/>
    <w:rsid w:val="007526B5"/>
    <w:rsid w:val="007526E1"/>
    <w:rsid w:val="00752CAA"/>
    <w:rsid w:val="00752E1F"/>
    <w:rsid w:val="00752EC7"/>
    <w:rsid w:val="007532DD"/>
    <w:rsid w:val="00753502"/>
    <w:rsid w:val="00753526"/>
    <w:rsid w:val="007536CC"/>
    <w:rsid w:val="00753965"/>
    <w:rsid w:val="00753D12"/>
    <w:rsid w:val="00753EF5"/>
    <w:rsid w:val="007543C2"/>
    <w:rsid w:val="00754A59"/>
    <w:rsid w:val="00754B39"/>
    <w:rsid w:val="00754B5D"/>
    <w:rsid w:val="00754C3C"/>
    <w:rsid w:val="00754F5A"/>
    <w:rsid w:val="00755055"/>
    <w:rsid w:val="007550F0"/>
    <w:rsid w:val="007551BE"/>
    <w:rsid w:val="0075587F"/>
    <w:rsid w:val="007558F3"/>
    <w:rsid w:val="0075594A"/>
    <w:rsid w:val="00755995"/>
    <w:rsid w:val="00755C73"/>
    <w:rsid w:val="00755F8B"/>
    <w:rsid w:val="00756052"/>
    <w:rsid w:val="007560FE"/>
    <w:rsid w:val="007561A8"/>
    <w:rsid w:val="00756446"/>
    <w:rsid w:val="00756DF6"/>
    <w:rsid w:val="00756EB3"/>
    <w:rsid w:val="00756FA4"/>
    <w:rsid w:val="00757034"/>
    <w:rsid w:val="00757269"/>
    <w:rsid w:val="00757628"/>
    <w:rsid w:val="00757744"/>
    <w:rsid w:val="00757847"/>
    <w:rsid w:val="007579D6"/>
    <w:rsid w:val="00757FBA"/>
    <w:rsid w:val="0076006A"/>
    <w:rsid w:val="00760654"/>
    <w:rsid w:val="00760912"/>
    <w:rsid w:val="00760A34"/>
    <w:rsid w:val="00760B53"/>
    <w:rsid w:val="00760E9D"/>
    <w:rsid w:val="00760EBE"/>
    <w:rsid w:val="00761033"/>
    <w:rsid w:val="0076106F"/>
    <w:rsid w:val="00761159"/>
    <w:rsid w:val="0076117C"/>
    <w:rsid w:val="00761293"/>
    <w:rsid w:val="00761317"/>
    <w:rsid w:val="0076133F"/>
    <w:rsid w:val="0076194A"/>
    <w:rsid w:val="007620B4"/>
    <w:rsid w:val="007621EB"/>
    <w:rsid w:val="007627C3"/>
    <w:rsid w:val="00762B9D"/>
    <w:rsid w:val="00762C67"/>
    <w:rsid w:val="00762E2A"/>
    <w:rsid w:val="00762FB0"/>
    <w:rsid w:val="00763194"/>
    <w:rsid w:val="007637BB"/>
    <w:rsid w:val="00763B15"/>
    <w:rsid w:val="00763B21"/>
    <w:rsid w:val="00763B31"/>
    <w:rsid w:val="00763B58"/>
    <w:rsid w:val="00763CCA"/>
    <w:rsid w:val="00764011"/>
    <w:rsid w:val="00764029"/>
    <w:rsid w:val="007642B6"/>
    <w:rsid w:val="00764590"/>
    <w:rsid w:val="00764603"/>
    <w:rsid w:val="007648E8"/>
    <w:rsid w:val="00764AC3"/>
    <w:rsid w:val="00764D00"/>
    <w:rsid w:val="00765070"/>
    <w:rsid w:val="00765228"/>
    <w:rsid w:val="00765535"/>
    <w:rsid w:val="00765695"/>
    <w:rsid w:val="007656A6"/>
    <w:rsid w:val="007657C5"/>
    <w:rsid w:val="007658E7"/>
    <w:rsid w:val="00765A8A"/>
    <w:rsid w:val="00765B68"/>
    <w:rsid w:val="0076616B"/>
    <w:rsid w:val="00766207"/>
    <w:rsid w:val="0076651B"/>
    <w:rsid w:val="0076675C"/>
    <w:rsid w:val="007667CD"/>
    <w:rsid w:val="007667F3"/>
    <w:rsid w:val="0076692A"/>
    <w:rsid w:val="00766AFE"/>
    <w:rsid w:val="00766F15"/>
    <w:rsid w:val="00766F47"/>
    <w:rsid w:val="00766FF8"/>
    <w:rsid w:val="0076707F"/>
    <w:rsid w:val="007670A0"/>
    <w:rsid w:val="007670BC"/>
    <w:rsid w:val="0076730F"/>
    <w:rsid w:val="0076739C"/>
    <w:rsid w:val="00767631"/>
    <w:rsid w:val="007676A9"/>
    <w:rsid w:val="00767857"/>
    <w:rsid w:val="0076789D"/>
    <w:rsid w:val="0076795D"/>
    <w:rsid w:val="00767E0E"/>
    <w:rsid w:val="007700FA"/>
    <w:rsid w:val="00770182"/>
    <w:rsid w:val="007705F0"/>
    <w:rsid w:val="0077074B"/>
    <w:rsid w:val="00770BB4"/>
    <w:rsid w:val="00770CD4"/>
    <w:rsid w:val="00770E45"/>
    <w:rsid w:val="00771048"/>
    <w:rsid w:val="007710C0"/>
    <w:rsid w:val="00771240"/>
    <w:rsid w:val="00771265"/>
    <w:rsid w:val="00771391"/>
    <w:rsid w:val="007713FE"/>
    <w:rsid w:val="00771FE0"/>
    <w:rsid w:val="0077207E"/>
    <w:rsid w:val="007720BB"/>
    <w:rsid w:val="007720BD"/>
    <w:rsid w:val="00772114"/>
    <w:rsid w:val="0077235D"/>
    <w:rsid w:val="007731CE"/>
    <w:rsid w:val="007732AE"/>
    <w:rsid w:val="0077335E"/>
    <w:rsid w:val="00773799"/>
    <w:rsid w:val="0077393E"/>
    <w:rsid w:val="00773A6D"/>
    <w:rsid w:val="00773BAD"/>
    <w:rsid w:val="00773C63"/>
    <w:rsid w:val="00773F21"/>
    <w:rsid w:val="00774401"/>
    <w:rsid w:val="00774F02"/>
    <w:rsid w:val="00774F3D"/>
    <w:rsid w:val="00775193"/>
    <w:rsid w:val="00775274"/>
    <w:rsid w:val="00775563"/>
    <w:rsid w:val="0077577C"/>
    <w:rsid w:val="007757DC"/>
    <w:rsid w:val="00775CF1"/>
    <w:rsid w:val="00775EE4"/>
    <w:rsid w:val="007763C7"/>
    <w:rsid w:val="00776492"/>
    <w:rsid w:val="00776610"/>
    <w:rsid w:val="00776EE1"/>
    <w:rsid w:val="00776F2F"/>
    <w:rsid w:val="00777028"/>
    <w:rsid w:val="007774A5"/>
    <w:rsid w:val="00777884"/>
    <w:rsid w:val="00777BD4"/>
    <w:rsid w:val="00777C8A"/>
    <w:rsid w:val="00777D00"/>
    <w:rsid w:val="00777D22"/>
    <w:rsid w:val="00777E1E"/>
    <w:rsid w:val="00780336"/>
    <w:rsid w:val="007804A8"/>
    <w:rsid w:val="007807EA"/>
    <w:rsid w:val="007808AB"/>
    <w:rsid w:val="00780966"/>
    <w:rsid w:val="007809CF"/>
    <w:rsid w:val="00780A95"/>
    <w:rsid w:val="00780F58"/>
    <w:rsid w:val="0078116D"/>
    <w:rsid w:val="007813D3"/>
    <w:rsid w:val="0078151E"/>
    <w:rsid w:val="007815BB"/>
    <w:rsid w:val="00781784"/>
    <w:rsid w:val="0078182C"/>
    <w:rsid w:val="00781959"/>
    <w:rsid w:val="00781D32"/>
    <w:rsid w:val="00781E95"/>
    <w:rsid w:val="00782034"/>
    <w:rsid w:val="007821F5"/>
    <w:rsid w:val="007823AF"/>
    <w:rsid w:val="00782457"/>
    <w:rsid w:val="007825DD"/>
    <w:rsid w:val="00782639"/>
    <w:rsid w:val="00782825"/>
    <w:rsid w:val="00782839"/>
    <w:rsid w:val="007837F0"/>
    <w:rsid w:val="00783C16"/>
    <w:rsid w:val="007841CF"/>
    <w:rsid w:val="007842B9"/>
    <w:rsid w:val="00784499"/>
    <w:rsid w:val="007844B8"/>
    <w:rsid w:val="007847D2"/>
    <w:rsid w:val="00784A9D"/>
    <w:rsid w:val="00784B19"/>
    <w:rsid w:val="00784CE1"/>
    <w:rsid w:val="00784EE8"/>
    <w:rsid w:val="007850BA"/>
    <w:rsid w:val="00785116"/>
    <w:rsid w:val="00785132"/>
    <w:rsid w:val="00785A2C"/>
    <w:rsid w:val="00785C1B"/>
    <w:rsid w:val="00785ED2"/>
    <w:rsid w:val="0078652C"/>
    <w:rsid w:val="0078688D"/>
    <w:rsid w:val="00786914"/>
    <w:rsid w:val="00786AB1"/>
    <w:rsid w:val="00786F1C"/>
    <w:rsid w:val="00786F3A"/>
    <w:rsid w:val="007871E0"/>
    <w:rsid w:val="00787495"/>
    <w:rsid w:val="0078756D"/>
    <w:rsid w:val="0078760B"/>
    <w:rsid w:val="00787EB5"/>
    <w:rsid w:val="00787F65"/>
    <w:rsid w:val="00787FD2"/>
    <w:rsid w:val="00790316"/>
    <w:rsid w:val="0079036B"/>
    <w:rsid w:val="0079059D"/>
    <w:rsid w:val="007905C3"/>
    <w:rsid w:val="00790812"/>
    <w:rsid w:val="0079093F"/>
    <w:rsid w:val="00790B21"/>
    <w:rsid w:val="00790D58"/>
    <w:rsid w:val="00790ECB"/>
    <w:rsid w:val="007911F6"/>
    <w:rsid w:val="0079141F"/>
    <w:rsid w:val="0079161B"/>
    <w:rsid w:val="007917A0"/>
    <w:rsid w:val="0079188D"/>
    <w:rsid w:val="00791999"/>
    <w:rsid w:val="007919D7"/>
    <w:rsid w:val="00791A84"/>
    <w:rsid w:val="00791F81"/>
    <w:rsid w:val="0079206E"/>
    <w:rsid w:val="0079216B"/>
    <w:rsid w:val="00792315"/>
    <w:rsid w:val="007928D6"/>
    <w:rsid w:val="00792CFD"/>
    <w:rsid w:val="00792D50"/>
    <w:rsid w:val="00792D6E"/>
    <w:rsid w:val="00792F39"/>
    <w:rsid w:val="00793247"/>
    <w:rsid w:val="0079331E"/>
    <w:rsid w:val="00793448"/>
    <w:rsid w:val="00793509"/>
    <w:rsid w:val="0079371B"/>
    <w:rsid w:val="00793813"/>
    <w:rsid w:val="00793988"/>
    <w:rsid w:val="007939AC"/>
    <w:rsid w:val="00793C4C"/>
    <w:rsid w:val="00793C93"/>
    <w:rsid w:val="007940BE"/>
    <w:rsid w:val="007943BE"/>
    <w:rsid w:val="007943C2"/>
    <w:rsid w:val="007945D2"/>
    <w:rsid w:val="00794714"/>
    <w:rsid w:val="0079490C"/>
    <w:rsid w:val="007949FD"/>
    <w:rsid w:val="00794B59"/>
    <w:rsid w:val="00794BB1"/>
    <w:rsid w:val="00794D02"/>
    <w:rsid w:val="00794D5C"/>
    <w:rsid w:val="00794DC7"/>
    <w:rsid w:val="00794E3F"/>
    <w:rsid w:val="00795130"/>
    <w:rsid w:val="007954CA"/>
    <w:rsid w:val="007958CC"/>
    <w:rsid w:val="00795BD6"/>
    <w:rsid w:val="00795C58"/>
    <w:rsid w:val="00795FFC"/>
    <w:rsid w:val="0079602C"/>
    <w:rsid w:val="007962EE"/>
    <w:rsid w:val="00796319"/>
    <w:rsid w:val="007963E5"/>
    <w:rsid w:val="00796715"/>
    <w:rsid w:val="00796744"/>
    <w:rsid w:val="007967DC"/>
    <w:rsid w:val="00796A28"/>
    <w:rsid w:val="00796E99"/>
    <w:rsid w:val="00797278"/>
    <w:rsid w:val="007975E7"/>
    <w:rsid w:val="00797667"/>
    <w:rsid w:val="007976E2"/>
    <w:rsid w:val="007977DC"/>
    <w:rsid w:val="00797B76"/>
    <w:rsid w:val="00797BC2"/>
    <w:rsid w:val="00797C1A"/>
    <w:rsid w:val="00797ED0"/>
    <w:rsid w:val="007A00DF"/>
    <w:rsid w:val="007A0189"/>
    <w:rsid w:val="007A07E8"/>
    <w:rsid w:val="007A0878"/>
    <w:rsid w:val="007A08FE"/>
    <w:rsid w:val="007A0940"/>
    <w:rsid w:val="007A09C0"/>
    <w:rsid w:val="007A0A35"/>
    <w:rsid w:val="007A0D00"/>
    <w:rsid w:val="007A0D37"/>
    <w:rsid w:val="007A0D56"/>
    <w:rsid w:val="007A10C2"/>
    <w:rsid w:val="007A11C2"/>
    <w:rsid w:val="007A1292"/>
    <w:rsid w:val="007A12D6"/>
    <w:rsid w:val="007A131A"/>
    <w:rsid w:val="007A16FA"/>
    <w:rsid w:val="007A1C7C"/>
    <w:rsid w:val="007A1E9E"/>
    <w:rsid w:val="007A2064"/>
    <w:rsid w:val="007A251F"/>
    <w:rsid w:val="007A264C"/>
    <w:rsid w:val="007A2959"/>
    <w:rsid w:val="007A2AB7"/>
    <w:rsid w:val="007A2BCA"/>
    <w:rsid w:val="007A2E34"/>
    <w:rsid w:val="007A2E5A"/>
    <w:rsid w:val="007A2E8D"/>
    <w:rsid w:val="007A3398"/>
    <w:rsid w:val="007A33B1"/>
    <w:rsid w:val="007A34DA"/>
    <w:rsid w:val="007A367E"/>
    <w:rsid w:val="007A377B"/>
    <w:rsid w:val="007A39FD"/>
    <w:rsid w:val="007A3B3C"/>
    <w:rsid w:val="007A3B49"/>
    <w:rsid w:val="007A3CF7"/>
    <w:rsid w:val="007A4206"/>
    <w:rsid w:val="007A421A"/>
    <w:rsid w:val="007A43AF"/>
    <w:rsid w:val="007A43E7"/>
    <w:rsid w:val="007A4448"/>
    <w:rsid w:val="007A4543"/>
    <w:rsid w:val="007A475C"/>
    <w:rsid w:val="007A4B05"/>
    <w:rsid w:val="007A4B73"/>
    <w:rsid w:val="007A4F26"/>
    <w:rsid w:val="007A5145"/>
    <w:rsid w:val="007A537E"/>
    <w:rsid w:val="007A5380"/>
    <w:rsid w:val="007A5485"/>
    <w:rsid w:val="007A6140"/>
    <w:rsid w:val="007A61CA"/>
    <w:rsid w:val="007A6594"/>
    <w:rsid w:val="007A67F0"/>
    <w:rsid w:val="007A69F6"/>
    <w:rsid w:val="007A6AA2"/>
    <w:rsid w:val="007A6AE5"/>
    <w:rsid w:val="007A6D38"/>
    <w:rsid w:val="007A709A"/>
    <w:rsid w:val="007A72CC"/>
    <w:rsid w:val="007A7393"/>
    <w:rsid w:val="007A77C3"/>
    <w:rsid w:val="007A77EC"/>
    <w:rsid w:val="007A79A1"/>
    <w:rsid w:val="007A7BEE"/>
    <w:rsid w:val="007A7E2E"/>
    <w:rsid w:val="007B02B5"/>
    <w:rsid w:val="007B03F0"/>
    <w:rsid w:val="007B06E4"/>
    <w:rsid w:val="007B0720"/>
    <w:rsid w:val="007B089D"/>
    <w:rsid w:val="007B0AA2"/>
    <w:rsid w:val="007B0B67"/>
    <w:rsid w:val="007B0E02"/>
    <w:rsid w:val="007B12E6"/>
    <w:rsid w:val="007B1321"/>
    <w:rsid w:val="007B139B"/>
    <w:rsid w:val="007B15B5"/>
    <w:rsid w:val="007B1859"/>
    <w:rsid w:val="007B1863"/>
    <w:rsid w:val="007B194A"/>
    <w:rsid w:val="007B1A44"/>
    <w:rsid w:val="007B1E88"/>
    <w:rsid w:val="007B1F1D"/>
    <w:rsid w:val="007B2021"/>
    <w:rsid w:val="007B212A"/>
    <w:rsid w:val="007B22B8"/>
    <w:rsid w:val="007B24FE"/>
    <w:rsid w:val="007B2785"/>
    <w:rsid w:val="007B2B37"/>
    <w:rsid w:val="007B2C22"/>
    <w:rsid w:val="007B2FA3"/>
    <w:rsid w:val="007B31D5"/>
    <w:rsid w:val="007B37F7"/>
    <w:rsid w:val="007B386D"/>
    <w:rsid w:val="007B3A17"/>
    <w:rsid w:val="007B3AEE"/>
    <w:rsid w:val="007B3FEB"/>
    <w:rsid w:val="007B41C8"/>
    <w:rsid w:val="007B46B7"/>
    <w:rsid w:val="007B478D"/>
    <w:rsid w:val="007B48BC"/>
    <w:rsid w:val="007B494E"/>
    <w:rsid w:val="007B4ABE"/>
    <w:rsid w:val="007B4AE9"/>
    <w:rsid w:val="007B4BE1"/>
    <w:rsid w:val="007B4D9E"/>
    <w:rsid w:val="007B50B1"/>
    <w:rsid w:val="007B50B6"/>
    <w:rsid w:val="007B53AA"/>
    <w:rsid w:val="007B53F4"/>
    <w:rsid w:val="007B542F"/>
    <w:rsid w:val="007B5442"/>
    <w:rsid w:val="007B556C"/>
    <w:rsid w:val="007B583F"/>
    <w:rsid w:val="007B5A2A"/>
    <w:rsid w:val="007B5AD5"/>
    <w:rsid w:val="007B5DB5"/>
    <w:rsid w:val="007B5E0B"/>
    <w:rsid w:val="007B5E65"/>
    <w:rsid w:val="007B649F"/>
    <w:rsid w:val="007B65C7"/>
    <w:rsid w:val="007B661A"/>
    <w:rsid w:val="007B670C"/>
    <w:rsid w:val="007B67AE"/>
    <w:rsid w:val="007B6BD7"/>
    <w:rsid w:val="007B700C"/>
    <w:rsid w:val="007B7056"/>
    <w:rsid w:val="007B75B5"/>
    <w:rsid w:val="007B7649"/>
    <w:rsid w:val="007B7672"/>
    <w:rsid w:val="007B76EB"/>
    <w:rsid w:val="007B7B2E"/>
    <w:rsid w:val="007C0075"/>
    <w:rsid w:val="007C021C"/>
    <w:rsid w:val="007C0489"/>
    <w:rsid w:val="007C075C"/>
    <w:rsid w:val="007C081F"/>
    <w:rsid w:val="007C0A89"/>
    <w:rsid w:val="007C0B0C"/>
    <w:rsid w:val="007C0EEF"/>
    <w:rsid w:val="007C0F31"/>
    <w:rsid w:val="007C1113"/>
    <w:rsid w:val="007C1467"/>
    <w:rsid w:val="007C1A6E"/>
    <w:rsid w:val="007C1DF3"/>
    <w:rsid w:val="007C1FBB"/>
    <w:rsid w:val="007C22BF"/>
    <w:rsid w:val="007C2322"/>
    <w:rsid w:val="007C2478"/>
    <w:rsid w:val="007C24FD"/>
    <w:rsid w:val="007C26B3"/>
    <w:rsid w:val="007C2718"/>
    <w:rsid w:val="007C279D"/>
    <w:rsid w:val="007C2BDA"/>
    <w:rsid w:val="007C2CC1"/>
    <w:rsid w:val="007C3437"/>
    <w:rsid w:val="007C3528"/>
    <w:rsid w:val="007C3931"/>
    <w:rsid w:val="007C4359"/>
    <w:rsid w:val="007C4362"/>
    <w:rsid w:val="007C4674"/>
    <w:rsid w:val="007C4B90"/>
    <w:rsid w:val="007C4BA2"/>
    <w:rsid w:val="007C4D88"/>
    <w:rsid w:val="007C4F59"/>
    <w:rsid w:val="007C4FB9"/>
    <w:rsid w:val="007C50C1"/>
    <w:rsid w:val="007C527C"/>
    <w:rsid w:val="007C5506"/>
    <w:rsid w:val="007C586B"/>
    <w:rsid w:val="007C58B1"/>
    <w:rsid w:val="007C5ABB"/>
    <w:rsid w:val="007C5AFD"/>
    <w:rsid w:val="007C5D6E"/>
    <w:rsid w:val="007C5E3D"/>
    <w:rsid w:val="007C6031"/>
    <w:rsid w:val="007C6228"/>
    <w:rsid w:val="007C627E"/>
    <w:rsid w:val="007C6388"/>
    <w:rsid w:val="007C6398"/>
    <w:rsid w:val="007C661E"/>
    <w:rsid w:val="007C6649"/>
    <w:rsid w:val="007C66F3"/>
    <w:rsid w:val="007C6AA7"/>
    <w:rsid w:val="007C6BBB"/>
    <w:rsid w:val="007C6DC4"/>
    <w:rsid w:val="007C6ECC"/>
    <w:rsid w:val="007C7175"/>
    <w:rsid w:val="007C727E"/>
    <w:rsid w:val="007C742F"/>
    <w:rsid w:val="007C744B"/>
    <w:rsid w:val="007C7498"/>
    <w:rsid w:val="007C74E2"/>
    <w:rsid w:val="007C76FE"/>
    <w:rsid w:val="007D03EE"/>
    <w:rsid w:val="007D056F"/>
    <w:rsid w:val="007D059A"/>
    <w:rsid w:val="007D06FA"/>
    <w:rsid w:val="007D099B"/>
    <w:rsid w:val="007D09CD"/>
    <w:rsid w:val="007D0FBD"/>
    <w:rsid w:val="007D117F"/>
    <w:rsid w:val="007D1188"/>
    <w:rsid w:val="007D149E"/>
    <w:rsid w:val="007D15AA"/>
    <w:rsid w:val="007D1652"/>
    <w:rsid w:val="007D16BF"/>
    <w:rsid w:val="007D19E2"/>
    <w:rsid w:val="007D1C57"/>
    <w:rsid w:val="007D215D"/>
    <w:rsid w:val="007D2168"/>
    <w:rsid w:val="007D24B9"/>
    <w:rsid w:val="007D270B"/>
    <w:rsid w:val="007D2902"/>
    <w:rsid w:val="007D2983"/>
    <w:rsid w:val="007D2B34"/>
    <w:rsid w:val="007D2B4F"/>
    <w:rsid w:val="007D2B8B"/>
    <w:rsid w:val="007D2CB8"/>
    <w:rsid w:val="007D2E1A"/>
    <w:rsid w:val="007D2FFB"/>
    <w:rsid w:val="007D313F"/>
    <w:rsid w:val="007D32B8"/>
    <w:rsid w:val="007D33FF"/>
    <w:rsid w:val="007D342A"/>
    <w:rsid w:val="007D34F9"/>
    <w:rsid w:val="007D37FF"/>
    <w:rsid w:val="007D3D77"/>
    <w:rsid w:val="007D406C"/>
    <w:rsid w:val="007D41F0"/>
    <w:rsid w:val="007D41FB"/>
    <w:rsid w:val="007D4319"/>
    <w:rsid w:val="007D488A"/>
    <w:rsid w:val="007D493A"/>
    <w:rsid w:val="007D4940"/>
    <w:rsid w:val="007D4BCE"/>
    <w:rsid w:val="007D4D1C"/>
    <w:rsid w:val="007D4E69"/>
    <w:rsid w:val="007D4F53"/>
    <w:rsid w:val="007D5A61"/>
    <w:rsid w:val="007D5B7B"/>
    <w:rsid w:val="007D5C62"/>
    <w:rsid w:val="007D5CFF"/>
    <w:rsid w:val="007D5EAD"/>
    <w:rsid w:val="007D6231"/>
    <w:rsid w:val="007D64A8"/>
    <w:rsid w:val="007D675F"/>
    <w:rsid w:val="007D6797"/>
    <w:rsid w:val="007D723D"/>
    <w:rsid w:val="007D757A"/>
    <w:rsid w:val="007D75BC"/>
    <w:rsid w:val="007D7679"/>
    <w:rsid w:val="007D76CE"/>
    <w:rsid w:val="007D7846"/>
    <w:rsid w:val="007D7988"/>
    <w:rsid w:val="007D7AA0"/>
    <w:rsid w:val="007D7B69"/>
    <w:rsid w:val="007D7BC3"/>
    <w:rsid w:val="007D7CF4"/>
    <w:rsid w:val="007D7E2F"/>
    <w:rsid w:val="007E01B5"/>
    <w:rsid w:val="007E05CC"/>
    <w:rsid w:val="007E0B2E"/>
    <w:rsid w:val="007E0D52"/>
    <w:rsid w:val="007E0D65"/>
    <w:rsid w:val="007E0ECF"/>
    <w:rsid w:val="007E1571"/>
    <w:rsid w:val="007E174D"/>
    <w:rsid w:val="007E19EC"/>
    <w:rsid w:val="007E1BA3"/>
    <w:rsid w:val="007E1D1C"/>
    <w:rsid w:val="007E1E84"/>
    <w:rsid w:val="007E20C1"/>
    <w:rsid w:val="007E20E1"/>
    <w:rsid w:val="007E21DC"/>
    <w:rsid w:val="007E23C6"/>
    <w:rsid w:val="007E2429"/>
    <w:rsid w:val="007E257E"/>
    <w:rsid w:val="007E272C"/>
    <w:rsid w:val="007E28A3"/>
    <w:rsid w:val="007E28E3"/>
    <w:rsid w:val="007E28F8"/>
    <w:rsid w:val="007E29B5"/>
    <w:rsid w:val="007E2A2B"/>
    <w:rsid w:val="007E2F9E"/>
    <w:rsid w:val="007E3134"/>
    <w:rsid w:val="007E3451"/>
    <w:rsid w:val="007E3994"/>
    <w:rsid w:val="007E3B03"/>
    <w:rsid w:val="007E3DD1"/>
    <w:rsid w:val="007E3EBF"/>
    <w:rsid w:val="007E41B2"/>
    <w:rsid w:val="007E44A3"/>
    <w:rsid w:val="007E468E"/>
    <w:rsid w:val="007E4A32"/>
    <w:rsid w:val="007E4AC2"/>
    <w:rsid w:val="007E4B72"/>
    <w:rsid w:val="007E4DAF"/>
    <w:rsid w:val="007E4E93"/>
    <w:rsid w:val="007E579A"/>
    <w:rsid w:val="007E5905"/>
    <w:rsid w:val="007E5A92"/>
    <w:rsid w:val="007E5D96"/>
    <w:rsid w:val="007E5DE0"/>
    <w:rsid w:val="007E604D"/>
    <w:rsid w:val="007E62EA"/>
    <w:rsid w:val="007E69E2"/>
    <w:rsid w:val="007E6BD6"/>
    <w:rsid w:val="007E6DDE"/>
    <w:rsid w:val="007E70C8"/>
    <w:rsid w:val="007E72BD"/>
    <w:rsid w:val="007E756C"/>
    <w:rsid w:val="007E763D"/>
    <w:rsid w:val="007E76A9"/>
    <w:rsid w:val="007E78F9"/>
    <w:rsid w:val="007E7B90"/>
    <w:rsid w:val="007E7D19"/>
    <w:rsid w:val="007E7EFB"/>
    <w:rsid w:val="007E7F22"/>
    <w:rsid w:val="007F007B"/>
    <w:rsid w:val="007F01F3"/>
    <w:rsid w:val="007F0341"/>
    <w:rsid w:val="007F03BB"/>
    <w:rsid w:val="007F0601"/>
    <w:rsid w:val="007F083E"/>
    <w:rsid w:val="007F0977"/>
    <w:rsid w:val="007F09EF"/>
    <w:rsid w:val="007F0CE7"/>
    <w:rsid w:val="007F0F1D"/>
    <w:rsid w:val="007F0F2B"/>
    <w:rsid w:val="007F13A0"/>
    <w:rsid w:val="007F147F"/>
    <w:rsid w:val="007F155A"/>
    <w:rsid w:val="007F159A"/>
    <w:rsid w:val="007F1B70"/>
    <w:rsid w:val="007F1CFE"/>
    <w:rsid w:val="007F1F2C"/>
    <w:rsid w:val="007F2291"/>
    <w:rsid w:val="007F271F"/>
    <w:rsid w:val="007F2751"/>
    <w:rsid w:val="007F29BB"/>
    <w:rsid w:val="007F2A02"/>
    <w:rsid w:val="007F2A74"/>
    <w:rsid w:val="007F2C05"/>
    <w:rsid w:val="007F2DEB"/>
    <w:rsid w:val="007F3308"/>
    <w:rsid w:val="007F330B"/>
    <w:rsid w:val="007F33F3"/>
    <w:rsid w:val="007F3601"/>
    <w:rsid w:val="007F360F"/>
    <w:rsid w:val="007F3ADC"/>
    <w:rsid w:val="007F3C36"/>
    <w:rsid w:val="007F3D7A"/>
    <w:rsid w:val="007F3D84"/>
    <w:rsid w:val="007F440D"/>
    <w:rsid w:val="007F4447"/>
    <w:rsid w:val="007F44B4"/>
    <w:rsid w:val="007F47B0"/>
    <w:rsid w:val="007F47F3"/>
    <w:rsid w:val="007F48DF"/>
    <w:rsid w:val="007F4A3A"/>
    <w:rsid w:val="007F4A4E"/>
    <w:rsid w:val="007F4B3F"/>
    <w:rsid w:val="007F4C55"/>
    <w:rsid w:val="007F4C5E"/>
    <w:rsid w:val="007F4F32"/>
    <w:rsid w:val="007F4FA6"/>
    <w:rsid w:val="007F510A"/>
    <w:rsid w:val="007F52AF"/>
    <w:rsid w:val="007F52C8"/>
    <w:rsid w:val="007F5398"/>
    <w:rsid w:val="007F559C"/>
    <w:rsid w:val="007F5758"/>
    <w:rsid w:val="007F5824"/>
    <w:rsid w:val="007F59CA"/>
    <w:rsid w:val="007F5A95"/>
    <w:rsid w:val="007F627E"/>
    <w:rsid w:val="007F63E7"/>
    <w:rsid w:val="007F63FD"/>
    <w:rsid w:val="007F6547"/>
    <w:rsid w:val="007F656C"/>
    <w:rsid w:val="007F6ADD"/>
    <w:rsid w:val="007F703D"/>
    <w:rsid w:val="007F7182"/>
    <w:rsid w:val="007F75E8"/>
    <w:rsid w:val="007F76F2"/>
    <w:rsid w:val="007F7712"/>
    <w:rsid w:val="007F7753"/>
    <w:rsid w:val="007F794E"/>
    <w:rsid w:val="007F7C05"/>
    <w:rsid w:val="00800051"/>
    <w:rsid w:val="008002FE"/>
    <w:rsid w:val="008003B7"/>
    <w:rsid w:val="008004FC"/>
    <w:rsid w:val="008005E5"/>
    <w:rsid w:val="00800609"/>
    <w:rsid w:val="008006B4"/>
    <w:rsid w:val="0080071F"/>
    <w:rsid w:val="0080087C"/>
    <w:rsid w:val="00800C85"/>
    <w:rsid w:val="00800E45"/>
    <w:rsid w:val="00800EC9"/>
    <w:rsid w:val="00801181"/>
    <w:rsid w:val="008015D7"/>
    <w:rsid w:val="0080199D"/>
    <w:rsid w:val="00801E1E"/>
    <w:rsid w:val="00801E48"/>
    <w:rsid w:val="00801E71"/>
    <w:rsid w:val="00801EC3"/>
    <w:rsid w:val="00801F9D"/>
    <w:rsid w:val="00801FB5"/>
    <w:rsid w:val="0080230B"/>
    <w:rsid w:val="00802479"/>
    <w:rsid w:val="0080248D"/>
    <w:rsid w:val="008026BE"/>
    <w:rsid w:val="00802773"/>
    <w:rsid w:val="00802791"/>
    <w:rsid w:val="00802CF4"/>
    <w:rsid w:val="00802D55"/>
    <w:rsid w:val="00802D88"/>
    <w:rsid w:val="00802E72"/>
    <w:rsid w:val="00802F49"/>
    <w:rsid w:val="00802FB4"/>
    <w:rsid w:val="00803378"/>
    <w:rsid w:val="00803381"/>
    <w:rsid w:val="00803897"/>
    <w:rsid w:val="0080389F"/>
    <w:rsid w:val="00803ADF"/>
    <w:rsid w:val="00803BC2"/>
    <w:rsid w:val="00803C6B"/>
    <w:rsid w:val="00803D87"/>
    <w:rsid w:val="00803E92"/>
    <w:rsid w:val="00804062"/>
    <w:rsid w:val="0080418B"/>
    <w:rsid w:val="0080454E"/>
    <w:rsid w:val="008046BB"/>
    <w:rsid w:val="008046C5"/>
    <w:rsid w:val="00804886"/>
    <w:rsid w:val="00804908"/>
    <w:rsid w:val="00804A34"/>
    <w:rsid w:val="00804A51"/>
    <w:rsid w:val="00804E5D"/>
    <w:rsid w:val="00805080"/>
    <w:rsid w:val="008050C9"/>
    <w:rsid w:val="008052A2"/>
    <w:rsid w:val="008054F8"/>
    <w:rsid w:val="0080561F"/>
    <w:rsid w:val="00806028"/>
    <w:rsid w:val="00806198"/>
    <w:rsid w:val="00806412"/>
    <w:rsid w:val="00806413"/>
    <w:rsid w:val="008064D9"/>
    <w:rsid w:val="00806519"/>
    <w:rsid w:val="00806905"/>
    <w:rsid w:val="008069C0"/>
    <w:rsid w:val="00806B81"/>
    <w:rsid w:val="00806C92"/>
    <w:rsid w:val="00806F3B"/>
    <w:rsid w:val="00807070"/>
    <w:rsid w:val="008070BB"/>
    <w:rsid w:val="00807A47"/>
    <w:rsid w:val="00807C77"/>
    <w:rsid w:val="00807EED"/>
    <w:rsid w:val="00807F09"/>
    <w:rsid w:val="008100DD"/>
    <w:rsid w:val="008100FA"/>
    <w:rsid w:val="008101F7"/>
    <w:rsid w:val="00810792"/>
    <w:rsid w:val="008108C5"/>
    <w:rsid w:val="00810C74"/>
    <w:rsid w:val="0081136F"/>
    <w:rsid w:val="008114B1"/>
    <w:rsid w:val="008114EB"/>
    <w:rsid w:val="0081162D"/>
    <w:rsid w:val="00811945"/>
    <w:rsid w:val="00811B9B"/>
    <w:rsid w:val="00811D36"/>
    <w:rsid w:val="00811D9B"/>
    <w:rsid w:val="00811E28"/>
    <w:rsid w:val="008120F6"/>
    <w:rsid w:val="00812540"/>
    <w:rsid w:val="0081269B"/>
    <w:rsid w:val="00812759"/>
    <w:rsid w:val="00812762"/>
    <w:rsid w:val="00812BDB"/>
    <w:rsid w:val="00812E76"/>
    <w:rsid w:val="00813045"/>
    <w:rsid w:val="00813145"/>
    <w:rsid w:val="008133DE"/>
    <w:rsid w:val="008134ED"/>
    <w:rsid w:val="00813860"/>
    <w:rsid w:val="00813BE1"/>
    <w:rsid w:val="00813E0D"/>
    <w:rsid w:val="00813F09"/>
    <w:rsid w:val="008142EF"/>
    <w:rsid w:val="00814544"/>
    <w:rsid w:val="0081480D"/>
    <w:rsid w:val="00814A9B"/>
    <w:rsid w:val="00814C3E"/>
    <w:rsid w:val="00814EE0"/>
    <w:rsid w:val="00814F4E"/>
    <w:rsid w:val="00815022"/>
    <w:rsid w:val="0081552D"/>
    <w:rsid w:val="008155A1"/>
    <w:rsid w:val="00815A04"/>
    <w:rsid w:val="0081636F"/>
    <w:rsid w:val="00816517"/>
    <w:rsid w:val="0081659D"/>
    <w:rsid w:val="0081669B"/>
    <w:rsid w:val="0081670E"/>
    <w:rsid w:val="00816880"/>
    <w:rsid w:val="00816A2D"/>
    <w:rsid w:val="00816A56"/>
    <w:rsid w:val="00816AE1"/>
    <w:rsid w:val="00816B32"/>
    <w:rsid w:val="00816D9E"/>
    <w:rsid w:val="00816EB1"/>
    <w:rsid w:val="00816FCB"/>
    <w:rsid w:val="00817032"/>
    <w:rsid w:val="00817202"/>
    <w:rsid w:val="0081734E"/>
    <w:rsid w:val="00817582"/>
    <w:rsid w:val="008177E1"/>
    <w:rsid w:val="0081797E"/>
    <w:rsid w:val="00817BD5"/>
    <w:rsid w:val="00817C70"/>
    <w:rsid w:val="00817D92"/>
    <w:rsid w:val="00817DC6"/>
    <w:rsid w:val="00817EA1"/>
    <w:rsid w:val="00817F61"/>
    <w:rsid w:val="008202BD"/>
    <w:rsid w:val="008202D2"/>
    <w:rsid w:val="00820617"/>
    <w:rsid w:val="00820619"/>
    <w:rsid w:val="00820649"/>
    <w:rsid w:val="00820AA9"/>
    <w:rsid w:val="00820EBF"/>
    <w:rsid w:val="00820EC4"/>
    <w:rsid w:val="00820F5B"/>
    <w:rsid w:val="0082113E"/>
    <w:rsid w:val="00821169"/>
    <w:rsid w:val="00821206"/>
    <w:rsid w:val="00821218"/>
    <w:rsid w:val="0082161D"/>
    <w:rsid w:val="008216C4"/>
    <w:rsid w:val="008219C0"/>
    <w:rsid w:val="00821D73"/>
    <w:rsid w:val="00821E00"/>
    <w:rsid w:val="00822005"/>
    <w:rsid w:val="008220AE"/>
    <w:rsid w:val="00822292"/>
    <w:rsid w:val="00822476"/>
    <w:rsid w:val="008225EE"/>
    <w:rsid w:val="00822B47"/>
    <w:rsid w:val="00823051"/>
    <w:rsid w:val="008231B2"/>
    <w:rsid w:val="008233A1"/>
    <w:rsid w:val="008234E1"/>
    <w:rsid w:val="008237FD"/>
    <w:rsid w:val="008238B3"/>
    <w:rsid w:val="00823E14"/>
    <w:rsid w:val="008243B3"/>
    <w:rsid w:val="008243DA"/>
    <w:rsid w:val="00824573"/>
    <w:rsid w:val="0082468F"/>
    <w:rsid w:val="00824861"/>
    <w:rsid w:val="008249E6"/>
    <w:rsid w:val="00824EFE"/>
    <w:rsid w:val="008250D5"/>
    <w:rsid w:val="0082519D"/>
    <w:rsid w:val="00825206"/>
    <w:rsid w:val="008252DD"/>
    <w:rsid w:val="00825421"/>
    <w:rsid w:val="008256FD"/>
    <w:rsid w:val="00825AF2"/>
    <w:rsid w:val="00825C97"/>
    <w:rsid w:val="00825EAC"/>
    <w:rsid w:val="00825F1D"/>
    <w:rsid w:val="00825F97"/>
    <w:rsid w:val="0082615B"/>
    <w:rsid w:val="0082626F"/>
    <w:rsid w:val="008263BD"/>
    <w:rsid w:val="00826476"/>
    <w:rsid w:val="008268F4"/>
    <w:rsid w:val="00826BE7"/>
    <w:rsid w:val="00826F72"/>
    <w:rsid w:val="00826FC3"/>
    <w:rsid w:val="008273D8"/>
    <w:rsid w:val="00827420"/>
    <w:rsid w:val="00827B5D"/>
    <w:rsid w:val="00827C9A"/>
    <w:rsid w:val="00827EA5"/>
    <w:rsid w:val="00827ED2"/>
    <w:rsid w:val="00827F2E"/>
    <w:rsid w:val="00827F49"/>
    <w:rsid w:val="00830183"/>
    <w:rsid w:val="00830365"/>
    <w:rsid w:val="008303CB"/>
    <w:rsid w:val="008307EC"/>
    <w:rsid w:val="0083106A"/>
    <w:rsid w:val="008310D7"/>
    <w:rsid w:val="0083141C"/>
    <w:rsid w:val="00831715"/>
    <w:rsid w:val="00831910"/>
    <w:rsid w:val="00831CAA"/>
    <w:rsid w:val="00831E63"/>
    <w:rsid w:val="00831E6D"/>
    <w:rsid w:val="00831F5A"/>
    <w:rsid w:val="00831F98"/>
    <w:rsid w:val="00832038"/>
    <w:rsid w:val="0083217A"/>
    <w:rsid w:val="008321BC"/>
    <w:rsid w:val="00832486"/>
    <w:rsid w:val="00832498"/>
    <w:rsid w:val="00832574"/>
    <w:rsid w:val="008325B8"/>
    <w:rsid w:val="008325EC"/>
    <w:rsid w:val="0083286E"/>
    <w:rsid w:val="0083289D"/>
    <w:rsid w:val="00832A5D"/>
    <w:rsid w:val="00832B8F"/>
    <w:rsid w:val="00832D9C"/>
    <w:rsid w:val="00832EFB"/>
    <w:rsid w:val="008330B4"/>
    <w:rsid w:val="0083320E"/>
    <w:rsid w:val="00833305"/>
    <w:rsid w:val="008335D3"/>
    <w:rsid w:val="008337ED"/>
    <w:rsid w:val="0083396D"/>
    <w:rsid w:val="00833C01"/>
    <w:rsid w:val="00833D7E"/>
    <w:rsid w:val="00833DD9"/>
    <w:rsid w:val="00833F45"/>
    <w:rsid w:val="00833FF3"/>
    <w:rsid w:val="0083422D"/>
    <w:rsid w:val="0083510F"/>
    <w:rsid w:val="00835501"/>
    <w:rsid w:val="008355F5"/>
    <w:rsid w:val="00835861"/>
    <w:rsid w:val="00835943"/>
    <w:rsid w:val="00835946"/>
    <w:rsid w:val="0083596D"/>
    <w:rsid w:val="00835AE2"/>
    <w:rsid w:val="00835E60"/>
    <w:rsid w:val="00835F84"/>
    <w:rsid w:val="008363A6"/>
    <w:rsid w:val="00836474"/>
    <w:rsid w:val="0083670C"/>
    <w:rsid w:val="008368D3"/>
    <w:rsid w:val="0083696A"/>
    <w:rsid w:val="008369F5"/>
    <w:rsid w:val="00836A4D"/>
    <w:rsid w:val="00836A5D"/>
    <w:rsid w:val="00836E32"/>
    <w:rsid w:val="00836E67"/>
    <w:rsid w:val="008378D0"/>
    <w:rsid w:val="00837AA4"/>
    <w:rsid w:val="00837C35"/>
    <w:rsid w:val="00840192"/>
    <w:rsid w:val="008401B7"/>
    <w:rsid w:val="00840367"/>
    <w:rsid w:val="008403B1"/>
    <w:rsid w:val="008403E0"/>
    <w:rsid w:val="0084065B"/>
    <w:rsid w:val="008407BB"/>
    <w:rsid w:val="00840BC6"/>
    <w:rsid w:val="00840C8C"/>
    <w:rsid w:val="00840D1D"/>
    <w:rsid w:val="00840F8E"/>
    <w:rsid w:val="008412E5"/>
    <w:rsid w:val="00841414"/>
    <w:rsid w:val="0084163A"/>
    <w:rsid w:val="0084163E"/>
    <w:rsid w:val="00841661"/>
    <w:rsid w:val="0084168A"/>
    <w:rsid w:val="00841CFD"/>
    <w:rsid w:val="00841E10"/>
    <w:rsid w:val="00841FC8"/>
    <w:rsid w:val="00842128"/>
    <w:rsid w:val="00842311"/>
    <w:rsid w:val="00842453"/>
    <w:rsid w:val="008424AD"/>
    <w:rsid w:val="008426E6"/>
    <w:rsid w:val="00842774"/>
    <w:rsid w:val="00842A3F"/>
    <w:rsid w:val="00842AB4"/>
    <w:rsid w:val="00842C4F"/>
    <w:rsid w:val="00842CB6"/>
    <w:rsid w:val="00842E85"/>
    <w:rsid w:val="008433B4"/>
    <w:rsid w:val="0084344D"/>
    <w:rsid w:val="0084366F"/>
    <w:rsid w:val="008436D4"/>
    <w:rsid w:val="00843F59"/>
    <w:rsid w:val="00844307"/>
    <w:rsid w:val="00844A76"/>
    <w:rsid w:val="00844D6B"/>
    <w:rsid w:val="00844E54"/>
    <w:rsid w:val="00844F69"/>
    <w:rsid w:val="0084522E"/>
    <w:rsid w:val="008457F8"/>
    <w:rsid w:val="00845931"/>
    <w:rsid w:val="00845A95"/>
    <w:rsid w:val="00845B4B"/>
    <w:rsid w:val="00845C68"/>
    <w:rsid w:val="00845CDD"/>
    <w:rsid w:val="00845CF6"/>
    <w:rsid w:val="00845D7A"/>
    <w:rsid w:val="00845DF8"/>
    <w:rsid w:val="00846124"/>
    <w:rsid w:val="008461F3"/>
    <w:rsid w:val="0084622F"/>
    <w:rsid w:val="008469BE"/>
    <w:rsid w:val="00846B0A"/>
    <w:rsid w:val="00846E1D"/>
    <w:rsid w:val="00846F43"/>
    <w:rsid w:val="00847119"/>
    <w:rsid w:val="008473C8"/>
    <w:rsid w:val="008475C5"/>
    <w:rsid w:val="0084774D"/>
    <w:rsid w:val="00847922"/>
    <w:rsid w:val="00847B2E"/>
    <w:rsid w:val="00847BB3"/>
    <w:rsid w:val="00847D05"/>
    <w:rsid w:val="00847D13"/>
    <w:rsid w:val="00847F05"/>
    <w:rsid w:val="00847F84"/>
    <w:rsid w:val="00850082"/>
    <w:rsid w:val="0085021D"/>
    <w:rsid w:val="00850257"/>
    <w:rsid w:val="008502C3"/>
    <w:rsid w:val="00850A1E"/>
    <w:rsid w:val="00851260"/>
    <w:rsid w:val="008517EB"/>
    <w:rsid w:val="00851A6F"/>
    <w:rsid w:val="00851C17"/>
    <w:rsid w:val="00851D86"/>
    <w:rsid w:val="00851DC6"/>
    <w:rsid w:val="00851FE6"/>
    <w:rsid w:val="008522B3"/>
    <w:rsid w:val="008522C5"/>
    <w:rsid w:val="008524B2"/>
    <w:rsid w:val="00852593"/>
    <w:rsid w:val="00852616"/>
    <w:rsid w:val="0085262E"/>
    <w:rsid w:val="00852B2A"/>
    <w:rsid w:val="00852CB2"/>
    <w:rsid w:val="00852E57"/>
    <w:rsid w:val="00852F79"/>
    <w:rsid w:val="00853102"/>
    <w:rsid w:val="008531C7"/>
    <w:rsid w:val="008531EC"/>
    <w:rsid w:val="0085320E"/>
    <w:rsid w:val="008532C8"/>
    <w:rsid w:val="00853385"/>
    <w:rsid w:val="0085361A"/>
    <w:rsid w:val="008537E4"/>
    <w:rsid w:val="008539AF"/>
    <w:rsid w:val="00853ADB"/>
    <w:rsid w:val="00853D28"/>
    <w:rsid w:val="0085445F"/>
    <w:rsid w:val="0085448C"/>
    <w:rsid w:val="008546BE"/>
    <w:rsid w:val="00854B59"/>
    <w:rsid w:val="00854CB4"/>
    <w:rsid w:val="00854DD8"/>
    <w:rsid w:val="00854E91"/>
    <w:rsid w:val="00854FA6"/>
    <w:rsid w:val="0085519F"/>
    <w:rsid w:val="008553D9"/>
    <w:rsid w:val="00855A60"/>
    <w:rsid w:val="00855A61"/>
    <w:rsid w:val="00855AAD"/>
    <w:rsid w:val="00855ADE"/>
    <w:rsid w:val="00855D84"/>
    <w:rsid w:val="00855E48"/>
    <w:rsid w:val="0085616C"/>
    <w:rsid w:val="00856302"/>
    <w:rsid w:val="00856487"/>
    <w:rsid w:val="00856500"/>
    <w:rsid w:val="00856540"/>
    <w:rsid w:val="00856A0E"/>
    <w:rsid w:val="00856A7B"/>
    <w:rsid w:val="00856E98"/>
    <w:rsid w:val="0085706C"/>
    <w:rsid w:val="0085707A"/>
    <w:rsid w:val="00857139"/>
    <w:rsid w:val="00857445"/>
    <w:rsid w:val="0085762F"/>
    <w:rsid w:val="008576E7"/>
    <w:rsid w:val="008578B8"/>
    <w:rsid w:val="00857ADE"/>
    <w:rsid w:val="00857CAE"/>
    <w:rsid w:val="00857F82"/>
    <w:rsid w:val="008600B2"/>
    <w:rsid w:val="008608B7"/>
    <w:rsid w:val="00860B73"/>
    <w:rsid w:val="00860F70"/>
    <w:rsid w:val="00861271"/>
    <w:rsid w:val="008613FE"/>
    <w:rsid w:val="00861624"/>
    <w:rsid w:val="00861879"/>
    <w:rsid w:val="008618F4"/>
    <w:rsid w:val="00861C73"/>
    <w:rsid w:val="00861CFB"/>
    <w:rsid w:val="008620C4"/>
    <w:rsid w:val="00862104"/>
    <w:rsid w:val="00862240"/>
    <w:rsid w:val="0086250A"/>
    <w:rsid w:val="008625AA"/>
    <w:rsid w:val="008628EF"/>
    <w:rsid w:val="00862BDD"/>
    <w:rsid w:val="00862D9C"/>
    <w:rsid w:val="00862F9F"/>
    <w:rsid w:val="00863131"/>
    <w:rsid w:val="008634E5"/>
    <w:rsid w:val="008635C5"/>
    <w:rsid w:val="0086371A"/>
    <w:rsid w:val="0086382C"/>
    <w:rsid w:val="00863B5F"/>
    <w:rsid w:val="0086431B"/>
    <w:rsid w:val="00864414"/>
    <w:rsid w:val="0086451A"/>
    <w:rsid w:val="0086459A"/>
    <w:rsid w:val="00864609"/>
    <w:rsid w:val="008647D0"/>
    <w:rsid w:val="00864A1A"/>
    <w:rsid w:val="00864F86"/>
    <w:rsid w:val="0086514A"/>
    <w:rsid w:val="008651E5"/>
    <w:rsid w:val="00865AA6"/>
    <w:rsid w:val="00865E81"/>
    <w:rsid w:val="00865F3A"/>
    <w:rsid w:val="00866161"/>
    <w:rsid w:val="008662EF"/>
    <w:rsid w:val="00866783"/>
    <w:rsid w:val="008668F7"/>
    <w:rsid w:val="00866946"/>
    <w:rsid w:val="00866C82"/>
    <w:rsid w:val="00866E12"/>
    <w:rsid w:val="00867474"/>
    <w:rsid w:val="0086747A"/>
    <w:rsid w:val="008678C3"/>
    <w:rsid w:val="00867B25"/>
    <w:rsid w:val="00867C5D"/>
    <w:rsid w:val="00867CA4"/>
    <w:rsid w:val="00870012"/>
    <w:rsid w:val="008701DC"/>
    <w:rsid w:val="008702D5"/>
    <w:rsid w:val="008705A6"/>
    <w:rsid w:val="00870780"/>
    <w:rsid w:val="00870D18"/>
    <w:rsid w:val="00870FD5"/>
    <w:rsid w:val="0087106A"/>
    <w:rsid w:val="008711F4"/>
    <w:rsid w:val="0087140A"/>
    <w:rsid w:val="00871482"/>
    <w:rsid w:val="008714FA"/>
    <w:rsid w:val="0087185A"/>
    <w:rsid w:val="00871C1B"/>
    <w:rsid w:val="00871E99"/>
    <w:rsid w:val="00872221"/>
    <w:rsid w:val="00872711"/>
    <w:rsid w:val="008728A3"/>
    <w:rsid w:val="00872C41"/>
    <w:rsid w:val="008732F1"/>
    <w:rsid w:val="00873526"/>
    <w:rsid w:val="008737AD"/>
    <w:rsid w:val="0087392D"/>
    <w:rsid w:val="00873BAF"/>
    <w:rsid w:val="0087408B"/>
    <w:rsid w:val="008742E5"/>
    <w:rsid w:val="00874721"/>
    <w:rsid w:val="00874857"/>
    <w:rsid w:val="00874929"/>
    <w:rsid w:val="008749C3"/>
    <w:rsid w:val="00874B58"/>
    <w:rsid w:val="00874C85"/>
    <w:rsid w:val="00875031"/>
    <w:rsid w:val="008752E4"/>
    <w:rsid w:val="008753AB"/>
    <w:rsid w:val="00875476"/>
    <w:rsid w:val="00875477"/>
    <w:rsid w:val="008754C7"/>
    <w:rsid w:val="0087569A"/>
    <w:rsid w:val="00875843"/>
    <w:rsid w:val="0087586A"/>
    <w:rsid w:val="008758F6"/>
    <w:rsid w:val="00875A51"/>
    <w:rsid w:val="00875A98"/>
    <w:rsid w:val="00875B02"/>
    <w:rsid w:val="00875B0E"/>
    <w:rsid w:val="00875CA0"/>
    <w:rsid w:val="00875F9B"/>
    <w:rsid w:val="00876031"/>
    <w:rsid w:val="00876B9E"/>
    <w:rsid w:val="00876E55"/>
    <w:rsid w:val="00877340"/>
    <w:rsid w:val="0087780F"/>
    <w:rsid w:val="00877A5A"/>
    <w:rsid w:val="00877B47"/>
    <w:rsid w:val="00877BD4"/>
    <w:rsid w:val="00877CB5"/>
    <w:rsid w:val="00877EBB"/>
    <w:rsid w:val="00880131"/>
    <w:rsid w:val="0088013C"/>
    <w:rsid w:val="008802A2"/>
    <w:rsid w:val="00880675"/>
    <w:rsid w:val="00880697"/>
    <w:rsid w:val="0088086A"/>
    <w:rsid w:val="00880D00"/>
    <w:rsid w:val="00880E60"/>
    <w:rsid w:val="0088109D"/>
    <w:rsid w:val="0088113C"/>
    <w:rsid w:val="008813F1"/>
    <w:rsid w:val="00881401"/>
    <w:rsid w:val="00881485"/>
    <w:rsid w:val="0088163A"/>
    <w:rsid w:val="008817D4"/>
    <w:rsid w:val="00881DBB"/>
    <w:rsid w:val="00881E25"/>
    <w:rsid w:val="008821ED"/>
    <w:rsid w:val="008824AE"/>
    <w:rsid w:val="008824DF"/>
    <w:rsid w:val="00882748"/>
    <w:rsid w:val="008828A8"/>
    <w:rsid w:val="00882966"/>
    <w:rsid w:val="00882C4C"/>
    <w:rsid w:val="00882D25"/>
    <w:rsid w:val="00882EF2"/>
    <w:rsid w:val="00882FF1"/>
    <w:rsid w:val="008831EB"/>
    <w:rsid w:val="00883311"/>
    <w:rsid w:val="008834A4"/>
    <w:rsid w:val="008834F2"/>
    <w:rsid w:val="00883743"/>
    <w:rsid w:val="0088398B"/>
    <w:rsid w:val="008839AD"/>
    <w:rsid w:val="00883AEA"/>
    <w:rsid w:val="00883DF0"/>
    <w:rsid w:val="00884407"/>
    <w:rsid w:val="00884465"/>
    <w:rsid w:val="00884533"/>
    <w:rsid w:val="0088459D"/>
    <w:rsid w:val="0088462E"/>
    <w:rsid w:val="00884AA8"/>
    <w:rsid w:val="00884C11"/>
    <w:rsid w:val="00884E4A"/>
    <w:rsid w:val="00884FA6"/>
    <w:rsid w:val="008858CB"/>
    <w:rsid w:val="00885B8D"/>
    <w:rsid w:val="00885DCE"/>
    <w:rsid w:val="00885FAE"/>
    <w:rsid w:val="00886191"/>
    <w:rsid w:val="00886311"/>
    <w:rsid w:val="0088635A"/>
    <w:rsid w:val="0088637C"/>
    <w:rsid w:val="008865B2"/>
    <w:rsid w:val="008865C6"/>
    <w:rsid w:val="00886DC6"/>
    <w:rsid w:val="00887248"/>
    <w:rsid w:val="0088749C"/>
    <w:rsid w:val="0088788E"/>
    <w:rsid w:val="008879BB"/>
    <w:rsid w:val="00887B02"/>
    <w:rsid w:val="008900AB"/>
    <w:rsid w:val="008902F4"/>
    <w:rsid w:val="0089052E"/>
    <w:rsid w:val="008906E2"/>
    <w:rsid w:val="00890B19"/>
    <w:rsid w:val="00890C36"/>
    <w:rsid w:val="00890E34"/>
    <w:rsid w:val="008910BD"/>
    <w:rsid w:val="0089110E"/>
    <w:rsid w:val="00891191"/>
    <w:rsid w:val="0089119A"/>
    <w:rsid w:val="00891275"/>
    <w:rsid w:val="00891373"/>
    <w:rsid w:val="0089137B"/>
    <w:rsid w:val="00891507"/>
    <w:rsid w:val="00891639"/>
    <w:rsid w:val="00891656"/>
    <w:rsid w:val="008919A4"/>
    <w:rsid w:val="00891BA9"/>
    <w:rsid w:val="00891C41"/>
    <w:rsid w:val="00891F8D"/>
    <w:rsid w:val="0089210E"/>
    <w:rsid w:val="00892128"/>
    <w:rsid w:val="008921AD"/>
    <w:rsid w:val="008922A1"/>
    <w:rsid w:val="008922D7"/>
    <w:rsid w:val="008926E0"/>
    <w:rsid w:val="008927AC"/>
    <w:rsid w:val="00892821"/>
    <w:rsid w:val="00892824"/>
    <w:rsid w:val="008929D5"/>
    <w:rsid w:val="00893AAA"/>
    <w:rsid w:val="00893AF3"/>
    <w:rsid w:val="00893CF6"/>
    <w:rsid w:val="0089454D"/>
    <w:rsid w:val="00894619"/>
    <w:rsid w:val="0089479D"/>
    <w:rsid w:val="00894A03"/>
    <w:rsid w:val="00894F9E"/>
    <w:rsid w:val="008952B9"/>
    <w:rsid w:val="0089573B"/>
    <w:rsid w:val="0089587C"/>
    <w:rsid w:val="00895BC9"/>
    <w:rsid w:val="00895CE4"/>
    <w:rsid w:val="00895F61"/>
    <w:rsid w:val="0089685B"/>
    <w:rsid w:val="00896921"/>
    <w:rsid w:val="00896A56"/>
    <w:rsid w:val="00896DAD"/>
    <w:rsid w:val="008970FB"/>
    <w:rsid w:val="00897266"/>
    <w:rsid w:val="00897353"/>
    <w:rsid w:val="00897360"/>
    <w:rsid w:val="008975BC"/>
    <w:rsid w:val="008976B4"/>
    <w:rsid w:val="00897C07"/>
    <w:rsid w:val="00897CA3"/>
    <w:rsid w:val="00897D09"/>
    <w:rsid w:val="00897ED8"/>
    <w:rsid w:val="00897F4D"/>
    <w:rsid w:val="008A01E9"/>
    <w:rsid w:val="008A0212"/>
    <w:rsid w:val="008A05E7"/>
    <w:rsid w:val="008A0B88"/>
    <w:rsid w:val="008A0FE6"/>
    <w:rsid w:val="008A11BD"/>
    <w:rsid w:val="008A1327"/>
    <w:rsid w:val="008A13BD"/>
    <w:rsid w:val="008A14CB"/>
    <w:rsid w:val="008A1AD2"/>
    <w:rsid w:val="008A1BCB"/>
    <w:rsid w:val="008A1D22"/>
    <w:rsid w:val="008A20F3"/>
    <w:rsid w:val="008A21FF"/>
    <w:rsid w:val="008A28CD"/>
    <w:rsid w:val="008A290E"/>
    <w:rsid w:val="008A299C"/>
    <w:rsid w:val="008A2C91"/>
    <w:rsid w:val="008A2CA0"/>
    <w:rsid w:val="008A304B"/>
    <w:rsid w:val="008A345B"/>
    <w:rsid w:val="008A35E8"/>
    <w:rsid w:val="008A379A"/>
    <w:rsid w:val="008A37AA"/>
    <w:rsid w:val="008A3939"/>
    <w:rsid w:val="008A396D"/>
    <w:rsid w:val="008A3985"/>
    <w:rsid w:val="008A3D4E"/>
    <w:rsid w:val="008A3F0B"/>
    <w:rsid w:val="008A40C8"/>
    <w:rsid w:val="008A40D0"/>
    <w:rsid w:val="008A45CE"/>
    <w:rsid w:val="008A48CD"/>
    <w:rsid w:val="008A499C"/>
    <w:rsid w:val="008A4A6E"/>
    <w:rsid w:val="008A4B53"/>
    <w:rsid w:val="008A4DE9"/>
    <w:rsid w:val="008A4E51"/>
    <w:rsid w:val="008A5581"/>
    <w:rsid w:val="008A5583"/>
    <w:rsid w:val="008A5963"/>
    <w:rsid w:val="008A59B4"/>
    <w:rsid w:val="008A5A1B"/>
    <w:rsid w:val="008A5BD7"/>
    <w:rsid w:val="008A5BFF"/>
    <w:rsid w:val="008A5E66"/>
    <w:rsid w:val="008A5FFF"/>
    <w:rsid w:val="008A6036"/>
    <w:rsid w:val="008A6059"/>
    <w:rsid w:val="008A661E"/>
    <w:rsid w:val="008A68CF"/>
    <w:rsid w:val="008A693C"/>
    <w:rsid w:val="008A69B0"/>
    <w:rsid w:val="008A7658"/>
    <w:rsid w:val="008A78F4"/>
    <w:rsid w:val="008A7AFD"/>
    <w:rsid w:val="008A7D76"/>
    <w:rsid w:val="008A7EDB"/>
    <w:rsid w:val="008A7F9B"/>
    <w:rsid w:val="008B0180"/>
    <w:rsid w:val="008B0318"/>
    <w:rsid w:val="008B03DC"/>
    <w:rsid w:val="008B0536"/>
    <w:rsid w:val="008B06C7"/>
    <w:rsid w:val="008B0B1E"/>
    <w:rsid w:val="008B0B35"/>
    <w:rsid w:val="008B0CE6"/>
    <w:rsid w:val="008B0F6F"/>
    <w:rsid w:val="008B1117"/>
    <w:rsid w:val="008B1176"/>
    <w:rsid w:val="008B12B1"/>
    <w:rsid w:val="008B1529"/>
    <w:rsid w:val="008B16B9"/>
    <w:rsid w:val="008B1854"/>
    <w:rsid w:val="008B1A7D"/>
    <w:rsid w:val="008B1E6B"/>
    <w:rsid w:val="008B1EB2"/>
    <w:rsid w:val="008B1FC8"/>
    <w:rsid w:val="008B212C"/>
    <w:rsid w:val="008B221E"/>
    <w:rsid w:val="008B27C4"/>
    <w:rsid w:val="008B2A93"/>
    <w:rsid w:val="008B2ABA"/>
    <w:rsid w:val="008B2E99"/>
    <w:rsid w:val="008B2EBB"/>
    <w:rsid w:val="008B2EFE"/>
    <w:rsid w:val="008B2F4C"/>
    <w:rsid w:val="008B316E"/>
    <w:rsid w:val="008B32F5"/>
    <w:rsid w:val="008B3356"/>
    <w:rsid w:val="008B3857"/>
    <w:rsid w:val="008B3887"/>
    <w:rsid w:val="008B3907"/>
    <w:rsid w:val="008B3A15"/>
    <w:rsid w:val="008B3CD3"/>
    <w:rsid w:val="008B3DB9"/>
    <w:rsid w:val="008B3DD1"/>
    <w:rsid w:val="008B4715"/>
    <w:rsid w:val="008B494C"/>
    <w:rsid w:val="008B4C8D"/>
    <w:rsid w:val="008B4CA6"/>
    <w:rsid w:val="008B4D32"/>
    <w:rsid w:val="008B4D99"/>
    <w:rsid w:val="008B5204"/>
    <w:rsid w:val="008B55B6"/>
    <w:rsid w:val="008B56FF"/>
    <w:rsid w:val="008B5822"/>
    <w:rsid w:val="008B5A70"/>
    <w:rsid w:val="008B5CF2"/>
    <w:rsid w:val="008B5D55"/>
    <w:rsid w:val="008B5DB2"/>
    <w:rsid w:val="008B5EBD"/>
    <w:rsid w:val="008B5EEE"/>
    <w:rsid w:val="008B60E7"/>
    <w:rsid w:val="008B621E"/>
    <w:rsid w:val="008B63C9"/>
    <w:rsid w:val="008B63E9"/>
    <w:rsid w:val="008B6604"/>
    <w:rsid w:val="008B67E3"/>
    <w:rsid w:val="008B68E6"/>
    <w:rsid w:val="008B690C"/>
    <w:rsid w:val="008B6972"/>
    <w:rsid w:val="008B69BD"/>
    <w:rsid w:val="008B6BDF"/>
    <w:rsid w:val="008B6C45"/>
    <w:rsid w:val="008B6E6B"/>
    <w:rsid w:val="008B72D2"/>
    <w:rsid w:val="008B74FA"/>
    <w:rsid w:val="008B7650"/>
    <w:rsid w:val="008B79A6"/>
    <w:rsid w:val="008B7F8F"/>
    <w:rsid w:val="008C00AB"/>
    <w:rsid w:val="008C026E"/>
    <w:rsid w:val="008C033B"/>
    <w:rsid w:val="008C03AD"/>
    <w:rsid w:val="008C0657"/>
    <w:rsid w:val="008C0A01"/>
    <w:rsid w:val="008C0A9B"/>
    <w:rsid w:val="008C0B91"/>
    <w:rsid w:val="008C0E83"/>
    <w:rsid w:val="008C109B"/>
    <w:rsid w:val="008C140B"/>
    <w:rsid w:val="008C193E"/>
    <w:rsid w:val="008C198A"/>
    <w:rsid w:val="008C1AED"/>
    <w:rsid w:val="008C1D2B"/>
    <w:rsid w:val="008C1D2F"/>
    <w:rsid w:val="008C1D7D"/>
    <w:rsid w:val="008C1F18"/>
    <w:rsid w:val="008C24C5"/>
    <w:rsid w:val="008C26AF"/>
    <w:rsid w:val="008C2730"/>
    <w:rsid w:val="008C2979"/>
    <w:rsid w:val="008C2AE4"/>
    <w:rsid w:val="008C2B25"/>
    <w:rsid w:val="008C2D4A"/>
    <w:rsid w:val="008C3130"/>
    <w:rsid w:val="008C31BB"/>
    <w:rsid w:val="008C32C8"/>
    <w:rsid w:val="008C3BCE"/>
    <w:rsid w:val="008C4199"/>
    <w:rsid w:val="008C41A7"/>
    <w:rsid w:val="008C475A"/>
    <w:rsid w:val="008C4975"/>
    <w:rsid w:val="008C4C47"/>
    <w:rsid w:val="008C4C99"/>
    <w:rsid w:val="008C4EF6"/>
    <w:rsid w:val="008C4F25"/>
    <w:rsid w:val="008C56E9"/>
    <w:rsid w:val="008C5B22"/>
    <w:rsid w:val="008C6109"/>
    <w:rsid w:val="008C618F"/>
    <w:rsid w:val="008C66CE"/>
    <w:rsid w:val="008C6A12"/>
    <w:rsid w:val="008C6D4C"/>
    <w:rsid w:val="008C6E36"/>
    <w:rsid w:val="008C6F5D"/>
    <w:rsid w:val="008C715A"/>
    <w:rsid w:val="008C734C"/>
    <w:rsid w:val="008C74F4"/>
    <w:rsid w:val="008C759D"/>
    <w:rsid w:val="008D0065"/>
    <w:rsid w:val="008D00BB"/>
    <w:rsid w:val="008D00E0"/>
    <w:rsid w:val="008D0181"/>
    <w:rsid w:val="008D0245"/>
    <w:rsid w:val="008D03F2"/>
    <w:rsid w:val="008D0401"/>
    <w:rsid w:val="008D05F1"/>
    <w:rsid w:val="008D095C"/>
    <w:rsid w:val="008D0ADE"/>
    <w:rsid w:val="008D0AF6"/>
    <w:rsid w:val="008D0EAC"/>
    <w:rsid w:val="008D0EFA"/>
    <w:rsid w:val="008D0F2F"/>
    <w:rsid w:val="008D1185"/>
    <w:rsid w:val="008D1221"/>
    <w:rsid w:val="008D12D0"/>
    <w:rsid w:val="008D133C"/>
    <w:rsid w:val="008D138C"/>
    <w:rsid w:val="008D13BC"/>
    <w:rsid w:val="008D157A"/>
    <w:rsid w:val="008D1785"/>
    <w:rsid w:val="008D18E9"/>
    <w:rsid w:val="008D1A32"/>
    <w:rsid w:val="008D1B8F"/>
    <w:rsid w:val="008D1F46"/>
    <w:rsid w:val="008D20D7"/>
    <w:rsid w:val="008D2329"/>
    <w:rsid w:val="008D2384"/>
    <w:rsid w:val="008D2A28"/>
    <w:rsid w:val="008D2A48"/>
    <w:rsid w:val="008D2B9A"/>
    <w:rsid w:val="008D2DB5"/>
    <w:rsid w:val="008D2F32"/>
    <w:rsid w:val="008D2F89"/>
    <w:rsid w:val="008D306A"/>
    <w:rsid w:val="008D333D"/>
    <w:rsid w:val="008D3370"/>
    <w:rsid w:val="008D377E"/>
    <w:rsid w:val="008D3948"/>
    <w:rsid w:val="008D3B33"/>
    <w:rsid w:val="008D42BD"/>
    <w:rsid w:val="008D45E9"/>
    <w:rsid w:val="008D4848"/>
    <w:rsid w:val="008D4A2A"/>
    <w:rsid w:val="008D4B3C"/>
    <w:rsid w:val="008D4CE1"/>
    <w:rsid w:val="008D4EAB"/>
    <w:rsid w:val="008D5022"/>
    <w:rsid w:val="008D597E"/>
    <w:rsid w:val="008D5A04"/>
    <w:rsid w:val="008D5B80"/>
    <w:rsid w:val="008D5E1D"/>
    <w:rsid w:val="008D5EEA"/>
    <w:rsid w:val="008D5F56"/>
    <w:rsid w:val="008D5F8F"/>
    <w:rsid w:val="008D699D"/>
    <w:rsid w:val="008D6CC2"/>
    <w:rsid w:val="008D7293"/>
    <w:rsid w:val="008D765F"/>
    <w:rsid w:val="008D7905"/>
    <w:rsid w:val="008D795E"/>
    <w:rsid w:val="008D79BD"/>
    <w:rsid w:val="008D7B6F"/>
    <w:rsid w:val="008D7C1C"/>
    <w:rsid w:val="008D7E32"/>
    <w:rsid w:val="008E0045"/>
    <w:rsid w:val="008E023A"/>
    <w:rsid w:val="008E06D2"/>
    <w:rsid w:val="008E0913"/>
    <w:rsid w:val="008E09B1"/>
    <w:rsid w:val="008E0A7F"/>
    <w:rsid w:val="008E0EEA"/>
    <w:rsid w:val="008E0FEC"/>
    <w:rsid w:val="008E1099"/>
    <w:rsid w:val="008E12A1"/>
    <w:rsid w:val="008E12FC"/>
    <w:rsid w:val="008E1569"/>
    <w:rsid w:val="008E1937"/>
    <w:rsid w:val="008E197B"/>
    <w:rsid w:val="008E1CF0"/>
    <w:rsid w:val="008E1E42"/>
    <w:rsid w:val="008E1E99"/>
    <w:rsid w:val="008E2096"/>
    <w:rsid w:val="008E224D"/>
    <w:rsid w:val="008E2755"/>
    <w:rsid w:val="008E2952"/>
    <w:rsid w:val="008E295D"/>
    <w:rsid w:val="008E2CB1"/>
    <w:rsid w:val="008E2F22"/>
    <w:rsid w:val="008E323E"/>
    <w:rsid w:val="008E337C"/>
    <w:rsid w:val="008E3395"/>
    <w:rsid w:val="008E3520"/>
    <w:rsid w:val="008E375C"/>
    <w:rsid w:val="008E38EE"/>
    <w:rsid w:val="008E3A32"/>
    <w:rsid w:val="008E3A61"/>
    <w:rsid w:val="008E3A97"/>
    <w:rsid w:val="008E3E1B"/>
    <w:rsid w:val="008E3E5A"/>
    <w:rsid w:val="008E3E6B"/>
    <w:rsid w:val="008E43C7"/>
    <w:rsid w:val="008E456E"/>
    <w:rsid w:val="008E4E5A"/>
    <w:rsid w:val="008E515C"/>
    <w:rsid w:val="008E546B"/>
    <w:rsid w:val="008E579F"/>
    <w:rsid w:val="008E655D"/>
    <w:rsid w:val="008E6D36"/>
    <w:rsid w:val="008E6F9E"/>
    <w:rsid w:val="008E7028"/>
    <w:rsid w:val="008E7074"/>
    <w:rsid w:val="008E77B4"/>
    <w:rsid w:val="008E77B6"/>
    <w:rsid w:val="008E7800"/>
    <w:rsid w:val="008E7854"/>
    <w:rsid w:val="008E793F"/>
    <w:rsid w:val="008E7A84"/>
    <w:rsid w:val="008E7A9F"/>
    <w:rsid w:val="008E7CAF"/>
    <w:rsid w:val="008E7EF7"/>
    <w:rsid w:val="008E7F23"/>
    <w:rsid w:val="008F0069"/>
    <w:rsid w:val="008F01B3"/>
    <w:rsid w:val="008F02E9"/>
    <w:rsid w:val="008F08B0"/>
    <w:rsid w:val="008F0C3C"/>
    <w:rsid w:val="008F167E"/>
    <w:rsid w:val="008F1EE6"/>
    <w:rsid w:val="008F1F87"/>
    <w:rsid w:val="008F227E"/>
    <w:rsid w:val="008F2423"/>
    <w:rsid w:val="008F2437"/>
    <w:rsid w:val="008F2883"/>
    <w:rsid w:val="008F2919"/>
    <w:rsid w:val="008F29EE"/>
    <w:rsid w:val="008F2A9F"/>
    <w:rsid w:val="008F323B"/>
    <w:rsid w:val="008F32B6"/>
    <w:rsid w:val="008F35A4"/>
    <w:rsid w:val="008F361E"/>
    <w:rsid w:val="008F36FE"/>
    <w:rsid w:val="008F3770"/>
    <w:rsid w:val="008F3B8E"/>
    <w:rsid w:val="008F3C36"/>
    <w:rsid w:val="008F3FF4"/>
    <w:rsid w:val="008F441E"/>
    <w:rsid w:val="008F44D9"/>
    <w:rsid w:val="008F486D"/>
    <w:rsid w:val="008F4AD7"/>
    <w:rsid w:val="008F4C1C"/>
    <w:rsid w:val="008F4D39"/>
    <w:rsid w:val="008F50C0"/>
    <w:rsid w:val="008F5295"/>
    <w:rsid w:val="008F576A"/>
    <w:rsid w:val="008F586B"/>
    <w:rsid w:val="008F5977"/>
    <w:rsid w:val="008F59B6"/>
    <w:rsid w:val="008F5B8B"/>
    <w:rsid w:val="008F5BE5"/>
    <w:rsid w:val="008F60EC"/>
    <w:rsid w:val="008F62E8"/>
    <w:rsid w:val="008F6477"/>
    <w:rsid w:val="008F669A"/>
    <w:rsid w:val="008F67FE"/>
    <w:rsid w:val="008F6C5D"/>
    <w:rsid w:val="008F6D55"/>
    <w:rsid w:val="008F6FFC"/>
    <w:rsid w:val="008F7057"/>
    <w:rsid w:val="008F7245"/>
    <w:rsid w:val="008F7593"/>
    <w:rsid w:val="008F7696"/>
    <w:rsid w:val="008F7806"/>
    <w:rsid w:val="008F7AFD"/>
    <w:rsid w:val="008F7F33"/>
    <w:rsid w:val="0090001D"/>
    <w:rsid w:val="009000DD"/>
    <w:rsid w:val="009000E4"/>
    <w:rsid w:val="009001A9"/>
    <w:rsid w:val="009003B6"/>
    <w:rsid w:val="0090042F"/>
    <w:rsid w:val="009004D7"/>
    <w:rsid w:val="00900580"/>
    <w:rsid w:val="00900A51"/>
    <w:rsid w:val="00900A53"/>
    <w:rsid w:val="00900A8E"/>
    <w:rsid w:val="00900B00"/>
    <w:rsid w:val="00900B64"/>
    <w:rsid w:val="00900DC7"/>
    <w:rsid w:val="00901303"/>
    <w:rsid w:val="00901389"/>
    <w:rsid w:val="00901840"/>
    <w:rsid w:val="00901952"/>
    <w:rsid w:val="009022E6"/>
    <w:rsid w:val="0090237E"/>
    <w:rsid w:val="00902499"/>
    <w:rsid w:val="0090261F"/>
    <w:rsid w:val="00902690"/>
    <w:rsid w:val="0090277F"/>
    <w:rsid w:val="00902780"/>
    <w:rsid w:val="009027E7"/>
    <w:rsid w:val="0090286C"/>
    <w:rsid w:val="00902B1D"/>
    <w:rsid w:val="00902F9B"/>
    <w:rsid w:val="00902FBF"/>
    <w:rsid w:val="009030FA"/>
    <w:rsid w:val="00903493"/>
    <w:rsid w:val="0090355C"/>
    <w:rsid w:val="009037E7"/>
    <w:rsid w:val="00903A61"/>
    <w:rsid w:val="00903DEF"/>
    <w:rsid w:val="00903F18"/>
    <w:rsid w:val="00903FAC"/>
    <w:rsid w:val="00904241"/>
    <w:rsid w:val="009042F8"/>
    <w:rsid w:val="00904306"/>
    <w:rsid w:val="009043AF"/>
    <w:rsid w:val="0090486E"/>
    <w:rsid w:val="00904B71"/>
    <w:rsid w:val="00904C53"/>
    <w:rsid w:val="00904ED1"/>
    <w:rsid w:val="00905171"/>
    <w:rsid w:val="00905194"/>
    <w:rsid w:val="009051FB"/>
    <w:rsid w:val="009055AF"/>
    <w:rsid w:val="00905973"/>
    <w:rsid w:val="00905C63"/>
    <w:rsid w:val="0090609C"/>
    <w:rsid w:val="009062C2"/>
    <w:rsid w:val="0090638C"/>
    <w:rsid w:val="00906544"/>
    <w:rsid w:val="00906761"/>
    <w:rsid w:val="009069F7"/>
    <w:rsid w:val="00906AD1"/>
    <w:rsid w:val="00906CC9"/>
    <w:rsid w:val="00906E07"/>
    <w:rsid w:val="00907020"/>
    <w:rsid w:val="00907052"/>
    <w:rsid w:val="0090740C"/>
    <w:rsid w:val="0090746C"/>
    <w:rsid w:val="0090760E"/>
    <w:rsid w:val="00907796"/>
    <w:rsid w:val="009077D6"/>
    <w:rsid w:val="0090781C"/>
    <w:rsid w:val="00907B99"/>
    <w:rsid w:val="00907EB7"/>
    <w:rsid w:val="00910002"/>
    <w:rsid w:val="009103A6"/>
    <w:rsid w:val="0091063C"/>
    <w:rsid w:val="009106F7"/>
    <w:rsid w:val="00910767"/>
    <w:rsid w:val="0091098B"/>
    <w:rsid w:val="00910B1A"/>
    <w:rsid w:val="00910BD5"/>
    <w:rsid w:val="00910C4E"/>
    <w:rsid w:val="00910C6E"/>
    <w:rsid w:val="009113CE"/>
    <w:rsid w:val="00911497"/>
    <w:rsid w:val="009115AD"/>
    <w:rsid w:val="009116BF"/>
    <w:rsid w:val="0091171E"/>
    <w:rsid w:val="0091201C"/>
    <w:rsid w:val="009121C7"/>
    <w:rsid w:val="00912315"/>
    <w:rsid w:val="0091236E"/>
    <w:rsid w:val="009124E6"/>
    <w:rsid w:val="00912768"/>
    <w:rsid w:val="00912976"/>
    <w:rsid w:val="00912A68"/>
    <w:rsid w:val="00912BFB"/>
    <w:rsid w:val="00912D28"/>
    <w:rsid w:val="00912E5E"/>
    <w:rsid w:val="00913156"/>
    <w:rsid w:val="00913188"/>
    <w:rsid w:val="00913223"/>
    <w:rsid w:val="00913504"/>
    <w:rsid w:val="00913AD4"/>
    <w:rsid w:val="00913F00"/>
    <w:rsid w:val="00914359"/>
    <w:rsid w:val="0091459F"/>
    <w:rsid w:val="0091470D"/>
    <w:rsid w:val="00914829"/>
    <w:rsid w:val="00914848"/>
    <w:rsid w:val="00914871"/>
    <w:rsid w:val="00914C52"/>
    <w:rsid w:val="00914E1F"/>
    <w:rsid w:val="00914FD1"/>
    <w:rsid w:val="009153D3"/>
    <w:rsid w:val="009156BC"/>
    <w:rsid w:val="009156CB"/>
    <w:rsid w:val="009156EA"/>
    <w:rsid w:val="00915757"/>
    <w:rsid w:val="009159F7"/>
    <w:rsid w:val="00915C36"/>
    <w:rsid w:val="00915D37"/>
    <w:rsid w:val="00915F77"/>
    <w:rsid w:val="0091616E"/>
    <w:rsid w:val="0091663B"/>
    <w:rsid w:val="00916706"/>
    <w:rsid w:val="0091671D"/>
    <w:rsid w:val="009168AC"/>
    <w:rsid w:val="00916C11"/>
    <w:rsid w:val="00916D6D"/>
    <w:rsid w:val="00916DE5"/>
    <w:rsid w:val="00916EEE"/>
    <w:rsid w:val="00917586"/>
    <w:rsid w:val="00917FBE"/>
    <w:rsid w:val="00917FBF"/>
    <w:rsid w:val="00920027"/>
    <w:rsid w:val="0092008D"/>
    <w:rsid w:val="0092017B"/>
    <w:rsid w:val="009202E5"/>
    <w:rsid w:val="0092030D"/>
    <w:rsid w:val="00920543"/>
    <w:rsid w:val="009209B2"/>
    <w:rsid w:val="00920A27"/>
    <w:rsid w:val="00920B24"/>
    <w:rsid w:val="00920F37"/>
    <w:rsid w:val="00920FD0"/>
    <w:rsid w:val="009212D1"/>
    <w:rsid w:val="00921422"/>
    <w:rsid w:val="009216EC"/>
    <w:rsid w:val="00921AC2"/>
    <w:rsid w:val="00921B46"/>
    <w:rsid w:val="00921E56"/>
    <w:rsid w:val="00921F85"/>
    <w:rsid w:val="00922355"/>
    <w:rsid w:val="00922453"/>
    <w:rsid w:val="00922BE7"/>
    <w:rsid w:val="00922CD1"/>
    <w:rsid w:val="00922F69"/>
    <w:rsid w:val="00922F80"/>
    <w:rsid w:val="009233D1"/>
    <w:rsid w:val="009233F0"/>
    <w:rsid w:val="00923593"/>
    <w:rsid w:val="0092362E"/>
    <w:rsid w:val="009236BC"/>
    <w:rsid w:val="009237B4"/>
    <w:rsid w:val="00923B79"/>
    <w:rsid w:val="00923D13"/>
    <w:rsid w:val="00923D62"/>
    <w:rsid w:val="00923ED4"/>
    <w:rsid w:val="00923FB8"/>
    <w:rsid w:val="009240DD"/>
    <w:rsid w:val="009249E2"/>
    <w:rsid w:val="00924C5A"/>
    <w:rsid w:val="00924E85"/>
    <w:rsid w:val="00924F22"/>
    <w:rsid w:val="00924F35"/>
    <w:rsid w:val="00925316"/>
    <w:rsid w:val="00925432"/>
    <w:rsid w:val="0092553D"/>
    <w:rsid w:val="00925996"/>
    <w:rsid w:val="00925C11"/>
    <w:rsid w:val="00925D20"/>
    <w:rsid w:val="00926062"/>
    <w:rsid w:val="009260C4"/>
    <w:rsid w:val="009261D2"/>
    <w:rsid w:val="0092620E"/>
    <w:rsid w:val="0092657E"/>
    <w:rsid w:val="009265D3"/>
    <w:rsid w:val="00926767"/>
    <w:rsid w:val="00926824"/>
    <w:rsid w:val="00926C2C"/>
    <w:rsid w:val="00926E80"/>
    <w:rsid w:val="00926F4C"/>
    <w:rsid w:val="009271C6"/>
    <w:rsid w:val="009273C0"/>
    <w:rsid w:val="009276D0"/>
    <w:rsid w:val="00927C90"/>
    <w:rsid w:val="00927CC9"/>
    <w:rsid w:val="009300B3"/>
    <w:rsid w:val="00930C65"/>
    <w:rsid w:val="00930CB2"/>
    <w:rsid w:val="00930FCC"/>
    <w:rsid w:val="00931029"/>
    <w:rsid w:val="00931414"/>
    <w:rsid w:val="0093166F"/>
    <w:rsid w:val="0093168C"/>
    <w:rsid w:val="009316A2"/>
    <w:rsid w:val="009316EF"/>
    <w:rsid w:val="009317BE"/>
    <w:rsid w:val="00931A99"/>
    <w:rsid w:val="00931AA5"/>
    <w:rsid w:val="00931CE3"/>
    <w:rsid w:val="00932026"/>
    <w:rsid w:val="00932164"/>
    <w:rsid w:val="0093241E"/>
    <w:rsid w:val="009325F3"/>
    <w:rsid w:val="00932627"/>
    <w:rsid w:val="0093273E"/>
    <w:rsid w:val="00932A56"/>
    <w:rsid w:val="00932D0D"/>
    <w:rsid w:val="00932D31"/>
    <w:rsid w:val="00932EC5"/>
    <w:rsid w:val="00932EE3"/>
    <w:rsid w:val="00932F40"/>
    <w:rsid w:val="00932FBC"/>
    <w:rsid w:val="009334ED"/>
    <w:rsid w:val="009335A4"/>
    <w:rsid w:val="009335D3"/>
    <w:rsid w:val="009339FF"/>
    <w:rsid w:val="00933C68"/>
    <w:rsid w:val="00933C90"/>
    <w:rsid w:val="00933CB5"/>
    <w:rsid w:val="00933DF3"/>
    <w:rsid w:val="00933E96"/>
    <w:rsid w:val="00933FEC"/>
    <w:rsid w:val="00934397"/>
    <w:rsid w:val="009343EB"/>
    <w:rsid w:val="0093445A"/>
    <w:rsid w:val="009346CB"/>
    <w:rsid w:val="0093495A"/>
    <w:rsid w:val="0093498E"/>
    <w:rsid w:val="00934B30"/>
    <w:rsid w:val="00934F42"/>
    <w:rsid w:val="00934F71"/>
    <w:rsid w:val="009350C2"/>
    <w:rsid w:val="00935433"/>
    <w:rsid w:val="00935468"/>
    <w:rsid w:val="00935637"/>
    <w:rsid w:val="0093564D"/>
    <w:rsid w:val="0093568A"/>
    <w:rsid w:val="00935DD4"/>
    <w:rsid w:val="00935E64"/>
    <w:rsid w:val="009361C3"/>
    <w:rsid w:val="009362D2"/>
    <w:rsid w:val="009364F7"/>
    <w:rsid w:val="00936846"/>
    <w:rsid w:val="00936881"/>
    <w:rsid w:val="00936BA4"/>
    <w:rsid w:val="00937057"/>
    <w:rsid w:val="009370E9"/>
    <w:rsid w:val="009372CE"/>
    <w:rsid w:val="009376D2"/>
    <w:rsid w:val="00937796"/>
    <w:rsid w:val="00937A02"/>
    <w:rsid w:val="0094014B"/>
    <w:rsid w:val="009404AB"/>
    <w:rsid w:val="0094063F"/>
    <w:rsid w:val="00940989"/>
    <w:rsid w:val="009409A3"/>
    <w:rsid w:val="009409E5"/>
    <w:rsid w:val="00940AE3"/>
    <w:rsid w:val="00940B01"/>
    <w:rsid w:val="00940CE4"/>
    <w:rsid w:val="00940EC8"/>
    <w:rsid w:val="00941420"/>
    <w:rsid w:val="00941922"/>
    <w:rsid w:val="00941A97"/>
    <w:rsid w:val="00941B15"/>
    <w:rsid w:val="00941B71"/>
    <w:rsid w:val="00941C8D"/>
    <w:rsid w:val="00941F18"/>
    <w:rsid w:val="00941F7C"/>
    <w:rsid w:val="0094228F"/>
    <w:rsid w:val="00942721"/>
    <w:rsid w:val="00942725"/>
    <w:rsid w:val="00942B8B"/>
    <w:rsid w:val="00942C80"/>
    <w:rsid w:val="00942D8B"/>
    <w:rsid w:val="009430A4"/>
    <w:rsid w:val="00943374"/>
    <w:rsid w:val="009437E2"/>
    <w:rsid w:val="0094384E"/>
    <w:rsid w:val="00943876"/>
    <w:rsid w:val="0094392E"/>
    <w:rsid w:val="00943AB0"/>
    <w:rsid w:val="00943C0E"/>
    <w:rsid w:val="00943E16"/>
    <w:rsid w:val="00943E86"/>
    <w:rsid w:val="009441BB"/>
    <w:rsid w:val="009442C7"/>
    <w:rsid w:val="009445E7"/>
    <w:rsid w:val="009446AD"/>
    <w:rsid w:val="0094495C"/>
    <w:rsid w:val="00944EAE"/>
    <w:rsid w:val="00945105"/>
    <w:rsid w:val="00945115"/>
    <w:rsid w:val="00945217"/>
    <w:rsid w:val="00945419"/>
    <w:rsid w:val="009454FE"/>
    <w:rsid w:val="009457D6"/>
    <w:rsid w:val="0094597F"/>
    <w:rsid w:val="00945BD7"/>
    <w:rsid w:val="00945BDB"/>
    <w:rsid w:val="00945D12"/>
    <w:rsid w:val="00945EA3"/>
    <w:rsid w:val="00945EE7"/>
    <w:rsid w:val="00946015"/>
    <w:rsid w:val="0094627A"/>
    <w:rsid w:val="009464C7"/>
    <w:rsid w:val="009465E6"/>
    <w:rsid w:val="0094681C"/>
    <w:rsid w:val="009468A1"/>
    <w:rsid w:val="00946D58"/>
    <w:rsid w:val="00946D6B"/>
    <w:rsid w:val="009472CB"/>
    <w:rsid w:val="00947757"/>
    <w:rsid w:val="009479AF"/>
    <w:rsid w:val="00947A36"/>
    <w:rsid w:val="0095007D"/>
    <w:rsid w:val="009501EA"/>
    <w:rsid w:val="00950205"/>
    <w:rsid w:val="0095025E"/>
    <w:rsid w:val="00950542"/>
    <w:rsid w:val="0095061A"/>
    <w:rsid w:val="0095065B"/>
    <w:rsid w:val="0095098F"/>
    <w:rsid w:val="00950A22"/>
    <w:rsid w:val="00950B4D"/>
    <w:rsid w:val="00950C90"/>
    <w:rsid w:val="00950DF4"/>
    <w:rsid w:val="00950F20"/>
    <w:rsid w:val="00951158"/>
    <w:rsid w:val="009513DF"/>
    <w:rsid w:val="00951657"/>
    <w:rsid w:val="00951B63"/>
    <w:rsid w:val="00951B7C"/>
    <w:rsid w:val="00951D4A"/>
    <w:rsid w:val="00951D8E"/>
    <w:rsid w:val="00951E47"/>
    <w:rsid w:val="00952320"/>
    <w:rsid w:val="0095235C"/>
    <w:rsid w:val="00952C36"/>
    <w:rsid w:val="00952CF7"/>
    <w:rsid w:val="009530CE"/>
    <w:rsid w:val="00953316"/>
    <w:rsid w:val="00953653"/>
    <w:rsid w:val="009537F8"/>
    <w:rsid w:val="0095387A"/>
    <w:rsid w:val="0095396E"/>
    <w:rsid w:val="00953973"/>
    <w:rsid w:val="00953C27"/>
    <w:rsid w:val="0095417C"/>
    <w:rsid w:val="009541B6"/>
    <w:rsid w:val="009547EC"/>
    <w:rsid w:val="00954959"/>
    <w:rsid w:val="00954A3D"/>
    <w:rsid w:val="00954AA9"/>
    <w:rsid w:val="00954BEA"/>
    <w:rsid w:val="00954C34"/>
    <w:rsid w:val="00954CE7"/>
    <w:rsid w:val="00954E23"/>
    <w:rsid w:val="00954FDB"/>
    <w:rsid w:val="0095500A"/>
    <w:rsid w:val="00955599"/>
    <w:rsid w:val="009555B2"/>
    <w:rsid w:val="00955709"/>
    <w:rsid w:val="009561CA"/>
    <w:rsid w:val="0095624C"/>
    <w:rsid w:val="00956506"/>
    <w:rsid w:val="00956672"/>
    <w:rsid w:val="00956B41"/>
    <w:rsid w:val="00957131"/>
    <w:rsid w:val="0095744B"/>
    <w:rsid w:val="0095794A"/>
    <w:rsid w:val="009606AF"/>
    <w:rsid w:val="00960C36"/>
    <w:rsid w:val="00960FB0"/>
    <w:rsid w:val="00961204"/>
    <w:rsid w:val="00961263"/>
    <w:rsid w:val="00961276"/>
    <w:rsid w:val="0096142D"/>
    <w:rsid w:val="00961558"/>
    <w:rsid w:val="0096167D"/>
    <w:rsid w:val="00961827"/>
    <w:rsid w:val="0096191D"/>
    <w:rsid w:val="00961977"/>
    <w:rsid w:val="0096205A"/>
    <w:rsid w:val="00962264"/>
    <w:rsid w:val="009625A7"/>
    <w:rsid w:val="009625D0"/>
    <w:rsid w:val="00962649"/>
    <w:rsid w:val="00962672"/>
    <w:rsid w:val="00962756"/>
    <w:rsid w:val="00962A98"/>
    <w:rsid w:val="00962AC6"/>
    <w:rsid w:val="00962B35"/>
    <w:rsid w:val="00962D40"/>
    <w:rsid w:val="009632CD"/>
    <w:rsid w:val="0096335C"/>
    <w:rsid w:val="0096348D"/>
    <w:rsid w:val="00963538"/>
    <w:rsid w:val="00963542"/>
    <w:rsid w:val="00963686"/>
    <w:rsid w:val="00963823"/>
    <w:rsid w:val="00963B0D"/>
    <w:rsid w:val="00963B22"/>
    <w:rsid w:val="00963B59"/>
    <w:rsid w:val="00963C34"/>
    <w:rsid w:val="00963C64"/>
    <w:rsid w:val="00963CAE"/>
    <w:rsid w:val="00963DA5"/>
    <w:rsid w:val="00964182"/>
    <w:rsid w:val="009644D6"/>
    <w:rsid w:val="00964530"/>
    <w:rsid w:val="009646BE"/>
    <w:rsid w:val="00964C0A"/>
    <w:rsid w:val="00964C1A"/>
    <w:rsid w:val="00964CAF"/>
    <w:rsid w:val="009651C1"/>
    <w:rsid w:val="009651D8"/>
    <w:rsid w:val="009653C3"/>
    <w:rsid w:val="00965421"/>
    <w:rsid w:val="00965441"/>
    <w:rsid w:val="00965539"/>
    <w:rsid w:val="0096569A"/>
    <w:rsid w:val="009657F8"/>
    <w:rsid w:val="00965A90"/>
    <w:rsid w:val="00965C99"/>
    <w:rsid w:val="00965D12"/>
    <w:rsid w:val="00965D69"/>
    <w:rsid w:val="00965DDC"/>
    <w:rsid w:val="009660B2"/>
    <w:rsid w:val="0096619F"/>
    <w:rsid w:val="009665E9"/>
    <w:rsid w:val="009667EC"/>
    <w:rsid w:val="0096687B"/>
    <w:rsid w:val="00966ACF"/>
    <w:rsid w:val="00966ADC"/>
    <w:rsid w:val="00966C18"/>
    <w:rsid w:val="00966DD0"/>
    <w:rsid w:val="00966DDB"/>
    <w:rsid w:val="00967170"/>
    <w:rsid w:val="00967185"/>
    <w:rsid w:val="009675CE"/>
    <w:rsid w:val="009675EA"/>
    <w:rsid w:val="0096786C"/>
    <w:rsid w:val="00967977"/>
    <w:rsid w:val="00967F4D"/>
    <w:rsid w:val="0097079E"/>
    <w:rsid w:val="00970918"/>
    <w:rsid w:val="00970C28"/>
    <w:rsid w:val="00970D71"/>
    <w:rsid w:val="00970E5F"/>
    <w:rsid w:val="00971712"/>
    <w:rsid w:val="009717B8"/>
    <w:rsid w:val="00971858"/>
    <w:rsid w:val="00971AA0"/>
    <w:rsid w:val="00971CE9"/>
    <w:rsid w:val="00971D7F"/>
    <w:rsid w:val="009720EC"/>
    <w:rsid w:val="0097228D"/>
    <w:rsid w:val="009725A3"/>
    <w:rsid w:val="0097269C"/>
    <w:rsid w:val="009727E0"/>
    <w:rsid w:val="0097289C"/>
    <w:rsid w:val="00972B24"/>
    <w:rsid w:val="00972DCE"/>
    <w:rsid w:val="00972DD0"/>
    <w:rsid w:val="00972E86"/>
    <w:rsid w:val="00972FB8"/>
    <w:rsid w:val="009731F2"/>
    <w:rsid w:val="00973513"/>
    <w:rsid w:val="00973823"/>
    <w:rsid w:val="00973B39"/>
    <w:rsid w:val="00973EC1"/>
    <w:rsid w:val="00973EDB"/>
    <w:rsid w:val="00973EE9"/>
    <w:rsid w:val="0097430B"/>
    <w:rsid w:val="00974590"/>
    <w:rsid w:val="00974679"/>
    <w:rsid w:val="00974A2F"/>
    <w:rsid w:val="00974BEF"/>
    <w:rsid w:val="0097503A"/>
    <w:rsid w:val="009751CF"/>
    <w:rsid w:val="009751DA"/>
    <w:rsid w:val="00975335"/>
    <w:rsid w:val="009759B9"/>
    <w:rsid w:val="0097625E"/>
    <w:rsid w:val="00976267"/>
    <w:rsid w:val="00976344"/>
    <w:rsid w:val="00976796"/>
    <w:rsid w:val="0097681A"/>
    <w:rsid w:val="00976A44"/>
    <w:rsid w:val="00976A8F"/>
    <w:rsid w:val="00976D4E"/>
    <w:rsid w:val="00976E61"/>
    <w:rsid w:val="00976F10"/>
    <w:rsid w:val="00976F85"/>
    <w:rsid w:val="0097701A"/>
    <w:rsid w:val="00977382"/>
    <w:rsid w:val="009776D0"/>
    <w:rsid w:val="009779B2"/>
    <w:rsid w:val="00977D6F"/>
    <w:rsid w:val="00977F35"/>
    <w:rsid w:val="00980043"/>
    <w:rsid w:val="009800C6"/>
    <w:rsid w:val="009802BE"/>
    <w:rsid w:val="0098031C"/>
    <w:rsid w:val="009805CC"/>
    <w:rsid w:val="0098066E"/>
    <w:rsid w:val="00980D15"/>
    <w:rsid w:val="009810E6"/>
    <w:rsid w:val="0098149F"/>
    <w:rsid w:val="0098158E"/>
    <w:rsid w:val="00981945"/>
    <w:rsid w:val="009819A2"/>
    <w:rsid w:val="009819C9"/>
    <w:rsid w:val="00981AE6"/>
    <w:rsid w:val="00981EB9"/>
    <w:rsid w:val="00982172"/>
    <w:rsid w:val="009821D3"/>
    <w:rsid w:val="009827A8"/>
    <w:rsid w:val="0098287D"/>
    <w:rsid w:val="00982997"/>
    <w:rsid w:val="00982BCB"/>
    <w:rsid w:val="00982F08"/>
    <w:rsid w:val="00982FA9"/>
    <w:rsid w:val="00983050"/>
    <w:rsid w:val="00983190"/>
    <w:rsid w:val="009831D3"/>
    <w:rsid w:val="00983239"/>
    <w:rsid w:val="00983561"/>
    <w:rsid w:val="009835C1"/>
    <w:rsid w:val="00983667"/>
    <w:rsid w:val="00983711"/>
    <w:rsid w:val="009839A4"/>
    <w:rsid w:val="00983A43"/>
    <w:rsid w:val="00983AC6"/>
    <w:rsid w:val="00983BB7"/>
    <w:rsid w:val="00983D8A"/>
    <w:rsid w:val="00983FA5"/>
    <w:rsid w:val="0098416F"/>
    <w:rsid w:val="0098419F"/>
    <w:rsid w:val="0098439C"/>
    <w:rsid w:val="00984435"/>
    <w:rsid w:val="00984460"/>
    <w:rsid w:val="00984673"/>
    <w:rsid w:val="00984881"/>
    <w:rsid w:val="0098489B"/>
    <w:rsid w:val="00984942"/>
    <w:rsid w:val="00984BC1"/>
    <w:rsid w:val="00984C48"/>
    <w:rsid w:val="00984DD8"/>
    <w:rsid w:val="009851D7"/>
    <w:rsid w:val="009852ED"/>
    <w:rsid w:val="0098551E"/>
    <w:rsid w:val="00985697"/>
    <w:rsid w:val="00985B97"/>
    <w:rsid w:val="00985D5E"/>
    <w:rsid w:val="00985F06"/>
    <w:rsid w:val="00985F0B"/>
    <w:rsid w:val="00985F60"/>
    <w:rsid w:val="0098600C"/>
    <w:rsid w:val="009861D0"/>
    <w:rsid w:val="00986217"/>
    <w:rsid w:val="00986397"/>
    <w:rsid w:val="0098643A"/>
    <w:rsid w:val="009864D7"/>
    <w:rsid w:val="00986875"/>
    <w:rsid w:val="009868B7"/>
    <w:rsid w:val="00986D30"/>
    <w:rsid w:val="00986E66"/>
    <w:rsid w:val="009870B1"/>
    <w:rsid w:val="009873AE"/>
    <w:rsid w:val="009873D2"/>
    <w:rsid w:val="0098749E"/>
    <w:rsid w:val="0098752B"/>
    <w:rsid w:val="0098776D"/>
    <w:rsid w:val="009877B4"/>
    <w:rsid w:val="00987810"/>
    <w:rsid w:val="00987A8A"/>
    <w:rsid w:val="00987E3C"/>
    <w:rsid w:val="00987E48"/>
    <w:rsid w:val="00987FF8"/>
    <w:rsid w:val="0099030C"/>
    <w:rsid w:val="0099049B"/>
    <w:rsid w:val="009906AE"/>
    <w:rsid w:val="009906CD"/>
    <w:rsid w:val="009908A7"/>
    <w:rsid w:val="009908A9"/>
    <w:rsid w:val="00990950"/>
    <w:rsid w:val="00990A6F"/>
    <w:rsid w:val="00990CBB"/>
    <w:rsid w:val="00990E1D"/>
    <w:rsid w:val="00990E43"/>
    <w:rsid w:val="00990E64"/>
    <w:rsid w:val="00990F14"/>
    <w:rsid w:val="00991197"/>
    <w:rsid w:val="009912FC"/>
    <w:rsid w:val="0099180B"/>
    <w:rsid w:val="00991B0A"/>
    <w:rsid w:val="0099289E"/>
    <w:rsid w:val="00992D7F"/>
    <w:rsid w:val="00992F18"/>
    <w:rsid w:val="00993280"/>
    <w:rsid w:val="009932F0"/>
    <w:rsid w:val="00993565"/>
    <w:rsid w:val="00993611"/>
    <w:rsid w:val="00993886"/>
    <w:rsid w:val="00993A02"/>
    <w:rsid w:val="00993B6A"/>
    <w:rsid w:val="00993BDB"/>
    <w:rsid w:val="0099448F"/>
    <w:rsid w:val="009944AC"/>
    <w:rsid w:val="009946DD"/>
    <w:rsid w:val="00994792"/>
    <w:rsid w:val="009947CF"/>
    <w:rsid w:val="0099483D"/>
    <w:rsid w:val="00994C41"/>
    <w:rsid w:val="00994D68"/>
    <w:rsid w:val="00994E9D"/>
    <w:rsid w:val="009951C6"/>
    <w:rsid w:val="00995467"/>
    <w:rsid w:val="009955C5"/>
    <w:rsid w:val="0099568E"/>
    <w:rsid w:val="0099576E"/>
    <w:rsid w:val="00995876"/>
    <w:rsid w:val="00995936"/>
    <w:rsid w:val="00995D52"/>
    <w:rsid w:val="00996096"/>
    <w:rsid w:val="0099618A"/>
    <w:rsid w:val="0099656D"/>
    <w:rsid w:val="009965BD"/>
    <w:rsid w:val="0099689F"/>
    <w:rsid w:val="00996BC1"/>
    <w:rsid w:val="00996C2E"/>
    <w:rsid w:val="00996C9A"/>
    <w:rsid w:val="00996E2C"/>
    <w:rsid w:val="00996FEE"/>
    <w:rsid w:val="00997073"/>
    <w:rsid w:val="0099716B"/>
    <w:rsid w:val="0099749C"/>
    <w:rsid w:val="00997C5F"/>
    <w:rsid w:val="00997E8A"/>
    <w:rsid w:val="00997ED9"/>
    <w:rsid w:val="00997F43"/>
    <w:rsid w:val="00997FD6"/>
    <w:rsid w:val="009A006A"/>
    <w:rsid w:val="009A0073"/>
    <w:rsid w:val="009A01D0"/>
    <w:rsid w:val="009A02A8"/>
    <w:rsid w:val="009A0599"/>
    <w:rsid w:val="009A07B8"/>
    <w:rsid w:val="009A08B5"/>
    <w:rsid w:val="009A0A24"/>
    <w:rsid w:val="009A0DE1"/>
    <w:rsid w:val="009A0DFC"/>
    <w:rsid w:val="009A0EC1"/>
    <w:rsid w:val="009A100A"/>
    <w:rsid w:val="009A1548"/>
    <w:rsid w:val="009A1855"/>
    <w:rsid w:val="009A1875"/>
    <w:rsid w:val="009A1A2A"/>
    <w:rsid w:val="009A1AF2"/>
    <w:rsid w:val="009A1CDC"/>
    <w:rsid w:val="009A1D00"/>
    <w:rsid w:val="009A2039"/>
    <w:rsid w:val="009A22A7"/>
    <w:rsid w:val="009A2C8F"/>
    <w:rsid w:val="009A2CB9"/>
    <w:rsid w:val="009A321A"/>
    <w:rsid w:val="009A33CE"/>
    <w:rsid w:val="009A33FF"/>
    <w:rsid w:val="009A35BC"/>
    <w:rsid w:val="009A39BC"/>
    <w:rsid w:val="009A3C54"/>
    <w:rsid w:val="009A3EF7"/>
    <w:rsid w:val="009A4030"/>
    <w:rsid w:val="009A40B0"/>
    <w:rsid w:val="009A43B3"/>
    <w:rsid w:val="009A43BF"/>
    <w:rsid w:val="009A4599"/>
    <w:rsid w:val="009A4692"/>
    <w:rsid w:val="009A4704"/>
    <w:rsid w:val="009A47E2"/>
    <w:rsid w:val="009A4AEF"/>
    <w:rsid w:val="009A4BA2"/>
    <w:rsid w:val="009A4CC8"/>
    <w:rsid w:val="009A5329"/>
    <w:rsid w:val="009A59EF"/>
    <w:rsid w:val="009A60C0"/>
    <w:rsid w:val="009A6432"/>
    <w:rsid w:val="009A6470"/>
    <w:rsid w:val="009A6965"/>
    <w:rsid w:val="009A69AF"/>
    <w:rsid w:val="009A69C5"/>
    <w:rsid w:val="009A6A29"/>
    <w:rsid w:val="009A6BE4"/>
    <w:rsid w:val="009A6C31"/>
    <w:rsid w:val="009A6F2E"/>
    <w:rsid w:val="009A6FA5"/>
    <w:rsid w:val="009A7501"/>
    <w:rsid w:val="009A7532"/>
    <w:rsid w:val="009A7572"/>
    <w:rsid w:val="009A765D"/>
    <w:rsid w:val="009A7840"/>
    <w:rsid w:val="009A7BA1"/>
    <w:rsid w:val="009A7BEB"/>
    <w:rsid w:val="009A7F23"/>
    <w:rsid w:val="009A7FEE"/>
    <w:rsid w:val="009B00CB"/>
    <w:rsid w:val="009B00D3"/>
    <w:rsid w:val="009B0339"/>
    <w:rsid w:val="009B08B0"/>
    <w:rsid w:val="009B0B78"/>
    <w:rsid w:val="009B0BCD"/>
    <w:rsid w:val="009B0EEC"/>
    <w:rsid w:val="009B0F01"/>
    <w:rsid w:val="009B14A7"/>
    <w:rsid w:val="009B14F0"/>
    <w:rsid w:val="009B15A4"/>
    <w:rsid w:val="009B1A34"/>
    <w:rsid w:val="009B20EA"/>
    <w:rsid w:val="009B220B"/>
    <w:rsid w:val="009B2874"/>
    <w:rsid w:val="009B28C9"/>
    <w:rsid w:val="009B2A5D"/>
    <w:rsid w:val="009B2CD3"/>
    <w:rsid w:val="009B321B"/>
    <w:rsid w:val="009B326D"/>
    <w:rsid w:val="009B359D"/>
    <w:rsid w:val="009B359F"/>
    <w:rsid w:val="009B38C1"/>
    <w:rsid w:val="009B3A17"/>
    <w:rsid w:val="009B3D68"/>
    <w:rsid w:val="009B3F51"/>
    <w:rsid w:val="009B434F"/>
    <w:rsid w:val="009B458B"/>
    <w:rsid w:val="009B4916"/>
    <w:rsid w:val="009B4A1D"/>
    <w:rsid w:val="009B4A8F"/>
    <w:rsid w:val="009B4CD9"/>
    <w:rsid w:val="009B4E0F"/>
    <w:rsid w:val="009B505B"/>
    <w:rsid w:val="009B51DC"/>
    <w:rsid w:val="009B52AD"/>
    <w:rsid w:val="009B548D"/>
    <w:rsid w:val="009B559E"/>
    <w:rsid w:val="009B55C1"/>
    <w:rsid w:val="009B55E5"/>
    <w:rsid w:val="009B58C6"/>
    <w:rsid w:val="009B5A16"/>
    <w:rsid w:val="009B5A73"/>
    <w:rsid w:val="009B5B5B"/>
    <w:rsid w:val="009B5F5E"/>
    <w:rsid w:val="009B62CD"/>
    <w:rsid w:val="009B689B"/>
    <w:rsid w:val="009B6A39"/>
    <w:rsid w:val="009B6DFF"/>
    <w:rsid w:val="009B6E1B"/>
    <w:rsid w:val="009B709A"/>
    <w:rsid w:val="009B72D3"/>
    <w:rsid w:val="009B738C"/>
    <w:rsid w:val="009B759C"/>
    <w:rsid w:val="009B7912"/>
    <w:rsid w:val="009C0069"/>
    <w:rsid w:val="009C019B"/>
    <w:rsid w:val="009C023E"/>
    <w:rsid w:val="009C0370"/>
    <w:rsid w:val="009C049B"/>
    <w:rsid w:val="009C0682"/>
    <w:rsid w:val="009C0AC2"/>
    <w:rsid w:val="009C0DE4"/>
    <w:rsid w:val="009C0E43"/>
    <w:rsid w:val="009C0EED"/>
    <w:rsid w:val="009C0F77"/>
    <w:rsid w:val="009C1133"/>
    <w:rsid w:val="009C119A"/>
    <w:rsid w:val="009C11C3"/>
    <w:rsid w:val="009C1351"/>
    <w:rsid w:val="009C1759"/>
    <w:rsid w:val="009C1849"/>
    <w:rsid w:val="009C186E"/>
    <w:rsid w:val="009C1B23"/>
    <w:rsid w:val="009C1C15"/>
    <w:rsid w:val="009C1DC0"/>
    <w:rsid w:val="009C1DD6"/>
    <w:rsid w:val="009C1E5E"/>
    <w:rsid w:val="009C221B"/>
    <w:rsid w:val="009C2435"/>
    <w:rsid w:val="009C26B3"/>
    <w:rsid w:val="009C26BC"/>
    <w:rsid w:val="009C2A1F"/>
    <w:rsid w:val="009C2A54"/>
    <w:rsid w:val="009C318F"/>
    <w:rsid w:val="009C32F4"/>
    <w:rsid w:val="009C3445"/>
    <w:rsid w:val="009C34CA"/>
    <w:rsid w:val="009C3723"/>
    <w:rsid w:val="009C3955"/>
    <w:rsid w:val="009C398D"/>
    <w:rsid w:val="009C39B5"/>
    <w:rsid w:val="009C3A23"/>
    <w:rsid w:val="009C3ACF"/>
    <w:rsid w:val="009C3B52"/>
    <w:rsid w:val="009C3D4F"/>
    <w:rsid w:val="009C3E46"/>
    <w:rsid w:val="009C3FDE"/>
    <w:rsid w:val="009C414A"/>
    <w:rsid w:val="009C4256"/>
    <w:rsid w:val="009C44AF"/>
    <w:rsid w:val="009C4AB2"/>
    <w:rsid w:val="009C4AF1"/>
    <w:rsid w:val="009C4B7B"/>
    <w:rsid w:val="009C4C15"/>
    <w:rsid w:val="009C5098"/>
    <w:rsid w:val="009C5179"/>
    <w:rsid w:val="009C5229"/>
    <w:rsid w:val="009C5704"/>
    <w:rsid w:val="009C571B"/>
    <w:rsid w:val="009C577B"/>
    <w:rsid w:val="009C5860"/>
    <w:rsid w:val="009C5A23"/>
    <w:rsid w:val="009C5C0C"/>
    <w:rsid w:val="009C5C97"/>
    <w:rsid w:val="009C5FE0"/>
    <w:rsid w:val="009C66A1"/>
    <w:rsid w:val="009C67C1"/>
    <w:rsid w:val="009C6821"/>
    <w:rsid w:val="009C69E3"/>
    <w:rsid w:val="009C6A37"/>
    <w:rsid w:val="009C6C41"/>
    <w:rsid w:val="009C76E4"/>
    <w:rsid w:val="009C7732"/>
    <w:rsid w:val="009C77A0"/>
    <w:rsid w:val="009C7818"/>
    <w:rsid w:val="009C7895"/>
    <w:rsid w:val="009C78D1"/>
    <w:rsid w:val="009C791B"/>
    <w:rsid w:val="009C7A07"/>
    <w:rsid w:val="009C7BBC"/>
    <w:rsid w:val="009C7C87"/>
    <w:rsid w:val="009C7D25"/>
    <w:rsid w:val="009C7FB4"/>
    <w:rsid w:val="009D000F"/>
    <w:rsid w:val="009D0302"/>
    <w:rsid w:val="009D03D2"/>
    <w:rsid w:val="009D04A1"/>
    <w:rsid w:val="009D06C4"/>
    <w:rsid w:val="009D0EA9"/>
    <w:rsid w:val="009D1039"/>
    <w:rsid w:val="009D1081"/>
    <w:rsid w:val="009D12F9"/>
    <w:rsid w:val="009D148F"/>
    <w:rsid w:val="009D14B3"/>
    <w:rsid w:val="009D1506"/>
    <w:rsid w:val="009D162F"/>
    <w:rsid w:val="009D1630"/>
    <w:rsid w:val="009D17CC"/>
    <w:rsid w:val="009D1810"/>
    <w:rsid w:val="009D18AC"/>
    <w:rsid w:val="009D1BEF"/>
    <w:rsid w:val="009D1D16"/>
    <w:rsid w:val="009D1E74"/>
    <w:rsid w:val="009D1EBB"/>
    <w:rsid w:val="009D225C"/>
    <w:rsid w:val="009D2325"/>
    <w:rsid w:val="009D2531"/>
    <w:rsid w:val="009D2548"/>
    <w:rsid w:val="009D2582"/>
    <w:rsid w:val="009D2991"/>
    <w:rsid w:val="009D2AA6"/>
    <w:rsid w:val="009D2B5C"/>
    <w:rsid w:val="009D316C"/>
    <w:rsid w:val="009D31BC"/>
    <w:rsid w:val="009D324E"/>
    <w:rsid w:val="009D32C5"/>
    <w:rsid w:val="009D374F"/>
    <w:rsid w:val="009D3941"/>
    <w:rsid w:val="009D3992"/>
    <w:rsid w:val="009D3B2B"/>
    <w:rsid w:val="009D3E03"/>
    <w:rsid w:val="009D403F"/>
    <w:rsid w:val="009D44F5"/>
    <w:rsid w:val="009D45DB"/>
    <w:rsid w:val="009D4801"/>
    <w:rsid w:val="009D48AB"/>
    <w:rsid w:val="009D491F"/>
    <w:rsid w:val="009D4994"/>
    <w:rsid w:val="009D4B16"/>
    <w:rsid w:val="009D4FEB"/>
    <w:rsid w:val="009D51F6"/>
    <w:rsid w:val="009D54FA"/>
    <w:rsid w:val="009D5678"/>
    <w:rsid w:val="009D5886"/>
    <w:rsid w:val="009D5912"/>
    <w:rsid w:val="009D5B08"/>
    <w:rsid w:val="009D5D18"/>
    <w:rsid w:val="009D64FF"/>
    <w:rsid w:val="009D656D"/>
    <w:rsid w:val="009D67C9"/>
    <w:rsid w:val="009D6B92"/>
    <w:rsid w:val="009D6D3F"/>
    <w:rsid w:val="009D6F3D"/>
    <w:rsid w:val="009D6F7A"/>
    <w:rsid w:val="009D7022"/>
    <w:rsid w:val="009D739F"/>
    <w:rsid w:val="009D74E1"/>
    <w:rsid w:val="009D75C4"/>
    <w:rsid w:val="009D789D"/>
    <w:rsid w:val="009D7AC5"/>
    <w:rsid w:val="009D7C04"/>
    <w:rsid w:val="009D7D6C"/>
    <w:rsid w:val="009E0058"/>
    <w:rsid w:val="009E0639"/>
    <w:rsid w:val="009E0684"/>
    <w:rsid w:val="009E0780"/>
    <w:rsid w:val="009E09C1"/>
    <w:rsid w:val="009E0A54"/>
    <w:rsid w:val="009E0E2C"/>
    <w:rsid w:val="009E1227"/>
    <w:rsid w:val="009E1268"/>
    <w:rsid w:val="009E158C"/>
    <w:rsid w:val="009E19C0"/>
    <w:rsid w:val="009E1CF5"/>
    <w:rsid w:val="009E1F4C"/>
    <w:rsid w:val="009E23EA"/>
    <w:rsid w:val="009E2B8A"/>
    <w:rsid w:val="009E2EB3"/>
    <w:rsid w:val="009E3064"/>
    <w:rsid w:val="009E30BD"/>
    <w:rsid w:val="009E3253"/>
    <w:rsid w:val="009E3579"/>
    <w:rsid w:val="009E3843"/>
    <w:rsid w:val="009E38CA"/>
    <w:rsid w:val="009E3C6A"/>
    <w:rsid w:val="009E3F8F"/>
    <w:rsid w:val="009E3FF6"/>
    <w:rsid w:val="009E4161"/>
    <w:rsid w:val="009E46E2"/>
    <w:rsid w:val="009E4760"/>
    <w:rsid w:val="009E47D9"/>
    <w:rsid w:val="009E4895"/>
    <w:rsid w:val="009E4962"/>
    <w:rsid w:val="009E4B7F"/>
    <w:rsid w:val="009E4D98"/>
    <w:rsid w:val="009E51E3"/>
    <w:rsid w:val="009E53EE"/>
    <w:rsid w:val="009E556D"/>
    <w:rsid w:val="009E563D"/>
    <w:rsid w:val="009E5796"/>
    <w:rsid w:val="009E58D3"/>
    <w:rsid w:val="009E591F"/>
    <w:rsid w:val="009E5C80"/>
    <w:rsid w:val="009E5D49"/>
    <w:rsid w:val="009E5EB7"/>
    <w:rsid w:val="009E6063"/>
    <w:rsid w:val="009E6566"/>
    <w:rsid w:val="009E6AFE"/>
    <w:rsid w:val="009E6B93"/>
    <w:rsid w:val="009E6E0A"/>
    <w:rsid w:val="009E7564"/>
    <w:rsid w:val="009E756D"/>
    <w:rsid w:val="009E76E3"/>
    <w:rsid w:val="009E7853"/>
    <w:rsid w:val="009E79F8"/>
    <w:rsid w:val="009E7E3C"/>
    <w:rsid w:val="009E7FC0"/>
    <w:rsid w:val="009F00CE"/>
    <w:rsid w:val="009F0217"/>
    <w:rsid w:val="009F0374"/>
    <w:rsid w:val="009F039C"/>
    <w:rsid w:val="009F070E"/>
    <w:rsid w:val="009F0821"/>
    <w:rsid w:val="009F0FE7"/>
    <w:rsid w:val="009F115B"/>
    <w:rsid w:val="009F126B"/>
    <w:rsid w:val="009F12E1"/>
    <w:rsid w:val="009F1389"/>
    <w:rsid w:val="009F15B1"/>
    <w:rsid w:val="009F1CE1"/>
    <w:rsid w:val="009F2077"/>
    <w:rsid w:val="009F28D2"/>
    <w:rsid w:val="009F29B3"/>
    <w:rsid w:val="009F2BCB"/>
    <w:rsid w:val="009F33E9"/>
    <w:rsid w:val="009F3575"/>
    <w:rsid w:val="009F3674"/>
    <w:rsid w:val="009F3906"/>
    <w:rsid w:val="009F390D"/>
    <w:rsid w:val="009F39C1"/>
    <w:rsid w:val="009F3B08"/>
    <w:rsid w:val="009F3F65"/>
    <w:rsid w:val="009F45F2"/>
    <w:rsid w:val="009F48DD"/>
    <w:rsid w:val="009F49F8"/>
    <w:rsid w:val="009F4EA9"/>
    <w:rsid w:val="009F535C"/>
    <w:rsid w:val="009F562E"/>
    <w:rsid w:val="009F5669"/>
    <w:rsid w:val="009F5ED1"/>
    <w:rsid w:val="009F6068"/>
    <w:rsid w:val="009F6481"/>
    <w:rsid w:val="009F655F"/>
    <w:rsid w:val="009F65BF"/>
    <w:rsid w:val="009F6862"/>
    <w:rsid w:val="009F68BE"/>
    <w:rsid w:val="009F6B2E"/>
    <w:rsid w:val="009F6E38"/>
    <w:rsid w:val="009F736D"/>
    <w:rsid w:val="009F74EC"/>
    <w:rsid w:val="009F753A"/>
    <w:rsid w:val="009F7657"/>
    <w:rsid w:val="009F7965"/>
    <w:rsid w:val="009F79A6"/>
    <w:rsid w:val="009F7B6C"/>
    <w:rsid w:val="009F7E52"/>
    <w:rsid w:val="00A003B3"/>
    <w:rsid w:val="00A005C2"/>
    <w:rsid w:val="00A00652"/>
    <w:rsid w:val="00A00899"/>
    <w:rsid w:val="00A0116B"/>
    <w:rsid w:val="00A01565"/>
    <w:rsid w:val="00A01F02"/>
    <w:rsid w:val="00A01FE7"/>
    <w:rsid w:val="00A02021"/>
    <w:rsid w:val="00A020CA"/>
    <w:rsid w:val="00A020F0"/>
    <w:rsid w:val="00A0219A"/>
    <w:rsid w:val="00A023B3"/>
    <w:rsid w:val="00A025DD"/>
    <w:rsid w:val="00A026BD"/>
    <w:rsid w:val="00A02A3D"/>
    <w:rsid w:val="00A02A9B"/>
    <w:rsid w:val="00A02C6C"/>
    <w:rsid w:val="00A02D00"/>
    <w:rsid w:val="00A02D93"/>
    <w:rsid w:val="00A030D7"/>
    <w:rsid w:val="00A03124"/>
    <w:rsid w:val="00A031C0"/>
    <w:rsid w:val="00A032C8"/>
    <w:rsid w:val="00A0359C"/>
    <w:rsid w:val="00A03790"/>
    <w:rsid w:val="00A03BC1"/>
    <w:rsid w:val="00A03C9D"/>
    <w:rsid w:val="00A03F1B"/>
    <w:rsid w:val="00A04064"/>
    <w:rsid w:val="00A040B2"/>
    <w:rsid w:val="00A04250"/>
    <w:rsid w:val="00A04254"/>
    <w:rsid w:val="00A043F0"/>
    <w:rsid w:val="00A04512"/>
    <w:rsid w:val="00A047E3"/>
    <w:rsid w:val="00A047F2"/>
    <w:rsid w:val="00A048D0"/>
    <w:rsid w:val="00A0497F"/>
    <w:rsid w:val="00A04F38"/>
    <w:rsid w:val="00A050E7"/>
    <w:rsid w:val="00A050FD"/>
    <w:rsid w:val="00A0533D"/>
    <w:rsid w:val="00A05454"/>
    <w:rsid w:val="00A05523"/>
    <w:rsid w:val="00A05A44"/>
    <w:rsid w:val="00A05CA4"/>
    <w:rsid w:val="00A05EFC"/>
    <w:rsid w:val="00A06179"/>
    <w:rsid w:val="00A067E3"/>
    <w:rsid w:val="00A06B0F"/>
    <w:rsid w:val="00A06B12"/>
    <w:rsid w:val="00A06E25"/>
    <w:rsid w:val="00A0708A"/>
    <w:rsid w:val="00A0756C"/>
    <w:rsid w:val="00A07818"/>
    <w:rsid w:val="00A07956"/>
    <w:rsid w:val="00A079C7"/>
    <w:rsid w:val="00A07B81"/>
    <w:rsid w:val="00A07E34"/>
    <w:rsid w:val="00A07EDD"/>
    <w:rsid w:val="00A1036C"/>
    <w:rsid w:val="00A103ED"/>
    <w:rsid w:val="00A1042B"/>
    <w:rsid w:val="00A1068E"/>
    <w:rsid w:val="00A106C0"/>
    <w:rsid w:val="00A1074E"/>
    <w:rsid w:val="00A10902"/>
    <w:rsid w:val="00A10A08"/>
    <w:rsid w:val="00A10B51"/>
    <w:rsid w:val="00A10DFA"/>
    <w:rsid w:val="00A10E60"/>
    <w:rsid w:val="00A11149"/>
    <w:rsid w:val="00A11201"/>
    <w:rsid w:val="00A11390"/>
    <w:rsid w:val="00A11451"/>
    <w:rsid w:val="00A11474"/>
    <w:rsid w:val="00A115A0"/>
    <w:rsid w:val="00A115C7"/>
    <w:rsid w:val="00A11696"/>
    <w:rsid w:val="00A1229E"/>
    <w:rsid w:val="00A12312"/>
    <w:rsid w:val="00A123F4"/>
    <w:rsid w:val="00A1295C"/>
    <w:rsid w:val="00A12CF2"/>
    <w:rsid w:val="00A12E3A"/>
    <w:rsid w:val="00A137E2"/>
    <w:rsid w:val="00A137F5"/>
    <w:rsid w:val="00A1394E"/>
    <w:rsid w:val="00A139E2"/>
    <w:rsid w:val="00A13B8A"/>
    <w:rsid w:val="00A13C7E"/>
    <w:rsid w:val="00A1445B"/>
    <w:rsid w:val="00A1460D"/>
    <w:rsid w:val="00A148DD"/>
    <w:rsid w:val="00A14AD7"/>
    <w:rsid w:val="00A14B47"/>
    <w:rsid w:val="00A14BBE"/>
    <w:rsid w:val="00A14CA5"/>
    <w:rsid w:val="00A14ECB"/>
    <w:rsid w:val="00A15257"/>
    <w:rsid w:val="00A1572D"/>
    <w:rsid w:val="00A1578E"/>
    <w:rsid w:val="00A161CF"/>
    <w:rsid w:val="00A163D8"/>
    <w:rsid w:val="00A164AB"/>
    <w:rsid w:val="00A166AE"/>
    <w:rsid w:val="00A16D6A"/>
    <w:rsid w:val="00A16E91"/>
    <w:rsid w:val="00A17135"/>
    <w:rsid w:val="00A17179"/>
    <w:rsid w:val="00A176B6"/>
    <w:rsid w:val="00A177F4"/>
    <w:rsid w:val="00A17B16"/>
    <w:rsid w:val="00A17BA3"/>
    <w:rsid w:val="00A17C76"/>
    <w:rsid w:val="00A20188"/>
    <w:rsid w:val="00A20195"/>
    <w:rsid w:val="00A201D4"/>
    <w:rsid w:val="00A208AE"/>
    <w:rsid w:val="00A2092C"/>
    <w:rsid w:val="00A20A06"/>
    <w:rsid w:val="00A20CE5"/>
    <w:rsid w:val="00A20D2C"/>
    <w:rsid w:val="00A20FE5"/>
    <w:rsid w:val="00A21224"/>
    <w:rsid w:val="00A212F0"/>
    <w:rsid w:val="00A213FA"/>
    <w:rsid w:val="00A2151C"/>
    <w:rsid w:val="00A21571"/>
    <w:rsid w:val="00A21ABC"/>
    <w:rsid w:val="00A21B3C"/>
    <w:rsid w:val="00A21C27"/>
    <w:rsid w:val="00A21E16"/>
    <w:rsid w:val="00A220FF"/>
    <w:rsid w:val="00A22592"/>
    <w:rsid w:val="00A2267A"/>
    <w:rsid w:val="00A229AD"/>
    <w:rsid w:val="00A22C96"/>
    <w:rsid w:val="00A22EEF"/>
    <w:rsid w:val="00A2311C"/>
    <w:rsid w:val="00A2326E"/>
    <w:rsid w:val="00A23343"/>
    <w:rsid w:val="00A23A8B"/>
    <w:rsid w:val="00A23B22"/>
    <w:rsid w:val="00A23D2A"/>
    <w:rsid w:val="00A2406D"/>
    <w:rsid w:val="00A2444E"/>
    <w:rsid w:val="00A24761"/>
    <w:rsid w:val="00A247E0"/>
    <w:rsid w:val="00A249A7"/>
    <w:rsid w:val="00A24B8C"/>
    <w:rsid w:val="00A24DF3"/>
    <w:rsid w:val="00A250C1"/>
    <w:rsid w:val="00A251A4"/>
    <w:rsid w:val="00A252DA"/>
    <w:rsid w:val="00A254E8"/>
    <w:rsid w:val="00A25515"/>
    <w:rsid w:val="00A256A1"/>
    <w:rsid w:val="00A259A2"/>
    <w:rsid w:val="00A25BA0"/>
    <w:rsid w:val="00A25C1F"/>
    <w:rsid w:val="00A25D14"/>
    <w:rsid w:val="00A25EF4"/>
    <w:rsid w:val="00A25FFD"/>
    <w:rsid w:val="00A268DF"/>
    <w:rsid w:val="00A26A75"/>
    <w:rsid w:val="00A26E38"/>
    <w:rsid w:val="00A26EF5"/>
    <w:rsid w:val="00A27168"/>
    <w:rsid w:val="00A27314"/>
    <w:rsid w:val="00A27800"/>
    <w:rsid w:val="00A27FBA"/>
    <w:rsid w:val="00A3081D"/>
    <w:rsid w:val="00A30B56"/>
    <w:rsid w:val="00A30D91"/>
    <w:rsid w:val="00A30E3D"/>
    <w:rsid w:val="00A30F30"/>
    <w:rsid w:val="00A31230"/>
    <w:rsid w:val="00A3157B"/>
    <w:rsid w:val="00A3175D"/>
    <w:rsid w:val="00A3176C"/>
    <w:rsid w:val="00A31F25"/>
    <w:rsid w:val="00A32199"/>
    <w:rsid w:val="00A321BB"/>
    <w:rsid w:val="00A32212"/>
    <w:rsid w:val="00A3226C"/>
    <w:rsid w:val="00A322B6"/>
    <w:rsid w:val="00A323BD"/>
    <w:rsid w:val="00A32809"/>
    <w:rsid w:val="00A32829"/>
    <w:rsid w:val="00A3294E"/>
    <w:rsid w:val="00A32991"/>
    <w:rsid w:val="00A32BAD"/>
    <w:rsid w:val="00A32FFD"/>
    <w:rsid w:val="00A33192"/>
    <w:rsid w:val="00A3328E"/>
    <w:rsid w:val="00A33425"/>
    <w:rsid w:val="00A33517"/>
    <w:rsid w:val="00A33A50"/>
    <w:rsid w:val="00A33BE0"/>
    <w:rsid w:val="00A33EAF"/>
    <w:rsid w:val="00A348D0"/>
    <w:rsid w:val="00A349A7"/>
    <w:rsid w:val="00A34BC3"/>
    <w:rsid w:val="00A34C52"/>
    <w:rsid w:val="00A34C76"/>
    <w:rsid w:val="00A35407"/>
    <w:rsid w:val="00A354B5"/>
    <w:rsid w:val="00A35663"/>
    <w:rsid w:val="00A3597A"/>
    <w:rsid w:val="00A35C06"/>
    <w:rsid w:val="00A35D8F"/>
    <w:rsid w:val="00A35EA2"/>
    <w:rsid w:val="00A35FB0"/>
    <w:rsid w:val="00A35FD4"/>
    <w:rsid w:val="00A3608D"/>
    <w:rsid w:val="00A36469"/>
    <w:rsid w:val="00A36494"/>
    <w:rsid w:val="00A36A9A"/>
    <w:rsid w:val="00A36B36"/>
    <w:rsid w:val="00A36C69"/>
    <w:rsid w:val="00A36EF9"/>
    <w:rsid w:val="00A3728B"/>
    <w:rsid w:val="00A372DF"/>
    <w:rsid w:val="00A374E8"/>
    <w:rsid w:val="00A3759F"/>
    <w:rsid w:val="00A3767A"/>
    <w:rsid w:val="00A37A79"/>
    <w:rsid w:val="00A37F67"/>
    <w:rsid w:val="00A4021B"/>
    <w:rsid w:val="00A405A0"/>
    <w:rsid w:val="00A40691"/>
    <w:rsid w:val="00A406DA"/>
    <w:rsid w:val="00A4077B"/>
    <w:rsid w:val="00A407F4"/>
    <w:rsid w:val="00A40824"/>
    <w:rsid w:val="00A40878"/>
    <w:rsid w:val="00A4092F"/>
    <w:rsid w:val="00A40A73"/>
    <w:rsid w:val="00A40BFB"/>
    <w:rsid w:val="00A40CFF"/>
    <w:rsid w:val="00A40EFE"/>
    <w:rsid w:val="00A40FCA"/>
    <w:rsid w:val="00A413F0"/>
    <w:rsid w:val="00A41735"/>
    <w:rsid w:val="00A41B25"/>
    <w:rsid w:val="00A41BDD"/>
    <w:rsid w:val="00A41D64"/>
    <w:rsid w:val="00A41E38"/>
    <w:rsid w:val="00A41F9F"/>
    <w:rsid w:val="00A42366"/>
    <w:rsid w:val="00A427F5"/>
    <w:rsid w:val="00A42863"/>
    <w:rsid w:val="00A42965"/>
    <w:rsid w:val="00A42F3B"/>
    <w:rsid w:val="00A432F1"/>
    <w:rsid w:val="00A4352E"/>
    <w:rsid w:val="00A43A09"/>
    <w:rsid w:val="00A43F18"/>
    <w:rsid w:val="00A44303"/>
    <w:rsid w:val="00A446F1"/>
    <w:rsid w:val="00A4479C"/>
    <w:rsid w:val="00A44814"/>
    <w:rsid w:val="00A4482E"/>
    <w:rsid w:val="00A44BEF"/>
    <w:rsid w:val="00A4501B"/>
    <w:rsid w:val="00A450DE"/>
    <w:rsid w:val="00A45151"/>
    <w:rsid w:val="00A45818"/>
    <w:rsid w:val="00A45C0E"/>
    <w:rsid w:val="00A45C56"/>
    <w:rsid w:val="00A45CB4"/>
    <w:rsid w:val="00A45DB4"/>
    <w:rsid w:val="00A4619C"/>
    <w:rsid w:val="00A46465"/>
    <w:rsid w:val="00A4663F"/>
    <w:rsid w:val="00A468AF"/>
    <w:rsid w:val="00A46AB1"/>
    <w:rsid w:val="00A47031"/>
    <w:rsid w:val="00A470BE"/>
    <w:rsid w:val="00A4734F"/>
    <w:rsid w:val="00A473E5"/>
    <w:rsid w:val="00A4747A"/>
    <w:rsid w:val="00A47943"/>
    <w:rsid w:val="00A47BC7"/>
    <w:rsid w:val="00A47C8F"/>
    <w:rsid w:val="00A47F70"/>
    <w:rsid w:val="00A50047"/>
    <w:rsid w:val="00A50092"/>
    <w:rsid w:val="00A50490"/>
    <w:rsid w:val="00A5049C"/>
    <w:rsid w:val="00A5091A"/>
    <w:rsid w:val="00A5092D"/>
    <w:rsid w:val="00A50E40"/>
    <w:rsid w:val="00A50F5B"/>
    <w:rsid w:val="00A514F6"/>
    <w:rsid w:val="00A514F7"/>
    <w:rsid w:val="00A5169D"/>
    <w:rsid w:val="00A5174B"/>
    <w:rsid w:val="00A51A4A"/>
    <w:rsid w:val="00A51B88"/>
    <w:rsid w:val="00A52169"/>
    <w:rsid w:val="00A524C5"/>
    <w:rsid w:val="00A5277D"/>
    <w:rsid w:val="00A52835"/>
    <w:rsid w:val="00A5296A"/>
    <w:rsid w:val="00A530E3"/>
    <w:rsid w:val="00A53253"/>
    <w:rsid w:val="00A5326D"/>
    <w:rsid w:val="00A5330D"/>
    <w:rsid w:val="00A53575"/>
    <w:rsid w:val="00A5399A"/>
    <w:rsid w:val="00A53A6B"/>
    <w:rsid w:val="00A53DDA"/>
    <w:rsid w:val="00A54087"/>
    <w:rsid w:val="00A5429F"/>
    <w:rsid w:val="00A54879"/>
    <w:rsid w:val="00A54A42"/>
    <w:rsid w:val="00A54D6A"/>
    <w:rsid w:val="00A54F49"/>
    <w:rsid w:val="00A55510"/>
    <w:rsid w:val="00A5584D"/>
    <w:rsid w:val="00A55B57"/>
    <w:rsid w:val="00A55BF1"/>
    <w:rsid w:val="00A55C3B"/>
    <w:rsid w:val="00A55E4A"/>
    <w:rsid w:val="00A55EEF"/>
    <w:rsid w:val="00A56328"/>
    <w:rsid w:val="00A5667C"/>
    <w:rsid w:val="00A5692F"/>
    <w:rsid w:val="00A5699D"/>
    <w:rsid w:val="00A56D44"/>
    <w:rsid w:val="00A56F8D"/>
    <w:rsid w:val="00A57142"/>
    <w:rsid w:val="00A57149"/>
    <w:rsid w:val="00A57451"/>
    <w:rsid w:val="00A57542"/>
    <w:rsid w:val="00A5769D"/>
    <w:rsid w:val="00A57763"/>
    <w:rsid w:val="00A57855"/>
    <w:rsid w:val="00A57A9F"/>
    <w:rsid w:val="00A57DF7"/>
    <w:rsid w:val="00A57E22"/>
    <w:rsid w:val="00A57F22"/>
    <w:rsid w:val="00A57FE4"/>
    <w:rsid w:val="00A60000"/>
    <w:rsid w:val="00A60003"/>
    <w:rsid w:val="00A601E7"/>
    <w:rsid w:val="00A608B6"/>
    <w:rsid w:val="00A6097D"/>
    <w:rsid w:val="00A60986"/>
    <w:rsid w:val="00A60B03"/>
    <w:rsid w:val="00A60CB4"/>
    <w:rsid w:val="00A6108A"/>
    <w:rsid w:val="00A61250"/>
    <w:rsid w:val="00A61558"/>
    <w:rsid w:val="00A61827"/>
    <w:rsid w:val="00A61831"/>
    <w:rsid w:val="00A61858"/>
    <w:rsid w:val="00A619FC"/>
    <w:rsid w:val="00A61C3C"/>
    <w:rsid w:val="00A61C8C"/>
    <w:rsid w:val="00A61EFD"/>
    <w:rsid w:val="00A6236A"/>
    <w:rsid w:val="00A625F1"/>
    <w:rsid w:val="00A627B8"/>
    <w:rsid w:val="00A628EE"/>
    <w:rsid w:val="00A62BE2"/>
    <w:rsid w:val="00A62E67"/>
    <w:rsid w:val="00A62F77"/>
    <w:rsid w:val="00A63012"/>
    <w:rsid w:val="00A63300"/>
    <w:rsid w:val="00A636BB"/>
    <w:rsid w:val="00A63B42"/>
    <w:rsid w:val="00A63D0B"/>
    <w:rsid w:val="00A63FB5"/>
    <w:rsid w:val="00A6449E"/>
    <w:rsid w:val="00A64638"/>
    <w:rsid w:val="00A64877"/>
    <w:rsid w:val="00A64A5B"/>
    <w:rsid w:val="00A64C64"/>
    <w:rsid w:val="00A64D1E"/>
    <w:rsid w:val="00A64F97"/>
    <w:rsid w:val="00A652FF"/>
    <w:rsid w:val="00A6548C"/>
    <w:rsid w:val="00A6556E"/>
    <w:rsid w:val="00A6577D"/>
    <w:rsid w:val="00A65897"/>
    <w:rsid w:val="00A65947"/>
    <w:rsid w:val="00A65983"/>
    <w:rsid w:val="00A65B6A"/>
    <w:rsid w:val="00A65C9D"/>
    <w:rsid w:val="00A65CA2"/>
    <w:rsid w:val="00A65D98"/>
    <w:rsid w:val="00A65F61"/>
    <w:rsid w:val="00A660A5"/>
    <w:rsid w:val="00A66773"/>
    <w:rsid w:val="00A6679B"/>
    <w:rsid w:val="00A668C5"/>
    <w:rsid w:val="00A668D6"/>
    <w:rsid w:val="00A66C63"/>
    <w:rsid w:val="00A66D1F"/>
    <w:rsid w:val="00A66D87"/>
    <w:rsid w:val="00A67455"/>
    <w:rsid w:val="00A674D7"/>
    <w:rsid w:val="00A67558"/>
    <w:rsid w:val="00A67866"/>
    <w:rsid w:val="00A6788D"/>
    <w:rsid w:val="00A67E30"/>
    <w:rsid w:val="00A7019D"/>
    <w:rsid w:val="00A70375"/>
    <w:rsid w:val="00A705C2"/>
    <w:rsid w:val="00A706C4"/>
    <w:rsid w:val="00A7079A"/>
    <w:rsid w:val="00A70850"/>
    <w:rsid w:val="00A7092E"/>
    <w:rsid w:val="00A70A1E"/>
    <w:rsid w:val="00A71320"/>
    <w:rsid w:val="00A7133C"/>
    <w:rsid w:val="00A71499"/>
    <w:rsid w:val="00A7171A"/>
    <w:rsid w:val="00A7181B"/>
    <w:rsid w:val="00A71AC4"/>
    <w:rsid w:val="00A71AC9"/>
    <w:rsid w:val="00A71C74"/>
    <w:rsid w:val="00A71CA9"/>
    <w:rsid w:val="00A7223D"/>
    <w:rsid w:val="00A72E08"/>
    <w:rsid w:val="00A72F13"/>
    <w:rsid w:val="00A731BC"/>
    <w:rsid w:val="00A7325D"/>
    <w:rsid w:val="00A732EB"/>
    <w:rsid w:val="00A7341A"/>
    <w:rsid w:val="00A7379C"/>
    <w:rsid w:val="00A737E6"/>
    <w:rsid w:val="00A73A23"/>
    <w:rsid w:val="00A73DF4"/>
    <w:rsid w:val="00A740A2"/>
    <w:rsid w:val="00A7413E"/>
    <w:rsid w:val="00A742E3"/>
    <w:rsid w:val="00A74333"/>
    <w:rsid w:val="00A74603"/>
    <w:rsid w:val="00A7471F"/>
    <w:rsid w:val="00A7477F"/>
    <w:rsid w:val="00A7489C"/>
    <w:rsid w:val="00A74A53"/>
    <w:rsid w:val="00A74CB2"/>
    <w:rsid w:val="00A75056"/>
    <w:rsid w:val="00A75563"/>
    <w:rsid w:val="00A758F0"/>
    <w:rsid w:val="00A75962"/>
    <w:rsid w:val="00A75DB6"/>
    <w:rsid w:val="00A75DF7"/>
    <w:rsid w:val="00A75F37"/>
    <w:rsid w:val="00A76181"/>
    <w:rsid w:val="00A7634A"/>
    <w:rsid w:val="00A76376"/>
    <w:rsid w:val="00A76498"/>
    <w:rsid w:val="00A765C6"/>
    <w:rsid w:val="00A766A5"/>
    <w:rsid w:val="00A76826"/>
    <w:rsid w:val="00A76877"/>
    <w:rsid w:val="00A7687E"/>
    <w:rsid w:val="00A769BB"/>
    <w:rsid w:val="00A76A7D"/>
    <w:rsid w:val="00A76B29"/>
    <w:rsid w:val="00A76B6B"/>
    <w:rsid w:val="00A772E7"/>
    <w:rsid w:val="00A77369"/>
    <w:rsid w:val="00A773FD"/>
    <w:rsid w:val="00A774EA"/>
    <w:rsid w:val="00A7754F"/>
    <w:rsid w:val="00A777ED"/>
    <w:rsid w:val="00A77AB3"/>
    <w:rsid w:val="00A77F1C"/>
    <w:rsid w:val="00A80248"/>
    <w:rsid w:val="00A803AA"/>
    <w:rsid w:val="00A804BD"/>
    <w:rsid w:val="00A807DB"/>
    <w:rsid w:val="00A80823"/>
    <w:rsid w:val="00A8083C"/>
    <w:rsid w:val="00A809ED"/>
    <w:rsid w:val="00A812E8"/>
    <w:rsid w:val="00A81373"/>
    <w:rsid w:val="00A8145E"/>
    <w:rsid w:val="00A81692"/>
    <w:rsid w:val="00A8171D"/>
    <w:rsid w:val="00A818D8"/>
    <w:rsid w:val="00A81A33"/>
    <w:rsid w:val="00A82020"/>
    <w:rsid w:val="00A8203A"/>
    <w:rsid w:val="00A82044"/>
    <w:rsid w:val="00A821B8"/>
    <w:rsid w:val="00A8230D"/>
    <w:rsid w:val="00A82530"/>
    <w:rsid w:val="00A828D4"/>
    <w:rsid w:val="00A82A3A"/>
    <w:rsid w:val="00A82DA9"/>
    <w:rsid w:val="00A82E24"/>
    <w:rsid w:val="00A831CF"/>
    <w:rsid w:val="00A83542"/>
    <w:rsid w:val="00A838CB"/>
    <w:rsid w:val="00A83BCA"/>
    <w:rsid w:val="00A846FF"/>
    <w:rsid w:val="00A84AA5"/>
    <w:rsid w:val="00A84C0D"/>
    <w:rsid w:val="00A84CCC"/>
    <w:rsid w:val="00A84CD1"/>
    <w:rsid w:val="00A84D56"/>
    <w:rsid w:val="00A84F78"/>
    <w:rsid w:val="00A851E3"/>
    <w:rsid w:val="00A8521C"/>
    <w:rsid w:val="00A85309"/>
    <w:rsid w:val="00A855D1"/>
    <w:rsid w:val="00A8567C"/>
    <w:rsid w:val="00A857C7"/>
    <w:rsid w:val="00A858CC"/>
    <w:rsid w:val="00A859E2"/>
    <w:rsid w:val="00A85D2D"/>
    <w:rsid w:val="00A85D4D"/>
    <w:rsid w:val="00A860AF"/>
    <w:rsid w:val="00A86279"/>
    <w:rsid w:val="00A86296"/>
    <w:rsid w:val="00A86351"/>
    <w:rsid w:val="00A8640B"/>
    <w:rsid w:val="00A86B0F"/>
    <w:rsid w:val="00A86EFC"/>
    <w:rsid w:val="00A86F67"/>
    <w:rsid w:val="00A87133"/>
    <w:rsid w:val="00A876E2"/>
    <w:rsid w:val="00A8779E"/>
    <w:rsid w:val="00A87A78"/>
    <w:rsid w:val="00A87BE3"/>
    <w:rsid w:val="00A87D60"/>
    <w:rsid w:val="00A9069A"/>
    <w:rsid w:val="00A90B78"/>
    <w:rsid w:val="00A90C5F"/>
    <w:rsid w:val="00A9108E"/>
    <w:rsid w:val="00A91274"/>
    <w:rsid w:val="00A91660"/>
    <w:rsid w:val="00A91C85"/>
    <w:rsid w:val="00A91E31"/>
    <w:rsid w:val="00A91EEB"/>
    <w:rsid w:val="00A91EF1"/>
    <w:rsid w:val="00A91FF5"/>
    <w:rsid w:val="00A92259"/>
    <w:rsid w:val="00A922AE"/>
    <w:rsid w:val="00A9245F"/>
    <w:rsid w:val="00A924C3"/>
    <w:rsid w:val="00A925CB"/>
    <w:rsid w:val="00A9263C"/>
    <w:rsid w:val="00A92A15"/>
    <w:rsid w:val="00A92A7E"/>
    <w:rsid w:val="00A92A91"/>
    <w:rsid w:val="00A92BCF"/>
    <w:rsid w:val="00A92E34"/>
    <w:rsid w:val="00A92F1B"/>
    <w:rsid w:val="00A9371B"/>
    <w:rsid w:val="00A93E78"/>
    <w:rsid w:val="00A94179"/>
    <w:rsid w:val="00A941C1"/>
    <w:rsid w:val="00A9425A"/>
    <w:rsid w:val="00A94539"/>
    <w:rsid w:val="00A94547"/>
    <w:rsid w:val="00A94751"/>
    <w:rsid w:val="00A9539E"/>
    <w:rsid w:val="00A95651"/>
    <w:rsid w:val="00A956A3"/>
    <w:rsid w:val="00A95719"/>
    <w:rsid w:val="00A959B8"/>
    <w:rsid w:val="00A959C0"/>
    <w:rsid w:val="00A95B09"/>
    <w:rsid w:val="00A95F8F"/>
    <w:rsid w:val="00A95FB0"/>
    <w:rsid w:val="00A960A3"/>
    <w:rsid w:val="00A9657A"/>
    <w:rsid w:val="00A96632"/>
    <w:rsid w:val="00A96680"/>
    <w:rsid w:val="00A968EA"/>
    <w:rsid w:val="00A96957"/>
    <w:rsid w:val="00A96B33"/>
    <w:rsid w:val="00A96D37"/>
    <w:rsid w:val="00A96DD9"/>
    <w:rsid w:val="00A96E31"/>
    <w:rsid w:val="00A96F79"/>
    <w:rsid w:val="00A97071"/>
    <w:rsid w:val="00A97315"/>
    <w:rsid w:val="00A97348"/>
    <w:rsid w:val="00A9785B"/>
    <w:rsid w:val="00A97A8B"/>
    <w:rsid w:val="00A97B31"/>
    <w:rsid w:val="00A97DF4"/>
    <w:rsid w:val="00A97E84"/>
    <w:rsid w:val="00AA0169"/>
    <w:rsid w:val="00AA0475"/>
    <w:rsid w:val="00AA05A4"/>
    <w:rsid w:val="00AA0729"/>
    <w:rsid w:val="00AA0733"/>
    <w:rsid w:val="00AA0AA6"/>
    <w:rsid w:val="00AA0D75"/>
    <w:rsid w:val="00AA0EA5"/>
    <w:rsid w:val="00AA0F5A"/>
    <w:rsid w:val="00AA1048"/>
    <w:rsid w:val="00AA15EE"/>
    <w:rsid w:val="00AA1917"/>
    <w:rsid w:val="00AA1FAE"/>
    <w:rsid w:val="00AA22C7"/>
    <w:rsid w:val="00AA2414"/>
    <w:rsid w:val="00AA2423"/>
    <w:rsid w:val="00AA2510"/>
    <w:rsid w:val="00AA2806"/>
    <w:rsid w:val="00AA29B6"/>
    <w:rsid w:val="00AA2AB4"/>
    <w:rsid w:val="00AA2CBD"/>
    <w:rsid w:val="00AA2D05"/>
    <w:rsid w:val="00AA2F67"/>
    <w:rsid w:val="00AA322C"/>
    <w:rsid w:val="00AA34D2"/>
    <w:rsid w:val="00AA36ED"/>
    <w:rsid w:val="00AA37C8"/>
    <w:rsid w:val="00AA37F4"/>
    <w:rsid w:val="00AA3B78"/>
    <w:rsid w:val="00AA3E16"/>
    <w:rsid w:val="00AA44BE"/>
    <w:rsid w:val="00AA4762"/>
    <w:rsid w:val="00AA476F"/>
    <w:rsid w:val="00AA4878"/>
    <w:rsid w:val="00AA4A99"/>
    <w:rsid w:val="00AA4ACC"/>
    <w:rsid w:val="00AA50D3"/>
    <w:rsid w:val="00AA516A"/>
    <w:rsid w:val="00AA578E"/>
    <w:rsid w:val="00AA5B32"/>
    <w:rsid w:val="00AA5E79"/>
    <w:rsid w:val="00AA61D5"/>
    <w:rsid w:val="00AA679E"/>
    <w:rsid w:val="00AA6C86"/>
    <w:rsid w:val="00AA6F76"/>
    <w:rsid w:val="00AA702B"/>
    <w:rsid w:val="00AA70CC"/>
    <w:rsid w:val="00AA70D3"/>
    <w:rsid w:val="00AA7569"/>
    <w:rsid w:val="00AA7A84"/>
    <w:rsid w:val="00AA7BFC"/>
    <w:rsid w:val="00AA7CB2"/>
    <w:rsid w:val="00AA7D66"/>
    <w:rsid w:val="00AA7D8C"/>
    <w:rsid w:val="00AA7E05"/>
    <w:rsid w:val="00AA7E90"/>
    <w:rsid w:val="00AB0051"/>
    <w:rsid w:val="00AB0415"/>
    <w:rsid w:val="00AB047B"/>
    <w:rsid w:val="00AB04C9"/>
    <w:rsid w:val="00AB0654"/>
    <w:rsid w:val="00AB079A"/>
    <w:rsid w:val="00AB0B57"/>
    <w:rsid w:val="00AB0CDC"/>
    <w:rsid w:val="00AB0D7C"/>
    <w:rsid w:val="00AB0E1F"/>
    <w:rsid w:val="00AB10D2"/>
    <w:rsid w:val="00AB12AF"/>
    <w:rsid w:val="00AB15D1"/>
    <w:rsid w:val="00AB163F"/>
    <w:rsid w:val="00AB16DF"/>
    <w:rsid w:val="00AB18BA"/>
    <w:rsid w:val="00AB1A0F"/>
    <w:rsid w:val="00AB1BF8"/>
    <w:rsid w:val="00AB1F46"/>
    <w:rsid w:val="00AB2054"/>
    <w:rsid w:val="00AB20EA"/>
    <w:rsid w:val="00AB284C"/>
    <w:rsid w:val="00AB2AA8"/>
    <w:rsid w:val="00AB2C19"/>
    <w:rsid w:val="00AB2E0B"/>
    <w:rsid w:val="00AB38AC"/>
    <w:rsid w:val="00AB3C8E"/>
    <w:rsid w:val="00AB3D45"/>
    <w:rsid w:val="00AB411E"/>
    <w:rsid w:val="00AB43B5"/>
    <w:rsid w:val="00AB450A"/>
    <w:rsid w:val="00AB45DE"/>
    <w:rsid w:val="00AB4734"/>
    <w:rsid w:val="00AB47BC"/>
    <w:rsid w:val="00AB4BFA"/>
    <w:rsid w:val="00AB4C3F"/>
    <w:rsid w:val="00AB4E9A"/>
    <w:rsid w:val="00AB51E8"/>
    <w:rsid w:val="00AB5500"/>
    <w:rsid w:val="00AB555A"/>
    <w:rsid w:val="00AB56ED"/>
    <w:rsid w:val="00AB592F"/>
    <w:rsid w:val="00AB5B3B"/>
    <w:rsid w:val="00AB5C52"/>
    <w:rsid w:val="00AB5FAA"/>
    <w:rsid w:val="00AB614D"/>
    <w:rsid w:val="00AB6399"/>
    <w:rsid w:val="00AB660F"/>
    <w:rsid w:val="00AB66AA"/>
    <w:rsid w:val="00AB670E"/>
    <w:rsid w:val="00AB671D"/>
    <w:rsid w:val="00AB68AA"/>
    <w:rsid w:val="00AB6F6D"/>
    <w:rsid w:val="00AB6FC5"/>
    <w:rsid w:val="00AB6FE3"/>
    <w:rsid w:val="00AB73F0"/>
    <w:rsid w:val="00AB7854"/>
    <w:rsid w:val="00AB7905"/>
    <w:rsid w:val="00AB7A3A"/>
    <w:rsid w:val="00AB7D53"/>
    <w:rsid w:val="00AB7F5E"/>
    <w:rsid w:val="00AC0111"/>
    <w:rsid w:val="00AC0156"/>
    <w:rsid w:val="00AC01D9"/>
    <w:rsid w:val="00AC0469"/>
    <w:rsid w:val="00AC06CD"/>
    <w:rsid w:val="00AC0764"/>
    <w:rsid w:val="00AC0A95"/>
    <w:rsid w:val="00AC1004"/>
    <w:rsid w:val="00AC1487"/>
    <w:rsid w:val="00AC16F6"/>
    <w:rsid w:val="00AC19DD"/>
    <w:rsid w:val="00AC1AC7"/>
    <w:rsid w:val="00AC225B"/>
    <w:rsid w:val="00AC22C3"/>
    <w:rsid w:val="00AC23C7"/>
    <w:rsid w:val="00AC248C"/>
    <w:rsid w:val="00AC2506"/>
    <w:rsid w:val="00AC250B"/>
    <w:rsid w:val="00AC25CF"/>
    <w:rsid w:val="00AC2A6E"/>
    <w:rsid w:val="00AC300D"/>
    <w:rsid w:val="00AC31DF"/>
    <w:rsid w:val="00AC33DF"/>
    <w:rsid w:val="00AC350A"/>
    <w:rsid w:val="00AC365F"/>
    <w:rsid w:val="00AC3752"/>
    <w:rsid w:val="00AC3811"/>
    <w:rsid w:val="00AC3827"/>
    <w:rsid w:val="00AC442B"/>
    <w:rsid w:val="00AC4498"/>
    <w:rsid w:val="00AC45ED"/>
    <w:rsid w:val="00AC4D39"/>
    <w:rsid w:val="00AC5066"/>
    <w:rsid w:val="00AC53F2"/>
    <w:rsid w:val="00AC5800"/>
    <w:rsid w:val="00AC5D18"/>
    <w:rsid w:val="00AC5DE9"/>
    <w:rsid w:val="00AC5F19"/>
    <w:rsid w:val="00AC617B"/>
    <w:rsid w:val="00AC625A"/>
    <w:rsid w:val="00AC6368"/>
    <w:rsid w:val="00AC64D3"/>
    <w:rsid w:val="00AC6686"/>
    <w:rsid w:val="00AC681D"/>
    <w:rsid w:val="00AC68A6"/>
    <w:rsid w:val="00AC6952"/>
    <w:rsid w:val="00AC6AFF"/>
    <w:rsid w:val="00AC6DAB"/>
    <w:rsid w:val="00AC6DB8"/>
    <w:rsid w:val="00AC6E78"/>
    <w:rsid w:val="00AC7610"/>
    <w:rsid w:val="00AC785E"/>
    <w:rsid w:val="00AC79FC"/>
    <w:rsid w:val="00AC7B2B"/>
    <w:rsid w:val="00ACEFC8"/>
    <w:rsid w:val="00AD0247"/>
    <w:rsid w:val="00AD0365"/>
    <w:rsid w:val="00AD0377"/>
    <w:rsid w:val="00AD04C9"/>
    <w:rsid w:val="00AD06DF"/>
    <w:rsid w:val="00AD1400"/>
    <w:rsid w:val="00AD1409"/>
    <w:rsid w:val="00AD1503"/>
    <w:rsid w:val="00AD1A4F"/>
    <w:rsid w:val="00AD1BEF"/>
    <w:rsid w:val="00AD1D89"/>
    <w:rsid w:val="00AD1E17"/>
    <w:rsid w:val="00AD20A6"/>
    <w:rsid w:val="00AD2161"/>
    <w:rsid w:val="00AD216E"/>
    <w:rsid w:val="00AD221F"/>
    <w:rsid w:val="00AD22A5"/>
    <w:rsid w:val="00AD2609"/>
    <w:rsid w:val="00AD2995"/>
    <w:rsid w:val="00AD2A20"/>
    <w:rsid w:val="00AD2E22"/>
    <w:rsid w:val="00AD2FD2"/>
    <w:rsid w:val="00AD3309"/>
    <w:rsid w:val="00AD33EF"/>
    <w:rsid w:val="00AD34C0"/>
    <w:rsid w:val="00AD3744"/>
    <w:rsid w:val="00AD3851"/>
    <w:rsid w:val="00AD3899"/>
    <w:rsid w:val="00AD3CF2"/>
    <w:rsid w:val="00AD4164"/>
    <w:rsid w:val="00AD4275"/>
    <w:rsid w:val="00AD444A"/>
    <w:rsid w:val="00AD46B4"/>
    <w:rsid w:val="00AD4816"/>
    <w:rsid w:val="00AD4882"/>
    <w:rsid w:val="00AD491F"/>
    <w:rsid w:val="00AD49D2"/>
    <w:rsid w:val="00AD4EBC"/>
    <w:rsid w:val="00AD510E"/>
    <w:rsid w:val="00AD537E"/>
    <w:rsid w:val="00AD5ADA"/>
    <w:rsid w:val="00AD5DC8"/>
    <w:rsid w:val="00AD5EF6"/>
    <w:rsid w:val="00AD5FAF"/>
    <w:rsid w:val="00AD5FB5"/>
    <w:rsid w:val="00AD64B7"/>
    <w:rsid w:val="00AD6552"/>
    <w:rsid w:val="00AD660C"/>
    <w:rsid w:val="00AD66DB"/>
    <w:rsid w:val="00AD6872"/>
    <w:rsid w:val="00AD6A5C"/>
    <w:rsid w:val="00AD6F6C"/>
    <w:rsid w:val="00AD7152"/>
    <w:rsid w:val="00AD71C2"/>
    <w:rsid w:val="00AD7575"/>
    <w:rsid w:val="00AD75B7"/>
    <w:rsid w:val="00AD7853"/>
    <w:rsid w:val="00AD7A41"/>
    <w:rsid w:val="00AD7D67"/>
    <w:rsid w:val="00AD7DFA"/>
    <w:rsid w:val="00AE013F"/>
    <w:rsid w:val="00AE01C5"/>
    <w:rsid w:val="00AE01D8"/>
    <w:rsid w:val="00AE0391"/>
    <w:rsid w:val="00AE05D9"/>
    <w:rsid w:val="00AE06B7"/>
    <w:rsid w:val="00AE071C"/>
    <w:rsid w:val="00AE0723"/>
    <w:rsid w:val="00AE09B7"/>
    <w:rsid w:val="00AE0F64"/>
    <w:rsid w:val="00AE1172"/>
    <w:rsid w:val="00AE120C"/>
    <w:rsid w:val="00AE1234"/>
    <w:rsid w:val="00AE1398"/>
    <w:rsid w:val="00AE13CF"/>
    <w:rsid w:val="00AE160E"/>
    <w:rsid w:val="00AE175D"/>
    <w:rsid w:val="00AE1778"/>
    <w:rsid w:val="00AE179F"/>
    <w:rsid w:val="00AE1DAA"/>
    <w:rsid w:val="00AE1E3C"/>
    <w:rsid w:val="00AE1F7D"/>
    <w:rsid w:val="00AE22EA"/>
    <w:rsid w:val="00AE26D6"/>
    <w:rsid w:val="00AE28F9"/>
    <w:rsid w:val="00AE2BC5"/>
    <w:rsid w:val="00AE2D5D"/>
    <w:rsid w:val="00AE3163"/>
    <w:rsid w:val="00AE33B6"/>
    <w:rsid w:val="00AE371B"/>
    <w:rsid w:val="00AE3866"/>
    <w:rsid w:val="00AE3E7B"/>
    <w:rsid w:val="00AE3F16"/>
    <w:rsid w:val="00AE4107"/>
    <w:rsid w:val="00AE413D"/>
    <w:rsid w:val="00AE48DB"/>
    <w:rsid w:val="00AE4D37"/>
    <w:rsid w:val="00AE5093"/>
    <w:rsid w:val="00AE5287"/>
    <w:rsid w:val="00AE568D"/>
    <w:rsid w:val="00AE5730"/>
    <w:rsid w:val="00AE61C5"/>
    <w:rsid w:val="00AE64E1"/>
    <w:rsid w:val="00AE662B"/>
    <w:rsid w:val="00AE668C"/>
    <w:rsid w:val="00AE668E"/>
    <w:rsid w:val="00AE6CD1"/>
    <w:rsid w:val="00AE6F1E"/>
    <w:rsid w:val="00AE7787"/>
    <w:rsid w:val="00AE7874"/>
    <w:rsid w:val="00AE787A"/>
    <w:rsid w:val="00AE7AEF"/>
    <w:rsid w:val="00AE7BF3"/>
    <w:rsid w:val="00AE7D11"/>
    <w:rsid w:val="00AE7D51"/>
    <w:rsid w:val="00AE7EF2"/>
    <w:rsid w:val="00AE7EFA"/>
    <w:rsid w:val="00AF00C0"/>
    <w:rsid w:val="00AF035B"/>
    <w:rsid w:val="00AF082B"/>
    <w:rsid w:val="00AF0CC6"/>
    <w:rsid w:val="00AF0CE7"/>
    <w:rsid w:val="00AF0D0D"/>
    <w:rsid w:val="00AF0DE8"/>
    <w:rsid w:val="00AF15F6"/>
    <w:rsid w:val="00AF1DAC"/>
    <w:rsid w:val="00AF2002"/>
    <w:rsid w:val="00AF226A"/>
    <w:rsid w:val="00AF22C9"/>
    <w:rsid w:val="00AF2322"/>
    <w:rsid w:val="00AF25FC"/>
    <w:rsid w:val="00AF26FB"/>
    <w:rsid w:val="00AF28B4"/>
    <w:rsid w:val="00AF355E"/>
    <w:rsid w:val="00AF373B"/>
    <w:rsid w:val="00AF37EA"/>
    <w:rsid w:val="00AF3890"/>
    <w:rsid w:val="00AF38AC"/>
    <w:rsid w:val="00AF411C"/>
    <w:rsid w:val="00AF4167"/>
    <w:rsid w:val="00AF438F"/>
    <w:rsid w:val="00AF4809"/>
    <w:rsid w:val="00AF4EF2"/>
    <w:rsid w:val="00AF53ED"/>
    <w:rsid w:val="00AF5407"/>
    <w:rsid w:val="00AF56A7"/>
    <w:rsid w:val="00AF573D"/>
    <w:rsid w:val="00AF58CA"/>
    <w:rsid w:val="00AF5B8B"/>
    <w:rsid w:val="00AF5C62"/>
    <w:rsid w:val="00AF5C78"/>
    <w:rsid w:val="00AF5FF2"/>
    <w:rsid w:val="00AF60E3"/>
    <w:rsid w:val="00AF6213"/>
    <w:rsid w:val="00AF6312"/>
    <w:rsid w:val="00AF6384"/>
    <w:rsid w:val="00AF66FA"/>
    <w:rsid w:val="00AF677B"/>
    <w:rsid w:val="00AF6BE8"/>
    <w:rsid w:val="00AF6CF3"/>
    <w:rsid w:val="00AF6DDA"/>
    <w:rsid w:val="00AF6E78"/>
    <w:rsid w:val="00AF6FEF"/>
    <w:rsid w:val="00AF716B"/>
    <w:rsid w:val="00AF732B"/>
    <w:rsid w:val="00AF735F"/>
    <w:rsid w:val="00AF7786"/>
    <w:rsid w:val="00AF7C9A"/>
    <w:rsid w:val="00AF7D5B"/>
    <w:rsid w:val="00B00039"/>
    <w:rsid w:val="00B00281"/>
    <w:rsid w:val="00B0062B"/>
    <w:rsid w:val="00B0090A"/>
    <w:rsid w:val="00B00E1E"/>
    <w:rsid w:val="00B01837"/>
    <w:rsid w:val="00B01DA0"/>
    <w:rsid w:val="00B02349"/>
    <w:rsid w:val="00B02354"/>
    <w:rsid w:val="00B023E3"/>
    <w:rsid w:val="00B02555"/>
    <w:rsid w:val="00B02590"/>
    <w:rsid w:val="00B025BF"/>
    <w:rsid w:val="00B02E76"/>
    <w:rsid w:val="00B0302E"/>
    <w:rsid w:val="00B0305A"/>
    <w:rsid w:val="00B030A5"/>
    <w:rsid w:val="00B031E9"/>
    <w:rsid w:val="00B0337B"/>
    <w:rsid w:val="00B036C6"/>
    <w:rsid w:val="00B03ACF"/>
    <w:rsid w:val="00B03F18"/>
    <w:rsid w:val="00B040D6"/>
    <w:rsid w:val="00B0425E"/>
    <w:rsid w:val="00B04445"/>
    <w:rsid w:val="00B04457"/>
    <w:rsid w:val="00B0463F"/>
    <w:rsid w:val="00B04A6C"/>
    <w:rsid w:val="00B04C19"/>
    <w:rsid w:val="00B04C97"/>
    <w:rsid w:val="00B05264"/>
    <w:rsid w:val="00B05440"/>
    <w:rsid w:val="00B054B2"/>
    <w:rsid w:val="00B05571"/>
    <w:rsid w:val="00B057E0"/>
    <w:rsid w:val="00B057E8"/>
    <w:rsid w:val="00B05B61"/>
    <w:rsid w:val="00B05D50"/>
    <w:rsid w:val="00B05F93"/>
    <w:rsid w:val="00B060C4"/>
    <w:rsid w:val="00B062A1"/>
    <w:rsid w:val="00B0635B"/>
    <w:rsid w:val="00B0639E"/>
    <w:rsid w:val="00B0663B"/>
    <w:rsid w:val="00B06671"/>
    <w:rsid w:val="00B066A3"/>
    <w:rsid w:val="00B066E0"/>
    <w:rsid w:val="00B067AD"/>
    <w:rsid w:val="00B067C4"/>
    <w:rsid w:val="00B069C0"/>
    <w:rsid w:val="00B06C6D"/>
    <w:rsid w:val="00B06DF5"/>
    <w:rsid w:val="00B0704C"/>
    <w:rsid w:val="00B073CB"/>
    <w:rsid w:val="00B0755C"/>
    <w:rsid w:val="00B07ADB"/>
    <w:rsid w:val="00B07F01"/>
    <w:rsid w:val="00B100CC"/>
    <w:rsid w:val="00B10274"/>
    <w:rsid w:val="00B102B9"/>
    <w:rsid w:val="00B103FB"/>
    <w:rsid w:val="00B108F4"/>
    <w:rsid w:val="00B10B30"/>
    <w:rsid w:val="00B10B45"/>
    <w:rsid w:val="00B10E91"/>
    <w:rsid w:val="00B10EB9"/>
    <w:rsid w:val="00B10EC1"/>
    <w:rsid w:val="00B10F72"/>
    <w:rsid w:val="00B1104C"/>
    <w:rsid w:val="00B11144"/>
    <w:rsid w:val="00B1114A"/>
    <w:rsid w:val="00B11248"/>
    <w:rsid w:val="00B1182D"/>
    <w:rsid w:val="00B11A94"/>
    <w:rsid w:val="00B11F97"/>
    <w:rsid w:val="00B12039"/>
    <w:rsid w:val="00B1239C"/>
    <w:rsid w:val="00B1260B"/>
    <w:rsid w:val="00B1278D"/>
    <w:rsid w:val="00B1281B"/>
    <w:rsid w:val="00B129A8"/>
    <w:rsid w:val="00B12C36"/>
    <w:rsid w:val="00B12C85"/>
    <w:rsid w:val="00B12F66"/>
    <w:rsid w:val="00B13058"/>
    <w:rsid w:val="00B13210"/>
    <w:rsid w:val="00B132BF"/>
    <w:rsid w:val="00B133FB"/>
    <w:rsid w:val="00B13446"/>
    <w:rsid w:val="00B13890"/>
    <w:rsid w:val="00B13F84"/>
    <w:rsid w:val="00B14017"/>
    <w:rsid w:val="00B1409C"/>
    <w:rsid w:val="00B14379"/>
    <w:rsid w:val="00B14514"/>
    <w:rsid w:val="00B1462E"/>
    <w:rsid w:val="00B14792"/>
    <w:rsid w:val="00B14C72"/>
    <w:rsid w:val="00B14D5A"/>
    <w:rsid w:val="00B14F34"/>
    <w:rsid w:val="00B15262"/>
    <w:rsid w:val="00B153EF"/>
    <w:rsid w:val="00B1568F"/>
    <w:rsid w:val="00B157B3"/>
    <w:rsid w:val="00B1591A"/>
    <w:rsid w:val="00B15E13"/>
    <w:rsid w:val="00B16417"/>
    <w:rsid w:val="00B1642C"/>
    <w:rsid w:val="00B164D3"/>
    <w:rsid w:val="00B164FA"/>
    <w:rsid w:val="00B16567"/>
    <w:rsid w:val="00B16584"/>
    <w:rsid w:val="00B1669C"/>
    <w:rsid w:val="00B166E1"/>
    <w:rsid w:val="00B16978"/>
    <w:rsid w:val="00B16E91"/>
    <w:rsid w:val="00B16F63"/>
    <w:rsid w:val="00B17412"/>
    <w:rsid w:val="00B17484"/>
    <w:rsid w:val="00B174B2"/>
    <w:rsid w:val="00B176B0"/>
    <w:rsid w:val="00B17780"/>
    <w:rsid w:val="00B17911"/>
    <w:rsid w:val="00B17C45"/>
    <w:rsid w:val="00B17D22"/>
    <w:rsid w:val="00B17D37"/>
    <w:rsid w:val="00B2036E"/>
    <w:rsid w:val="00B203A2"/>
    <w:rsid w:val="00B208F8"/>
    <w:rsid w:val="00B20B40"/>
    <w:rsid w:val="00B20E00"/>
    <w:rsid w:val="00B212DF"/>
    <w:rsid w:val="00B21438"/>
    <w:rsid w:val="00B215B9"/>
    <w:rsid w:val="00B2162C"/>
    <w:rsid w:val="00B219E2"/>
    <w:rsid w:val="00B21A54"/>
    <w:rsid w:val="00B21B99"/>
    <w:rsid w:val="00B21C40"/>
    <w:rsid w:val="00B22276"/>
    <w:rsid w:val="00B223C6"/>
    <w:rsid w:val="00B2246A"/>
    <w:rsid w:val="00B2287D"/>
    <w:rsid w:val="00B228DD"/>
    <w:rsid w:val="00B229D4"/>
    <w:rsid w:val="00B22B64"/>
    <w:rsid w:val="00B22B66"/>
    <w:rsid w:val="00B22F7D"/>
    <w:rsid w:val="00B23076"/>
    <w:rsid w:val="00B230B2"/>
    <w:rsid w:val="00B2373D"/>
    <w:rsid w:val="00B237C5"/>
    <w:rsid w:val="00B23844"/>
    <w:rsid w:val="00B23948"/>
    <w:rsid w:val="00B23C00"/>
    <w:rsid w:val="00B23E78"/>
    <w:rsid w:val="00B240BC"/>
    <w:rsid w:val="00B243B9"/>
    <w:rsid w:val="00B244B1"/>
    <w:rsid w:val="00B24558"/>
    <w:rsid w:val="00B2493E"/>
    <w:rsid w:val="00B2496C"/>
    <w:rsid w:val="00B24AA8"/>
    <w:rsid w:val="00B24B76"/>
    <w:rsid w:val="00B24B92"/>
    <w:rsid w:val="00B24EF0"/>
    <w:rsid w:val="00B256CE"/>
    <w:rsid w:val="00B257BF"/>
    <w:rsid w:val="00B25849"/>
    <w:rsid w:val="00B25900"/>
    <w:rsid w:val="00B25AE9"/>
    <w:rsid w:val="00B26067"/>
    <w:rsid w:val="00B2610E"/>
    <w:rsid w:val="00B26154"/>
    <w:rsid w:val="00B261AF"/>
    <w:rsid w:val="00B26233"/>
    <w:rsid w:val="00B26641"/>
    <w:rsid w:val="00B269D0"/>
    <w:rsid w:val="00B26C1C"/>
    <w:rsid w:val="00B26C41"/>
    <w:rsid w:val="00B26CCC"/>
    <w:rsid w:val="00B26F28"/>
    <w:rsid w:val="00B27098"/>
    <w:rsid w:val="00B270E1"/>
    <w:rsid w:val="00B27333"/>
    <w:rsid w:val="00B27552"/>
    <w:rsid w:val="00B275C4"/>
    <w:rsid w:val="00B27D12"/>
    <w:rsid w:val="00B27FF9"/>
    <w:rsid w:val="00B302D4"/>
    <w:rsid w:val="00B3051F"/>
    <w:rsid w:val="00B30DA9"/>
    <w:rsid w:val="00B30F00"/>
    <w:rsid w:val="00B311A9"/>
    <w:rsid w:val="00B31452"/>
    <w:rsid w:val="00B316EB"/>
    <w:rsid w:val="00B31725"/>
    <w:rsid w:val="00B31858"/>
    <w:rsid w:val="00B31ADF"/>
    <w:rsid w:val="00B31EB3"/>
    <w:rsid w:val="00B31F72"/>
    <w:rsid w:val="00B31F96"/>
    <w:rsid w:val="00B322CD"/>
    <w:rsid w:val="00B3258B"/>
    <w:rsid w:val="00B32786"/>
    <w:rsid w:val="00B32A19"/>
    <w:rsid w:val="00B32AB1"/>
    <w:rsid w:val="00B33377"/>
    <w:rsid w:val="00B33709"/>
    <w:rsid w:val="00B338B0"/>
    <w:rsid w:val="00B33C39"/>
    <w:rsid w:val="00B33C99"/>
    <w:rsid w:val="00B33D66"/>
    <w:rsid w:val="00B33FE2"/>
    <w:rsid w:val="00B341C9"/>
    <w:rsid w:val="00B3421F"/>
    <w:rsid w:val="00B34604"/>
    <w:rsid w:val="00B34AD2"/>
    <w:rsid w:val="00B34BA5"/>
    <w:rsid w:val="00B34F04"/>
    <w:rsid w:val="00B3512A"/>
    <w:rsid w:val="00B3524F"/>
    <w:rsid w:val="00B3549A"/>
    <w:rsid w:val="00B356AA"/>
    <w:rsid w:val="00B35810"/>
    <w:rsid w:val="00B359C8"/>
    <w:rsid w:val="00B35D61"/>
    <w:rsid w:val="00B35E64"/>
    <w:rsid w:val="00B35F70"/>
    <w:rsid w:val="00B36457"/>
    <w:rsid w:val="00B365A5"/>
    <w:rsid w:val="00B366A5"/>
    <w:rsid w:val="00B3693A"/>
    <w:rsid w:val="00B36B8B"/>
    <w:rsid w:val="00B36E2B"/>
    <w:rsid w:val="00B36F6A"/>
    <w:rsid w:val="00B36F77"/>
    <w:rsid w:val="00B37221"/>
    <w:rsid w:val="00B37227"/>
    <w:rsid w:val="00B3796B"/>
    <w:rsid w:val="00B37D74"/>
    <w:rsid w:val="00B37DF2"/>
    <w:rsid w:val="00B37EE0"/>
    <w:rsid w:val="00B37F1E"/>
    <w:rsid w:val="00B40398"/>
    <w:rsid w:val="00B40453"/>
    <w:rsid w:val="00B40585"/>
    <w:rsid w:val="00B4063D"/>
    <w:rsid w:val="00B40A71"/>
    <w:rsid w:val="00B40A88"/>
    <w:rsid w:val="00B40C7E"/>
    <w:rsid w:val="00B40D1C"/>
    <w:rsid w:val="00B40EF8"/>
    <w:rsid w:val="00B41140"/>
    <w:rsid w:val="00B412C5"/>
    <w:rsid w:val="00B41387"/>
    <w:rsid w:val="00B4149F"/>
    <w:rsid w:val="00B4157E"/>
    <w:rsid w:val="00B41599"/>
    <w:rsid w:val="00B41901"/>
    <w:rsid w:val="00B41E05"/>
    <w:rsid w:val="00B41F81"/>
    <w:rsid w:val="00B42036"/>
    <w:rsid w:val="00B421FD"/>
    <w:rsid w:val="00B42281"/>
    <w:rsid w:val="00B422C3"/>
    <w:rsid w:val="00B42524"/>
    <w:rsid w:val="00B42894"/>
    <w:rsid w:val="00B42B64"/>
    <w:rsid w:val="00B42BBD"/>
    <w:rsid w:val="00B42F98"/>
    <w:rsid w:val="00B43095"/>
    <w:rsid w:val="00B43783"/>
    <w:rsid w:val="00B43956"/>
    <w:rsid w:val="00B43AFE"/>
    <w:rsid w:val="00B43B60"/>
    <w:rsid w:val="00B43BF0"/>
    <w:rsid w:val="00B43F77"/>
    <w:rsid w:val="00B442E1"/>
    <w:rsid w:val="00B44486"/>
    <w:rsid w:val="00B4461F"/>
    <w:rsid w:val="00B449C5"/>
    <w:rsid w:val="00B44D58"/>
    <w:rsid w:val="00B44ECB"/>
    <w:rsid w:val="00B45A4E"/>
    <w:rsid w:val="00B45E24"/>
    <w:rsid w:val="00B4607E"/>
    <w:rsid w:val="00B460EF"/>
    <w:rsid w:val="00B461C0"/>
    <w:rsid w:val="00B464B9"/>
    <w:rsid w:val="00B4660D"/>
    <w:rsid w:val="00B466BB"/>
    <w:rsid w:val="00B466DC"/>
    <w:rsid w:val="00B469A8"/>
    <w:rsid w:val="00B46AE6"/>
    <w:rsid w:val="00B46C4E"/>
    <w:rsid w:val="00B46DD6"/>
    <w:rsid w:val="00B46EEC"/>
    <w:rsid w:val="00B46F93"/>
    <w:rsid w:val="00B4731C"/>
    <w:rsid w:val="00B47480"/>
    <w:rsid w:val="00B4764C"/>
    <w:rsid w:val="00B479FE"/>
    <w:rsid w:val="00B47BC7"/>
    <w:rsid w:val="00B47D11"/>
    <w:rsid w:val="00B47E4F"/>
    <w:rsid w:val="00B5013C"/>
    <w:rsid w:val="00B50740"/>
    <w:rsid w:val="00B50768"/>
    <w:rsid w:val="00B508B9"/>
    <w:rsid w:val="00B50A14"/>
    <w:rsid w:val="00B50A36"/>
    <w:rsid w:val="00B50AB3"/>
    <w:rsid w:val="00B50FB7"/>
    <w:rsid w:val="00B510CE"/>
    <w:rsid w:val="00B5119B"/>
    <w:rsid w:val="00B511C3"/>
    <w:rsid w:val="00B51F8E"/>
    <w:rsid w:val="00B51FB4"/>
    <w:rsid w:val="00B5217E"/>
    <w:rsid w:val="00B5230C"/>
    <w:rsid w:val="00B5271A"/>
    <w:rsid w:val="00B52977"/>
    <w:rsid w:val="00B529F3"/>
    <w:rsid w:val="00B529FD"/>
    <w:rsid w:val="00B52C2B"/>
    <w:rsid w:val="00B53039"/>
    <w:rsid w:val="00B530F3"/>
    <w:rsid w:val="00B53248"/>
    <w:rsid w:val="00B5329F"/>
    <w:rsid w:val="00B53A30"/>
    <w:rsid w:val="00B53B8D"/>
    <w:rsid w:val="00B54053"/>
    <w:rsid w:val="00B540DE"/>
    <w:rsid w:val="00B5419A"/>
    <w:rsid w:val="00B544B7"/>
    <w:rsid w:val="00B54590"/>
    <w:rsid w:val="00B54A6A"/>
    <w:rsid w:val="00B54B05"/>
    <w:rsid w:val="00B54BDA"/>
    <w:rsid w:val="00B5575C"/>
    <w:rsid w:val="00B55765"/>
    <w:rsid w:val="00B558F3"/>
    <w:rsid w:val="00B55FA4"/>
    <w:rsid w:val="00B560AF"/>
    <w:rsid w:val="00B56217"/>
    <w:rsid w:val="00B56241"/>
    <w:rsid w:val="00B564ED"/>
    <w:rsid w:val="00B56572"/>
    <w:rsid w:val="00B56588"/>
    <w:rsid w:val="00B565CD"/>
    <w:rsid w:val="00B56A08"/>
    <w:rsid w:val="00B56B47"/>
    <w:rsid w:val="00B56F17"/>
    <w:rsid w:val="00B56FD2"/>
    <w:rsid w:val="00B572E5"/>
    <w:rsid w:val="00B572F1"/>
    <w:rsid w:val="00B577F5"/>
    <w:rsid w:val="00B57816"/>
    <w:rsid w:val="00B57EAD"/>
    <w:rsid w:val="00B608C7"/>
    <w:rsid w:val="00B608E6"/>
    <w:rsid w:val="00B609A7"/>
    <w:rsid w:val="00B60A51"/>
    <w:rsid w:val="00B60C45"/>
    <w:rsid w:val="00B60C6C"/>
    <w:rsid w:val="00B60FDE"/>
    <w:rsid w:val="00B6101F"/>
    <w:rsid w:val="00B61081"/>
    <w:rsid w:val="00B610CD"/>
    <w:rsid w:val="00B6111E"/>
    <w:rsid w:val="00B6114E"/>
    <w:rsid w:val="00B611F3"/>
    <w:rsid w:val="00B612AB"/>
    <w:rsid w:val="00B61462"/>
    <w:rsid w:val="00B6148F"/>
    <w:rsid w:val="00B61B40"/>
    <w:rsid w:val="00B61BE8"/>
    <w:rsid w:val="00B61CE3"/>
    <w:rsid w:val="00B6213E"/>
    <w:rsid w:val="00B621CF"/>
    <w:rsid w:val="00B625D9"/>
    <w:rsid w:val="00B62E9B"/>
    <w:rsid w:val="00B62F7F"/>
    <w:rsid w:val="00B62FD3"/>
    <w:rsid w:val="00B630D6"/>
    <w:rsid w:val="00B631B3"/>
    <w:rsid w:val="00B631D5"/>
    <w:rsid w:val="00B63521"/>
    <w:rsid w:val="00B636CC"/>
    <w:rsid w:val="00B63970"/>
    <w:rsid w:val="00B639FD"/>
    <w:rsid w:val="00B644CC"/>
    <w:rsid w:val="00B644EA"/>
    <w:rsid w:val="00B64578"/>
    <w:rsid w:val="00B649C8"/>
    <w:rsid w:val="00B64D8D"/>
    <w:rsid w:val="00B64E37"/>
    <w:rsid w:val="00B650BB"/>
    <w:rsid w:val="00B65276"/>
    <w:rsid w:val="00B653A6"/>
    <w:rsid w:val="00B65699"/>
    <w:rsid w:val="00B6587E"/>
    <w:rsid w:val="00B658D4"/>
    <w:rsid w:val="00B65E75"/>
    <w:rsid w:val="00B65F49"/>
    <w:rsid w:val="00B65FE0"/>
    <w:rsid w:val="00B66204"/>
    <w:rsid w:val="00B665AA"/>
    <w:rsid w:val="00B665D1"/>
    <w:rsid w:val="00B668D1"/>
    <w:rsid w:val="00B669E8"/>
    <w:rsid w:val="00B66C5A"/>
    <w:rsid w:val="00B66E4E"/>
    <w:rsid w:val="00B6704C"/>
    <w:rsid w:val="00B67147"/>
    <w:rsid w:val="00B6715B"/>
    <w:rsid w:val="00B6728C"/>
    <w:rsid w:val="00B6736D"/>
    <w:rsid w:val="00B6799F"/>
    <w:rsid w:val="00B70438"/>
    <w:rsid w:val="00B70559"/>
    <w:rsid w:val="00B70636"/>
    <w:rsid w:val="00B7072D"/>
    <w:rsid w:val="00B70800"/>
    <w:rsid w:val="00B70958"/>
    <w:rsid w:val="00B70C21"/>
    <w:rsid w:val="00B70C3D"/>
    <w:rsid w:val="00B70C9F"/>
    <w:rsid w:val="00B70D54"/>
    <w:rsid w:val="00B71161"/>
    <w:rsid w:val="00B71322"/>
    <w:rsid w:val="00B71541"/>
    <w:rsid w:val="00B716F7"/>
    <w:rsid w:val="00B71806"/>
    <w:rsid w:val="00B71C1E"/>
    <w:rsid w:val="00B71D2F"/>
    <w:rsid w:val="00B71D40"/>
    <w:rsid w:val="00B71E47"/>
    <w:rsid w:val="00B71EB8"/>
    <w:rsid w:val="00B71ED7"/>
    <w:rsid w:val="00B72285"/>
    <w:rsid w:val="00B7233C"/>
    <w:rsid w:val="00B723CB"/>
    <w:rsid w:val="00B7245B"/>
    <w:rsid w:val="00B7266F"/>
    <w:rsid w:val="00B728F3"/>
    <w:rsid w:val="00B72E0B"/>
    <w:rsid w:val="00B7314C"/>
    <w:rsid w:val="00B7328F"/>
    <w:rsid w:val="00B733E0"/>
    <w:rsid w:val="00B73548"/>
    <w:rsid w:val="00B738A9"/>
    <w:rsid w:val="00B73938"/>
    <w:rsid w:val="00B73990"/>
    <w:rsid w:val="00B73AFE"/>
    <w:rsid w:val="00B73DAA"/>
    <w:rsid w:val="00B73F39"/>
    <w:rsid w:val="00B73FCD"/>
    <w:rsid w:val="00B74086"/>
    <w:rsid w:val="00B74095"/>
    <w:rsid w:val="00B7431F"/>
    <w:rsid w:val="00B7432B"/>
    <w:rsid w:val="00B74454"/>
    <w:rsid w:val="00B74595"/>
    <w:rsid w:val="00B75141"/>
    <w:rsid w:val="00B7530D"/>
    <w:rsid w:val="00B75414"/>
    <w:rsid w:val="00B754E6"/>
    <w:rsid w:val="00B75717"/>
    <w:rsid w:val="00B75C96"/>
    <w:rsid w:val="00B75DAD"/>
    <w:rsid w:val="00B75EC8"/>
    <w:rsid w:val="00B7607F"/>
    <w:rsid w:val="00B76145"/>
    <w:rsid w:val="00B76421"/>
    <w:rsid w:val="00B76489"/>
    <w:rsid w:val="00B76581"/>
    <w:rsid w:val="00B7677D"/>
    <w:rsid w:val="00B76865"/>
    <w:rsid w:val="00B769E4"/>
    <w:rsid w:val="00B76BCC"/>
    <w:rsid w:val="00B76C0B"/>
    <w:rsid w:val="00B76C3D"/>
    <w:rsid w:val="00B76CC4"/>
    <w:rsid w:val="00B76EFF"/>
    <w:rsid w:val="00B77665"/>
    <w:rsid w:val="00B7775D"/>
    <w:rsid w:val="00B7783B"/>
    <w:rsid w:val="00B77AB5"/>
    <w:rsid w:val="00B801A9"/>
    <w:rsid w:val="00B80322"/>
    <w:rsid w:val="00B803C6"/>
    <w:rsid w:val="00B80628"/>
    <w:rsid w:val="00B80781"/>
    <w:rsid w:val="00B808A5"/>
    <w:rsid w:val="00B808EF"/>
    <w:rsid w:val="00B80A70"/>
    <w:rsid w:val="00B80B8A"/>
    <w:rsid w:val="00B80E8A"/>
    <w:rsid w:val="00B81835"/>
    <w:rsid w:val="00B818B1"/>
    <w:rsid w:val="00B8190D"/>
    <w:rsid w:val="00B81CA1"/>
    <w:rsid w:val="00B8206A"/>
    <w:rsid w:val="00B8220A"/>
    <w:rsid w:val="00B82858"/>
    <w:rsid w:val="00B82E36"/>
    <w:rsid w:val="00B82F74"/>
    <w:rsid w:val="00B8335C"/>
    <w:rsid w:val="00B83409"/>
    <w:rsid w:val="00B83681"/>
    <w:rsid w:val="00B836BA"/>
    <w:rsid w:val="00B83AFC"/>
    <w:rsid w:val="00B83C89"/>
    <w:rsid w:val="00B83FCB"/>
    <w:rsid w:val="00B840DF"/>
    <w:rsid w:val="00B8414C"/>
    <w:rsid w:val="00B84176"/>
    <w:rsid w:val="00B843BE"/>
    <w:rsid w:val="00B844F6"/>
    <w:rsid w:val="00B84567"/>
    <w:rsid w:val="00B846C0"/>
    <w:rsid w:val="00B84A6E"/>
    <w:rsid w:val="00B84C0F"/>
    <w:rsid w:val="00B84EA6"/>
    <w:rsid w:val="00B84FE4"/>
    <w:rsid w:val="00B8511F"/>
    <w:rsid w:val="00B85231"/>
    <w:rsid w:val="00B855EC"/>
    <w:rsid w:val="00B85713"/>
    <w:rsid w:val="00B85728"/>
    <w:rsid w:val="00B85971"/>
    <w:rsid w:val="00B85A43"/>
    <w:rsid w:val="00B85AAD"/>
    <w:rsid w:val="00B85AE8"/>
    <w:rsid w:val="00B85C14"/>
    <w:rsid w:val="00B85E3A"/>
    <w:rsid w:val="00B85F97"/>
    <w:rsid w:val="00B861A1"/>
    <w:rsid w:val="00B863DB"/>
    <w:rsid w:val="00B86AB7"/>
    <w:rsid w:val="00B86BFF"/>
    <w:rsid w:val="00B86DA8"/>
    <w:rsid w:val="00B86E1C"/>
    <w:rsid w:val="00B8719B"/>
    <w:rsid w:val="00B873BF"/>
    <w:rsid w:val="00B87427"/>
    <w:rsid w:val="00B87654"/>
    <w:rsid w:val="00B876E5"/>
    <w:rsid w:val="00B876FA"/>
    <w:rsid w:val="00B877B8"/>
    <w:rsid w:val="00B87B9B"/>
    <w:rsid w:val="00B87E14"/>
    <w:rsid w:val="00B87F8A"/>
    <w:rsid w:val="00B87FF1"/>
    <w:rsid w:val="00B87FF8"/>
    <w:rsid w:val="00B90185"/>
    <w:rsid w:val="00B9020C"/>
    <w:rsid w:val="00B9083F"/>
    <w:rsid w:val="00B90FD2"/>
    <w:rsid w:val="00B90FDC"/>
    <w:rsid w:val="00B91286"/>
    <w:rsid w:val="00B91384"/>
    <w:rsid w:val="00B91416"/>
    <w:rsid w:val="00B914C6"/>
    <w:rsid w:val="00B915D2"/>
    <w:rsid w:val="00B9161F"/>
    <w:rsid w:val="00B916BD"/>
    <w:rsid w:val="00B9195F"/>
    <w:rsid w:val="00B91AA3"/>
    <w:rsid w:val="00B91B29"/>
    <w:rsid w:val="00B91CDA"/>
    <w:rsid w:val="00B92193"/>
    <w:rsid w:val="00B924C1"/>
    <w:rsid w:val="00B9273D"/>
    <w:rsid w:val="00B92816"/>
    <w:rsid w:val="00B929A0"/>
    <w:rsid w:val="00B92C4E"/>
    <w:rsid w:val="00B92D35"/>
    <w:rsid w:val="00B92D4E"/>
    <w:rsid w:val="00B93007"/>
    <w:rsid w:val="00B930CC"/>
    <w:rsid w:val="00B93115"/>
    <w:rsid w:val="00B933E6"/>
    <w:rsid w:val="00B9352D"/>
    <w:rsid w:val="00B936C3"/>
    <w:rsid w:val="00B9389E"/>
    <w:rsid w:val="00B9390D"/>
    <w:rsid w:val="00B9397D"/>
    <w:rsid w:val="00B939E4"/>
    <w:rsid w:val="00B939F3"/>
    <w:rsid w:val="00B93BD5"/>
    <w:rsid w:val="00B93CA4"/>
    <w:rsid w:val="00B941A8"/>
    <w:rsid w:val="00B94302"/>
    <w:rsid w:val="00B94A51"/>
    <w:rsid w:val="00B94E9A"/>
    <w:rsid w:val="00B94E9B"/>
    <w:rsid w:val="00B94EB3"/>
    <w:rsid w:val="00B95086"/>
    <w:rsid w:val="00B954D2"/>
    <w:rsid w:val="00B954F9"/>
    <w:rsid w:val="00B955A5"/>
    <w:rsid w:val="00B955E6"/>
    <w:rsid w:val="00B956E0"/>
    <w:rsid w:val="00B95716"/>
    <w:rsid w:val="00B957C1"/>
    <w:rsid w:val="00B959D1"/>
    <w:rsid w:val="00B95A09"/>
    <w:rsid w:val="00B95AA5"/>
    <w:rsid w:val="00B95C48"/>
    <w:rsid w:val="00B95CEA"/>
    <w:rsid w:val="00B95E6D"/>
    <w:rsid w:val="00B96302"/>
    <w:rsid w:val="00B963AE"/>
    <w:rsid w:val="00B9641D"/>
    <w:rsid w:val="00B964B0"/>
    <w:rsid w:val="00B96958"/>
    <w:rsid w:val="00B96965"/>
    <w:rsid w:val="00B96A23"/>
    <w:rsid w:val="00B96CFB"/>
    <w:rsid w:val="00B96FEF"/>
    <w:rsid w:val="00B97406"/>
    <w:rsid w:val="00B976A3"/>
    <w:rsid w:val="00B97953"/>
    <w:rsid w:val="00B97A17"/>
    <w:rsid w:val="00B97B2F"/>
    <w:rsid w:val="00B97DF3"/>
    <w:rsid w:val="00B97E96"/>
    <w:rsid w:val="00BA0004"/>
    <w:rsid w:val="00BA0155"/>
    <w:rsid w:val="00BA0197"/>
    <w:rsid w:val="00BA0324"/>
    <w:rsid w:val="00BA06FC"/>
    <w:rsid w:val="00BA0B53"/>
    <w:rsid w:val="00BA0EAA"/>
    <w:rsid w:val="00BA1221"/>
    <w:rsid w:val="00BA14A3"/>
    <w:rsid w:val="00BA17BE"/>
    <w:rsid w:val="00BA1932"/>
    <w:rsid w:val="00BA1AFE"/>
    <w:rsid w:val="00BA1B66"/>
    <w:rsid w:val="00BA1BF7"/>
    <w:rsid w:val="00BA1C19"/>
    <w:rsid w:val="00BA2031"/>
    <w:rsid w:val="00BA229B"/>
    <w:rsid w:val="00BA2541"/>
    <w:rsid w:val="00BA2804"/>
    <w:rsid w:val="00BA2BD4"/>
    <w:rsid w:val="00BA2D61"/>
    <w:rsid w:val="00BA3095"/>
    <w:rsid w:val="00BA30A6"/>
    <w:rsid w:val="00BA30D8"/>
    <w:rsid w:val="00BA31D1"/>
    <w:rsid w:val="00BA3355"/>
    <w:rsid w:val="00BA3441"/>
    <w:rsid w:val="00BA363D"/>
    <w:rsid w:val="00BA3AD4"/>
    <w:rsid w:val="00BA3F15"/>
    <w:rsid w:val="00BA3F22"/>
    <w:rsid w:val="00BA4240"/>
    <w:rsid w:val="00BA427D"/>
    <w:rsid w:val="00BA433E"/>
    <w:rsid w:val="00BA47BA"/>
    <w:rsid w:val="00BA47FE"/>
    <w:rsid w:val="00BA4C25"/>
    <w:rsid w:val="00BA4C77"/>
    <w:rsid w:val="00BA4EE7"/>
    <w:rsid w:val="00BA50E8"/>
    <w:rsid w:val="00BA5211"/>
    <w:rsid w:val="00BA5279"/>
    <w:rsid w:val="00BA54C7"/>
    <w:rsid w:val="00BA5689"/>
    <w:rsid w:val="00BA5A25"/>
    <w:rsid w:val="00BA5F04"/>
    <w:rsid w:val="00BA6378"/>
    <w:rsid w:val="00BA6711"/>
    <w:rsid w:val="00BA689E"/>
    <w:rsid w:val="00BA6C71"/>
    <w:rsid w:val="00BA6DE7"/>
    <w:rsid w:val="00BA7168"/>
    <w:rsid w:val="00BA71F3"/>
    <w:rsid w:val="00BA7273"/>
    <w:rsid w:val="00BA7395"/>
    <w:rsid w:val="00BA75A0"/>
    <w:rsid w:val="00BA7B67"/>
    <w:rsid w:val="00BA7E92"/>
    <w:rsid w:val="00BA7F4D"/>
    <w:rsid w:val="00BB0095"/>
    <w:rsid w:val="00BB00D3"/>
    <w:rsid w:val="00BB0635"/>
    <w:rsid w:val="00BB0677"/>
    <w:rsid w:val="00BB06DA"/>
    <w:rsid w:val="00BB0D65"/>
    <w:rsid w:val="00BB0FAD"/>
    <w:rsid w:val="00BB10D8"/>
    <w:rsid w:val="00BB152A"/>
    <w:rsid w:val="00BB176F"/>
    <w:rsid w:val="00BB18F2"/>
    <w:rsid w:val="00BB19AA"/>
    <w:rsid w:val="00BB1B94"/>
    <w:rsid w:val="00BB1E2E"/>
    <w:rsid w:val="00BB21FC"/>
    <w:rsid w:val="00BB2605"/>
    <w:rsid w:val="00BB2624"/>
    <w:rsid w:val="00BB26CF"/>
    <w:rsid w:val="00BB2810"/>
    <w:rsid w:val="00BB2BA8"/>
    <w:rsid w:val="00BB2EB4"/>
    <w:rsid w:val="00BB2F66"/>
    <w:rsid w:val="00BB30A1"/>
    <w:rsid w:val="00BB350E"/>
    <w:rsid w:val="00BB3611"/>
    <w:rsid w:val="00BB368B"/>
    <w:rsid w:val="00BB3837"/>
    <w:rsid w:val="00BB427E"/>
    <w:rsid w:val="00BB4532"/>
    <w:rsid w:val="00BB477E"/>
    <w:rsid w:val="00BB4FF4"/>
    <w:rsid w:val="00BB513D"/>
    <w:rsid w:val="00BB5255"/>
    <w:rsid w:val="00BB52DE"/>
    <w:rsid w:val="00BB5452"/>
    <w:rsid w:val="00BB55FA"/>
    <w:rsid w:val="00BB5606"/>
    <w:rsid w:val="00BB5BB5"/>
    <w:rsid w:val="00BB5C17"/>
    <w:rsid w:val="00BB5DCE"/>
    <w:rsid w:val="00BB602E"/>
    <w:rsid w:val="00BB6163"/>
    <w:rsid w:val="00BB6444"/>
    <w:rsid w:val="00BB6740"/>
    <w:rsid w:val="00BB69B9"/>
    <w:rsid w:val="00BB6E32"/>
    <w:rsid w:val="00BB6F49"/>
    <w:rsid w:val="00BB70A0"/>
    <w:rsid w:val="00BB7185"/>
    <w:rsid w:val="00BB750D"/>
    <w:rsid w:val="00BB75B6"/>
    <w:rsid w:val="00BB7A11"/>
    <w:rsid w:val="00BB7AB4"/>
    <w:rsid w:val="00BB7FCA"/>
    <w:rsid w:val="00BC0392"/>
    <w:rsid w:val="00BC04E8"/>
    <w:rsid w:val="00BC0563"/>
    <w:rsid w:val="00BC0622"/>
    <w:rsid w:val="00BC077B"/>
    <w:rsid w:val="00BC09D7"/>
    <w:rsid w:val="00BC0C4D"/>
    <w:rsid w:val="00BC0D17"/>
    <w:rsid w:val="00BC0F40"/>
    <w:rsid w:val="00BC13FC"/>
    <w:rsid w:val="00BC14A9"/>
    <w:rsid w:val="00BC17F5"/>
    <w:rsid w:val="00BC1B65"/>
    <w:rsid w:val="00BC1CBE"/>
    <w:rsid w:val="00BC221B"/>
    <w:rsid w:val="00BC261E"/>
    <w:rsid w:val="00BC2637"/>
    <w:rsid w:val="00BC287A"/>
    <w:rsid w:val="00BC2C41"/>
    <w:rsid w:val="00BC2E0D"/>
    <w:rsid w:val="00BC31F2"/>
    <w:rsid w:val="00BC327B"/>
    <w:rsid w:val="00BC3645"/>
    <w:rsid w:val="00BC3D70"/>
    <w:rsid w:val="00BC434C"/>
    <w:rsid w:val="00BC448F"/>
    <w:rsid w:val="00BC4721"/>
    <w:rsid w:val="00BC481C"/>
    <w:rsid w:val="00BC494D"/>
    <w:rsid w:val="00BC4999"/>
    <w:rsid w:val="00BC49F6"/>
    <w:rsid w:val="00BC4B27"/>
    <w:rsid w:val="00BC4C06"/>
    <w:rsid w:val="00BC4C26"/>
    <w:rsid w:val="00BC4C34"/>
    <w:rsid w:val="00BC512E"/>
    <w:rsid w:val="00BC557B"/>
    <w:rsid w:val="00BC56D2"/>
    <w:rsid w:val="00BC5924"/>
    <w:rsid w:val="00BC5971"/>
    <w:rsid w:val="00BC5A65"/>
    <w:rsid w:val="00BC5B71"/>
    <w:rsid w:val="00BC5B88"/>
    <w:rsid w:val="00BC5D57"/>
    <w:rsid w:val="00BC6078"/>
    <w:rsid w:val="00BC61ED"/>
    <w:rsid w:val="00BC61FC"/>
    <w:rsid w:val="00BC6481"/>
    <w:rsid w:val="00BC6772"/>
    <w:rsid w:val="00BC6886"/>
    <w:rsid w:val="00BC6B92"/>
    <w:rsid w:val="00BC6BC1"/>
    <w:rsid w:val="00BC6FC8"/>
    <w:rsid w:val="00BC714D"/>
    <w:rsid w:val="00BC7262"/>
    <w:rsid w:val="00BC75BD"/>
    <w:rsid w:val="00BC7767"/>
    <w:rsid w:val="00BC7945"/>
    <w:rsid w:val="00BC7AF8"/>
    <w:rsid w:val="00BC7B05"/>
    <w:rsid w:val="00BC7E15"/>
    <w:rsid w:val="00BC7F54"/>
    <w:rsid w:val="00BD0050"/>
    <w:rsid w:val="00BD00C2"/>
    <w:rsid w:val="00BD01F1"/>
    <w:rsid w:val="00BD0487"/>
    <w:rsid w:val="00BD052C"/>
    <w:rsid w:val="00BD056B"/>
    <w:rsid w:val="00BD064A"/>
    <w:rsid w:val="00BD065A"/>
    <w:rsid w:val="00BD0BE9"/>
    <w:rsid w:val="00BD0F35"/>
    <w:rsid w:val="00BD0F6A"/>
    <w:rsid w:val="00BD10D3"/>
    <w:rsid w:val="00BD110D"/>
    <w:rsid w:val="00BD14DD"/>
    <w:rsid w:val="00BD18B7"/>
    <w:rsid w:val="00BD199C"/>
    <w:rsid w:val="00BD1B6A"/>
    <w:rsid w:val="00BD22DE"/>
    <w:rsid w:val="00BD24D7"/>
    <w:rsid w:val="00BD24E9"/>
    <w:rsid w:val="00BD2AF1"/>
    <w:rsid w:val="00BD2B79"/>
    <w:rsid w:val="00BD2C23"/>
    <w:rsid w:val="00BD2EBF"/>
    <w:rsid w:val="00BD30B7"/>
    <w:rsid w:val="00BD3906"/>
    <w:rsid w:val="00BD39A6"/>
    <w:rsid w:val="00BD45D6"/>
    <w:rsid w:val="00BD46AA"/>
    <w:rsid w:val="00BD489B"/>
    <w:rsid w:val="00BD4958"/>
    <w:rsid w:val="00BD49E4"/>
    <w:rsid w:val="00BD4CFC"/>
    <w:rsid w:val="00BD4DF9"/>
    <w:rsid w:val="00BD4F85"/>
    <w:rsid w:val="00BD500C"/>
    <w:rsid w:val="00BD51E5"/>
    <w:rsid w:val="00BD525C"/>
    <w:rsid w:val="00BD54D4"/>
    <w:rsid w:val="00BD557B"/>
    <w:rsid w:val="00BD59CF"/>
    <w:rsid w:val="00BD5B35"/>
    <w:rsid w:val="00BD5B3F"/>
    <w:rsid w:val="00BD5F68"/>
    <w:rsid w:val="00BD6200"/>
    <w:rsid w:val="00BD669A"/>
    <w:rsid w:val="00BD6B4F"/>
    <w:rsid w:val="00BD6BEC"/>
    <w:rsid w:val="00BD70EB"/>
    <w:rsid w:val="00BD7397"/>
    <w:rsid w:val="00BD75A6"/>
    <w:rsid w:val="00BD7642"/>
    <w:rsid w:val="00BD78F3"/>
    <w:rsid w:val="00BD7B20"/>
    <w:rsid w:val="00BD7D5F"/>
    <w:rsid w:val="00BD7E7B"/>
    <w:rsid w:val="00BE01AC"/>
    <w:rsid w:val="00BE0729"/>
    <w:rsid w:val="00BE0943"/>
    <w:rsid w:val="00BE0983"/>
    <w:rsid w:val="00BE0A5B"/>
    <w:rsid w:val="00BE0A88"/>
    <w:rsid w:val="00BE0D56"/>
    <w:rsid w:val="00BE1330"/>
    <w:rsid w:val="00BE181C"/>
    <w:rsid w:val="00BE1822"/>
    <w:rsid w:val="00BE18C4"/>
    <w:rsid w:val="00BE191C"/>
    <w:rsid w:val="00BE194A"/>
    <w:rsid w:val="00BE19A2"/>
    <w:rsid w:val="00BE1A50"/>
    <w:rsid w:val="00BE1B1D"/>
    <w:rsid w:val="00BE1B61"/>
    <w:rsid w:val="00BE1C66"/>
    <w:rsid w:val="00BE1F7F"/>
    <w:rsid w:val="00BE20C3"/>
    <w:rsid w:val="00BE20EC"/>
    <w:rsid w:val="00BE2439"/>
    <w:rsid w:val="00BE24D0"/>
    <w:rsid w:val="00BE260D"/>
    <w:rsid w:val="00BE2624"/>
    <w:rsid w:val="00BE26EC"/>
    <w:rsid w:val="00BE271C"/>
    <w:rsid w:val="00BE2A58"/>
    <w:rsid w:val="00BE2B92"/>
    <w:rsid w:val="00BE2DD9"/>
    <w:rsid w:val="00BE2F8D"/>
    <w:rsid w:val="00BE31EB"/>
    <w:rsid w:val="00BE3BD6"/>
    <w:rsid w:val="00BE3C50"/>
    <w:rsid w:val="00BE4084"/>
    <w:rsid w:val="00BE4337"/>
    <w:rsid w:val="00BE4571"/>
    <w:rsid w:val="00BE47BA"/>
    <w:rsid w:val="00BE4AA1"/>
    <w:rsid w:val="00BE4B8F"/>
    <w:rsid w:val="00BE4D75"/>
    <w:rsid w:val="00BE4DBA"/>
    <w:rsid w:val="00BE4DD0"/>
    <w:rsid w:val="00BE4FFF"/>
    <w:rsid w:val="00BE5723"/>
    <w:rsid w:val="00BE5890"/>
    <w:rsid w:val="00BE5917"/>
    <w:rsid w:val="00BE5984"/>
    <w:rsid w:val="00BE5BF4"/>
    <w:rsid w:val="00BE5D9B"/>
    <w:rsid w:val="00BE5E43"/>
    <w:rsid w:val="00BE5E7D"/>
    <w:rsid w:val="00BE643C"/>
    <w:rsid w:val="00BE64A0"/>
    <w:rsid w:val="00BE64EC"/>
    <w:rsid w:val="00BE6566"/>
    <w:rsid w:val="00BE67FD"/>
    <w:rsid w:val="00BE689E"/>
    <w:rsid w:val="00BE6953"/>
    <w:rsid w:val="00BE6AF3"/>
    <w:rsid w:val="00BE6CA5"/>
    <w:rsid w:val="00BE6CB7"/>
    <w:rsid w:val="00BE72E0"/>
    <w:rsid w:val="00BE74BC"/>
    <w:rsid w:val="00BE75B8"/>
    <w:rsid w:val="00BE770B"/>
    <w:rsid w:val="00BE7E08"/>
    <w:rsid w:val="00BE7FE2"/>
    <w:rsid w:val="00BF0222"/>
    <w:rsid w:val="00BF0461"/>
    <w:rsid w:val="00BF0A7B"/>
    <w:rsid w:val="00BF0AB3"/>
    <w:rsid w:val="00BF0B5E"/>
    <w:rsid w:val="00BF0C3C"/>
    <w:rsid w:val="00BF0CEC"/>
    <w:rsid w:val="00BF1178"/>
    <w:rsid w:val="00BF158A"/>
    <w:rsid w:val="00BF1781"/>
    <w:rsid w:val="00BF18AD"/>
    <w:rsid w:val="00BF1AFB"/>
    <w:rsid w:val="00BF1BD8"/>
    <w:rsid w:val="00BF1C42"/>
    <w:rsid w:val="00BF1D3F"/>
    <w:rsid w:val="00BF1D63"/>
    <w:rsid w:val="00BF2178"/>
    <w:rsid w:val="00BF2428"/>
    <w:rsid w:val="00BF253B"/>
    <w:rsid w:val="00BF257B"/>
    <w:rsid w:val="00BF261B"/>
    <w:rsid w:val="00BF2685"/>
    <w:rsid w:val="00BF26AF"/>
    <w:rsid w:val="00BF27E9"/>
    <w:rsid w:val="00BF2855"/>
    <w:rsid w:val="00BF2A53"/>
    <w:rsid w:val="00BF2B8A"/>
    <w:rsid w:val="00BF2D56"/>
    <w:rsid w:val="00BF2D7A"/>
    <w:rsid w:val="00BF305E"/>
    <w:rsid w:val="00BF352D"/>
    <w:rsid w:val="00BF369A"/>
    <w:rsid w:val="00BF3AE8"/>
    <w:rsid w:val="00BF3B13"/>
    <w:rsid w:val="00BF3B84"/>
    <w:rsid w:val="00BF3C49"/>
    <w:rsid w:val="00BF3D7D"/>
    <w:rsid w:val="00BF4307"/>
    <w:rsid w:val="00BF43E8"/>
    <w:rsid w:val="00BF4402"/>
    <w:rsid w:val="00BF45FF"/>
    <w:rsid w:val="00BF4671"/>
    <w:rsid w:val="00BF496D"/>
    <w:rsid w:val="00BF4AAC"/>
    <w:rsid w:val="00BF4FA4"/>
    <w:rsid w:val="00BF51BC"/>
    <w:rsid w:val="00BF5578"/>
    <w:rsid w:val="00BF5617"/>
    <w:rsid w:val="00BF581B"/>
    <w:rsid w:val="00BF58D7"/>
    <w:rsid w:val="00BF59E3"/>
    <w:rsid w:val="00BF5C15"/>
    <w:rsid w:val="00BF6319"/>
    <w:rsid w:val="00BF6DA4"/>
    <w:rsid w:val="00BF6DD2"/>
    <w:rsid w:val="00BF6EB8"/>
    <w:rsid w:val="00BF7033"/>
    <w:rsid w:val="00BF738A"/>
    <w:rsid w:val="00BF73E8"/>
    <w:rsid w:val="00BF770B"/>
    <w:rsid w:val="00BF7711"/>
    <w:rsid w:val="00BF7779"/>
    <w:rsid w:val="00BF7F3B"/>
    <w:rsid w:val="00C000E1"/>
    <w:rsid w:val="00C00268"/>
    <w:rsid w:val="00C00369"/>
    <w:rsid w:val="00C0071C"/>
    <w:rsid w:val="00C0083D"/>
    <w:rsid w:val="00C00886"/>
    <w:rsid w:val="00C00D58"/>
    <w:rsid w:val="00C011C9"/>
    <w:rsid w:val="00C012F5"/>
    <w:rsid w:val="00C01506"/>
    <w:rsid w:val="00C01628"/>
    <w:rsid w:val="00C01819"/>
    <w:rsid w:val="00C0187D"/>
    <w:rsid w:val="00C0193C"/>
    <w:rsid w:val="00C01A09"/>
    <w:rsid w:val="00C01D2E"/>
    <w:rsid w:val="00C02519"/>
    <w:rsid w:val="00C0271F"/>
    <w:rsid w:val="00C02888"/>
    <w:rsid w:val="00C02A7E"/>
    <w:rsid w:val="00C02A99"/>
    <w:rsid w:val="00C02DF8"/>
    <w:rsid w:val="00C02E5C"/>
    <w:rsid w:val="00C03383"/>
    <w:rsid w:val="00C03453"/>
    <w:rsid w:val="00C03A0A"/>
    <w:rsid w:val="00C03ABC"/>
    <w:rsid w:val="00C03DFB"/>
    <w:rsid w:val="00C03F53"/>
    <w:rsid w:val="00C04266"/>
    <w:rsid w:val="00C04DBF"/>
    <w:rsid w:val="00C04E79"/>
    <w:rsid w:val="00C050CD"/>
    <w:rsid w:val="00C058F1"/>
    <w:rsid w:val="00C05BFF"/>
    <w:rsid w:val="00C05CCB"/>
    <w:rsid w:val="00C064EA"/>
    <w:rsid w:val="00C065E8"/>
    <w:rsid w:val="00C06621"/>
    <w:rsid w:val="00C06937"/>
    <w:rsid w:val="00C0694D"/>
    <w:rsid w:val="00C069DA"/>
    <w:rsid w:val="00C06A3E"/>
    <w:rsid w:val="00C06F6F"/>
    <w:rsid w:val="00C07199"/>
    <w:rsid w:val="00C0743C"/>
    <w:rsid w:val="00C0751C"/>
    <w:rsid w:val="00C0753F"/>
    <w:rsid w:val="00C0798A"/>
    <w:rsid w:val="00C07AB7"/>
    <w:rsid w:val="00C07D72"/>
    <w:rsid w:val="00C07DBA"/>
    <w:rsid w:val="00C07FAF"/>
    <w:rsid w:val="00C101EE"/>
    <w:rsid w:val="00C10AB4"/>
    <w:rsid w:val="00C10BCA"/>
    <w:rsid w:val="00C10C88"/>
    <w:rsid w:val="00C10CEB"/>
    <w:rsid w:val="00C10E61"/>
    <w:rsid w:val="00C11011"/>
    <w:rsid w:val="00C1145F"/>
    <w:rsid w:val="00C11472"/>
    <w:rsid w:val="00C114A5"/>
    <w:rsid w:val="00C11763"/>
    <w:rsid w:val="00C11B0A"/>
    <w:rsid w:val="00C11ED3"/>
    <w:rsid w:val="00C12378"/>
    <w:rsid w:val="00C12617"/>
    <w:rsid w:val="00C129CB"/>
    <w:rsid w:val="00C12C43"/>
    <w:rsid w:val="00C130CA"/>
    <w:rsid w:val="00C13174"/>
    <w:rsid w:val="00C131BB"/>
    <w:rsid w:val="00C132F5"/>
    <w:rsid w:val="00C133FA"/>
    <w:rsid w:val="00C1395A"/>
    <w:rsid w:val="00C13A36"/>
    <w:rsid w:val="00C13B13"/>
    <w:rsid w:val="00C13C75"/>
    <w:rsid w:val="00C140A0"/>
    <w:rsid w:val="00C14115"/>
    <w:rsid w:val="00C142E8"/>
    <w:rsid w:val="00C1449A"/>
    <w:rsid w:val="00C14620"/>
    <w:rsid w:val="00C1488F"/>
    <w:rsid w:val="00C14B38"/>
    <w:rsid w:val="00C14C62"/>
    <w:rsid w:val="00C14CD7"/>
    <w:rsid w:val="00C14D5A"/>
    <w:rsid w:val="00C14D5F"/>
    <w:rsid w:val="00C15021"/>
    <w:rsid w:val="00C15154"/>
    <w:rsid w:val="00C153A7"/>
    <w:rsid w:val="00C157FC"/>
    <w:rsid w:val="00C15C4B"/>
    <w:rsid w:val="00C15D5E"/>
    <w:rsid w:val="00C15EA7"/>
    <w:rsid w:val="00C15F0F"/>
    <w:rsid w:val="00C16412"/>
    <w:rsid w:val="00C16A41"/>
    <w:rsid w:val="00C16BA1"/>
    <w:rsid w:val="00C17349"/>
    <w:rsid w:val="00C17373"/>
    <w:rsid w:val="00C17603"/>
    <w:rsid w:val="00C17C4D"/>
    <w:rsid w:val="00C17C50"/>
    <w:rsid w:val="00C17C93"/>
    <w:rsid w:val="00C17E01"/>
    <w:rsid w:val="00C17E9E"/>
    <w:rsid w:val="00C17FFD"/>
    <w:rsid w:val="00C20306"/>
    <w:rsid w:val="00C2081D"/>
    <w:rsid w:val="00C20A9D"/>
    <w:rsid w:val="00C20AB1"/>
    <w:rsid w:val="00C20CAD"/>
    <w:rsid w:val="00C20D04"/>
    <w:rsid w:val="00C212CD"/>
    <w:rsid w:val="00C21317"/>
    <w:rsid w:val="00C21586"/>
    <w:rsid w:val="00C21768"/>
    <w:rsid w:val="00C21CB4"/>
    <w:rsid w:val="00C21CD4"/>
    <w:rsid w:val="00C21DC2"/>
    <w:rsid w:val="00C2229A"/>
    <w:rsid w:val="00C2229F"/>
    <w:rsid w:val="00C22766"/>
    <w:rsid w:val="00C228DF"/>
    <w:rsid w:val="00C22A03"/>
    <w:rsid w:val="00C22C60"/>
    <w:rsid w:val="00C22CFD"/>
    <w:rsid w:val="00C23067"/>
    <w:rsid w:val="00C2306B"/>
    <w:rsid w:val="00C2324F"/>
    <w:rsid w:val="00C235F2"/>
    <w:rsid w:val="00C23ED6"/>
    <w:rsid w:val="00C23F38"/>
    <w:rsid w:val="00C23FBF"/>
    <w:rsid w:val="00C24159"/>
    <w:rsid w:val="00C24177"/>
    <w:rsid w:val="00C24C93"/>
    <w:rsid w:val="00C24E6A"/>
    <w:rsid w:val="00C25036"/>
    <w:rsid w:val="00C2505A"/>
    <w:rsid w:val="00C251E9"/>
    <w:rsid w:val="00C25245"/>
    <w:rsid w:val="00C25282"/>
    <w:rsid w:val="00C25294"/>
    <w:rsid w:val="00C254ED"/>
    <w:rsid w:val="00C25583"/>
    <w:rsid w:val="00C258F4"/>
    <w:rsid w:val="00C25ACB"/>
    <w:rsid w:val="00C25ACD"/>
    <w:rsid w:val="00C25B2A"/>
    <w:rsid w:val="00C25C59"/>
    <w:rsid w:val="00C25ED6"/>
    <w:rsid w:val="00C25F8F"/>
    <w:rsid w:val="00C264CE"/>
    <w:rsid w:val="00C26E22"/>
    <w:rsid w:val="00C26E34"/>
    <w:rsid w:val="00C26EA0"/>
    <w:rsid w:val="00C26EDA"/>
    <w:rsid w:val="00C27216"/>
    <w:rsid w:val="00C275E0"/>
    <w:rsid w:val="00C2777C"/>
    <w:rsid w:val="00C2778F"/>
    <w:rsid w:val="00C27D1E"/>
    <w:rsid w:val="00C27DCC"/>
    <w:rsid w:val="00C27F5E"/>
    <w:rsid w:val="00C3004D"/>
    <w:rsid w:val="00C300A0"/>
    <w:rsid w:val="00C30263"/>
    <w:rsid w:val="00C3040B"/>
    <w:rsid w:val="00C305B7"/>
    <w:rsid w:val="00C30629"/>
    <w:rsid w:val="00C3072A"/>
    <w:rsid w:val="00C30CC0"/>
    <w:rsid w:val="00C30FFD"/>
    <w:rsid w:val="00C31004"/>
    <w:rsid w:val="00C31053"/>
    <w:rsid w:val="00C310CD"/>
    <w:rsid w:val="00C31259"/>
    <w:rsid w:val="00C312E0"/>
    <w:rsid w:val="00C317B0"/>
    <w:rsid w:val="00C318A8"/>
    <w:rsid w:val="00C3196E"/>
    <w:rsid w:val="00C31ABE"/>
    <w:rsid w:val="00C31AD8"/>
    <w:rsid w:val="00C31E99"/>
    <w:rsid w:val="00C31F85"/>
    <w:rsid w:val="00C320EA"/>
    <w:rsid w:val="00C32128"/>
    <w:rsid w:val="00C3224A"/>
    <w:rsid w:val="00C3252E"/>
    <w:rsid w:val="00C32841"/>
    <w:rsid w:val="00C32C89"/>
    <w:rsid w:val="00C32E92"/>
    <w:rsid w:val="00C33179"/>
    <w:rsid w:val="00C331DA"/>
    <w:rsid w:val="00C33259"/>
    <w:rsid w:val="00C3338E"/>
    <w:rsid w:val="00C33568"/>
    <w:rsid w:val="00C33AA9"/>
    <w:rsid w:val="00C33C86"/>
    <w:rsid w:val="00C3414D"/>
    <w:rsid w:val="00C341A3"/>
    <w:rsid w:val="00C34356"/>
    <w:rsid w:val="00C34AF3"/>
    <w:rsid w:val="00C34BE2"/>
    <w:rsid w:val="00C34C18"/>
    <w:rsid w:val="00C34D47"/>
    <w:rsid w:val="00C34E78"/>
    <w:rsid w:val="00C351A6"/>
    <w:rsid w:val="00C351F2"/>
    <w:rsid w:val="00C354C2"/>
    <w:rsid w:val="00C35903"/>
    <w:rsid w:val="00C35A93"/>
    <w:rsid w:val="00C35EFD"/>
    <w:rsid w:val="00C35F29"/>
    <w:rsid w:val="00C35FA6"/>
    <w:rsid w:val="00C3630A"/>
    <w:rsid w:val="00C36692"/>
    <w:rsid w:val="00C3693B"/>
    <w:rsid w:val="00C36968"/>
    <w:rsid w:val="00C36CCD"/>
    <w:rsid w:val="00C36D33"/>
    <w:rsid w:val="00C37615"/>
    <w:rsid w:val="00C37691"/>
    <w:rsid w:val="00C37717"/>
    <w:rsid w:val="00C37743"/>
    <w:rsid w:val="00C37A83"/>
    <w:rsid w:val="00C37E69"/>
    <w:rsid w:val="00C4019D"/>
    <w:rsid w:val="00C40350"/>
    <w:rsid w:val="00C405AC"/>
    <w:rsid w:val="00C406EE"/>
    <w:rsid w:val="00C40774"/>
    <w:rsid w:val="00C40A8C"/>
    <w:rsid w:val="00C40AA0"/>
    <w:rsid w:val="00C40B75"/>
    <w:rsid w:val="00C40F30"/>
    <w:rsid w:val="00C411D0"/>
    <w:rsid w:val="00C41218"/>
    <w:rsid w:val="00C4136B"/>
    <w:rsid w:val="00C418FA"/>
    <w:rsid w:val="00C41A92"/>
    <w:rsid w:val="00C41C43"/>
    <w:rsid w:val="00C41E08"/>
    <w:rsid w:val="00C421E4"/>
    <w:rsid w:val="00C42297"/>
    <w:rsid w:val="00C4230C"/>
    <w:rsid w:val="00C4274C"/>
    <w:rsid w:val="00C4287F"/>
    <w:rsid w:val="00C428A5"/>
    <w:rsid w:val="00C42ABD"/>
    <w:rsid w:val="00C42D42"/>
    <w:rsid w:val="00C43255"/>
    <w:rsid w:val="00C4336C"/>
    <w:rsid w:val="00C4340D"/>
    <w:rsid w:val="00C43491"/>
    <w:rsid w:val="00C434D1"/>
    <w:rsid w:val="00C43656"/>
    <w:rsid w:val="00C43C5D"/>
    <w:rsid w:val="00C43C90"/>
    <w:rsid w:val="00C43CBC"/>
    <w:rsid w:val="00C43E33"/>
    <w:rsid w:val="00C43E68"/>
    <w:rsid w:val="00C44061"/>
    <w:rsid w:val="00C44092"/>
    <w:rsid w:val="00C445EF"/>
    <w:rsid w:val="00C44A23"/>
    <w:rsid w:val="00C44A73"/>
    <w:rsid w:val="00C44BC5"/>
    <w:rsid w:val="00C44D1F"/>
    <w:rsid w:val="00C44F31"/>
    <w:rsid w:val="00C45090"/>
    <w:rsid w:val="00C452E4"/>
    <w:rsid w:val="00C4551F"/>
    <w:rsid w:val="00C4562C"/>
    <w:rsid w:val="00C4572B"/>
    <w:rsid w:val="00C45814"/>
    <w:rsid w:val="00C45AD2"/>
    <w:rsid w:val="00C45C4D"/>
    <w:rsid w:val="00C46022"/>
    <w:rsid w:val="00C461AA"/>
    <w:rsid w:val="00C461B2"/>
    <w:rsid w:val="00C461B9"/>
    <w:rsid w:val="00C46265"/>
    <w:rsid w:val="00C46282"/>
    <w:rsid w:val="00C462FC"/>
    <w:rsid w:val="00C466F2"/>
    <w:rsid w:val="00C467CF"/>
    <w:rsid w:val="00C46964"/>
    <w:rsid w:val="00C46BB6"/>
    <w:rsid w:val="00C46E02"/>
    <w:rsid w:val="00C46E06"/>
    <w:rsid w:val="00C47093"/>
    <w:rsid w:val="00C471CB"/>
    <w:rsid w:val="00C471DA"/>
    <w:rsid w:val="00C4740A"/>
    <w:rsid w:val="00C4749B"/>
    <w:rsid w:val="00C47664"/>
    <w:rsid w:val="00C47918"/>
    <w:rsid w:val="00C47E68"/>
    <w:rsid w:val="00C500C1"/>
    <w:rsid w:val="00C50140"/>
    <w:rsid w:val="00C502D6"/>
    <w:rsid w:val="00C50788"/>
    <w:rsid w:val="00C507EF"/>
    <w:rsid w:val="00C50B86"/>
    <w:rsid w:val="00C50B93"/>
    <w:rsid w:val="00C50C5A"/>
    <w:rsid w:val="00C50D25"/>
    <w:rsid w:val="00C50DEA"/>
    <w:rsid w:val="00C50F86"/>
    <w:rsid w:val="00C51062"/>
    <w:rsid w:val="00C510E5"/>
    <w:rsid w:val="00C5116F"/>
    <w:rsid w:val="00C51729"/>
    <w:rsid w:val="00C51EE1"/>
    <w:rsid w:val="00C52285"/>
    <w:rsid w:val="00C52376"/>
    <w:rsid w:val="00C524E8"/>
    <w:rsid w:val="00C52B34"/>
    <w:rsid w:val="00C52B99"/>
    <w:rsid w:val="00C52C7D"/>
    <w:rsid w:val="00C52F21"/>
    <w:rsid w:val="00C52F61"/>
    <w:rsid w:val="00C531BF"/>
    <w:rsid w:val="00C53526"/>
    <w:rsid w:val="00C53647"/>
    <w:rsid w:val="00C53883"/>
    <w:rsid w:val="00C538AE"/>
    <w:rsid w:val="00C53DC1"/>
    <w:rsid w:val="00C53F6F"/>
    <w:rsid w:val="00C543B3"/>
    <w:rsid w:val="00C5463B"/>
    <w:rsid w:val="00C546B5"/>
    <w:rsid w:val="00C54939"/>
    <w:rsid w:val="00C54DB3"/>
    <w:rsid w:val="00C54EA9"/>
    <w:rsid w:val="00C5522C"/>
    <w:rsid w:val="00C555BE"/>
    <w:rsid w:val="00C555CC"/>
    <w:rsid w:val="00C559AA"/>
    <w:rsid w:val="00C55BD6"/>
    <w:rsid w:val="00C55BE0"/>
    <w:rsid w:val="00C56099"/>
    <w:rsid w:val="00C56237"/>
    <w:rsid w:val="00C569B9"/>
    <w:rsid w:val="00C56AB2"/>
    <w:rsid w:val="00C56BB2"/>
    <w:rsid w:val="00C56FAC"/>
    <w:rsid w:val="00C56FCD"/>
    <w:rsid w:val="00C56FD7"/>
    <w:rsid w:val="00C57088"/>
    <w:rsid w:val="00C575E3"/>
    <w:rsid w:val="00C57648"/>
    <w:rsid w:val="00C576F2"/>
    <w:rsid w:val="00C5786B"/>
    <w:rsid w:val="00C57BD2"/>
    <w:rsid w:val="00C57FBD"/>
    <w:rsid w:val="00C57FEB"/>
    <w:rsid w:val="00C60013"/>
    <w:rsid w:val="00C60143"/>
    <w:rsid w:val="00C6062E"/>
    <w:rsid w:val="00C606A4"/>
    <w:rsid w:val="00C60AF7"/>
    <w:rsid w:val="00C61411"/>
    <w:rsid w:val="00C614D2"/>
    <w:rsid w:val="00C616CA"/>
    <w:rsid w:val="00C61B19"/>
    <w:rsid w:val="00C61E11"/>
    <w:rsid w:val="00C61E33"/>
    <w:rsid w:val="00C62022"/>
    <w:rsid w:val="00C62065"/>
    <w:rsid w:val="00C62085"/>
    <w:rsid w:val="00C621D8"/>
    <w:rsid w:val="00C62315"/>
    <w:rsid w:val="00C626D0"/>
    <w:rsid w:val="00C62D0E"/>
    <w:rsid w:val="00C62D58"/>
    <w:rsid w:val="00C62DA7"/>
    <w:rsid w:val="00C62E6A"/>
    <w:rsid w:val="00C63C64"/>
    <w:rsid w:val="00C63F17"/>
    <w:rsid w:val="00C641D8"/>
    <w:rsid w:val="00C64BA3"/>
    <w:rsid w:val="00C64D46"/>
    <w:rsid w:val="00C65039"/>
    <w:rsid w:val="00C65535"/>
    <w:rsid w:val="00C65550"/>
    <w:rsid w:val="00C6564A"/>
    <w:rsid w:val="00C65745"/>
    <w:rsid w:val="00C65756"/>
    <w:rsid w:val="00C65B1B"/>
    <w:rsid w:val="00C65DC2"/>
    <w:rsid w:val="00C66606"/>
    <w:rsid w:val="00C66A36"/>
    <w:rsid w:val="00C66B90"/>
    <w:rsid w:val="00C66C07"/>
    <w:rsid w:val="00C66FDF"/>
    <w:rsid w:val="00C67325"/>
    <w:rsid w:val="00C67AED"/>
    <w:rsid w:val="00C67C35"/>
    <w:rsid w:val="00C67EBD"/>
    <w:rsid w:val="00C700BD"/>
    <w:rsid w:val="00C70302"/>
    <w:rsid w:val="00C70400"/>
    <w:rsid w:val="00C707F2"/>
    <w:rsid w:val="00C70A7F"/>
    <w:rsid w:val="00C70BE3"/>
    <w:rsid w:val="00C71527"/>
    <w:rsid w:val="00C7156A"/>
    <w:rsid w:val="00C715BB"/>
    <w:rsid w:val="00C716EC"/>
    <w:rsid w:val="00C7186C"/>
    <w:rsid w:val="00C719C6"/>
    <w:rsid w:val="00C71A61"/>
    <w:rsid w:val="00C71C51"/>
    <w:rsid w:val="00C71D8B"/>
    <w:rsid w:val="00C71FCC"/>
    <w:rsid w:val="00C72606"/>
    <w:rsid w:val="00C72690"/>
    <w:rsid w:val="00C7273C"/>
    <w:rsid w:val="00C72C2A"/>
    <w:rsid w:val="00C72F9B"/>
    <w:rsid w:val="00C730AA"/>
    <w:rsid w:val="00C73152"/>
    <w:rsid w:val="00C732FF"/>
    <w:rsid w:val="00C733A6"/>
    <w:rsid w:val="00C73416"/>
    <w:rsid w:val="00C73417"/>
    <w:rsid w:val="00C73512"/>
    <w:rsid w:val="00C737B4"/>
    <w:rsid w:val="00C738BB"/>
    <w:rsid w:val="00C738E2"/>
    <w:rsid w:val="00C73A12"/>
    <w:rsid w:val="00C73BD0"/>
    <w:rsid w:val="00C73D3A"/>
    <w:rsid w:val="00C740D2"/>
    <w:rsid w:val="00C74380"/>
    <w:rsid w:val="00C74919"/>
    <w:rsid w:val="00C74CC7"/>
    <w:rsid w:val="00C74E79"/>
    <w:rsid w:val="00C75300"/>
    <w:rsid w:val="00C754C2"/>
    <w:rsid w:val="00C75745"/>
    <w:rsid w:val="00C75861"/>
    <w:rsid w:val="00C75AAD"/>
    <w:rsid w:val="00C75D5A"/>
    <w:rsid w:val="00C75E1E"/>
    <w:rsid w:val="00C760B1"/>
    <w:rsid w:val="00C761C8"/>
    <w:rsid w:val="00C764F9"/>
    <w:rsid w:val="00C7678F"/>
    <w:rsid w:val="00C7681D"/>
    <w:rsid w:val="00C76A13"/>
    <w:rsid w:val="00C76D77"/>
    <w:rsid w:val="00C7713A"/>
    <w:rsid w:val="00C77517"/>
    <w:rsid w:val="00C777DE"/>
    <w:rsid w:val="00C7781A"/>
    <w:rsid w:val="00C779AB"/>
    <w:rsid w:val="00C77E17"/>
    <w:rsid w:val="00C77F30"/>
    <w:rsid w:val="00C77F69"/>
    <w:rsid w:val="00C801ED"/>
    <w:rsid w:val="00C805E4"/>
    <w:rsid w:val="00C806B9"/>
    <w:rsid w:val="00C80AE0"/>
    <w:rsid w:val="00C80BA6"/>
    <w:rsid w:val="00C80D33"/>
    <w:rsid w:val="00C80EE5"/>
    <w:rsid w:val="00C813DD"/>
    <w:rsid w:val="00C81625"/>
    <w:rsid w:val="00C81656"/>
    <w:rsid w:val="00C816FC"/>
    <w:rsid w:val="00C819FA"/>
    <w:rsid w:val="00C81E8B"/>
    <w:rsid w:val="00C8225E"/>
    <w:rsid w:val="00C822A9"/>
    <w:rsid w:val="00C82760"/>
    <w:rsid w:val="00C82769"/>
    <w:rsid w:val="00C828F3"/>
    <w:rsid w:val="00C829FA"/>
    <w:rsid w:val="00C82B85"/>
    <w:rsid w:val="00C82D3C"/>
    <w:rsid w:val="00C82F97"/>
    <w:rsid w:val="00C8314A"/>
    <w:rsid w:val="00C831F3"/>
    <w:rsid w:val="00C8324D"/>
    <w:rsid w:val="00C83538"/>
    <w:rsid w:val="00C83800"/>
    <w:rsid w:val="00C8389D"/>
    <w:rsid w:val="00C838D1"/>
    <w:rsid w:val="00C839F4"/>
    <w:rsid w:val="00C83A6F"/>
    <w:rsid w:val="00C84783"/>
    <w:rsid w:val="00C84846"/>
    <w:rsid w:val="00C84855"/>
    <w:rsid w:val="00C84A0D"/>
    <w:rsid w:val="00C84EF5"/>
    <w:rsid w:val="00C85455"/>
    <w:rsid w:val="00C859F6"/>
    <w:rsid w:val="00C85BEB"/>
    <w:rsid w:val="00C85D4C"/>
    <w:rsid w:val="00C85D9A"/>
    <w:rsid w:val="00C85E42"/>
    <w:rsid w:val="00C862B0"/>
    <w:rsid w:val="00C86459"/>
    <w:rsid w:val="00C864E3"/>
    <w:rsid w:val="00C86613"/>
    <w:rsid w:val="00C867E3"/>
    <w:rsid w:val="00C86A46"/>
    <w:rsid w:val="00C876B4"/>
    <w:rsid w:val="00C879AD"/>
    <w:rsid w:val="00C879B5"/>
    <w:rsid w:val="00C87A94"/>
    <w:rsid w:val="00C87CBD"/>
    <w:rsid w:val="00C87CEB"/>
    <w:rsid w:val="00C87F57"/>
    <w:rsid w:val="00C87F63"/>
    <w:rsid w:val="00C901BB"/>
    <w:rsid w:val="00C902B0"/>
    <w:rsid w:val="00C9036A"/>
    <w:rsid w:val="00C9092A"/>
    <w:rsid w:val="00C90A68"/>
    <w:rsid w:val="00C90C87"/>
    <w:rsid w:val="00C90D53"/>
    <w:rsid w:val="00C90E86"/>
    <w:rsid w:val="00C9137D"/>
    <w:rsid w:val="00C913EB"/>
    <w:rsid w:val="00C916E5"/>
    <w:rsid w:val="00C917BF"/>
    <w:rsid w:val="00C9196F"/>
    <w:rsid w:val="00C919F9"/>
    <w:rsid w:val="00C91AF2"/>
    <w:rsid w:val="00C91B14"/>
    <w:rsid w:val="00C91B46"/>
    <w:rsid w:val="00C91C18"/>
    <w:rsid w:val="00C91EAE"/>
    <w:rsid w:val="00C91ED1"/>
    <w:rsid w:val="00C91F00"/>
    <w:rsid w:val="00C9212B"/>
    <w:rsid w:val="00C922FB"/>
    <w:rsid w:val="00C9256E"/>
    <w:rsid w:val="00C929D8"/>
    <w:rsid w:val="00C92A70"/>
    <w:rsid w:val="00C92B85"/>
    <w:rsid w:val="00C9369E"/>
    <w:rsid w:val="00C93801"/>
    <w:rsid w:val="00C93805"/>
    <w:rsid w:val="00C93C59"/>
    <w:rsid w:val="00C93E0E"/>
    <w:rsid w:val="00C940D0"/>
    <w:rsid w:val="00C94183"/>
    <w:rsid w:val="00C9428B"/>
    <w:rsid w:val="00C94C50"/>
    <w:rsid w:val="00C94E6D"/>
    <w:rsid w:val="00C95398"/>
    <w:rsid w:val="00C9553B"/>
    <w:rsid w:val="00C9571C"/>
    <w:rsid w:val="00C9582C"/>
    <w:rsid w:val="00C9595E"/>
    <w:rsid w:val="00C95A87"/>
    <w:rsid w:val="00C95BF7"/>
    <w:rsid w:val="00C95E08"/>
    <w:rsid w:val="00C95E0B"/>
    <w:rsid w:val="00C95FDC"/>
    <w:rsid w:val="00C9605F"/>
    <w:rsid w:val="00C964CA"/>
    <w:rsid w:val="00C96736"/>
    <w:rsid w:val="00C96B95"/>
    <w:rsid w:val="00C97107"/>
    <w:rsid w:val="00C97114"/>
    <w:rsid w:val="00C9712B"/>
    <w:rsid w:val="00C972C2"/>
    <w:rsid w:val="00C9733B"/>
    <w:rsid w:val="00C97531"/>
    <w:rsid w:val="00C975C3"/>
    <w:rsid w:val="00C97CE7"/>
    <w:rsid w:val="00CA0024"/>
    <w:rsid w:val="00CA0336"/>
    <w:rsid w:val="00CA053D"/>
    <w:rsid w:val="00CA05B1"/>
    <w:rsid w:val="00CA05C5"/>
    <w:rsid w:val="00CA0604"/>
    <w:rsid w:val="00CA0848"/>
    <w:rsid w:val="00CA09CD"/>
    <w:rsid w:val="00CA0BDD"/>
    <w:rsid w:val="00CA0E9A"/>
    <w:rsid w:val="00CA105D"/>
    <w:rsid w:val="00CA106A"/>
    <w:rsid w:val="00CA126D"/>
    <w:rsid w:val="00CA13D9"/>
    <w:rsid w:val="00CA15D7"/>
    <w:rsid w:val="00CA1956"/>
    <w:rsid w:val="00CA1BFC"/>
    <w:rsid w:val="00CA2028"/>
    <w:rsid w:val="00CA244D"/>
    <w:rsid w:val="00CA24E0"/>
    <w:rsid w:val="00CA2B82"/>
    <w:rsid w:val="00CA2BB4"/>
    <w:rsid w:val="00CA2FDF"/>
    <w:rsid w:val="00CA3373"/>
    <w:rsid w:val="00CA340F"/>
    <w:rsid w:val="00CA3822"/>
    <w:rsid w:val="00CA395E"/>
    <w:rsid w:val="00CA3AEA"/>
    <w:rsid w:val="00CA3CDC"/>
    <w:rsid w:val="00CA403E"/>
    <w:rsid w:val="00CA46FA"/>
    <w:rsid w:val="00CA477F"/>
    <w:rsid w:val="00CA491A"/>
    <w:rsid w:val="00CA4A78"/>
    <w:rsid w:val="00CA4E51"/>
    <w:rsid w:val="00CA4EA2"/>
    <w:rsid w:val="00CA503E"/>
    <w:rsid w:val="00CA52F2"/>
    <w:rsid w:val="00CA52FA"/>
    <w:rsid w:val="00CA5F0D"/>
    <w:rsid w:val="00CA61B7"/>
    <w:rsid w:val="00CA6299"/>
    <w:rsid w:val="00CA63E9"/>
    <w:rsid w:val="00CA6439"/>
    <w:rsid w:val="00CA66D8"/>
    <w:rsid w:val="00CA6959"/>
    <w:rsid w:val="00CA6AAB"/>
    <w:rsid w:val="00CA6B01"/>
    <w:rsid w:val="00CA6D07"/>
    <w:rsid w:val="00CA6D70"/>
    <w:rsid w:val="00CA6E41"/>
    <w:rsid w:val="00CA6F36"/>
    <w:rsid w:val="00CA7499"/>
    <w:rsid w:val="00CA7877"/>
    <w:rsid w:val="00CA7DC1"/>
    <w:rsid w:val="00CA7F39"/>
    <w:rsid w:val="00CB0116"/>
    <w:rsid w:val="00CB0151"/>
    <w:rsid w:val="00CB034B"/>
    <w:rsid w:val="00CB042A"/>
    <w:rsid w:val="00CB05D9"/>
    <w:rsid w:val="00CB0974"/>
    <w:rsid w:val="00CB0A0C"/>
    <w:rsid w:val="00CB0AC9"/>
    <w:rsid w:val="00CB0B56"/>
    <w:rsid w:val="00CB0BFE"/>
    <w:rsid w:val="00CB0DCA"/>
    <w:rsid w:val="00CB0E8D"/>
    <w:rsid w:val="00CB0F6A"/>
    <w:rsid w:val="00CB0FE2"/>
    <w:rsid w:val="00CB1488"/>
    <w:rsid w:val="00CB163B"/>
    <w:rsid w:val="00CB1652"/>
    <w:rsid w:val="00CB1683"/>
    <w:rsid w:val="00CB1696"/>
    <w:rsid w:val="00CB16E6"/>
    <w:rsid w:val="00CB1872"/>
    <w:rsid w:val="00CB1CB3"/>
    <w:rsid w:val="00CB1D71"/>
    <w:rsid w:val="00CB1DD1"/>
    <w:rsid w:val="00CB1F31"/>
    <w:rsid w:val="00CB1FE8"/>
    <w:rsid w:val="00CB28F9"/>
    <w:rsid w:val="00CB2986"/>
    <w:rsid w:val="00CB2AF9"/>
    <w:rsid w:val="00CB2E65"/>
    <w:rsid w:val="00CB2F19"/>
    <w:rsid w:val="00CB2FF0"/>
    <w:rsid w:val="00CB305E"/>
    <w:rsid w:val="00CB3689"/>
    <w:rsid w:val="00CB36CF"/>
    <w:rsid w:val="00CB36D7"/>
    <w:rsid w:val="00CB3895"/>
    <w:rsid w:val="00CB3946"/>
    <w:rsid w:val="00CB3A24"/>
    <w:rsid w:val="00CB3AB9"/>
    <w:rsid w:val="00CB3B04"/>
    <w:rsid w:val="00CB3C87"/>
    <w:rsid w:val="00CB4071"/>
    <w:rsid w:val="00CB41AC"/>
    <w:rsid w:val="00CB497B"/>
    <w:rsid w:val="00CB4A60"/>
    <w:rsid w:val="00CB4C81"/>
    <w:rsid w:val="00CB4C85"/>
    <w:rsid w:val="00CB4EA8"/>
    <w:rsid w:val="00CB4F47"/>
    <w:rsid w:val="00CB50DF"/>
    <w:rsid w:val="00CB5197"/>
    <w:rsid w:val="00CB51EA"/>
    <w:rsid w:val="00CB52C3"/>
    <w:rsid w:val="00CB55A8"/>
    <w:rsid w:val="00CB5BD3"/>
    <w:rsid w:val="00CB5E10"/>
    <w:rsid w:val="00CB5F47"/>
    <w:rsid w:val="00CB61E2"/>
    <w:rsid w:val="00CB62C2"/>
    <w:rsid w:val="00CB6699"/>
    <w:rsid w:val="00CB68A0"/>
    <w:rsid w:val="00CB6AA3"/>
    <w:rsid w:val="00CB6ADA"/>
    <w:rsid w:val="00CB6D9E"/>
    <w:rsid w:val="00CB6FE1"/>
    <w:rsid w:val="00CB7013"/>
    <w:rsid w:val="00CB710C"/>
    <w:rsid w:val="00CB723A"/>
    <w:rsid w:val="00CB73F3"/>
    <w:rsid w:val="00CB74B2"/>
    <w:rsid w:val="00CB7A70"/>
    <w:rsid w:val="00CB7C44"/>
    <w:rsid w:val="00CC0202"/>
    <w:rsid w:val="00CC0324"/>
    <w:rsid w:val="00CC0346"/>
    <w:rsid w:val="00CC0480"/>
    <w:rsid w:val="00CC06FA"/>
    <w:rsid w:val="00CC090C"/>
    <w:rsid w:val="00CC139D"/>
    <w:rsid w:val="00CC150D"/>
    <w:rsid w:val="00CC17C0"/>
    <w:rsid w:val="00CC1940"/>
    <w:rsid w:val="00CC1941"/>
    <w:rsid w:val="00CC19E8"/>
    <w:rsid w:val="00CC1A89"/>
    <w:rsid w:val="00CC1C6C"/>
    <w:rsid w:val="00CC1ECC"/>
    <w:rsid w:val="00CC1EF8"/>
    <w:rsid w:val="00CC2016"/>
    <w:rsid w:val="00CC253E"/>
    <w:rsid w:val="00CC25A4"/>
    <w:rsid w:val="00CC2832"/>
    <w:rsid w:val="00CC2878"/>
    <w:rsid w:val="00CC299A"/>
    <w:rsid w:val="00CC2A2B"/>
    <w:rsid w:val="00CC2C84"/>
    <w:rsid w:val="00CC2CD7"/>
    <w:rsid w:val="00CC337A"/>
    <w:rsid w:val="00CC34AD"/>
    <w:rsid w:val="00CC35DE"/>
    <w:rsid w:val="00CC3803"/>
    <w:rsid w:val="00CC382D"/>
    <w:rsid w:val="00CC39A3"/>
    <w:rsid w:val="00CC3D0D"/>
    <w:rsid w:val="00CC400C"/>
    <w:rsid w:val="00CC40CD"/>
    <w:rsid w:val="00CC410F"/>
    <w:rsid w:val="00CC427C"/>
    <w:rsid w:val="00CC47A3"/>
    <w:rsid w:val="00CC4861"/>
    <w:rsid w:val="00CC4D47"/>
    <w:rsid w:val="00CC519A"/>
    <w:rsid w:val="00CC51EB"/>
    <w:rsid w:val="00CC5226"/>
    <w:rsid w:val="00CC55FA"/>
    <w:rsid w:val="00CC5616"/>
    <w:rsid w:val="00CC5626"/>
    <w:rsid w:val="00CC5649"/>
    <w:rsid w:val="00CC57AE"/>
    <w:rsid w:val="00CC57C2"/>
    <w:rsid w:val="00CC57F4"/>
    <w:rsid w:val="00CC5A1F"/>
    <w:rsid w:val="00CC5A55"/>
    <w:rsid w:val="00CC5C1C"/>
    <w:rsid w:val="00CC5F6A"/>
    <w:rsid w:val="00CC6295"/>
    <w:rsid w:val="00CC6AF4"/>
    <w:rsid w:val="00CC6B0A"/>
    <w:rsid w:val="00CC6B6A"/>
    <w:rsid w:val="00CC6BE6"/>
    <w:rsid w:val="00CC6C2F"/>
    <w:rsid w:val="00CC6D36"/>
    <w:rsid w:val="00CC706A"/>
    <w:rsid w:val="00CC7380"/>
    <w:rsid w:val="00CC7836"/>
    <w:rsid w:val="00CC78D5"/>
    <w:rsid w:val="00CC79BA"/>
    <w:rsid w:val="00CC7AB0"/>
    <w:rsid w:val="00CC7B4D"/>
    <w:rsid w:val="00CC7BC9"/>
    <w:rsid w:val="00CC7BCB"/>
    <w:rsid w:val="00CC7C7E"/>
    <w:rsid w:val="00CC7E89"/>
    <w:rsid w:val="00CC7E98"/>
    <w:rsid w:val="00CC7F37"/>
    <w:rsid w:val="00CD048B"/>
    <w:rsid w:val="00CD0511"/>
    <w:rsid w:val="00CD08D3"/>
    <w:rsid w:val="00CD08F5"/>
    <w:rsid w:val="00CD0CF3"/>
    <w:rsid w:val="00CD0D30"/>
    <w:rsid w:val="00CD0D37"/>
    <w:rsid w:val="00CD0E49"/>
    <w:rsid w:val="00CD0F04"/>
    <w:rsid w:val="00CD1083"/>
    <w:rsid w:val="00CD1414"/>
    <w:rsid w:val="00CD1663"/>
    <w:rsid w:val="00CD1B77"/>
    <w:rsid w:val="00CD1C70"/>
    <w:rsid w:val="00CD1D12"/>
    <w:rsid w:val="00CD1DDC"/>
    <w:rsid w:val="00CD236B"/>
    <w:rsid w:val="00CD2541"/>
    <w:rsid w:val="00CD25D9"/>
    <w:rsid w:val="00CD268C"/>
    <w:rsid w:val="00CD27AC"/>
    <w:rsid w:val="00CD28C0"/>
    <w:rsid w:val="00CD2B68"/>
    <w:rsid w:val="00CD2BA8"/>
    <w:rsid w:val="00CD2ECD"/>
    <w:rsid w:val="00CD2FB2"/>
    <w:rsid w:val="00CD3210"/>
    <w:rsid w:val="00CD3345"/>
    <w:rsid w:val="00CD345C"/>
    <w:rsid w:val="00CD3611"/>
    <w:rsid w:val="00CD36F9"/>
    <w:rsid w:val="00CD3F18"/>
    <w:rsid w:val="00CD4142"/>
    <w:rsid w:val="00CD4166"/>
    <w:rsid w:val="00CD44E0"/>
    <w:rsid w:val="00CD4662"/>
    <w:rsid w:val="00CD4704"/>
    <w:rsid w:val="00CD4AB5"/>
    <w:rsid w:val="00CD4AD8"/>
    <w:rsid w:val="00CD4BC1"/>
    <w:rsid w:val="00CD4C89"/>
    <w:rsid w:val="00CD4E96"/>
    <w:rsid w:val="00CD4EE8"/>
    <w:rsid w:val="00CD4FB1"/>
    <w:rsid w:val="00CD5332"/>
    <w:rsid w:val="00CD545E"/>
    <w:rsid w:val="00CD561F"/>
    <w:rsid w:val="00CD572F"/>
    <w:rsid w:val="00CD5A93"/>
    <w:rsid w:val="00CD6090"/>
    <w:rsid w:val="00CD647B"/>
    <w:rsid w:val="00CD66C6"/>
    <w:rsid w:val="00CD678D"/>
    <w:rsid w:val="00CD6CF7"/>
    <w:rsid w:val="00CD7222"/>
    <w:rsid w:val="00CD72B7"/>
    <w:rsid w:val="00CD7360"/>
    <w:rsid w:val="00CD7A1A"/>
    <w:rsid w:val="00CD7B57"/>
    <w:rsid w:val="00CD7BC6"/>
    <w:rsid w:val="00CE005A"/>
    <w:rsid w:val="00CE01EF"/>
    <w:rsid w:val="00CE028E"/>
    <w:rsid w:val="00CE02A6"/>
    <w:rsid w:val="00CE044A"/>
    <w:rsid w:val="00CE046E"/>
    <w:rsid w:val="00CE094B"/>
    <w:rsid w:val="00CE09ED"/>
    <w:rsid w:val="00CE0AC3"/>
    <w:rsid w:val="00CE0AF6"/>
    <w:rsid w:val="00CE0F9A"/>
    <w:rsid w:val="00CE11CE"/>
    <w:rsid w:val="00CE122A"/>
    <w:rsid w:val="00CE12F1"/>
    <w:rsid w:val="00CE133B"/>
    <w:rsid w:val="00CE1399"/>
    <w:rsid w:val="00CE14B7"/>
    <w:rsid w:val="00CE1508"/>
    <w:rsid w:val="00CE158D"/>
    <w:rsid w:val="00CE1749"/>
    <w:rsid w:val="00CE18FE"/>
    <w:rsid w:val="00CE1DA0"/>
    <w:rsid w:val="00CE20E5"/>
    <w:rsid w:val="00CE2240"/>
    <w:rsid w:val="00CE2320"/>
    <w:rsid w:val="00CE250C"/>
    <w:rsid w:val="00CE2595"/>
    <w:rsid w:val="00CE2640"/>
    <w:rsid w:val="00CE2767"/>
    <w:rsid w:val="00CE2864"/>
    <w:rsid w:val="00CE291B"/>
    <w:rsid w:val="00CE2A55"/>
    <w:rsid w:val="00CE2D44"/>
    <w:rsid w:val="00CE30EF"/>
    <w:rsid w:val="00CE32B5"/>
    <w:rsid w:val="00CE3452"/>
    <w:rsid w:val="00CE3720"/>
    <w:rsid w:val="00CE3881"/>
    <w:rsid w:val="00CE3A17"/>
    <w:rsid w:val="00CE3A3A"/>
    <w:rsid w:val="00CE3BEB"/>
    <w:rsid w:val="00CE3C90"/>
    <w:rsid w:val="00CE3F39"/>
    <w:rsid w:val="00CE40C1"/>
    <w:rsid w:val="00CE40F5"/>
    <w:rsid w:val="00CE4179"/>
    <w:rsid w:val="00CE452B"/>
    <w:rsid w:val="00CE4623"/>
    <w:rsid w:val="00CE4988"/>
    <w:rsid w:val="00CE49F7"/>
    <w:rsid w:val="00CE4B3D"/>
    <w:rsid w:val="00CE4B8E"/>
    <w:rsid w:val="00CE4E63"/>
    <w:rsid w:val="00CE545E"/>
    <w:rsid w:val="00CE58FE"/>
    <w:rsid w:val="00CE59F0"/>
    <w:rsid w:val="00CE5B08"/>
    <w:rsid w:val="00CE5BA9"/>
    <w:rsid w:val="00CE5BCB"/>
    <w:rsid w:val="00CE61AB"/>
    <w:rsid w:val="00CE621C"/>
    <w:rsid w:val="00CE6251"/>
    <w:rsid w:val="00CE62B3"/>
    <w:rsid w:val="00CE63DE"/>
    <w:rsid w:val="00CE65BC"/>
    <w:rsid w:val="00CE683B"/>
    <w:rsid w:val="00CE69C5"/>
    <w:rsid w:val="00CE6A77"/>
    <w:rsid w:val="00CE6DD8"/>
    <w:rsid w:val="00CE6F1D"/>
    <w:rsid w:val="00CE6FA6"/>
    <w:rsid w:val="00CE6FD4"/>
    <w:rsid w:val="00CE72AE"/>
    <w:rsid w:val="00CE742C"/>
    <w:rsid w:val="00CE7610"/>
    <w:rsid w:val="00CE765D"/>
    <w:rsid w:val="00CE7673"/>
    <w:rsid w:val="00CE7914"/>
    <w:rsid w:val="00CE7B76"/>
    <w:rsid w:val="00CE7DB0"/>
    <w:rsid w:val="00CE7DEC"/>
    <w:rsid w:val="00CE7E53"/>
    <w:rsid w:val="00CE7FA7"/>
    <w:rsid w:val="00CF014F"/>
    <w:rsid w:val="00CF02DE"/>
    <w:rsid w:val="00CF069E"/>
    <w:rsid w:val="00CF0E0E"/>
    <w:rsid w:val="00CF0E43"/>
    <w:rsid w:val="00CF10D6"/>
    <w:rsid w:val="00CF17D4"/>
    <w:rsid w:val="00CF18AC"/>
    <w:rsid w:val="00CF1AE6"/>
    <w:rsid w:val="00CF1B0B"/>
    <w:rsid w:val="00CF1CAD"/>
    <w:rsid w:val="00CF1F89"/>
    <w:rsid w:val="00CF2079"/>
    <w:rsid w:val="00CF2223"/>
    <w:rsid w:val="00CF23DC"/>
    <w:rsid w:val="00CF2838"/>
    <w:rsid w:val="00CF2C81"/>
    <w:rsid w:val="00CF2F59"/>
    <w:rsid w:val="00CF32DC"/>
    <w:rsid w:val="00CF3407"/>
    <w:rsid w:val="00CF385A"/>
    <w:rsid w:val="00CF3A2C"/>
    <w:rsid w:val="00CF3AF5"/>
    <w:rsid w:val="00CF3F90"/>
    <w:rsid w:val="00CF402F"/>
    <w:rsid w:val="00CF40C7"/>
    <w:rsid w:val="00CF4254"/>
    <w:rsid w:val="00CF43BB"/>
    <w:rsid w:val="00CF461D"/>
    <w:rsid w:val="00CF47BB"/>
    <w:rsid w:val="00CF49BB"/>
    <w:rsid w:val="00CF4A65"/>
    <w:rsid w:val="00CF4B05"/>
    <w:rsid w:val="00CF4C46"/>
    <w:rsid w:val="00CF4D1B"/>
    <w:rsid w:val="00CF52B7"/>
    <w:rsid w:val="00CF57D9"/>
    <w:rsid w:val="00CF5B14"/>
    <w:rsid w:val="00CF5BC3"/>
    <w:rsid w:val="00CF5CCD"/>
    <w:rsid w:val="00CF5CE1"/>
    <w:rsid w:val="00CF5E95"/>
    <w:rsid w:val="00CF5EA1"/>
    <w:rsid w:val="00CF5EB7"/>
    <w:rsid w:val="00CF642B"/>
    <w:rsid w:val="00CF67CD"/>
    <w:rsid w:val="00CF6B83"/>
    <w:rsid w:val="00CF6B98"/>
    <w:rsid w:val="00CF6FCB"/>
    <w:rsid w:val="00CF7138"/>
    <w:rsid w:val="00CF777B"/>
    <w:rsid w:val="00CF77FF"/>
    <w:rsid w:val="00CF7BDF"/>
    <w:rsid w:val="00CF7C85"/>
    <w:rsid w:val="00CF7DD3"/>
    <w:rsid w:val="00D00007"/>
    <w:rsid w:val="00D0006F"/>
    <w:rsid w:val="00D001D0"/>
    <w:rsid w:val="00D00227"/>
    <w:rsid w:val="00D002F6"/>
    <w:rsid w:val="00D00659"/>
    <w:rsid w:val="00D00949"/>
    <w:rsid w:val="00D00D5C"/>
    <w:rsid w:val="00D00F7E"/>
    <w:rsid w:val="00D01216"/>
    <w:rsid w:val="00D01632"/>
    <w:rsid w:val="00D01655"/>
    <w:rsid w:val="00D01A1D"/>
    <w:rsid w:val="00D01B6E"/>
    <w:rsid w:val="00D02180"/>
    <w:rsid w:val="00D02325"/>
    <w:rsid w:val="00D02400"/>
    <w:rsid w:val="00D02AC9"/>
    <w:rsid w:val="00D02BE9"/>
    <w:rsid w:val="00D02CC9"/>
    <w:rsid w:val="00D02CDD"/>
    <w:rsid w:val="00D02D01"/>
    <w:rsid w:val="00D02E64"/>
    <w:rsid w:val="00D03187"/>
    <w:rsid w:val="00D03AB5"/>
    <w:rsid w:val="00D03B11"/>
    <w:rsid w:val="00D03CC8"/>
    <w:rsid w:val="00D03D94"/>
    <w:rsid w:val="00D0409C"/>
    <w:rsid w:val="00D047DF"/>
    <w:rsid w:val="00D04A3D"/>
    <w:rsid w:val="00D04F8D"/>
    <w:rsid w:val="00D05085"/>
    <w:rsid w:val="00D059B6"/>
    <w:rsid w:val="00D05A84"/>
    <w:rsid w:val="00D05B9D"/>
    <w:rsid w:val="00D05C55"/>
    <w:rsid w:val="00D05E4B"/>
    <w:rsid w:val="00D05F6E"/>
    <w:rsid w:val="00D05F9B"/>
    <w:rsid w:val="00D061E1"/>
    <w:rsid w:val="00D06278"/>
    <w:rsid w:val="00D06359"/>
    <w:rsid w:val="00D06391"/>
    <w:rsid w:val="00D067A7"/>
    <w:rsid w:val="00D06D8F"/>
    <w:rsid w:val="00D06EAB"/>
    <w:rsid w:val="00D06EC1"/>
    <w:rsid w:val="00D070C1"/>
    <w:rsid w:val="00D07865"/>
    <w:rsid w:val="00D07EF9"/>
    <w:rsid w:val="00D07F15"/>
    <w:rsid w:val="00D10080"/>
    <w:rsid w:val="00D102B4"/>
    <w:rsid w:val="00D1066D"/>
    <w:rsid w:val="00D1079A"/>
    <w:rsid w:val="00D109CA"/>
    <w:rsid w:val="00D10B88"/>
    <w:rsid w:val="00D111C2"/>
    <w:rsid w:val="00D11279"/>
    <w:rsid w:val="00D1146D"/>
    <w:rsid w:val="00D11A2F"/>
    <w:rsid w:val="00D11DBC"/>
    <w:rsid w:val="00D121F5"/>
    <w:rsid w:val="00D123A2"/>
    <w:rsid w:val="00D1240B"/>
    <w:rsid w:val="00D125D9"/>
    <w:rsid w:val="00D12760"/>
    <w:rsid w:val="00D1276B"/>
    <w:rsid w:val="00D12782"/>
    <w:rsid w:val="00D12925"/>
    <w:rsid w:val="00D129F4"/>
    <w:rsid w:val="00D132CF"/>
    <w:rsid w:val="00D13576"/>
    <w:rsid w:val="00D13975"/>
    <w:rsid w:val="00D13CCD"/>
    <w:rsid w:val="00D13CFE"/>
    <w:rsid w:val="00D14229"/>
    <w:rsid w:val="00D142B8"/>
    <w:rsid w:val="00D1431A"/>
    <w:rsid w:val="00D1483A"/>
    <w:rsid w:val="00D14CCC"/>
    <w:rsid w:val="00D15452"/>
    <w:rsid w:val="00D15D33"/>
    <w:rsid w:val="00D16253"/>
    <w:rsid w:val="00D1650A"/>
    <w:rsid w:val="00D1682C"/>
    <w:rsid w:val="00D16D78"/>
    <w:rsid w:val="00D174E1"/>
    <w:rsid w:val="00D17D77"/>
    <w:rsid w:val="00D200E2"/>
    <w:rsid w:val="00D20112"/>
    <w:rsid w:val="00D20319"/>
    <w:rsid w:val="00D20534"/>
    <w:rsid w:val="00D206AC"/>
    <w:rsid w:val="00D208BB"/>
    <w:rsid w:val="00D20936"/>
    <w:rsid w:val="00D211C7"/>
    <w:rsid w:val="00D211CB"/>
    <w:rsid w:val="00D213C1"/>
    <w:rsid w:val="00D21570"/>
    <w:rsid w:val="00D215B2"/>
    <w:rsid w:val="00D2170A"/>
    <w:rsid w:val="00D21747"/>
    <w:rsid w:val="00D21797"/>
    <w:rsid w:val="00D217D7"/>
    <w:rsid w:val="00D21C8B"/>
    <w:rsid w:val="00D21E36"/>
    <w:rsid w:val="00D21E6A"/>
    <w:rsid w:val="00D22CD2"/>
    <w:rsid w:val="00D22D7C"/>
    <w:rsid w:val="00D23051"/>
    <w:rsid w:val="00D232C2"/>
    <w:rsid w:val="00D23590"/>
    <w:rsid w:val="00D2363A"/>
    <w:rsid w:val="00D23B13"/>
    <w:rsid w:val="00D23DA9"/>
    <w:rsid w:val="00D23ECA"/>
    <w:rsid w:val="00D240B5"/>
    <w:rsid w:val="00D24115"/>
    <w:rsid w:val="00D241E6"/>
    <w:rsid w:val="00D24C92"/>
    <w:rsid w:val="00D24CF6"/>
    <w:rsid w:val="00D24D01"/>
    <w:rsid w:val="00D24EFD"/>
    <w:rsid w:val="00D24F56"/>
    <w:rsid w:val="00D2501B"/>
    <w:rsid w:val="00D2535E"/>
    <w:rsid w:val="00D253C3"/>
    <w:rsid w:val="00D254DA"/>
    <w:rsid w:val="00D25683"/>
    <w:rsid w:val="00D25BC4"/>
    <w:rsid w:val="00D25F42"/>
    <w:rsid w:val="00D25F45"/>
    <w:rsid w:val="00D26210"/>
    <w:rsid w:val="00D2630A"/>
    <w:rsid w:val="00D263CA"/>
    <w:rsid w:val="00D26534"/>
    <w:rsid w:val="00D2667E"/>
    <w:rsid w:val="00D26969"/>
    <w:rsid w:val="00D26987"/>
    <w:rsid w:val="00D26B25"/>
    <w:rsid w:val="00D26DE2"/>
    <w:rsid w:val="00D274D2"/>
    <w:rsid w:val="00D2754A"/>
    <w:rsid w:val="00D2797F"/>
    <w:rsid w:val="00D27AE0"/>
    <w:rsid w:val="00D27FFE"/>
    <w:rsid w:val="00D301A4"/>
    <w:rsid w:val="00D30848"/>
    <w:rsid w:val="00D309AD"/>
    <w:rsid w:val="00D313EA"/>
    <w:rsid w:val="00D31608"/>
    <w:rsid w:val="00D31642"/>
    <w:rsid w:val="00D31766"/>
    <w:rsid w:val="00D31A54"/>
    <w:rsid w:val="00D31BD3"/>
    <w:rsid w:val="00D31F7C"/>
    <w:rsid w:val="00D3223B"/>
    <w:rsid w:val="00D32291"/>
    <w:rsid w:val="00D32532"/>
    <w:rsid w:val="00D3255D"/>
    <w:rsid w:val="00D325F3"/>
    <w:rsid w:val="00D326CE"/>
    <w:rsid w:val="00D327B6"/>
    <w:rsid w:val="00D328F3"/>
    <w:rsid w:val="00D32ADF"/>
    <w:rsid w:val="00D33226"/>
    <w:rsid w:val="00D33842"/>
    <w:rsid w:val="00D3385B"/>
    <w:rsid w:val="00D33988"/>
    <w:rsid w:val="00D33AE1"/>
    <w:rsid w:val="00D33D2B"/>
    <w:rsid w:val="00D34178"/>
    <w:rsid w:val="00D3426D"/>
    <w:rsid w:val="00D3436D"/>
    <w:rsid w:val="00D347EC"/>
    <w:rsid w:val="00D349D9"/>
    <w:rsid w:val="00D34A18"/>
    <w:rsid w:val="00D3508C"/>
    <w:rsid w:val="00D351BE"/>
    <w:rsid w:val="00D35299"/>
    <w:rsid w:val="00D35694"/>
    <w:rsid w:val="00D3587B"/>
    <w:rsid w:val="00D35CED"/>
    <w:rsid w:val="00D35CF8"/>
    <w:rsid w:val="00D35D21"/>
    <w:rsid w:val="00D3630D"/>
    <w:rsid w:val="00D36A0C"/>
    <w:rsid w:val="00D36B12"/>
    <w:rsid w:val="00D36B56"/>
    <w:rsid w:val="00D36F25"/>
    <w:rsid w:val="00D36F7D"/>
    <w:rsid w:val="00D37654"/>
    <w:rsid w:val="00D37D5F"/>
    <w:rsid w:val="00D37D7E"/>
    <w:rsid w:val="00D37DFC"/>
    <w:rsid w:val="00D402B3"/>
    <w:rsid w:val="00D402D1"/>
    <w:rsid w:val="00D40455"/>
    <w:rsid w:val="00D40702"/>
    <w:rsid w:val="00D40ADB"/>
    <w:rsid w:val="00D40C86"/>
    <w:rsid w:val="00D40E8F"/>
    <w:rsid w:val="00D41014"/>
    <w:rsid w:val="00D41312"/>
    <w:rsid w:val="00D413C5"/>
    <w:rsid w:val="00D4147B"/>
    <w:rsid w:val="00D414FC"/>
    <w:rsid w:val="00D4170C"/>
    <w:rsid w:val="00D4173B"/>
    <w:rsid w:val="00D41774"/>
    <w:rsid w:val="00D417C2"/>
    <w:rsid w:val="00D41D46"/>
    <w:rsid w:val="00D4203E"/>
    <w:rsid w:val="00D42C18"/>
    <w:rsid w:val="00D42F03"/>
    <w:rsid w:val="00D4300A"/>
    <w:rsid w:val="00D43193"/>
    <w:rsid w:val="00D431EB"/>
    <w:rsid w:val="00D43297"/>
    <w:rsid w:val="00D434EA"/>
    <w:rsid w:val="00D435CD"/>
    <w:rsid w:val="00D43711"/>
    <w:rsid w:val="00D43876"/>
    <w:rsid w:val="00D43935"/>
    <w:rsid w:val="00D439E3"/>
    <w:rsid w:val="00D43E2D"/>
    <w:rsid w:val="00D443BE"/>
    <w:rsid w:val="00D448CD"/>
    <w:rsid w:val="00D44B23"/>
    <w:rsid w:val="00D44E57"/>
    <w:rsid w:val="00D45089"/>
    <w:rsid w:val="00D452D7"/>
    <w:rsid w:val="00D456FF"/>
    <w:rsid w:val="00D45743"/>
    <w:rsid w:val="00D45D6A"/>
    <w:rsid w:val="00D45E01"/>
    <w:rsid w:val="00D46254"/>
    <w:rsid w:val="00D46279"/>
    <w:rsid w:val="00D46364"/>
    <w:rsid w:val="00D46380"/>
    <w:rsid w:val="00D46527"/>
    <w:rsid w:val="00D46531"/>
    <w:rsid w:val="00D46625"/>
    <w:rsid w:val="00D4681B"/>
    <w:rsid w:val="00D468C4"/>
    <w:rsid w:val="00D469A5"/>
    <w:rsid w:val="00D46AED"/>
    <w:rsid w:val="00D46C1C"/>
    <w:rsid w:val="00D46FE8"/>
    <w:rsid w:val="00D47550"/>
    <w:rsid w:val="00D477F6"/>
    <w:rsid w:val="00D47DFD"/>
    <w:rsid w:val="00D50621"/>
    <w:rsid w:val="00D506A5"/>
    <w:rsid w:val="00D50845"/>
    <w:rsid w:val="00D508BE"/>
    <w:rsid w:val="00D50DB9"/>
    <w:rsid w:val="00D50E7B"/>
    <w:rsid w:val="00D5100E"/>
    <w:rsid w:val="00D51393"/>
    <w:rsid w:val="00D513F7"/>
    <w:rsid w:val="00D51486"/>
    <w:rsid w:val="00D51535"/>
    <w:rsid w:val="00D51607"/>
    <w:rsid w:val="00D51773"/>
    <w:rsid w:val="00D51C88"/>
    <w:rsid w:val="00D52000"/>
    <w:rsid w:val="00D529E7"/>
    <w:rsid w:val="00D52AEC"/>
    <w:rsid w:val="00D52E78"/>
    <w:rsid w:val="00D52FAC"/>
    <w:rsid w:val="00D52FCC"/>
    <w:rsid w:val="00D53069"/>
    <w:rsid w:val="00D532A2"/>
    <w:rsid w:val="00D532B6"/>
    <w:rsid w:val="00D53511"/>
    <w:rsid w:val="00D53619"/>
    <w:rsid w:val="00D5386C"/>
    <w:rsid w:val="00D538FB"/>
    <w:rsid w:val="00D53F0C"/>
    <w:rsid w:val="00D53FDB"/>
    <w:rsid w:val="00D53FE4"/>
    <w:rsid w:val="00D5410C"/>
    <w:rsid w:val="00D547F6"/>
    <w:rsid w:val="00D54B0D"/>
    <w:rsid w:val="00D54DA8"/>
    <w:rsid w:val="00D55430"/>
    <w:rsid w:val="00D55444"/>
    <w:rsid w:val="00D55D45"/>
    <w:rsid w:val="00D55D86"/>
    <w:rsid w:val="00D55E13"/>
    <w:rsid w:val="00D55E98"/>
    <w:rsid w:val="00D560F9"/>
    <w:rsid w:val="00D5611F"/>
    <w:rsid w:val="00D561B1"/>
    <w:rsid w:val="00D561D5"/>
    <w:rsid w:val="00D5622E"/>
    <w:rsid w:val="00D5636D"/>
    <w:rsid w:val="00D565F8"/>
    <w:rsid w:val="00D566A5"/>
    <w:rsid w:val="00D5679C"/>
    <w:rsid w:val="00D56884"/>
    <w:rsid w:val="00D5692A"/>
    <w:rsid w:val="00D56A86"/>
    <w:rsid w:val="00D56BDD"/>
    <w:rsid w:val="00D56DAA"/>
    <w:rsid w:val="00D57355"/>
    <w:rsid w:val="00D5782C"/>
    <w:rsid w:val="00D57836"/>
    <w:rsid w:val="00D578CD"/>
    <w:rsid w:val="00D57C0C"/>
    <w:rsid w:val="00D57DB4"/>
    <w:rsid w:val="00D57DD5"/>
    <w:rsid w:val="00D60052"/>
    <w:rsid w:val="00D6019A"/>
    <w:rsid w:val="00D60898"/>
    <w:rsid w:val="00D60C3A"/>
    <w:rsid w:val="00D60CB1"/>
    <w:rsid w:val="00D60DB3"/>
    <w:rsid w:val="00D60E79"/>
    <w:rsid w:val="00D60FB7"/>
    <w:rsid w:val="00D60FFF"/>
    <w:rsid w:val="00D61040"/>
    <w:rsid w:val="00D61413"/>
    <w:rsid w:val="00D61551"/>
    <w:rsid w:val="00D61BAF"/>
    <w:rsid w:val="00D61DD7"/>
    <w:rsid w:val="00D61E67"/>
    <w:rsid w:val="00D62109"/>
    <w:rsid w:val="00D6235C"/>
    <w:rsid w:val="00D6258D"/>
    <w:rsid w:val="00D627FB"/>
    <w:rsid w:val="00D62852"/>
    <w:rsid w:val="00D62937"/>
    <w:rsid w:val="00D62997"/>
    <w:rsid w:val="00D62A4C"/>
    <w:rsid w:val="00D62BF8"/>
    <w:rsid w:val="00D62C18"/>
    <w:rsid w:val="00D62C55"/>
    <w:rsid w:val="00D62D80"/>
    <w:rsid w:val="00D62F1F"/>
    <w:rsid w:val="00D63054"/>
    <w:rsid w:val="00D631F4"/>
    <w:rsid w:val="00D63296"/>
    <w:rsid w:val="00D636AD"/>
    <w:rsid w:val="00D6372E"/>
    <w:rsid w:val="00D6376F"/>
    <w:rsid w:val="00D63A7A"/>
    <w:rsid w:val="00D63B82"/>
    <w:rsid w:val="00D63B89"/>
    <w:rsid w:val="00D63E8F"/>
    <w:rsid w:val="00D64199"/>
    <w:rsid w:val="00D64301"/>
    <w:rsid w:val="00D64727"/>
    <w:rsid w:val="00D64C42"/>
    <w:rsid w:val="00D64DA7"/>
    <w:rsid w:val="00D64F97"/>
    <w:rsid w:val="00D652D6"/>
    <w:rsid w:val="00D65398"/>
    <w:rsid w:val="00D65491"/>
    <w:rsid w:val="00D65A5A"/>
    <w:rsid w:val="00D65BE6"/>
    <w:rsid w:val="00D66023"/>
    <w:rsid w:val="00D6667E"/>
    <w:rsid w:val="00D667F9"/>
    <w:rsid w:val="00D66858"/>
    <w:rsid w:val="00D668F4"/>
    <w:rsid w:val="00D66AA4"/>
    <w:rsid w:val="00D66AC9"/>
    <w:rsid w:val="00D66D52"/>
    <w:rsid w:val="00D6701D"/>
    <w:rsid w:val="00D67114"/>
    <w:rsid w:val="00D6759D"/>
    <w:rsid w:val="00D675DB"/>
    <w:rsid w:val="00D675FB"/>
    <w:rsid w:val="00D67A09"/>
    <w:rsid w:val="00D67B5E"/>
    <w:rsid w:val="00D67F88"/>
    <w:rsid w:val="00D704ED"/>
    <w:rsid w:val="00D70553"/>
    <w:rsid w:val="00D7061C"/>
    <w:rsid w:val="00D70AD8"/>
    <w:rsid w:val="00D70BC2"/>
    <w:rsid w:val="00D70D4C"/>
    <w:rsid w:val="00D70EC9"/>
    <w:rsid w:val="00D712BC"/>
    <w:rsid w:val="00D71A04"/>
    <w:rsid w:val="00D71A8C"/>
    <w:rsid w:val="00D71AAF"/>
    <w:rsid w:val="00D71BA2"/>
    <w:rsid w:val="00D71BCB"/>
    <w:rsid w:val="00D71C62"/>
    <w:rsid w:val="00D71CF5"/>
    <w:rsid w:val="00D72585"/>
    <w:rsid w:val="00D7271A"/>
    <w:rsid w:val="00D72A1E"/>
    <w:rsid w:val="00D7327E"/>
    <w:rsid w:val="00D73450"/>
    <w:rsid w:val="00D73656"/>
    <w:rsid w:val="00D736CB"/>
    <w:rsid w:val="00D73803"/>
    <w:rsid w:val="00D7389E"/>
    <w:rsid w:val="00D73A97"/>
    <w:rsid w:val="00D73B50"/>
    <w:rsid w:val="00D73CBB"/>
    <w:rsid w:val="00D73D36"/>
    <w:rsid w:val="00D73DBC"/>
    <w:rsid w:val="00D7409B"/>
    <w:rsid w:val="00D743B5"/>
    <w:rsid w:val="00D74620"/>
    <w:rsid w:val="00D74698"/>
    <w:rsid w:val="00D746EF"/>
    <w:rsid w:val="00D74777"/>
    <w:rsid w:val="00D747B1"/>
    <w:rsid w:val="00D74809"/>
    <w:rsid w:val="00D74A87"/>
    <w:rsid w:val="00D74B54"/>
    <w:rsid w:val="00D74C94"/>
    <w:rsid w:val="00D74DBB"/>
    <w:rsid w:val="00D74DE6"/>
    <w:rsid w:val="00D74DEC"/>
    <w:rsid w:val="00D752AC"/>
    <w:rsid w:val="00D75323"/>
    <w:rsid w:val="00D757C8"/>
    <w:rsid w:val="00D75A55"/>
    <w:rsid w:val="00D763F1"/>
    <w:rsid w:val="00D7664D"/>
    <w:rsid w:val="00D76676"/>
    <w:rsid w:val="00D7674A"/>
    <w:rsid w:val="00D76893"/>
    <w:rsid w:val="00D768F3"/>
    <w:rsid w:val="00D76967"/>
    <w:rsid w:val="00D76997"/>
    <w:rsid w:val="00D769C4"/>
    <w:rsid w:val="00D769C9"/>
    <w:rsid w:val="00D769E9"/>
    <w:rsid w:val="00D76A88"/>
    <w:rsid w:val="00D76E90"/>
    <w:rsid w:val="00D77260"/>
    <w:rsid w:val="00D77311"/>
    <w:rsid w:val="00D779A8"/>
    <w:rsid w:val="00D77A94"/>
    <w:rsid w:val="00D77C69"/>
    <w:rsid w:val="00D77EE9"/>
    <w:rsid w:val="00D77EEC"/>
    <w:rsid w:val="00D8022D"/>
    <w:rsid w:val="00D80269"/>
    <w:rsid w:val="00D8029A"/>
    <w:rsid w:val="00D80416"/>
    <w:rsid w:val="00D8058A"/>
    <w:rsid w:val="00D808A9"/>
    <w:rsid w:val="00D809DC"/>
    <w:rsid w:val="00D80EA1"/>
    <w:rsid w:val="00D80F57"/>
    <w:rsid w:val="00D80FFD"/>
    <w:rsid w:val="00D81005"/>
    <w:rsid w:val="00D8114D"/>
    <w:rsid w:val="00D8128D"/>
    <w:rsid w:val="00D8183A"/>
    <w:rsid w:val="00D8191A"/>
    <w:rsid w:val="00D81B4F"/>
    <w:rsid w:val="00D81BDF"/>
    <w:rsid w:val="00D81C67"/>
    <w:rsid w:val="00D81CD7"/>
    <w:rsid w:val="00D821CE"/>
    <w:rsid w:val="00D821E7"/>
    <w:rsid w:val="00D82439"/>
    <w:rsid w:val="00D82483"/>
    <w:rsid w:val="00D82589"/>
    <w:rsid w:val="00D82741"/>
    <w:rsid w:val="00D8295F"/>
    <w:rsid w:val="00D8296B"/>
    <w:rsid w:val="00D829EB"/>
    <w:rsid w:val="00D82AF8"/>
    <w:rsid w:val="00D82BA9"/>
    <w:rsid w:val="00D82BF6"/>
    <w:rsid w:val="00D82CDA"/>
    <w:rsid w:val="00D82D85"/>
    <w:rsid w:val="00D82F63"/>
    <w:rsid w:val="00D82FB4"/>
    <w:rsid w:val="00D83148"/>
    <w:rsid w:val="00D831AC"/>
    <w:rsid w:val="00D8330C"/>
    <w:rsid w:val="00D8333B"/>
    <w:rsid w:val="00D83490"/>
    <w:rsid w:val="00D835E7"/>
    <w:rsid w:val="00D83992"/>
    <w:rsid w:val="00D83A0D"/>
    <w:rsid w:val="00D83E5B"/>
    <w:rsid w:val="00D840A0"/>
    <w:rsid w:val="00D840CE"/>
    <w:rsid w:val="00D841F6"/>
    <w:rsid w:val="00D84690"/>
    <w:rsid w:val="00D84981"/>
    <w:rsid w:val="00D84B06"/>
    <w:rsid w:val="00D84E94"/>
    <w:rsid w:val="00D84F35"/>
    <w:rsid w:val="00D8510A"/>
    <w:rsid w:val="00D8515B"/>
    <w:rsid w:val="00D851C9"/>
    <w:rsid w:val="00D85240"/>
    <w:rsid w:val="00D852BC"/>
    <w:rsid w:val="00D857A1"/>
    <w:rsid w:val="00D8589D"/>
    <w:rsid w:val="00D85B21"/>
    <w:rsid w:val="00D85C0B"/>
    <w:rsid w:val="00D85C48"/>
    <w:rsid w:val="00D85D5B"/>
    <w:rsid w:val="00D85FE3"/>
    <w:rsid w:val="00D86098"/>
    <w:rsid w:val="00D860CA"/>
    <w:rsid w:val="00D86641"/>
    <w:rsid w:val="00D86653"/>
    <w:rsid w:val="00D866B3"/>
    <w:rsid w:val="00D86736"/>
    <w:rsid w:val="00D867EF"/>
    <w:rsid w:val="00D86949"/>
    <w:rsid w:val="00D86969"/>
    <w:rsid w:val="00D86B05"/>
    <w:rsid w:val="00D86C93"/>
    <w:rsid w:val="00D86DB3"/>
    <w:rsid w:val="00D86EEE"/>
    <w:rsid w:val="00D8735E"/>
    <w:rsid w:val="00D87439"/>
    <w:rsid w:val="00D874F5"/>
    <w:rsid w:val="00D87C79"/>
    <w:rsid w:val="00D87EAF"/>
    <w:rsid w:val="00D87F30"/>
    <w:rsid w:val="00D90066"/>
    <w:rsid w:val="00D9014E"/>
    <w:rsid w:val="00D901B1"/>
    <w:rsid w:val="00D90528"/>
    <w:rsid w:val="00D90885"/>
    <w:rsid w:val="00D9091F"/>
    <w:rsid w:val="00D90921"/>
    <w:rsid w:val="00D90ADA"/>
    <w:rsid w:val="00D90C29"/>
    <w:rsid w:val="00D90D12"/>
    <w:rsid w:val="00D90F30"/>
    <w:rsid w:val="00D9113C"/>
    <w:rsid w:val="00D91473"/>
    <w:rsid w:val="00D91656"/>
    <w:rsid w:val="00D916DB"/>
    <w:rsid w:val="00D917C6"/>
    <w:rsid w:val="00D917E1"/>
    <w:rsid w:val="00D917EB"/>
    <w:rsid w:val="00D9184C"/>
    <w:rsid w:val="00D91930"/>
    <w:rsid w:val="00D91A0C"/>
    <w:rsid w:val="00D91B9E"/>
    <w:rsid w:val="00D91BB5"/>
    <w:rsid w:val="00D91D85"/>
    <w:rsid w:val="00D922BF"/>
    <w:rsid w:val="00D92608"/>
    <w:rsid w:val="00D92741"/>
    <w:rsid w:val="00D92A82"/>
    <w:rsid w:val="00D92ABB"/>
    <w:rsid w:val="00D9302A"/>
    <w:rsid w:val="00D93036"/>
    <w:rsid w:val="00D93144"/>
    <w:rsid w:val="00D931EC"/>
    <w:rsid w:val="00D93318"/>
    <w:rsid w:val="00D9342E"/>
    <w:rsid w:val="00D938C4"/>
    <w:rsid w:val="00D938E0"/>
    <w:rsid w:val="00D939A2"/>
    <w:rsid w:val="00D93A83"/>
    <w:rsid w:val="00D93AA7"/>
    <w:rsid w:val="00D93CB0"/>
    <w:rsid w:val="00D94080"/>
    <w:rsid w:val="00D94254"/>
    <w:rsid w:val="00D94378"/>
    <w:rsid w:val="00D9445A"/>
    <w:rsid w:val="00D94568"/>
    <w:rsid w:val="00D94625"/>
    <w:rsid w:val="00D9476A"/>
    <w:rsid w:val="00D94D0E"/>
    <w:rsid w:val="00D94DA0"/>
    <w:rsid w:val="00D94F71"/>
    <w:rsid w:val="00D951E7"/>
    <w:rsid w:val="00D9557F"/>
    <w:rsid w:val="00D958CE"/>
    <w:rsid w:val="00D95A52"/>
    <w:rsid w:val="00D95B8A"/>
    <w:rsid w:val="00D95BAE"/>
    <w:rsid w:val="00D95C04"/>
    <w:rsid w:val="00D95C47"/>
    <w:rsid w:val="00D95DE2"/>
    <w:rsid w:val="00D95E5C"/>
    <w:rsid w:val="00D962A9"/>
    <w:rsid w:val="00D962D4"/>
    <w:rsid w:val="00D96A1B"/>
    <w:rsid w:val="00D96AF2"/>
    <w:rsid w:val="00D96D6D"/>
    <w:rsid w:val="00D96DD1"/>
    <w:rsid w:val="00D96EB4"/>
    <w:rsid w:val="00D96F2C"/>
    <w:rsid w:val="00D97067"/>
    <w:rsid w:val="00D9756B"/>
    <w:rsid w:val="00D97702"/>
    <w:rsid w:val="00D978FC"/>
    <w:rsid w:val="00D9795B"/>
    <w:rsid w:val="00D97979"/>
    <w:rsid w:val="00D97A1C"/>
    <w:rsid w:val="00D97AE2"/>
    <w:rsid w:val="00D97DA3"/>
    <w:rsid w:val="00D97EBE"/>
    <w:rsid w:val="00D97F1A"/>
    <w:rsid w:val="00DA00AD"/>
    <w:rsid w:val="00DA04A7"/>
    <w:rsid w:val="00DA0600"/>
    <w:rsid w:val="00DA097B"/>
    <w:rsid w:val="00DA0A93"/>
    <w:rsid w:val="00DA0D62"/>
    <w:rsid w:val="00DA1088"/>
    <w:rsid w:val="00DA1141"/>
    <w:rsid w:val="00DA1149"/>
    <w:rsid w:val="00DA13A8"/>
    <w:rsid w:val="00DA13D1"/>
    <w:rsid w:val="00DA18FB"/>
    <w:rsid w:val="00DA1C62"/>
    <w:rsid w:val="00DA1E20"/>
    <w:rsid w:val="00DA1F90"/>
    <w:rsid w:val="00DA1FB3"/>
    <w:rsid w:val="00DA21A0"/>
    <w:rsid w:val="00DA2318"/>
    <w:rsid w:val="00DA26F9"/>
    <w:rsid w:val="00DA2869"/>
    <w:rsid w:val="00DA29EF"/>
    <w:rsid w:val="00DA2AA7"/>
    <w:rsid w:val="00DA2D56"/>
    <w:rsid w:val="00DA329B"/>
    <w:rsid w:val="00DA37FF"/>
    <w:rsid w:val="00DA3A6F"/>
    <w:rsid w:val="00DA3B36"/>
    <w:rsid w:val="00DA3C69"/>
    <w:rsid w:val="00DA3E81"/>
    <w:rsid w:val="00DA4129"/>
    <w:rsid w:val="00DA4520"/>
    <w:rsid w:val="00DA4672"/>
    <w:rsid w:val="00DA4A64"/>
    <w:rsid w:val="00DA4CBD"/>
    <w:rsid w:val="00DA5213"/>
    <w:rsid w:val="00DA5216"/>
    <w:rsid w:val="00DA522B"/>
    <w:rsid w:val="00DA5251"/>
    <w:rsid w:val="00DA587F"/>
    <w:rsid w:val="00DA593C"/>
    <w:rsid w:val="00DA5A1D"/>
    <w:rsid w:val="00DA61F1"/>
    <w:rsid w:val="00DA6459"/>
    <w:rsid w:val="00DA6580"/>
    <w:rsid w:val="00DA6887"/>
    <w:rsid w:val="00DA7133"/>
    <w:rsid w:val="00DA718D"/>
    <w:rsid w:val="00DA7419"/>
    <w:rsid w:val="00DA7482"/>
    <w:rsid w:val="00DA75EC"/>
    <w:rsid w:val="00DA77F9"/>
    <w:rsid w:val="00DA7A77"/>
    <w:rsid w:val="00DA7B66"/>
    <w:rsid w:val="00DB0130"/>
    <w:rsid w:val="00DB01C1"/>
    <w:rsid w:val="00DB0329"/>
    <w:rsid w:val="00DB076D"/>
    <w:rsid w:val="00DB08D9"/>
    <w:rsid w:val="00DB0A91"/>
    <w:rsid w:val="00DB11E5"/>
    <w:rsid w:val="00DB1526"/>
    <w:rsid w:val="00DB1813"/>
    <w:rsid w:val="00DB183F"/>
    <w:rsid w:val="00DB19DA"/>
    <w:rsid w:val="00DB1AE9"/>
    <w:rsid w:val="00DB21E9"/>
    <w:rsid w:val="00DB239D"/>
    <w:rsid w:val="00DB24DE"/>
    <w:rsid w:val="00DB26BB"/>
    <w:rsid w:val="00DB271A"/>
    <w:rsid w:val="00DB2725"/>
    <w:rsid w:val="00DB2746"/>
    <w:rsid w:val="00DB2AA3"/>
    <w:rsid w:val="00DB2E0D"/>
    <w:rsid w:val="00DB2FFB"/>
    <w:rsid w:val="00DB34AC"/>
    <w:rsid w:val="00DB39AD"/>
    <w:rsid w:val="00DB3EA0"/>
    <w:rsid w:val="00DB41A5"/>
    <w:rsid w:val="00DB438E"/>
    <w:rsid w:val="00DB453B"/>
    <w:rsid w:val="00DB46FF"/>
    <w:rsid w:val="00DB477E"/>
    <w:rsid w:val="00DB4CF0"/>
    <w:rsid w:val="00DB4E8C"/>
    <w:rsid w:val="00DB53CE"/>
    <w:rsid w:val="00DB5B20"/>
    <w:rsid w:val="00DB5E83"/>
    <w:rsid w:val="00DB5F46"/>
    <w:rsid w:val="00DB5F48"/>
    <w:rsid w:val="00DB5F9C"/>
    <w:rsid w:val="00DB6078"/>
    <w:rsid w:val="00DB6289"/>
    <w:rsid w:val="00DB639C"/>
    <w:rsid w:val="00DB63C6"/>
    <w:rsid w:val="00DB6691"/>
    <w:rsid w:val="00DB66F0"/>
    <w:rsid w:val="00DB6AF4"/>
    <w:rsid w:val="00DB6CB9"/>
    <w:rsid w:val="00DB6E70"/>
    <w:rsid w:val="00DB70D1"/>
    <w:rsid w:val="00DB7163"/>
    <w:rsid w:val="00DB74B6"/>
    <w:rsid w:val="00DB7652"/>
    <w:rsid w:val="00DB79EB"/>
    <w:rsid w:val="00DB7A42"/>
    <w:rsid w:val="00DB7AAA"/>
    <w:rsid w:val="00DB7AAC"/>
    <w:rsid w:val="00DB7BB1"/>
    <w:rsid w:val="00DB7BFC"/>
    <w:rsid w:val="00DB7DA0"/>
    <w:rsid w:val="00DB7EC3"/>
    <w:rsid w:val="00DC0018"/>
    <w:rsid w:val="00DC041D"/>
    <w:rsid w:val="00DC07A3"/>
    <w:rsid w:val="00DC092F"/>
    <w:rsid w:val="00DC0984"/>
    <w:rsid w:val="00DC0D25"/>
    <w:rsid w:val="00DC1605"/>
    <w:rsid w:val="00DC1871"/>
    <w:rsid w:val="00DC1876"/>
    <w:rsid w:val="00DC189F"/>
    <w:rsid w:val="00DC19D9"/>
    <w:rsid w:val="00DC1C20"/>
    <w:rsid w:val="00DC1EAD"/>
    <w:rsid w:val="00DC1F5F"/>
    <w:rsid w:val="00DC1FA2"/>
    <w:rsid w:val="00DC2138"/>
    <w:rsid w:val="00DC214A"/>
    <w:rsid w:val="00DC223F"/>
    <w:rsid w:val="00DC294C"/>
    <w:rsid w:val="00DC2BEE"/>
    <w:rsid w:val="00DC2F94"/>
    <w:rsid w:val="00DC32BB"/>
    <w:rsid w:val="00DC37F4"/>
    <w:rsid w:val="00DC3C0E"/>
    <w:rsid w:val="00DC3CCD"/>
    <w:rsid w:val="00DC45C8"/>
    <w:rsid w:val="00DC46BD"/>
    <w:rsid w:val="00DC473B"/>
    <w:rsid w:val="00DC4ABB"/>
    <w:rsid w:val="00DC4B77"/>
    <w:rsid w:val="00DC4BFD"/>
    <w:rsid w:val="00DC4C54"/>
    <w:rsid w:val="00DC52A3"/>
    <w:rsid w:val="00DC5631"/>
    <w:rsid w:val="00DC5849"/>
    <w:rsid w:val="00DC594B"/>
    <w:rsid w:val="00DC59E9"/>
    <w:rsid w:val="00DC5AF2"/>
    <w:rsid w:val="00DC5B89"/>
    <w:rsid w:val="00DC5EBC"/>
    <w:rsid w:val="00DC63A5"/>
    <w:rsid w:val="00DC6467"/>
    <w:rsid w:val="00DC6D96"/>
    <w:rsid w:val="00DC6F7B"/>
    <w:rsid w:val="00DC7073"/>
    <w:rsid w:val="00DC73E5"/>
    <w:rsid w:val="00DC74F3"/>
    <w:rsid w:val="00DC7668"/>
    <w:rsid w:val="00DC773D"/>
    <w:rsid w:val="00DC7AB1"/>
    <w:rsid w:val="00DC7C0D"/>
    <w:rsid w:val="00DC7C8E"/>
    <w:rsid w:val="00DC7E3C"/>
    <w:rsid w:val="00DD0112"/>
    <w:rsid w:val="00DD02DB"/>
    <w:rsid w:val="00DD04DF"/>
    <w:rsid w:val="00DD0530"/>
    <w:rsid w:val="00DD0776"/>
    <w:rsid w:val="00DD0897"/>
    <w:rsid w:val="00DD08EE"/>
    <w:rsid w:val="00DD0912"/>
    <w:rsid w:val="00DD0A19"/>
    <w:rsid w:val="00DD0AC8"/>
    <w:rsid w:val="00DD0D10"/>
    <w:rsid w:val="00DD0D13"/>
    <w:rsid w:val="00DD10D7"/>
    <w:rsid w:val="00DD1219"/>
    <w:rsid w:val="00DD12D6"/>
    <w:rsid w:val="00DD1480"/>
    <w:rsid w:val="00DD164C"/>
    <w:rsid w:val="00DD175C"/>
    <w:rsid w:val="00DD19ED"/>
    <w:rsid w:val="00DD1DF4"/>
    <w:rsid w:val="00DD1EBF"/>
    <w:rsid w:val="00DD228B"/>
    <w:rsid w:val="00DD22AB"/>
    <w:rsid w:val="00DD26D6"/>
    <w:rsid w:val="00DD2818"/>
    <w:rsid w:val="00DD29BC"/>
    <w:rsid w:val="00DD2DFA"/>
    <w:rsid w:val="00DD34E9"/>
    <w:rsid w:val="00DD3882"/>
    <w:rsid w:val="00DD397D"/>
    <w:rsid w:val="00DD39E8"/>
    <w:rsid w:val="00DD3A84"/>
    <w:rsid w:val="00DD4230"/>
    <w:rsid w:val="00DD423F"/>
    <w:rsid w:val="00DD4522"/>
    <w:rsid w:val="00DD458C"/>
    <w:rsid w:val="00DD46AA"/>
    <w:rsid w:val="00DD49ED"/>
    <w:rsid w:val="00DD4A23"/>
    <w:rsid w:val="00DD4A38"/>
    <w:rsid w:val="00DD4AB5"/>
    <w:rsid w:val="00DD4AB9"/>
    <w:rsid w:val="00DD4AC9"/>
    <w:rsid w:val="00DD4C69"/>
    <w:rsid w:val="00DD4FAA"/>
    <w:rsid w:val="00DD55B1"/>
    <w:rsid w:val="00DD57A9"/>
    <w:rsid w:val="00DD582B"/>
    <w:rsid w:val="00DD5D29"/>
    <w:rsid w:val="00DD5FD4"/>
    <w:rsid w:val="00DD62FD"/>
    <w:rsid w:val="00DD6896"/>
    <w:rsid w:val="00DD6926"/>
    <w:rsid w:val="00DD6CA2"/>
    <w:rsid w:val="00DD6D73"/>
    <w:rsid w:val="00DD6E8E"/>
    <w:rsid w:val="00DD7329"/>
    <w:rsid w:val="00DD7597"/>
    <w:rsid w:val="00DD779C"/>
    <w:rsid w:val="00DD7870"/>
    <w:rsid w:val="00DD7890"/>
    <w:rsid w:val="00DD7963"/>
    <w:rsid w:val="00DD7C32"/>
    <w:rsid w:val="00DD7DAA"/>
    <w:rsid w:val="00DD7EDB"/>
    <w:rsid w:val="00DD7EF3"/>
    <w:rsid w:val="00DD7F9E"/>
    <w:rsid w:val="00DD7FD9"/>
    <w:rsid w:val="00DE0417"/>
    <w:rsid w:val="00DE0A18"/>
    <w:rsid w:val="00DE0B3F"/>
    <w:rsid w:val="00DE0BBF"/>
    <w:rsid w:val="00DE0E97"/>
    <w:rsid w:val="00DE12B5"/>
    <w:rsid w:val="00DE13D3"/>
    <w:rsid w:val="00DE14AB"/>
    <w:rsid w:val="00DE1648"/>
    <w:rsid w:val="00DE2132"/>
    <w:rsid w:val="00DE2225"/>
    <w:rsid w:val="00DE2247"/>
    <w:rsid w:val="00DE2290"/>
    <w:rsid w:val="00DE22B3"/>
    <w:rsid w:val="00DE23FE"/>
    <w:rsid w:val="00DE2994"/>
    <w:rsid w:val="00DE328D"/>
    <w:rsid w:val="00DE3438"/>
    <w:rsid w:val="00DE3988"/>
    <w:rsid w:val="00DE3E55"/>
    <w:rsid w:val="00DE4395"/>
    <w:rsid w:val="00DE44C9"/>
    <w:rsid w:val="00DE4515"/>
    <w:rsid w:val="00DE45AD"/>
    <w:rsid w:val="00DE46A3"/>
    <w:rsid w:val="00DE4AA8"/>
    <w:rsid w:val="00DE4AAD"/>
    <w:rsid w:val="00DE4AB7"/>
    <w:rsid w:val="00DE4CFD"/>
    <w:rsid w:val="00DE5112"/>
    <w:rsid w:val="00DE5369"/>
    <w:rsid w:val="00DE5579"/>
    <w:rsid w:val="00DE5913"/>
    <w:rsid w:val="00DE5B19"/>
    <w:rsid w:val="00DE5C42"/>
    <w:rsid w:val="00DE5E21"/>
    <w:rsid w:val="00DE62EF"/>
    <w:rsid w:val="00DE633F"/>
    <w:rsid w:val="00DE6401"/>
    <w:rsid w:val="00DE65D6"/>
    <w:rsid w:val="00DE661D"/>
    <w:rsid w:val="00DE66DE"/>
    <w:rsid w:val="00DE679D"/>
    <w:rsid w:val="00DE6A0B"/>
    <w:rsid w:val="00DE6E26"/>
    <w:rsid w:val="00DE6F8E"/>
    <w:rsid w:val="00DE70B1"/>
    <w:rsid w:val="00DE7615"/>
    <w:rsid w:val="00DE7713"/>
    <w:rsid w:val="00DE7777"/>
    <w:rsid w:val="00DE7941"/>
    <w:rsid w:val="00DE7962"/>
    <w:rsid w:val="00DE7BB0"/>
    <w:rsid w:val="00DE7C58"/>
    <w:rsid w:val="00DE7EC1"/>
    <w:rsid w:val="00DF002E"/>
    <w:rsid w:val="00DF0381"/>
    <w:rsid w:val="00DF0676"/>
    <w:rsid w:val="00DF06E4"/>
    <w:rsid w:val="00DF079A"/>
    <w:rsid w:val="00DF0AC7"/>
    <w:rsid w:val="00DF0AF1"/>
    <w:rsid w:val="00DF0BBE"/>
    <w:rsid w:val="00DF0D35"/>
    <w:rsid w:val="00DF0E47"/>
    <w:rsid w:val="00DF0F4E"/>
    <w:rsid w:val="00DF133E"/>
    <w:rsid w:val="00DF19D4"/>
    <w:rsid w:val="00DF1A67"/>
    <w:rsid w:val="00DF1C3C"/>
    <w:rsid w:val="00DF1C81"/>
    <w:rsid w:val="00DF1C98"/>
    <w:rsid w:val="00DF1E55"/>
    <w:rsid w:val="00DF2118"/>
    <w:rsid w:val="00DF228E"/>
    <w:rsid w:val="00DF23D0"/>
    <w:rsid w:val="00DF2572"/>
    <w:rsid w:val="00DF2D2A"/>
    <w:rsid w:val="00DF34DC"/>
    <w:rsid w:val="00DF3710"/>
    <w:rsid w:val="00DF3755"/>
    <w:rsid w:val="00DF37F9"/>
    <w:rsid w:val="00DF3FC6"/>
    <w:rsid w:val="00DF405D"/>
    <w:rsid w:val="00DF419B"/>
    <w:rsid w:val="00DF43EB"/>
    <w:rsid w:val="00DF460B"/>
    <w:rsid w:val="00DF4612"/>
    <w:rsid w:val="00DF4B08"/>
    <w:rsid w:val="00DF4D3A"/>
    <w:rsid w:val="00DF4F44"/>
    <w:rsid w:val="00DF52FC"/>
    <w:rsid w:val="00DF5427"/>
    <w:rsid w:val="00DF5887"/>
    <w:rsid w:val="00DF5AEE"/>
    <w:rsid w:val="00DF5DF8"/>
    <w:rsid w:val="00DF6083"/>
    <w:rsid w:val="00DF6639"/>
    <w:rsid w:val="00DF6818"/>
    <w:rsid w:val="00DF6926"/>
    <w:rsid w:val="00DF6A31"/>
    <w:rsid w:val="00DF6A6C"/>
    <w:rsid w:val="00DF6BB2"/>
    <w:rsid w:val="00DF7A6B"/>
    <w:rsid w:val="00DF7C92"/>
    <w:rsid w:val="00DF7D11"/>
    <w:rsid w:val="00E0007B"/>
    <w:rsid w:val="00E002D1"/>
    <w:rsid w:val="00E00412"/>
    <w:rsid w:val="00E006CF"/>
    <w:rsid w:val="00E00754"/>
    <w:rsid w:val="00E007B0"/>
    <w:rsid w:val="00E00952"/>
    <w:rsid w:val="00E00DDD"/>
    <w:rsid w:val="00E00E7C"/>
    <w:rsid w:val="00E00E8C"/>
    <w:rsid w:val="00E00FD2"/>
    <w:rsid w:val="00E01223"/>
    <w:rsid w:val="00E0143C"/>
    <w:rsid w:val="00E01609"/>
    <w:rsid w:val="00E01650"/>
    <w:rsid w:val="00E01852"/>
    <w:rsid w:val="00E01BB7"/>
    <w:rsid w:val="00E01BBF"/>
    <w:rsid w:val="00E01CB3"/>
    <w:rsid w:val="00E01F0A"/>
    <w:rsid w:val="00E024F0"/>
    <w:rsid w:val="00E02615"/>
    <w:rsid w:val="00E027CF"/>
    <w:rsid w:val="00E0298C"/>
    <w:rsid w:val="00E02A78"/>
    <w:rsid w:val="00E02AC8"/>
    <w:rsid w:val="00E02D00"/>
    <w:rsid w:val="00E0318A"/>
    <w:rsid w:val="00E03216"/>
    <w:rsid w:val="00E036D1"/>
    <w:rsid w:val="00E03CE6"/>
    <w:rsid w:val="00E03E48"/>
    <w:rsid w:val="00E03FF1"/>
    <w:rsid w:val="00E042E1"/>
    <w:rsid w:val="00E043B5"/>
    <w:rsid w:val="00E043D9"/>
    <w:rsid w:val="00E04475"/>
    <w:rsid w:val="00E047CB"/>
    <w:rsid w:val="00E0495E"/>
    <w:rsid w:val="00E04DEF"/>
    <w:rsid w:val="00E04F4A"/>
    <w:rsid w:val="00E0526E"/>
    <w:rsid w:val="00E053CE"/>
    <w:rsid w:val="00E05C7F"/>
    <w:rsid w:val="00E05EBF"/>
    <w:rsid w:val="00E061BE"/>
    <w:rsid w:val="00E06536"/>
    <w:rsid w:val="00E0663F"/>
    <w:rsid w:val="00E06843"/>
    <w:rsid w:val="00E06A1C"/>
    <w:rsid w:val="00E06A27"/>
    <w:rsid w:val="00E06AB0"/>
    <w:rsid w:val="00E06DD1"/>
    <w:rsid w:val="00E070BF"/>
    <w:rsid w:val="00E07205"/>
    <w:rsid w:val="00E0727F"/>
    <w:rsid w:val="00E07387"/>
    <w:rsid w:val="00E07415"/>
    <w:rsid w:val="00E07801"/>
    <w:rsid w:val="00E07CBE"/>
    <w:rsid w:val="00E07F4D"/>
    <w:rsid w:val="00E1012D"/>
    <w:rsid w:val="00E10160"/>
    <w:rsid w:val="00E1016E"/>
    <w:rsid w:val="00E101A3"/>
    <w:rsid w:val="00E1028F"/>
    <w:rsid w:val="00E10485"/>
    <w:rsid w:val="00E105AF"/>
    <w:rsid w:val="00E10857"/>
    <w:rsid w:val="00E10912"/>
    <w:rsid w:val="00E10C6C"/>
    <w:rsid w:val="00E10CDE"/>
    <w:rsid w:val="00E10D70"/>
    <w:rsid w:val="00E10F32"/>
    <w:rsid w:val="00E11477"/>
    <w:rsid w:val="00E11543"/>
    <w:rsid w:val="00E115BF"/>
    <w:rsid w:val="00E116BF"/>
    <w:rsid w:val="00E116D7"/>
    <w:rsid w:val="00E11835"/>
    <w:rsid w:val="00E118EE"/>
    <w:rsid w:val="00E12590"/>
    <w:rsid w:val="00E12728"/>
    <w:rsid w:val="00E127F2"/>
    <w:rsid w:val="00E1283C"/>
    <w:rsid w:val="00E12D72"/>
    <w:rsid w:val="00E12E8D"/>
    <w:rsid w:val="00E12F6A"/>
    <w:rsid w:val="00E12F96"/>
    <w:rsid w:val="00E130EE"/>
    <w:rsid w:val="00E1356A"/>
    <w:rsid w:val="00E13633"/>
    <w:rsid w:val="00E136A1"/>
    <w:rsid w:val="00E13746"/>
    <w:rsid w:val="00E13835"/>
    <w:rsid w:val="00E13857"/>
    <w:rsid w:val="00E13951"/>
    <w:rsid w:val="00E13F9A"/>
    <w:rsid w:val="00E141A3"/>
    <w:rsid w:val="00E147C5"/>
    <w:rsid w:val="00E14A35"/>
    <w:rsid w:val="00E15117"/>
    <w:rsid w:val="00E1527E"/>
    <w:rsid w:val="00E152F2"/>
    <w:rsid w:val="00E1558C"/>
    <w:rsid w:val="00E156B2"/>
    <w:rsid w:val="00E15CA8"/>
    <w:rsid w:val="00E1628B"/>
    <w:rsid w:val="00E164E4"/>
    <w:rsid w:val="00E165EB"/>
    <w:rsid w:val="00E167AB"/>
    <w:rsid w:val="00E16FC6"/>
    <w:rsid w:val="00E1713F"/>
    <w:rsid w:val="00E17189"/>
    <w:rsid w:val="00E17637"/>
    <w:rsid w:val="00E176F6"/>
    <w:rsid w:val="00E177FD"/>
    <w:rsid w:val="00E17C08"/>
    <w:rsid w:val="00E20149"/>
    <w:rsid w:val="00E20245"/>
    <w:rsid w:val="00E2041A"/>
    <w:rsid w:val="00E20BBA"/>
    <w:rsid w:val="00E21605"/>
    <w:rsid w:val="00E21B1A"/>
    <w:rsid w:val="00E21D65"/>
    <w:rsid w:val="00E21ED7"/>
    <w:rsid w:val="00E21F2A"/>
    <w:rsid w:val="00E22290"/>
    <w:rsid w:val="00E2265D"/>
    <w:rsid w:val="00E227CD"/>
    <w:rsid w:val="00E22A2A"/>
    <w:rsid w:val="00E22BED"/>
    <w:rsid w:val="00E22C86"/>
    <w:rsid w:val="00E23445"/>
    <w:rsid w:val="00E238D9"/>
    <w:rsid w:val="00E23DEC"/>
    <w:rsid w:val="00E23EC5"/>
    <w:rsid w:val="00E240C1"/>
    <w:rsid w:val="00E2426D"/>
    <w:rsid w:val="00E2453B"/>
    <w:rsid w:val="00E2458E"/>
    <w:rsid w:val="00E24598"/>
    <w:rsid w:val="00E24C3A"/>
    <w:rsid w:val="00E24CBA"/>
    <w:rsid w:val="00E25095"/>
    <w:rsid w:val="00E25160"/>
    <w:rsid w:val="00E251AC"/>
    <w:rsid w:val="00E251AF"/>
    <w:rsid w:val="00E251E9"/>
    <w:rsid w:val="00E25251"/>
    <w:rsid w:val="00E25733"/>
    <w:rsid w:val="00E2584E"/>
    <w:rsid w:val="00E25DE4"/>
    <w:rsid w:val="00E25E63"/>
    <w:rsid w:val="00E25F24"/>
    <w:rsid w:val="00E26125"/>
    <w:rsid w:val="00E2633F"/>
    <w:rsid w:val="00E2648C"/>
    <w:rsid w:val="00E264AB"/>
    <w:rsid w:val="00E2678D"/>
    <w:rsid w:val="00E26AD6"/>
    <w:rsid w:val="00E26B45"/>
    <w:rsid w:val="00E26E9C"/>
    <w:rsid w:val="00E26FD4"/>
    <w:rsid w:val="00E27036"/>
    <w:rsid w:val="00E273B8"/>
    <w:rsid w:val="00E274AB"/>
    <w:rsid w:val="00E275E3"/>
    <w:rsid w:val="00E277F5"/>
    <w:rsid w:val="00E27871"/>
    <w:rsid w:val="00E278C1"/>
    <w:rsid w:val="00E27BCE"/>
    <w:rsid w:val="00E27D4C"/>
    <w:rsid w:val="00E27DCA"/>
    <w:rsid w:val="00E27DFC"/>
    <w:rsid w:val="00E27E71"/>
    <w:rsid w:val="00E27FB5"/>
    <w:rsid w:val="00E3038A"/>
    <w:rsid w:val="00E303C5"/>
    <w:rsid w:val="00E30425"/>
    <w:rsid w:val="00E3051A"/>
    <w:rsid w:val="00E30643"/>
    <w:rsid w:val="00E306F5"/>
    <w:rsid w:val="00E3088A"/>
    <w:rsid w:val="00E30B8F"/>
    <w:rsid w:val="00E31160"/>
    <w:rsid w:val="00E31326"/>
    <w:rsid w:val="00E3135A"/>
    <w:rsid w:val="00E317D1"/>
    <w:rsid w:val="00E3199A"/>
    <w:rsid w:val="00E31BD7"/>
    <w:rsid w:val="00E31C30"/>
    <w:rsid w:val="00E31DDC"/>
    <w:rsid w:val="00E31EC1"/>
    <w:rsid w:val="00E3232E"/>
    <w:rsid w:val="00E32371"/>
    <w:rsid w:val="00E323F2"/>
    <w:rsid w:val="00E32454"/>
    <w:rsid w:val="00E3249D"/>
    <w:rsid w:val="00E32730"/>
    <w:rsid w:val="00E32A02"/>
    <w:rsid w:val="00E32BBB"/>
    <w:rsid w:val="00E32CE4"/>
    <w:rsid w:val="00E32FC4"/>
    <w:rsid w:val="00E32FE9"/>
    <w:rsid w:val="00E3324B"/>
    <w:rsid w:val="00E333B8"/>
    <w:rsid w:val="00E33A26"/>
    <w:rsid w:val="00E33A78"/>
    <w:rsid w:val="00E33BB9"/>
    <w:rsid w:val="00E33E6E"/>
    <w:rsid w:val="00E34067"/>
    <w:rsid w:val="00E3414C"/>
    <w:rsid w:val="00E341C6"/>
    <w:rsid w:val="00E3430B"/>
    <w:rsid w:val="00E343BF"/>
    <w:rsid w:val="00E34439"/>
    <w:rsid w:val="00E347D7"/>
    <w:rsid w:val="00E3490A"/>
    <w:rsid w:val="00E3497B"/>
    <w:rsid w:val="00E34AF3"/>
    <w:rsid w:val="00E3502A"/>
    <w:rsid w:val="00E35527"/>
    <w:rsid w:val="00E35879"/>
    <w:rsid w:val="00E3588E"/>
    <w:rsid w:val="00E359BC"/>
    <w:rsid w:val="00E35BC1"/>
    <w:rsid w:val="00E35C04"/>
    <w:rsid w:val="00E35D15"/>
    <w:rsid w:val="00E35E54"/>
    <w:rsid w:val="00E35E6B"/>
    <w:rsid w:val="00E35F35"/>
    <w:rsid w:val="00E36145"/>
    <w:rsid w:val="00E36282"/>
    <w:rsid w:val="00E362F4"/>
    <w:rsid w:val="00E364AF"/>
    <w:rsid w:val="00E366AC"/>
    <w:rsid w:val="00E368EE"/>
    <w:rsid w:val="00E36956"/>
    <w:rsid w:val="00E36AB2"/>
    <w:rsid w:val="00E36D88"/>
    <w:rsid w:val="00E37110"/>
    <w:rsid w:val="00E37140"/>
    <w:rsid w:val="00E37444"/>
    <w:rsid w:val="00E3745B"/>
    <w:rsid w:val="00E37583"/>
    <w:rsid w:val="00E37672"/>
    <w:rsid w:val="00E376FA"/>
    <w:rsid w:val="00E3779D"/>
    <w:rsid w:val="00E37B1A"/>
    <w:rsid w:val="00E37C06"/>
    <w:rsid w:val="00E37C48"/>
    <w:rsid w:val="00E37FCE"/>
    <w:rsid w:val="00E404BC"/>
    <w:rsid w:val="00E406DD"/>
    <w:rsid w:val="00E40730"/>
    <w:rsid w:val="00E409AA"/>
    <w:rsid w:val="00E40AC3"/>
    <w:rsid w:val="00E41062"/>
    <w:rsid w:val="00E41744"/>
    <w:rsid w:val="00E41764"/>
    <w:rsid w:val="00E417B5"/>
    <w:rsid w:val="00E418AF"/>
    <w:rsid w:val="00E41943"/>
    <w:rsid w:val="00E419F7"/>
    <w:rsid w:val="00E41B16"/>
    <w:rsid w:val="00E41B63"/>
    <w:rsid w:val="00E42101"/>
    <w:rsid w:val="00E4218C"/>
    <w:rsid w:val="00E422D8"/>
    <w:rsid w:val="00E422E8"/>
    <w:rsid w:val="00E42393"/>
    <w:rsid w:val="00E4290C"/>
    <w:rsid w:val="00E429B7"/>
    <w:rsid w:val="00E42DE3"/>
    <w:rsid w:val="00E42F62"/>
    <w:rsid w:val="00E43220"/>
    <w:rsid w:val="00E433E7"/>
    <w:rsid w:val="00E4352A"/>
    <w:rsid w:val="00E4355A"/>
    <w:rsid w:val="00E435BB"/>
    <w:rsid w:val="00E43C2E"/>
    <w:rsid w:val="00E43C74"/>
    <w:rsid w:val="00E43E85"/>
    <w:rsid w:val="00E43E8D"/>
    <w:rsid w:val="00E442B1"/>
    <w:rsid w:val="00E44D7C"/>
    <w:rsid w:val="00E4504A"/>
    <w:rsid w:val="00E45152"/>
    <w:rsid w:val="00E452E0"/>
    <w:rsid w:val="00E452F9"/>
    <w:rsid w:val="00E4531E"/>
    <w:rsid w:val="00E45328"/>
    <w:rsid w:val="00E453AE"/>
    <w:rsid w:val="00E459CC"/>
    <w:rsid w:val="00E45D84"/>
    <w:rsid w:val="00E45F5D"/>
    <w:rsid w:val="00E4600A"/>
    <w:rsid w:val="00E4618E"/>
    <w:rsid w:val="00E462F3"/>
    <w:rsid w:val="00E463F7"/>
    <w:rsid w:val="00E46460"/>
    <w:rsid w:val="00E46685"/>
    <w:rsid w:val="00E4676A"/>
    <w:rsid w:val="00E46B4E"/>
    <w:rsid w:val="00E47063"/>
    <w:rsid w:val="00E47396"/>
    <w:rsid w:val="00E473FE"/>
    <w:rsid w:val="00E47487"/>
    <w:rsid w:val="00E474CA"/>
    <w:rsid w:val="00E4762B"/>
    <w:rsid w:val="00E477F0"/>
    <w:rsid w:val="00E4791D"/>
    <w:rsid w:val="00E47D43"/>
    <w:rsid w:val="00E47DE6"/>
    <w:rsid w:val="00E47F88"/>
    <w:rsid w:val="00E5015C"/>
    <w:rsid w:val="00E50195"/>
    <w:rsid w:val="00E5032F"/>
    <w:rsid w:val="00E503BC"/>
    <w:rsid w:val="00E5051A"/>
    <w:rsid w:val="00E50D52"/>
    <w:rsid w:val="00E5156D"/>
    <w:rsid w:val="00E517F3"/>
    <w:rsid w:val="00E5182E"/>
    <w:rsid w:val="00E518FE"/>
    <w:rsid w:val="00E51E5C"/>
    <w:rsid w:val="00E51F2C"/>
    <w:rsid w:val="00E5237E"/>
    <w:rsid w:val="00E52459"/>
    <w:rsid w:val="00E52650"/>
    <w:rsid w:val="00E5279A"/>
    <w:rsid w:val="00E52AD1"/>
    <w:rsid w:val="00E531B7"/>
    <w:rsid w:val="00E5355C"/>
    <w:rsid w:val="00E53611"/>
    <w:rsid w:val="00E537F5"/>
    <w:rsid w:val="00E53B63"/>
    <w:rsid w:val="00E53E3A"/>
    <w:rsid w:val="00E544E1"/>
    <w:rsid w:val="00E54634"/>
    <w:rsid w:val="00E54672"/>
    <w:rsid w:val="00E5475D"/>
    <w:rsid w:val="00E54803"/>
    <w:rsid w:val="00E54B1E"/>
    <w:rsid w:val="00E54CC2"/>
    <w:rsid w:val="00E55117"/>
    <w:rsid w:val="00E5519F"/>
    <w:rsid w:val="00E552F8"/>
    <w:rsid w:val="00E55359"/>
    <w:rsid w:val="00E554F8"/>
    <w:rsid w:val="00E5572D"/>
    <w:rsid w:val="00E558AF"/>
    <w:rsid w:val="00E558E1"/>
    <w:rsid w:val="00E55933"/>
    <w:rsid w:val="00E55C5E"/>
    <w:rsid w:val="00E55D26"/>
    <w:rsid w:val="00E55E6D"/>
    <w:rsid w:val="00E55EE2"/>
    <w:rsid w:val="00E55F35"/>
    <w:rsid w:val="00E55F9E"/>
    <w:rsid w:val="00E5615F"/>
    <w:rsid w:val="00E563CD"/>
    <w:rsid w:val="00E5645A"/>
    <w:rsid w:val="00E56594"/>
    <w:rsid w:val="00E56669"/>
    <w:rsid w:val="00E5697F"/>
    <w:rsid w:val="00E56CDB"/>
    <w:rsid w:val="00E56D53"/>
    <w:rsid w:val="00E57324"/>
    <w:rsid w:val="00E5733B"/>
    <w:rsid w:val="00E5755C"/>
    <w:rsid w:val="00E57831"/>
    <w:rsid w:val="00E579F9"/>
    <w:rsid w:val="00E57AB6"/>
    <w:rsid w:val="00E57C76"/>
    <w:rsid w:val="00E57EAB"/>
    <w:rsid w:val="00E5D2CC"/>
    <w:rsid w:val="00E6020C"/>
    <w:rsid w:val="00E6034D"/>
    <w:rsid w:val="00E605AA"/>
    <w:rsid w:val="00E605FD"/>
    <w:rsid w:val="00E60608"/>
    <w:rsid w:val="00E60610"/>
    <w:rsid w:val="00E607FD"/>
    <w:rsid w:val="00E608F2"/>
    <w:rsid w:val="00E60D71"/>
    <w:rsid w:val="00E60DA4"/>
    <w:rsid w:val="00E60FDC"/>
    <w:rsid w:val="00E619FE"/>
    <w:rsid w:val="00E61B94"/>
    <w:rsid w:val="00E61EEC"/>
    <w:rsid w:val="00E61F87"/>
    <w:rsid w:val="00E62177"/>
    <w:rsid w:val="00E621FC"/>
    <w:rsid w:val="00E62540"/>
    <w:rsid w:val="00E62B12"/>
    <w:rsid w:val="00E631B9"/>
    <w:rsid w:val="00E6345A"/>
    <w:rsid w:val="00E6348F"/>
    <w:rsid w:val="00E63704"/>
    <w:rsid w:val="00E637C6"/>
    <w:rsid w:val="00E63ACB"/>
    <w:rsid w:val="00E63B5A"/>
    <w:rsid w:val="00E63E67"/>
    <w:rsid w:val="00E63F5D"/>
    <w:rsid w:val="00E641AE"/>
    <w:rsid w:val="00E641FD"/>
    <w:rsid w:val="00E644D4"/>
    <w:rsid w:val="00E64517"/>
    <w:rsid w:val="00E6451E"/>
    <w:rsid w:val="00E646FF"/>
    <w:rsid w:val="00E6497E"/>
    <w:rsid w:val="00E64AE8"/>
    <w:rsid w:val="00E64D7E"/>
    <w:rsid w:val="00E650DF"/>
    <w:rsid w:val="00E65400"/>
    <w:rsid w:val="00E6546D"/>
    <w:rsid w:val="00E6547D"/>
    <w:rsid w:val="00E65553"/>
    <w:rsid w:val="00E6576B"/>
    <w:rsid w:val="00E65B85"/>
    <w:rsid w:val="00E65C47"/>
    <w:rsid w:val="00E65C98"/>
    <w:rsid w:val="00E65FCE"/>
    <w:rsid w:val="00E663F4"/>
    <w:rsid w:val="00E664EF"/>
    <w:rsid w:val="00E666F6"/>
    <w:rsid w:val="00E66DF6"/>
    <w:rsid w:val="00E6717C"/>
    <w:rsid w:val="00E67468"/>
    <w:rsid w:val="00E675E7"/>
    <w:rsid w:val="00E67608"/>
    <w:rsid w:val="00E6765B"/>
    <w:rsid w:val="00E677A0"/>
    <w:rsid w:val="00E7020B"/>
    <w:rsid w:val="00E71082"/>
    <w:rsid w:val="00E710D0"/>
    <w:rsid w:val="00E710D5"/>
    <w:rsid w:val="00E713A6"/>
    <w:rsid w:val="00E71765"/>
    <w:rsid w:val="00E718EC"/>
    <w:rsid w:val="00E719D1"/>
    <w:rsid w:val="00E71B2B"/>
    <w:rsid w:val="00E71BA4"/>
    <w:rsid w:val="00E71DE7"/>
    <w:rsid w:val="00E721F6"/>
    <w:rsid w:val="00E726C1"/>
    <w:rsid w:val="00E726D7"/>
    <w:rsid w:val="00E72842"/>
    <w:rsid w:val="00E72892"/>
    <w:rsid w:val="00E72B0B"/>
    <w:rsid w:val="00E72DDB"/>
    <w:rsid w:val="00E72F08"/>
    <w:rsid w:val="00E72FB1"/>
    <w:rsid w:val="00E72FE4"/>
    <w:rsid w:val="00E73061"/>
    <w:rsid w:val="00E73307"/>
    <w:rsid w:val="00E73752"/>
    <w:rsid w:val="00E739F8"/>
    <w:rsid w:val="00E73AF7"/>
    <w:rsid w:val="00E73D1B"/>
    <w:rsid w:val="00E73D85"/>
    <w:rsid w:val="00E7408B"/>
    <w:rsid w:val="00E740F3"/>
    <w:rsid w:val="00E741D9"/>
    <w:rsid w:val="00E744E7"/>
    <w:rsid w:val="00E7496E"/>
    <w:rsid w:val="00E74A30"/>
    <w:rsid w:val="00E74A96"/>
    <w:rsid w:val="00E74B54"/>
    <w:rsid w:val="00E74C3D"/>
    <w:rsid w:val="00E74F7E"/>
    <w:rsid w:val="00E75179"/>
    <w:rsid w:val="00E75374"/>
    <w:rsid w:val="00E7538E"/>
    <w:rsid w:val="00E755FE"/>
    <w:rsid w:val="00E75982"/>
    <w:rsid w:val="00E75D29"/>
    <w:rsid w:val="00E76080"/>
    <w:rsid w:val="00E76306"/>
    <w:rsid w:val="00E7640A"/>
    <w:rsid w:val="00E7652A"/>
    <w:rsid w:val="00E766DC"/>
    <w:rsid w:val="00E76894"/>
    <w:rsid w:val="00E76B24"/>
    <w:rsid w:val="00E76C7E"/>
    <w:rsid w:val="00E76E12"/>
    <w:rsid w:val="00E772EC"/>
    <w:rsid w:val="00E7767C"/>
    <w:rsid w:val="00E77AAE"/>
    <w:rsid w:val="00E77CF9"/>
    <w:rsid w:val="00E77DFF"/>
    <w:rsid w:val="00E80704"/>
    <w:rsid w:val="00E807EA"/>
    <w:rsid w:val="00E8084B"/>
    <w:rsid w:val="00E8085C"/>
    <w:rsid w:val="00E80A10"/>
    <w:rsid w:val="00E80A30"/>
    <w:rsid w:val="00E80D49"/>
    <w:rsid w:val="00E80FE3"/>
    <w:rsid w:val="00E81278"/>
    <w:rsid w:val="00E81285"/>
    <w:rsid w:val="00E812DC"/>
    <w:rsid w:val="00E817AC"/>
    <w:rsid w:val="00E818B0"/>
    <w:rsid w:val="00E818F6"/>
    <w:rsid w:val="00E81AF1"/>
    <w:rsid w:val="00E81CE5"/>
    <w:rsid w:val="00E81F19"/>
    <w:rsid w:val="00E82135"/>
    <w:rsid w:val="00E8246C"/>
    <w:rsid w:val="00E825D9"/>
    <w:rsid w:val="00E8263B"/>
    <w:rsid w:val="00E827D9"/>
    <w:rsid w:val="00E828DE"/>
    <w:rsid w:val="00E82974"/>
    <w:rsid w:val="00E82EEF"/>
    <w:rsid w:val="00E83036"/>
    <w:rsid w:val="00E83074"/>
    <w:rsid w:val="00E83252"/>
    <w:rsid w:val="00E83391"/>
    <w:rsid w:val="00E833E2"/>
    <w:rsid w:val="00E83954"/>
    <w:rsid w:val="00E83AF6"/>
    <w:rsid w:val="00E83BEA"/>
    <w:rsid w:val="00E84014"/>
    <w:rsid w:val="00E8409D"/>
    <w:rsid w:val="00E84153"/>
    <w:rsid w:val="00E84160"/>
    <w:rsid w:val="00E84461"/>
    <w:rsid w:val="00E844EB"/>
    <w:rsid w:val="00E84681"/>
    <w:rsid w:val="00E847B0"/>
    <w:rsid w:val="00E848C4"/>
    <w:rsid w:val="00E84D9F"/>
    <w:rsid w:val="00E84FA6"/>
    <w:rsid w:val="00E8555E"/>
    <w:rsid w:val="00E85587"/>
    <w:rsid w:val="00E85A0F"/>
    <w:rsid w:val="00E85BF6"/>
    <w:rsid w:val="00E85CEF"/>
    <w:rsid w:val="00E85E3A"/>
    <w:rsid w:val="00E86412"/>
    <w:rsid w:val="00E86423"/>
    <w:rsid w:val="00E867CF"/>
    <w:rsid w:val="00E86BC4"/>
    <w:rsid w:val="00E8718D"/>
    <w:rsid w:val="00E87309"/>
    <w:rsid w:val="00E87497"/>
    <w:rsid w:val="00E87502"/>
    <w:rsid w:val="00E87C44"/>
    <w:rsid w:val="00E87CC9"/>
    <w:rsid w:val="00E901B7"/>
    <w:rsid w:val="00E901D6"/>
    <w:rsid w:val="00E90231"/>
    <w:rsid w:val="00E902C5"/>
    <w:rsid w:val="00E903C1"/>
    <w:rsid w:val="00E9050D"/>
    <w:rsid w:val="00E908BC"/>
    <w:rsid w:val="00E90D08"/>
    <w:rsid w:val="00E90ED9"/>
    <w:rsid w:val="00E90EFB"/>
    <w:rsid w:val="00E910A8"/>
    <w:rsid w:val="00E91405"/>
    <w:rsid w:val="00E91568"/>
    <w:rsid w:val="00E9173C"/>
    <w:rsid w:val="00E917D4"/>
    <w:rsid w:val="00E919C9"/>
    <w:rsid w:val="00E91AD6"/>
    <w:rsid w:val="00E91C82"/>
    <w:rsid w:val="00E91CB1"/>
    <w:rsid w:val="00E91F65"/>
    <w:rsid w:val="00E9222A"/>
    <w:rsid w:val="00E925DD"/>
    <w:rsid w:val="00E926A0"/>
    <w:rsid w:val="00E92865"/>
    <w:rsid w:val="00E92A13"/>
    <w:rsid w:val="00E92B30"/>
    <w:rsid w:val="00E92B98"/>
    <w:rsid w:val="00E92E0A"/>
    <w:rsid w:val="00E9328B"/>
    <w:rsid w:val="00E93747"/>
    <w:rsid w:val="00E938A1"/>
    <w:rsid w:val="00E93937"/>
    <w:rsid w:val="00E94062"/>
    <w:rsid w:val="00E94236"/>
    <w:rsid w:val="00E94489"/>
    <w:rsid w:val="00E946B6"/>
    <w:rsid w:val="00E946DB"/>
    <w:rsid w:val="00E94728"/>
    <w:rsid w:val="00E94B56"/>
    <w:rsid w:val="00E94E3F"/>
    <w:rsid w:val="00E94E7E"/>
    <w:rsid w:val="00E94FB6"/>
    <w:rsid w:val="00E94FD2"/>
    <w:rsid w:val="00E953D6"/>
    <w:rsid w:val="00E953E4"/>
    <w:rsid w:val="00E95661"/>
    <w:rsid w:val="00E95699"/>
    <w:rsid w:val="00E95868"/>
    <w:rsid w:val="00E95915"/>
    <w:rsid w:val="00E95A3A"/>
    <w:rsid w:val="00E95AE1"/>
    <w:rsid w:val="00E95AFF"/>
    <w:rsid w:val="00E95E14"/>
    <w:rsid w:val="00E95EC0"/>
    <w:rsid w:val="00E95FE0"/>
    <w:rsid w:val="00E9605C"/>
    <w:rsid w:val="00E96166"/>
    <w:rsid w:val="00E96295"/>
    <w:rsid w:val="00E962CB"/>
    <w:rsid w:val="00E964EA"/>
    <w:rsid w:val="00E965C6"/>
    <w:rsid w:val="00E966ED"/>
    <w:rsid w:val="00E9691B"/>
    <w:rsid w:val="00E969C4"/>
    <w:rsid w:val="00E969CD"/>
    <w:rsid w:val="00E96C25"/>
    <w:rsid w:val="00E96CF9"/>
    <w:rsid w:val="00E96EB4"/>
    <w:rsid w:val="00E974AC"/>
    <w:rsid w:val="00E974B9"/>
    <w:rsid w:val="00E97AAD"/>
    <w:rsid w:val="00E97B79"/>
    <w:rsid w:val="00E97BA8"/>
    <w:rsid w:val="00E97E10"/>
    <w:rsid w:val="00E97F4F"/>
    <w:rsid w:val="00EA0582"/>
    <w:rsid w:val="00EA0A1A"/>
    <w:rsid w:val="00EA0ACB"/>
    <w:rsid w:val="00EA0B02"/>
    <w:rsid w:val="00EA0FEA"/>
    <w:rsid w:val="00EA1090"/>
    <w:rsid w:val="00EA1503"/>
    <w:rsid w:val="00EA1584"/>
    <w:rsid w:val="00EA15FC"/>
    <w:rsid w:val="00EA17E2"/>
    <w:rsid w:val="00EA1BDC"/>
    <w:rsid w:val="00EA1CA2"/>
    <w:rsid w:val="00EA24EF"/>
    <w:rsid w:val="00EA25EA"/>
    <w:rsid w:val="00EA2659"/>
    <w:rsid w:val="00EA2693"/>
    <w:rsid w:val="00EA2AA2"/>
    <w:rsid w:val="00EA2F5F"/>
    <w:rsid w:val="00EA3092"/>
    <w:rsid w:val="00EA319C"/>
    <w:rsid w:val="00EA320A"/>
    <w:rsid w:val="00EA3260"/>
    <w:rsid w:val="00EA3496"/>
    <w:rsid w:val="00EA34C4"/>
    <w:rsid w:val="00EA36A4"/>
    <w:rsid w:val="00EA37A9"/>
    <w:rsid w:val="00EA3A26"/>
    <w:rsid w:val="00EA3CD4"/>
    <w:rsid w:val="00EA3CEE"/>
    <w:rsid w:val="00EA3D7E"/>
    <w:rsid w:val="00EA3E54"/>
    <w:rsid w:val="00EA3F06"/>
    <w:rsid w:val="00EA3F62"/>
    <w:rsid w:val="00EA43AC"/>
    <w:rsid w:val="00EA45CA"/>
    <w:rsid w:val="00EA4600"/>
    <w:rsid w:val="00EA46A8"/>
    <w:rsid w:val="00EA48FE"/>
    <w:rsid w:val="00EA4936"/>
    <w:rsid w:val="00EA4D07"/>
    <w:rsid w:val="00EA4D5C"/>
    <w:rsid w:val="00EA4D9F"/>
    <w:rsid w:val="00EA4EB8"/>
    <w:rsid w:val="00EA54FF"/>
    <w:rsid w:val="00EA58F0"/>
    <w:rsid w:val="00EA5C4D"/>
    <w:rsid w:val="00EA5F1F"/>
    <w:rsid w:val="00EA5F3A"/>
    <w:rsid w:val="00EA60E9"/>
    <w:rsid w:val="00EA625F"/>
    <w:rsid w:val="00EA6A58"/>
    <w:rsid w:val="00EA6A90"/>
    <w:rsid w:val="00EA6DF3"/>
    <w:rsid w:val="00EA727F"/>
    <w:rsid w:val="00EA7750"/>
    <w:rsid w:val="00EA7865"/>
    <w:rsid w:val="00EA79F4"/>
    <w:rsid w:val="00EA7A38"/>
    <w:rsid w:val="00EA7D24"/>
    <w:rsid w:val="00EA7EE2"/>
    <w:rsid w:val="00EA7F1B"/>
    <w:rsid w:val="00EA7FF8"/>
    <w:rsid w:val="00EB034A"/>
    <w:rsid w:val="00EB0481"/>
    <w:rsid w:val="00EB059F"/>
    <w:rsid w:val="00EB06BC"/>
    <w:rsid w:val="00EB06F7"/>
    <w:rsid w:val="00EB0825"/>
    <w:rsid w:val="00EB093C"/>
    <w:rsid w:val="00EB0ACD"/>
    <w:rsid w:val="00EB0DDD"/>
    <w:rsid w:val="00EB0E1F"/>
    <w:rsid w:val="00EB132B"/>
    <w:rsid w:val="00EB13AC"/>
    <w:rsid w:val="00EB14AC"/>
    <w:rsid w:val="00EB16CE"/>
    <w:rsid w:val="00EB178A"/>
    <w:rsid w:val="00EB17BA"/>
    <w:rsid w:val="00EB1ADF"/>
    <w:rsid w:val="00EB1D0C"/>
    <w:rsid w:val="00EB2A7A"/>
    <w:rsid w:val="00EB2C63"/>
    <w:rsid w:val="00EB2C99"/>
    <w:rsid w:val="00EB2E7D"/>
    <w:rsid w:val="00EB2F35"/>
    <w:rsid w:val="00EB30E2"/>
    <w:rsid w:val="00EB31E4"/>
    <w:rsid w:val="00EB32BF"/>
    <w:rsid w:val="00EB34A1"/>
    <w:rsid w:val="00EB388C"/>
    <w:rsid w:val="00EB3ABF"/>
    <w:rsid w:val="00EB3C05"/>
    <w:rsid w:val="00EB3C97"/>
    <w:rsid w:val="00EB3FBE"/>
    <w:rsid w:val="00EB400E"/>
    <w:rsid w:val="00EB42D0"/>
    <w:rsid w:val="00EB4398"/>
    <w:rsid w:val="00EB4582"/>
    <w:rsid w:val="00EB4F70"/>
    <w:rsid w:val="00EB508E"/>
    <w:rsid w:val="00EB51E6"/>
    <w:rsid w:val="00EB5297"/>
    <w:rsid w:val="00EB5622"/>
    <w:rsid w:val="00EB56CA"/>
    <w:rsid w:val="00EB5A2A"/>
    <w:rsid w:val="00EB5DA5"/>
    <w:rsid w:val="00EB6194"/>
    <w:rsid w:val="00EB6428"/>
    <w:rsid w:val="00EB6602"/>
    <w:rsid w:val="00EB674F"/>
    <w:rsid w:val="00EB6CB4"/>
    <w:rsid w:val="00EB70AE"/>
    <w:rsid w:val="00EB7454"/>
    <w:rsid w:val="00EB7720"/>
    <w:rsid w:val="00EB7ADA"/>
    <w:rsid w:val="00EB7E6B"/>
    <w:rsid w:val="00EB7F38"/>
    <w:rsid w:val="00EB7FBB"/>
    <w:rsid w:val="00EC001D"/>
    <w:rsid w:val="00EC0021"/>
    <w:rsid w:val="00EC00A8"/>
    <w:rsid w:val="00EC00FA"/>
    <w:rsid w:val="00EC0156"/>
    <w:rsid w:val="00EC023A"/>
    <w:rsid w:val="00EC0731"/>
    <w:rsid w:val="00EC08AA"/>
    <w:rsid w:val="00EC0998"/>
    <w:rsid w:val="00EC0CD9"/>
    <w:rsid w:val="00EC0F66"/>
    <w:rsid w:val="00EC10F7"/>
    <w:rsid w:val="00EC1225"/>
    <w:rsid w:val="00EC1529"/>
    <w:rsid w:val="00EC15D2"/>
    <w:rsid w:val="00EC1A36"/>
    <w:rsid w:val="00EC1A38"/>
    <w:rsid w:val="00EC1B76"/>
    <w:rsid w:val="00EC1C7E"/>
    <w:rsid w:val="00EC1D17"/>
    <w:rsid w:val="00EC2202"/>
    <w:rsid w:val="00EC2456"/>
    <w:rsid w:val="00EC2474"/>
    <w:rsid w:val="00EC25D9"/>
    <w:rsid w:val="00EC2A15"/>
    <w:rsid w:val="00EC2AA1"/>
    <w:rsid w:val="00EC2ADA"/>
    <w:rsid w:val="00EC2B81"/>
    <w:rsid w:val="00EC2CAF"/>
    <w:rsid w:val="00EC2D9B"/>
    <w:rsid w:val="00EC2E63"/>
    <w:rsid w:val="00EC2FA7"/>
    <w:rsid w:val="00EC331B"/>
    <w:rsid w:val="00EC3393"/>
    <w:rsid w:val="00EC3443"/>
    <w:rsid w:val="00EC345E"/>
    <w:rsid w:val="00EC349B"/>
    <w:rsid w:val="00EC3610"/>
    <w:rsid w:val="00EC3611"/>
    <w:rsid w:val="00EC3631"/>
    <w:rsid w:val="00EC3AD5"/>
    <w:rsid w:val="00EC3FDB"/>
    <w:rsid w:val="00EC404B"/>
    <w:rsid w:val="00EC456D"/>
    <w:rsid w:val="00EC509D"/>
    <w:rsid w:val="00EC5149"/>
    <w:rsid w:val="00EC52E0"/>
    <w:rsid w:val="00EC5457"/>
    <w:rsid w:val="00EC5461"/>
    <w:rsid w:val="00EC55C4"/>
    <w:rsid w:val="00EC5916"/>
    <w:rsid w:val="00EC5951"/>
    <w:rsid w:val="00EC5954"/>
    <w:rsid w:val="00EC5C43"/>
    <w:rsid w:val="00EC6762"/>
    <w:rsid w:val="00EC68E4"/>
    <w:rsid w:val="00EC6DC5"/>
    <w:rsid w:val="00EC6E86"/>
    <w:rsid w:val="00EC6F2B"/>
    <w:rsid w:val="00EC7065"/>
    <w:rsid w:val="00EC733A"/>
    <w:rsid w:val="00EC7380"/>
    <w:rsid w:val="00EC73C2"/>
    <w:rsid w:val="00EC7655"/>
    <w:rsid w:val="00EC769C"/>
    <w:rsid w:val="00EC7766"/>
    <w:rsid w:val="00EC77AE"/>
    <w:rsid w:val="00EC7A89"/>
    <w:rsid w:val="00EC7DC1"/>
    <w:rsid w:val="00ED0178"/>
    <w:rsid w:val="00ED024B"/>
    <w:rsid w:val="00ED0647"/>
    <w:rsid w:val="00ED064F"/>
    <w:rsid w:val="00ED079E"/>
    <w:rsid w:val="00ED07C4"/>
    <w:rsid w:val="00ED0937"/>
    <w:rsid w:val="00ED0A30"/>
    <w:rsid w:val="00ED0BD1"/>
    <w:rsid w:val="00ED1645"/>
    <w:rsid w:val="00ED1907"/>
    <w:rsid w:val="00ED1A8D"/>
    <w:rsid w:val="00ED1D50"/>
    <w:rsid w:val="00ED1E31"/>
    <w:rsid w:val="00ED20B8"/>
    <w:rsid w:val="00ED2556"/>
    <w:rsid w:val="00ED2754"/>
    <w:rsid w:val="00ED2789"/>
    <w:rsid w:val="00ED2A1C"/>
    <w:rsid w:val="00ED2ACA"/>
    <w:rsid w:val="00ED2AFA"/>
    <w:rsid w:val="00ED2F6B"/>
    <w:rsid w:val="00ED3193"/>
    <w:rsid w:val="00ED31B4"/>
    <w:rsid w:val="00ED345E"/>
    <w:rsid w:val="00ED3713"/>
    <w:rsid w:val="00ED385A"/>
    <w:rsid w:val="00ED3B82"/>
    <w:rsid w:val="00ED3BA3"/>
    <w:rsid w:val="00ED3BA8"/>
    <w:rsid w:val="00ED3EE7"/>
    <w:rsid w:val="00ED418E"/>
    <w:rsid w:val="00ED42E8"/>
    <w:rsid w:val="00ED475B"/>
    <w:rsid w:val="00ED47BB"/>
    <w:rsid w:val="00ED47CC"/>
    <w:rsid w:val="00ED484E"/>
    <w:rsid w:val="00ED4A77"/>
    <w:rsid w:val="00ED4B1B"/>
    <w:rsid w:val="00ED4C7E"/>
    <w:rsid w:val="00ED4EC9"/>
    <w:rsid w:val="00ED4ED6"/>
    <w:rsid w:val="00ED54F5"/>
    <w:rsid w:val="00ED5753"/>
    <w:rsid w:val="00ED5857"/>
    <w:rsid w:val="00ED5865"/>
    <w:rsid w:val="00ED59E7"/>
    <w:rsid w:val="00ED5EC3"/>
    <w:rsid w:val="00ED6374"/>
    <w:rsid w:val="00ED6755"/>
    <w:rsid w:val="00ED698C"/>
    <w:rsid w:val="00ED6B0F"/>
    <w:rsid w:val="00ED6C81"/>
    <w:rsid w:val="00ED6DC4"/>
    <w:rsid w:val="00ED7365"/>
    <w:rsid w:val="00ED737B"/>
    <w:rsid w:val="00ED76B1"/>
    <w:rsid w:val="00ED78F4"/>
    <w:rsid w:val="00ED794A"/>
    <w:rsid w:val="00ED7B53"/>
    <w:rsid w:val="00ED7B7C"/>
    <w:rsid w:val="00ED7E5C"/>
    <w:rsid w:val="00EE02E8"/>
    <w:rsid w:val="00EE0363"/>
    <w:rsid w:val="00EE037B"/>
    <w:rsid w:val="00EE038A"/>
    <w:rsid w:val="00EE04E2"/>
    <w:rsid w:val="00EE09BC"/>
    <w:rsid w:val="00EE0E90"/>
    <w:rsid w:val="00EE1090"/>
    <w:rsid w:val="00EE1241"/>
    <w:rsid w:val="00EE13F5"/>
    <w:rsid w:val="00EE15E5"/>
    <w:rsid w:val="00EE217B"/>
    <w:rsid w:val="00EE21E3"/>
    <w:rsid w:val="00EE23BB"/>
    <w:rsid w:val="00EE2802"/>
    <w:rsid w:val="00EE2824"/>
    <w:rsid w:val="00EE284C"/>
    <w:rsid w:val="00EE2859"/>
    <w:rsid w:val="00EE2A7F"/>
    <w:rsid w:val="00EE2E3D"/>
    <w:rsid w:val="00EE2F49"/>
    <w:rsid w:val="00EE30AF"/>
    <w:rsid w:val="00EE324D"/>
    <w:rsid w:val="00EE33DC"/>
    <w:rsid w:val="00EE3491"/>
    <w:rsid w:val="00EE35F5"/>
    <w:rsid w:val="00EE3897"/>
    <w:rsid w:val="00EE3CAB"/>
    <w:rsid w:val="00EE3D60"/>
    <w:rsid w:val="00EE3DE6"/>
    <w:rsid w:val="00EE408F"/>
    <w:rsid w:val="00EE4385"/>
    <w:rsid w:val="00EE464C"/>
    <w:rsid w:val="00EE4B33"/>
    <w:rsid w:val="00EE4B92"/>
    <w:rsid w:val="00EE4CA6"/>
    <w:rsid w:val="00EE4D02"/>
    <w:rsid w:val="00EE4D69"/>
    <w:rsid w:val="00EE4DAA"/>
    <w:rsid w:val="00EE4EE8"/>
    <w:rsid w:val="00EE553F"/>
    <w:rsid w:val="00EE55F9"/>
    <w:rsid w:val="00EE56DE"/>
    <w:rsid w:val="00EE579A"/>
    <w:rsid w:val="00EE5881"/>
    <w:rsid w:val="00EE5903"/>
    <w:rsid w:val="00EE5A1A"/>
    <w:rsid w:val="00EE5A83"/>
    <w:rsid w:val="00EE5D8E"/>
    <w:rsid w:val="00EE610D"/>
    <w:rsid w:val="00EE61F7"/>
    <w:rsid w:val="00EE63BA"/>
    <w:rsid w:val="00EE675E"/>
    <w:rsid w:val="00EE681D"/>
    <w:rsid w:val="00EE694F"/>
    <w:rsid w:val="00EE6BD0"/>
    <w:rsid w:val="00EE6C77"/>
    <w:rsid w:val="00EE6D0F"/>
    <w:rsid w:val="00EE6D65"/>
    <w:rsid w:val="00EE6FD1"/>
    <w:rsid w:val="00EE7050"/>
    <w:rsid w:val="00EE7083"/>
    <w:rsid w:val="00EE708F"/>
    <w:rsid w:val="00EE7096"/>
    <w:rsid w:val="00EE7327"/>
    <w:rsid w:val="00EE734A"/>
    <w:rsid w:val="00EE7358"/>
    <w:rsid w:val="00EE75DA"/>
    <w:rsid w:val="00EE7614"/>
    <w:rsid w:val="00EE7ABD"/>
    <w:rsid w:val="00EE7DE0"/>
    <w:rsid w:val="00EE95F3"/>
    <w:rsid w:val="00EF0440"/>
    <w:rsid w:val="00EF0498"/>
    <w:rsid w:val="00EF05C3"/>
    <w:rsid w:val="00EF09B3"/>
    <w:rsid w:val="00EF09E5"/>
    <w:rsid w:val="00EF0BD7"/>
    <w:rsid w:val="00EF0CCA"/>
    <w:rsid w:val="00EF0ED6"/>
    <w:rsid w:val="00EF12F1"/>
    <w:rsid w:val="00EF1332"/>
    <w:rsid w:val="00EF1335"/>
    <w:rsid w:val="00EF1382"/>
    <w:rsid w:val="00EF167B"/>
    <w:rsid w:val="00EF1854"/>
    <w:rsid w:val="00EF1E20"/>
    <w:rsid w:val="00EF1E54"/>
    <w:rsid w:val="00EF222D"/>
    <w:rsid w:val="00EF2269"/>
    <w:rsid w:val="00EF2330"/>
    <w:rsid w:val="00EF237D"/>
    <w:rsid w:val="00EF262A"/>
    <w:rsid w:val="00EF26EC"/>
    <w:rsid w:val="00EF2758"/>
    <w:rsid w:val="00EF289E"/>
    <w:rsid w:val="00EF296C"/>
    <w:rsid w:val="00EF2D16"/>
    <w:rsid w:val="00EF2D29"/>
    <w:rsid w:val="00EF2E2F"/>
    <w:rsid w:val="00EF2FAC"/>
    <w:rsid w:val="00EF34EB"/>
    <w:rsid w:val="00EF38A6"/>
    <w:rsid w:val="00EF3CB4"/>
    <w:rsid w:val="00EF3DDC"/>
    <w:rsid w:val="00EF3F8B"/>
    <w:rsid w:val="00EF41FF"/>
    <w:rsid w:val="00EF43AA"/>
    <w:rsid w:val="00EF43C5"/>
    <w:rsid w:val="00EF4C43"/>
    <w:rsid w:val="00EF4F94"/>
    <w:rsid w:val="00EF546E"/>
    <w:rsid w:val="00EF568C"/>
    <w:rsid w:val="00EF585D"/>
    <w:rsid w:val="00EF587F"/>
    <w:rsid w:val="00EF5B14"/>
    <w:rsid w:val="00EF5B45"/>
    <w:rsid w:val="00EF5BD4"/>
    <w:rsid w:val="00EF5C54"/>
    <w:rsid w:val="00EF5FFF"/>
    <w:rsid w:val="00EF623E"/>
    <w:rsid w:val="00EF6514"/>
    <w:rsid w:val="00EF65D6"/>
    <w:rsid w:val="00EF696C"/>
    <w:rsid w:val="00EF6A06"/>
    <w:rsid w:val="00EF6A47"/>
    <w:rsid w:val="00EF6A8D"/>
    <w:rsid w:val="00EF6D95"/>
    <w:rsid w:val="00EF6F69"/>
    <w:rsid w:val="00EF725B"/>
    <w:rsid w:val="00EF7302"/>
    <w:rsid w:val="00EF763B"/>
    <w:rsid w:val="00EF7858"/>
    <w:rsid w:val="00EF78D6"/>
    <w:rsid w:val="00EF7CFD"/>
    <w:rsid w:val="00EF7E95"/>
    <w:rsid w:val="00F001D5"/>
    <w:rsid w:val="00F0037C"/>
    <w:rsid w:val="00F00EAB"/>
    <w:rsid w:val="00F010EF"/>
    <w:rsid w:val="00F01493"/>
    <w:rsid w:val="00F01746"/>
    <w:rsid w:val="00F01798"/>
    <w:rsid w:val="00F01811"/>
    <w:rsid w:val="00F01869"/>
    <w:rsid w:val="00F0186D"/>
    <w:rsid w:val="00F01927"/>
    <w:rsid w:val="00F01991"/>
    <w:rsid w:val="00F0199C"/>
    <w:rsid w:val="00F01AD8"/>
    <w:rsid w:val="00F01BCF"/>
    <w:rsid w:val="00F01DA4"/>
    <w:rsid w:val="00F01FF7"/>
    <w:rsid w:val="00F02055"/>
    <w:rsid w:val="00F02081"/>
    <w:rsid w:val="00F020FA"/>
    <w:rsid w:val="00F021E4"/>
    <w:rsid w:val="00F021FD"/>
    <w:rsid w:val="00F02324"/>
    <w:rsid w:val="00F0233C"/>
    <w:rsid w:val="00F024AA"/>
    <w:rsid w:val="00F0258F"/>
    <w:rsid w:val="00F02608"/>
    <w:rsid w:val="00F026BA"/>
    <w:rsid w:val="00F02713"/>
    <w:rsid w:val="00F0271C"/>
    <w:rsid w:val="00F02915"/>
    <w:rsid w:val="00F02B0E"/>
    <w:rsid w:val="00F02E0C"/>
    <w:rsid w:val="00F02F15"/>
    <w:rsid w:val="00F032B3"/>
    <w:rsid w:val="00F0340C"/>
    <w:rsid w:val="00F0347C"/>
    <w:rsid w:val="00F034A8"/>
    <w:rsid w:val="00F037B7"/>
    <w:rsid w:val="00F0388F"/>
    <w:rsid w:val="00F03938"/>
    <w:rsid w:val="00F03FEC"/>
    <w:rsid w:val="00F040B5"/>
    <w:rsid w:val="00F0433E"/>
    <w:rsid w:val="00F04479"/>
    <w:rsid w:val="00F0468F"/>
    <w:rsid w:val="00F04732"/>
    <w:rsid w:val="00F04757"/>
    <w:rsid w:val="00F048CF"/>
    <w:rsid w:val="00F04E7B"/>
    <w:rsid w:val="00F050E6"/>
    <w:rsid w:val="00F057F8"/>
    <w:rsid w:val="00F059E3"/>
    <w:rsid w:val="00F05EBF"/>
    <w:rsid w:val="00F05FCA"/>
    <w:rsid w:val="00F06723"/>
    <w:rsid w:val="00F067B9"/>
    <w:rsid w:val="00F0685E"/>
    <w:rsid w:val="00F06911"/>
    <w:rsid w:val="00F06A66"/>
    <w:rsid w:val="00F06C02"/>
    <w:rsid w:val="00F06CE3"/>
    <w:rsid w:val="00F06F4F"/>
    <w:rsid w:val="00F0717D"/>
    <w:rsid w:val="00F07308"/>
    <w:rsid w:val="00F074C3"/>
    <w:rsid w:val="00F075F2"/>
    <w:rsid w:val="00F07801"/>
    <w:rsid w:val="00F0784D"/>
    <w:rsid w:val="00F078C8"/>
    <w:rsid w:val="00F07CEC"/>
    <w:rsid w:val="00F1007F"/>
    <w:rsid w:val="00F1054E"/>
    <w:rsid w:val="00F105A1"/>
    <w:rsid w:val="00F109D8"/>
    <w:rsid w:val="00F10BA4"/>
    <w:rsid w:val="00F10FF9"/>
    <w:rsid w:val="00F11281"/>
    <w:rsid w:val="00F112DE"/>
    <w:rsid w:val="00F112E0"/>
    <w:rsid w:val="00F11477"/>
    <w:rsid w:val="00F11556"/>
    <w:rsid w:val="00F11581"/>
    <w:rsid w:val="00F115B6"/>
    <w:rsid w:val="00F1170C"/>
    <w:rsid w:val="00F118B7"/>
    <w:rsid w:val="00F11BD1"/>
    <w:rsid w:val="00F11D51"/>
    <w:rsid w:val="00F12840"/>
    <w:rsid w:val="00F1320C"/>
    <w:rsid w:val="00F13309"/>
    <w:rsid w:val="00F13400"/>
    <w:rsid w:val="00F13759"/>
    <w:rsid w:val="00F13A98"/>
    <w:rsid w:val="00F13C39"/>
    <w:rsid w:val="00F140C1"/>
    <w:rsid w:val="00F14346"/>
    <w:rsid w:val="00F14877"/>
    <w:rsid w:val="00F14BF9"/>
    <w:rsid w:val="00F14EE2"/>
    <w:rsid w:val="00F14FA3"/>
    <w:rsid w:val="00F150DE"/>
    <w:rsid w:val="00F15174"/>
    <w:rsid w:val="00F152B4"/>
    <w:rsid w:val="00F152DF"/>
    <w:rsid w:val="00F152E8"/>
    <w:rsid w:val="00F1572D"/>
    <w:rsid w:val="00F15A4F"/>
    <w:rsid w:val="00F15B3C"/>
    <w:rsid w:val="00F16137"/>
    <w:rsid w:val="00F16195"/>
    <w:rsid w:val="00F164E0"/>
    <w:rsid w:val="00F1679D"/>
    <w:rsid w:val="00F16A5B"/>
    <w:rsid w:val="00F1701F"/>
    <w:rsid w:val="00F171CD"/>
    <w:rsid w:val="00F17248"/>
    <w:rsid w:val="00F172AB"/>
    <w:rsid w:val="00F17794"/>
    <w:rsid w:val="00F17972"/>
    <w:rsid w:val="00F17B07"/>
    <w:rsid w:val="00F17CFB"/>
    <w:rsid w:val="00F2018F"/>
    <w:rsid w:val="00F20353"/>
    <w:rsid w:val="00F203F2"/>
    <w:rsid w:val="00F20414"/>
    <w:rsid w:val="00F20457"/>
    <w:rsid w:val="00F20540"/>
    <w:rsid w:val="00F20ACB"/>
    <w:rsid w:val="00F20B20"/>
    <w:rsid w:val="00F20BEC"/>
    <w:rsid w:val="00F20C60"/>
    <w:rsid w:val="00F20FC6"/>
    <w:rsid w:val="00F21062"/>
    <w:rsid w:val="00F2117A"/>
    <w:rsid w:val="00F211D3"/>
    <w:rsid w:val="00F2122C"/>
    <w:rsid w:val="00F2141B"/>
    <w:rsid w:val="00F21874"/>
    <w:rsid w:val="00F219FE"/>
    <w:rsid w:val="00F21B01"/>
    <w:rsid w:val="00F21F6B"/>
    <w:rsid w:val="00F22291"/>
    <w:rsid w:val="00F2262A"/>
    <w:rsid w:val="00F227B0"/>
    <w:rsid w:val="00F2287C"/>
    <w:rsid w:val="00F228C8"/>
    <w:rsid w:val="00F22AA2"/>
    <w:rsid w:val="00F22B2A"/>
    <w:rsid w:val="00F22DE5"/>
    <w:rsid w:val="00F22FAE"/>
    <w:rsid w:val="00F23233"/>
    <w:rsid w:val="00F23609"/>
    <w:rsid w:val="00F236F7"/>
    <w:rsid w:val="00F23792"/>
    <w:rsid w:val="00F238C9"/>
    <w:rsid w:val="00F239CA"/>
    <w:rsid w:val="00F23A58"/>
    <w:rsid w:val="00F23C68"/>
    <w:rsid w:val="00F2415B"/>
    <w:rsid w:val="00F24218"/>
    <w:rsid w:val="00F2495D"/>
    <w:rsid w:val="00F24C61"/>
    <w:rsid w:val="00F25368"/>
    <w:rsid w:val="00F25529"/>
    <w:rsid w:val="00F25596"/>
    <w:rsid w:val="00F25662"/>
    <w:rsid w:val="00F259A0"/>
    <w:rsid w:val="00F25A9B"/>
    <w:rsid w:val="00F25B20"/>
    <w:rsid w:val="00F25D82"/>
    <w:rsid w:val="00F25E33"/>
    <w:rsid w:val="00F2612A"/>
    <w:rsid w:val="00F262E7"/>
    <w:rsid w:val="00F2660D"/>
    <w:rsid w:val="00F26823"/>
    <w:rsid w:val="00F26E6F"/>
    <w:rsid w:val="00F27307"/>
    <w:rsid w:val="00F2739A"/>
    <w:rsid w:val="00F2745A"/>
    <w:rsid w:val="00F27644"/>
    <w:rsid w:val="00F277B9"/>
    <w:rsid w:val="00F277EC"/>
    <w:rsid w:val="00F278A4"/>
    <w:rsid w:val="00F278AD"/>
    <w:rsid w:val="00F279AA"/>
    <w:rsid w:val="00F27A75"/>
    <w:rsid w:val="00F27DC2"/>
    <w:rsid w:val="00F27F27"/>
    <w:rsid w:val="00F304CB"/>
    <w:rsid w:val="00F305F7"/>
    <w:rsid w:val="00F30A79"/>
    <w:rsid w:val="00F30B07"/>
    <w:rsid w:val="00F30CA8"/>
    <w:rsid w:val="00F30D3E"/>
    <w:rsid w:val="00F30E4A"/>
    <w:rsid w:val="00F30F63"/>
    <w:rsid w:val="00F30FCB"/>
    <w:rsid w:val="00F3110B"/>
    <w:rsid w:val="00F3142C"/>
    <w:rsid w:val="00F314D8"/>
    <w:rsid w:val="00F3157A"/>
    <w:rsid w:val="00F3166A"/>
    <w:rsid w:val="00F31855"/>
    <w:rsid w:val="00F31B27"/>
    <w:rsid w:val="00F31C78"/>
    <w:rsid w:val="00F31E90"/>
    <w:rsid w:val="00F326C1"/>
    <w:rsid w:val="00F332C7"/>
    <w:rsid w:val="00F335F2"/>
    <w:rsid w:val="00F33673"/>
    <w:rsid w:val="00F33774"/>
    <w:rsid w:val="00F33822"/>
    <w:rsid w:val="00F33840"/>
    <w:rsid w:val="00F3399D"/>
    <w:rsid w:val="00F33B05"/>
    <w:rsid w:val="00F33D00"/>
    <w:rsid w:val="00F33D42"/>
    <w:rsid w:val="00F3427D"/>
    <w:rsid w:val="00F34A9D"/>
    <w:rsid w:val="00F34AF8"/>
    <w:rsid w:val="00F34CD6"/>
    <w:rsid w:val="00F34FAB"/>
    <w:rsid w:val="00F3539D"/>
    <w:rsid w:val="00F35648"/>
    <w:rsid w:val="00F3564C"/>
    <w:rsid w:val="00F3687C"/>
    <w:rsid w:val="00F3696D"/>
    <w:rsid w:val="00F36A8C"/>
    <w:rsid w:val="00F36AC8"/>
    <w:rsid w:val="00F37056"/>
    <w:rsid w:val="00F3719B"/>
    <w:rsid w:val="00F37259"/>
    <w:rsid w:val="00F37A86"/>
    <w:rsid w:val="00F37B46"/>
    <w:rsid w:val="00F37BDA"/>
    <w:rsid w:val="00F37F5D"/>
    <w:rsid w:val="00F403D5"/>
    <w:rsid w:val="00F4041D"/>
    <w:rsid w:val="00F4070D"/>
    <w:rsid w:val="00F4087D"/>
    <w:rsid w:val="00F40E3B"/>
    <w:rsid w:val="00F40FAC"/>
    <w:rsid w:val="00F4112C"/>
    <w:rsid w:val="00F41249"/>
    <w:rsid w:val="00F41553"/>
    <w:rsid w:val="00F415CA"/>
    <w:rsid w:val="00F417A5"/>
    <w:rsid w:val="00F4180C"/>
    <w:rsid w:val="00F418F5"/>
    <w:rsid w:val="00F41D04"/>
    <w:rsid w:val="00F41E28"/>
    <w:rsid w:val="00F421A2"/>
    <w:rsid w:val="00F422A1"/>
    <w:rsid w:val="00F42381"/>
    <w:rsid w:val="00F424C7"/>
    <w:rsid w:val="00F425F8"/>
    <w:rsid w:val="00F42675"/>
    <w:rsid w:val="00F4278C"/>
    <w:rsid w:val="00F4293C"/>
    <w:rsid w:val="00F42AB5"/>
    <w:rsid w:val="00F42C8D"/>
    <w:rsid w:val="00F42F77"/>
    <w:rsid w:val="00F4327C"/>
    <w:rsid w:val="00F432BC"/>
    <w:rsid w:val="00F4366B"/>
    <w:rsid w:val="00F437A3"/>
    <w:rsid w:val="00F43835"/>
    <w:rsid w:val="00F439A0"/>
    <w:rsid w:val="00F43CD3"/>
    <w:rsid w:val="00F43DE6"/>
    <w:rsid w:val="00F43F14"/>
    <w:rsid w:val="00F4400F"/>
    <w:rsid w:val="00F440BE"/>
    <w:rsid w:val="00F44105"/>
    <w:rsid w:val="00F443B0"/>
    <w:rsid w:val="00F44454"/>
    <w:rsid w:val="00F444C5"/>
    <w:rsid w:val="00F446B1"/>
    <w:rsid w:val="00F44803"/>
    <w:rsid w:val="00F44BFB"/>
    <w:rsid w:val="00F44F66"/>
    <w:rsid w:val="00F4557F"/>
    <w:rsid w:val="00F4576F"/>
    <w:rsid w:val="00F45850"/>
    <w:rsid w:val="00F45B39"/>
    <w:rsid w:val="00F45E32"/>
    <w:rsid w:val="00F45EBA"/>
    <w:rsid w:val="00F46361"/>
    <w:rsid w:val="00F46848"/>
    <w:rsid w:val="00F4684C"/>
    <w:rsid w:val="00F46898"/>
    <w:rsid w:val="00F468EE"/>
    <w:rsid w:val="00F469C6"/>
    <w:rsid w:val="00F46D51"/>
    <w:rsid w:val="00F46E70"/>
    <w:rsid w:val="00F46ECD"/>
    <w:rsid w:val="00F47027"/>
    <w:rsid w:val="00F4716B"/>
    <w:rsid w:val="00F471C9"/>
    <w:rsid w:val="00F47204"/>
    <w:rsid w:val="00F472C1"/>
    <w:rsid w:val="00F473E5"/>
    <w:rsid w:val="00F4742D"/>
    <w:rsid w:val="00F47451"/>
    <w:rsid w:val="00F4759B"/>
    <w:rsid w:val="00F47907"/>
    <w:rsid w:val="00F47AA6"/>
    <w:rsid w:val="00F47ADC"/>
    <w:rsid w:val="00F47F25"/>
    <w:rsid w:val="00F47FD8"/>
    <w:rsid w:val="00F5032A"/>
    <w:rsid w:val="00F50458"/>
    <w:rsid w:val="00F5060C"/>
    <w:rsid w:val="00F507E9"/>
    <w:rsid w:val="00F50951"/>
    <w:rsid w:val="00F509BB"/>
    <w:rsid w:val="00F509F1"/>
    <w:rsid w:val="00F50BDC"/>
    <w:rsid w:val="00F50D90"/>
    <w:rsid w:val="00F50F8D"/>
    <w:rsid w:val="00F50F9E"/>
    <w:rsid w:val="00F50FD3"/>
    <w:rsid w:val="00F51219"/>
    <w:rsid w:val="00F5130C"/>
    <w:rsid w:val="00F51524"/>
    <w:rsid w:val="00F5152E"/>
    <w:rsid w:val="00F5160E"/>
    <w:rsid w:val="00F51730"/>
    <w:rsid w:val="00F51AD4"/>
    <w:rsid w:val="00F51FB6"/>
    <w:rsid w:val="00F5209E"/>
    <w:rsid w:val="00F523FC"/>
    <w:rsid w:val="00F524EF"/>
    <w:rsid w:val="00F52518"/>
    <w:rsid w:val="00F5272C"/>
    <w:rsid w:val="00F52767"/>
    <w:rsid w:val="00F52D56"/>
    <w:rsid w:val="00F52DA4"/>
    <w:rsid w:val="00F52E8E"/>
    <w:rsid w:val="00F52F84"/>
    <w:rsid w:val="00F53145"/>
    <w:rsid w:val="00F53148"/>
    <w:rsid w:val="00F53188"/>
    <w:rsid w:val="00F535D8"/>
    <w:rsid w:val="00F536BF"/>
    <w:rsid w:val="00F537EB"/>
    <w:rsid w:val="00F5428D"/>
    <w:rsid w:val="00F546DC"/>
    <w:rsid w:val="00F54969"/>
    <w:rsid w:val="00F54985"/>
    <w:rsid w:val="00F549C8"/>
    <w:rsid w:val="00F54F0F"/>
    <w:rsid w:val="00F54F44"/>
    <w:rsid w:val="00F55147"/>
    <w:rsid w:val="00F5521D"/>
    <w:rsid w:val="00F552A2"/>
    <w:rsid w:val="00F553CF"/>
    <w:rsid w:val="00F5540E"/>
    <w:rsid w:val="00F556F4"/>
    <w:rsid w:val="00F55746"/>
    <w:rsid w:val="00F559CE"/>
    <w:rsid w:val="00F55A3D"/>
    <w:rsid w:val="00F55C0E"/>
    <w:rsid w:val="00F55DAB"/>
    <w:rsid w:val="00F55F29"/>
    <w:rsid w:val="00F561EE"/>
    <w:rsid w:val="00F56278"/>
    <w:rsid w:val="00F56398"/>
    <w:rsid w:val="00F564A1"/>
    <w:rsid w:val="00F56E13"/>
    <w:rsid w:val="00F5716E"/>
    <w:rsid w:val="00F5728D"/>
    <w:rsid w:val="00F576C5"/>
    <w:rsid w:val="00F57804"/>
    <w:rsid w:val="00F5793E"/>
    <w:rsid w:val="00F57AD2"/>
    <w:rsid w:val="00F57B91"/>
    <w:rsid w:val="00F57EC7"/>
    <w:rsid w:val="00F60631"/>
    <w:rsid w:val="00F606C7"/>
    <w:rsid w:val="00F6099B"/>
    <w:rsid w:val="00F60F43"/>
    <w:rsid w:val="00F6116C"/>
    <w:rsid w:val="00F613E8"/>
    <w:rsid w:val="00F614AA"/>
    <w:rsid w:val="00F616F6"/>
    <w:rsid w:val="00F624B3"/>
    <w:rsid w:val="00F6251D"/>
    <w:rsid w:val="00F62924"/>
    <w:rsid w:val="00F62A11"/>
    <w:rsid w:val="00F62E45"/>
    <w:rsid w:val="00F63032"/>
    <w:rsid w:val="00F63033"/>
    <w:rsid w:val="00F632B4"/>
    <w:rsid w:val="00F633E3"/>
    <w:rsid w:val="00F63690"/>
    <w:rsid w:val="00F636EC"/>
    <w:rsid w:val="00F63799"/>
    <w:rsid w:val="00F63A61"/>
    <w:rsid w:val="00F63AAA"/>
    <w:rsid w:val="00F63E71"/>
    <w:rsid w:val="00F63FAC"/>
    <w:rsid w:val="00F64089"/>
    <w:rsid w:val="00F642F0"/>
    <w:rsid w:val="00F64317"/>
    <w:rsid w:val="00F644BC"/>
    <w:rsid w:val="00F645F1"/>
    <w:rsid w:val="00F64721"/>
    <w:rsid w:val="00F647E1"/>
    <w:rsid w:val="00F64A30"/>
    <w:rsid w:val="00F64B82"/>
    <w:rsid w:val="00F64BA3"/>
    <w:rsid w:val="00F64F06"/>
    <w:rsid w:val="00F64F17"/>
    <w:rsid w:val="00F6521D"/>
    <w:rsid w:val="00F65598"/>
    <w:rsid w:val="00F65A02"/>
    <w:rsid w:val="00F65A2C"/>
    <w:rsid w:val="00F65D2A"/>
    <w:rsid w:val="00F65DD8"/>
    <w:rsid w:val="00F65E81"/>
    <w:rsid w:val="00F65EE7"/>
    <w:rsid w:val="00F667DD"/>
    <w:rsid w:val="00F6692B"/>
    <w:rsid w:val="00F66B59"/>
    <w:rsid w:val="00F66CD8"/>
    <w:rsid w:val="00F66D88"/>
    <w:rsid w:val="00F673C8"/>
    <w:rsid w:val="00F67758"/>
    <w:rsid w:val="00F67B5E"/>
    <w:rsid w:val="00F67B83"/>
    <w:rsid w:val="00F67C0F"/>
    <w:rsid w:val="00F67D61"/>
    <w:rsid w:val="00F701A7"/>
    <w:rsid w:val="00F701DF"/>
    <w:rsid w:val="00F70528"/>
    <w:rsid w:val="00F706B4"/>
    <w:rsid w:val="00F70823"/>
    <w:rsid w:val="00F708E0"/>
    <w:rsid w:val="00F708F7"/>
    <w:rsid w:val="00F70C8D"/>
    <w:rsid w:val="00F70E23"/>
    <w:rsid w:val="00F70EBF"/>
    <w:rsid w:val="00F71227"/>
    <w:rsid w:val="00F71283"/>
    <w:rsid w:val="00F71286"/>
    <w:rsid w:val="00F712E1"/>
    <w:rsid w:val="00F71333"/>
    <w:rsid w:val="00F713B8"/>
    <w:rsid w:val="00F715AE"/>
    <w:rsid w:val="00F71BA3"/>
    <w:rsid w:val="00F71E57"/>
    <w:rsid w:val="00F71FA7"/>
    <w:rsid w:val="00F72201"/>
    <w:rsid w:val="00F72278"/>
    <w:rsid w:val="00F72290"/>
    <w:rsid w:val="00F7243E"/>
    <w:rsid w:val="00F724EA"/>
    <w:rsid w:val="00F724FA"/>
    <w:rsid w:val="00F72501"/>
    <w:rsid w:val="00F7265C"/>
    <w:rsid w:val="00F726AB"/>
    <w:rsid w:val="00F72909"/>
    <w:rsid w:val="00F72935"/>
    <w:rsid w:val="00F72B4B"/>
    <w:rsid w:val="00F72D27"/>
    <w:rsid w:val="00F72D92"/>
    <w:rsid w:val="00F73B82"/>
    <w:rsid w:val="00F73C02"/>
    <w:rsid w:val="00F73D4C"/>
    <w:rsid w:val="00F7405D"/>
    <w:rsid w:val="00F74113"/>
    <w:rsid w:val="00F7433B"/>
    <w:rsid w:val="00F7449C"/>
    <w:rsid w:val="00F748F2"/>
    <w:rsid w:val="00F74A26"/>
    <w:rsid w:val="00F74B8E"/>
    <w:rsid w:val="00F74C4C"/>
    <w:rsid w:val="00F74C9F"/>
    <w:rsid w:val="00F74DCD"/>
    <w:rsid w:val="00F74DF9"/>
    <w:rsid w:val="00F74FE3"/>
    <w:rsid w:val="00F75136"/>
    <w:rsid w:val="00F752EA"/>
    <w:rsid w:val="00F75552"/>
    <w:rsid w:val="00F75A03"/>
    <w:rsid w:val="00F75A2F"/>
    <w:rsid w:val="00F75A41"/>
    <w:rsid w:val="00F75A5F"/>
    <w:rsid w:val="00F75E5E"/>
    <w:rsid w:val="00F75F52"/>
    <w:rsid w:val="00F761C0"/>
    <w:rsid w:val="00F7647E"/>
    <w:rsid w:val="00F766E5"/>
    <w:rsid w:val="00F76C51"/>
    <w:rsid w:val="00F76E75"/>
    <w:rsid w:val="00F77119"/>
    <w:rsid w:val="00F772C1"/>
    <w:rsid w:val="00F77463"/>
    <w:rsid w:val="00F774EB"/>
    <w:rsid w:val="00F77911"/>
    <w:rsid w:val="00F77B2F"/>
    <w:rsid w:val="00F77BD6"/>
    <w:rsid w:val="00F77CAB"/>
    <w:rsid w:val="00F77F7A"/>
    <w:rsid w:val="00F80013"/>
    <w:rsid w:val="00F80527"/>
    <w:rsid w:val="00F8071D"/>
    <w:rsid w:val="00F808B8"/>
    <w:rsid w:val="00F80A65"/>
    <w:rsid w:val="00F80A7D"/>
    <w:rsid w:val="00F80C08"/>
    <w:rsid w:val="00F80E86"/>
    <w:rsid w:val="00F81076"/>
    <w:rsid w:val="00F817D5"/>
    <w:rsid w:val="00F81B10"/>
    <w:rsid w:val="00F81D3C"/>
    <w:rsid w:val="00F81E51"/>
    <w:rsid w:val="00F81F76"/>
    <w:rsid w:val="00F82211"/>
    <w:rsid w:val="00F82459"/>
    <w:rsid w:val="00F82487"/>
    <w:rsid w:val="00F824C3"/>
    <w:rsid w:val="00F824D2"/>
    <w:rsid w:val="00F82533"/>
    <w:rsid w:val="00F828C6"/>
    <w:rsid w:val="00F82B09"/>
    <w:rsid w:val="00F82C75"/>
    <w:rsid w:val="00F82D63"/>
    <w:rsid w:val="00F82F34"/>
    <w:rsid w:val="00F83424"/>
    <w:rsid w:val="00F836FD"/>
    <w:rsid w:val="00F8377C"/>
    <w:rsid w:val="00F83CB9"/>
    <w:rsid w:val="00F84255"/>
    <w:rsid w:val="00F843B2"/>
    <w:rsid w:val="00F84428"/>
    <w:rsid w:val="00F84AD2"/>
    <w:rsid w:val="00F84CE3"/>
    <w:rsid w:val="00F84D84"/>
    <w:rsid w:val="00F84DF1"/>
    <w:rsid w:val="00F84F27"/>
    <w:rsid w:val="00F8505B"/>
    <w:rsid w:val="00F850A1"/>
    <w:rsid w:val="00F8516F"/>
    <w:rsid w:val="00F85406"/>
    <w:rsid w:val="00F85474"/>
    <w:rsid w:val="00F854D9"/>
    <w:rsid w:val="00F85588"/>
    <w:rsid w:val="00F855D7"/>
    <w:rsid w:val="00F85978"/>
    <w:rsid w:val="00F85A63"/>
    <w:rsid w:val="00F85CD0"/>
    <w:rsid w:val="00F85D5D"/>
    <w:rsid w:val="00F85F9E"/>
    <w:rsid w:val="00F860CF"/>
    <w:rsid w:val="00F86330"/>
    <w:rsid w:val="00F86A3D"/>
    <w:rsid w:val="00F87197"/>
    <w:rsid w:val="00F87247"/>
    <w:rsid w:val="00F8744D"/>
    <w:rsid w:val="00F8773C"/>
    <w:rsid w:val="00F8796F"/>
    <w:rsid w:val="00F87B1D"/>
    <w:rsid w:val="00F87CD5"/>
    <w:rsid w:val="00F87E95"/>
    <w:rsid w:val="00F87F33"/>
    <w:rsid w:val="00F87F3F"/>
    <w:rsid w:val="00F90189"/>
    <w:rsid w:val="00F907AD"/>
    <w:rsid w:val="00F90A8D"/>
    <w:rsid w:val="00F90EBA"/>
    <w:rsid w:val="00F910B9"/>
    <w:rsid w:val="00F910FB"/>
    <w:rsid w:val="00F91104"/>
    <w:rsid w:val="00F9111F"/>
    <w:rsid w:val="00F914BB"/>
    <w:rsid w:val="00F923C9"/>
    <w:rsid w:val="00F924A7"/>
    <w:rsid w:val="00F9296D"/>
    <w:rsid w:val="00F92A59"/>
    <w:rsid w:val="00F92E13"/>
    <w:rsid w:val="00F93587"/>
    <w:rsid w:val="00F9379D"/>
    <w:rsid w:val="00F93FEE"/>
    <w:rsid w:val="00F942E2"/>
    <w:rsid w:val="00F94389"/>
    <w:rsid w:val="00F94465"/>
    <w:rsid w:val="00F947D5"/>
    <w:rsid w:val="00F94920"/>
    <w:rsid w:val="00F9496F"/>
    <w:rsid w:val="00F94BD1"/>
    <w:rsid w:val="00F94C52"/>
    <w:rsid w:val="00F94C7E"/>
    <w:rsid w:val="00F94EDD"/>
    <w:rsid w:val="00F94F33"/>
    <w:rsid w:val="00F9531A"/>
    <w:rsid w:val="00F953CB"/>
    <w:rsid w:val="00F9592D"/>
    <w:rsid w:val="00F9662C"/>
    <w:rsid w:val="00F9670F"/>
    <w:rsid w:val="00F9678F"/>
    <w:rsid w:val="00F9686F"/>
    <w:rsid w:val="00F96EE8"/>
    <w:rsid w:val="00F970F4"/>
    <w:rsid w:val="00F971D7"/>
    <w:rsid w:val="00F975E4"/>
    <w:rsid w:val="00F976D0"/>
    <w:rsid w:val="00F9777C"/>
    <w:rsid w:val="00F97DCF"/>
    <w:rsid w:val="00F97E9C"/>
    <w:rsid w:val="00FA01D9"/>
    <w:rsid w:val="00FA0225"/>
    <w:rsid w:val="00FA0267"/>
    <w:rsid w:val="00FA055A"/>
    <w:rsid w:val="00FA084A"/>
    <w:rsid w:val="00FA08A0"/>
    <w:rsid w:val="00FA1473"/>
    <w:rsid w:val="00FA14D2"/>
    <w:rsid w:val="00FA1561"/>
    <w:rsid w:val="00FA1666"/>
    <w:rsid w:val="00FA19DD"/>
    <w:rsid w:val="00FA1F12"/>
    <w:rsid w:val="00FA1F66"/>
    <w:rsid w:val="00FA2226"/>
    <w:rsid w:val="00FA3055"/>
    <w:rsid w:val="00FA35BA"/>
    <w:rsid w:val="00FA38E1"/>
    <w:rsid w:val="00FA3A89"/>
    <w:rsid w:val="00FA3B32"/>
    <w:rsid w:val="00FA3B41"/>
    <w:rsid w:val="00FA3FB4"/>
    <w:rsid w:val="00FA461E"/>
    <w:rsid w:val="00FA47C2"/>
    <w:rsid w:val="00FA486D"/>
    <w:rsid w:val="00FA4C4C"/>
    <w:rsid w:val="00FA4E50"/>
    <w:rsid w:val="00FA4EA9"/>
    <w:rsid w:val="00FA4EEB"/>
    <w:rsid w:val="00FA5351"/>
    <w:rsid w:val="00FA558A"/>
    <w:rsid w:val="00FA5690"/>
    <w:rsid w:val="00FA5746"/>
    <w:rsid w:val="00FA597F"/>
    <w:rsid w:val="00FA5B53"/>
    <w:rsid w:val="00FA5EB8"/>
    <w:rsid w:val="00FA6049"/>
    <w:rsid w:val="00FA60C8"/>
    <w:rsid w:val="00FA61D6"/>
    <w:rsid w:val="00FA64C8"/>
    <w:rsid w:val="00FA6891"/>
    <w:rsid w:val="00FA6F98"/>
    <w:rsid w:val="00FA71AD"/>
    <w:rsid w:val="00FA7522"/>
    <w:rsid w:val="00FA7D08"/>
    <w:rsid w:val="00FA7D2E"/>
    <w:rsid w:val="00FA7F7C"/>
    <w:rsid w:val="00FB00D0"/>
    <w:rsid w:val="00FB03D4"/>
    <w:rsid w:val="00FB04D8"/>
    <w:rsid w:val="00FB09FD"/>
    <w:rsid w:val="00FB0A43"/>
    <w:rsid w:val="00FB0D10"/>
    <w:rsid w:val="00FB0EB1"/>
    <w:rsid w:val="00FB127D"/>
    <w:rsid w:val="00FB158A"/>
    <w:rsid w:val="00FB1764"/>
    <w:rsid w:val="00FB17E3"/>
    <w:rsid w:val="00FB187A"/>
    <w:rsid w:val="00FB1F58"/>
    <w:rsid w:val="00FB1FE0"/>
    <w:rsid w:val="00FB21EB"/>
    <w:rsid w:val="00FB2388"/>
    <w:rsid w:val="00FB26AB"/>
    <w:rsid w:val="00FB2939"/>
    <w:rsid w:val="00FB2B53"/>
    <w:rsid w:val="00FB2C82"/>
    <w:rsid w:val="00FB2DC1"/>
    <w:rsid w:val="00FB310B"/>
    <w:rsid w:val="00FB31FC"/>
    <w:rsid w:val="00FB3983"/>
    <w:rsid w:val="00FB3A0A"/>
    <w:rsid w:val="00FB3B42"/>
    <w:rsid w:val="00FB3BBE"/>
    <w:rsid w:val="00FB3BFF"/>
    <w:rsid w:val="00FB3D2E"/>
    <w:rsid w:val="00FB3E18"/>
    <w:rsid w:val="00FB3E54"/>
    <w:rsid w:val="00FB3F39"/>
    <w:rsid w:val="00FB4151"/>
    <w:rsid w:val="00FB4367"/>
    <w:rsid w:val="00FB443B"/>
    <w:rsid w:val="00FB47FA"/>
    <w:rsid w:val="00FB53BB"/>
    <w:rsid w:val="00FB553B"/>
    <w:rsid w:val="00FB5C7D"/>
    <w:rsid w:val="00FB5C8B"/>
    <w:rsid w:val="00FB5C93"/>
    <w:rsid w:val="00FB5D47"/>
    <w:rsid w:val="00FB60F2"/>
    <w:rsid w:val="00FB6439"/>
    <w:rsid w:val="00FB652D"/>
    <w:rsid w:val="00FB6716"/>
    <w:rsid w:val="00FB6730"/>
    <w:rsid w:val="00FB6850"/>
    <w:rsid w:val="00FB6D73"/>
    <w:rsid w:val="00FB6E6A"/>
    <w:rsid w:val="00FB73A3"/>
    <w:rsid w:val="00FB7579"/>
    <w:rsid w:val="00FB772B"/>
    <w:rsid w:val="00FB79DF"/>
    <w:rsid w:val="00FB7A64"/>
    <w:rsid w:val="00FB7CDB"/>
    <w:rsid w:val="00FB7DD4"/>
    <w:rsid w:val="00FB7FC4"/>
    <w:rsid w:val="00FC006C"/>
    <w:rsid w:val="00FC0743"/>
    <w:rsid w:val="00FC0834"/>
    <w:rsid w:val="00FC0F39"/>
    <w:rsid w:val="00FC0FCC"/>
    <w:rsid w:val="00FC12AB"/>
    <w:rsid w:val="00FC12BC"/>
    <w:rsid w:val="00FC1E7F"/>
    <w:rsid w:val="00FC2012"/>
    <w:rsid w:val="00FC20A7"/>
    <w:rsid w:val="00FC280D"/>
    <w:rsid w:val="00FC28D6"/>
    <w:rsid w:val="00FC2B52"/>
    <w:rsid w:val="00FC2CB2"/>
    <w:rsid w:val="00FC2D6E"/>
    <w:rsid w:val="00FC2EAB"/>
    <w:rsid w:val="00FC2FF3"/>
    <w:rsid w:val="00FC302D"/>
    <w:rsid w:val="00FC33FA"/>
    <w:rsid w:val="00FC35C6"/>
    <w:rsid w:val="00FC35DF"/>
    <w:rsid w:val="00FC3783"/>
    <w:rsid w:val="00FC3931"/>
    <w:rsid w:val="00FC39DF"/>
    <w:rsid w:val="00FC3A16"/>
    <w:rsid w:val="00FC3CB3"/>
    <w:rsid w:val="00FC4682"/>
    <w:rsid w:val="00FC471E"/>
    <w:rsid w:val="00FC48E3"/>
    <w:rsid w:val="00FC4A09"/>
    <w:rsid w:val="00FC4B8C"/>
    <w:rsid w:val="00FC4C8A"/>
    <w:rsid w:val="00FC5679"/>
    <w:rsid w:val="00FC5929"/>
    <w:rsid w:val="00FC5ACD"/>
    <w:rsid w:val="00FC5B5D"/>
    <w:rsid w:val="00FC5EA0"/>
    <w:rsid w:val="00FC6048"/>
    <w:rsid w:val="00FC61A1"/>
    <w:rsid w:val="00FC627B"/>
    <w:rsid w:val="00FC63D1"/>
    <w:rsid w:val="00FC6609"/>
    <w:rsid w:val="00FC6755"/>
    <w:rsid w:val="00FC69A5"/>
    <w:rsid w:val="00FC6A91"/>
    <w:rsid w:val="00FC6EFA"/>
    <w:rsid w:val="00FC7350"/>
    <w:rsid w:val="00FC74EF"/>
    <w:rsid w:val="00FC7542"/>
    <w:rsid w:val="00FD0195"/>
    <w:rsid w:val="00FD04C1"/>
    <w:rsid w:val="00FD0934"/>
    <w:rsid w:val="00FD09C9"/>
    <w:rsid w:val="00FD0A07"/>
    <w:rsid w:val="00FD0B1F"/>
    <w:rsid w:val="00FD12A2"/>
    <w:rsid w:val="00FD1458"/>
    <w:rsid w:val="00FD16C4"/>
    <w:rsid w:val="00FD1C4C"/>
    <w:rsid w:val="00FD1D16"/>
    <w:rsid w:val="00FD1E67"/>
    <w:rsid w:val="00FD2141"/>
    <w:rsid w:val="00FD25D5"/>
    <w:rsid w:val="00FD2B9B"/>
    <w:rsid w:val="00FD2BC3"/>
    <w:rsid w:val="00FD2D8D"/>
    <w:rsid w:val="00FD325D"/>
    <w:rsid w:val="00FD3718"/>
    <w:rsid w:val="00FD3B51"/>
    <w:rsid w:val="00FD3B88"/>
    <w:rsid w:val="00FD3D3D"/>
    <w:rsid w:val="00FD3E8E"/>
    <w:rsid w:val="00FD414A"/>
    <w:rsid w:val="00FD43AB"/>
    <w:rsid w:val="00FD4586"/>
    <w:rsid w:val="00FD45BA"/>
    <w:rsid w:val="00FD4687"/>
    <w:rsid w:val="00FD46EF"/>
    <w:rsid w:val="00FD48B7"/>
    <w:rsid w:val="00FD4B2B"/>
    <w:rsid w:val="00FD50CB"/>
    <w:rsid w:val="00FD5115"/>
    <w:rsid w:val="00FD53CC"/>
    <w:rsid w:val="00FD56AD"/>
    <w:rsid w:val="00FD57E9"/>
    <w:rsid w:val="00FD5815"/>
    <w:rsid w:val="00FD5A89"/>
    <w:rsid w:val="00FD5AA3"/>
    <w:rsid w:val="00FD5B26"/>
    <w:rsid w:val="00FD5B61"/>
    <w:rsid w:val="00FD5B68"/>
    <w:rsid w:val="00FD5DD6"/>
    <w:rsid w:val="00FD5E13"/>
    <w:rsid w:val="00FD6498"/>
    <w:rsid w:val="00FD650E"/>
    <w:rsid w:val="00FD6568"/>
    <w:rsid w:val="00FD6643"/>
    <w:rsid w:val="00FD6904"/>
    <w:rsid w:val="00FD6A69"/>
    <w:rsid w:val="00FD6B41"/>
    <w:rsid w:val="00FD6C6A"/>
    <w:rsid w:val="00FD6DF1"/>
    <w:rsid w:val="00FD6E14"/>
    <w:rsid w:val="00FD70CC"/>
    <w:rsid w:val="00FD728C"/>
    <w:rsid w:val="00FD7416"/>
    <w:rsid w:val="00FD771F"/>
    <w:rsid w:val="00FD77CD"/>
    <w:rsid w:val="00FD7998"/>
    <w:rsid w:val="00FE0356"/>
    <w:rsid w:val="00FE039B"/>
    <w:rsid w:val="00FE0535"/>
    <w:rsid w:val="00FE05E0"/>
    <w:rsid w:val="00FE0646"/>
    <w:rsid w:val="00FE0812"/>
    <w:rsid w:val="00FE0B59"/>
    <w:rsid w:val="00FE0BC7"/>
    <w:rsid w:val="00FE0E2E"/>
    <w:rsid w:val="00FE0F26"/>
    <w:rsid w:val="00FE1263"/>
    <w:rsid w:val="00FE1310"/>
    <w:rsid w:val="00FE17B5"/>
    <w:rsid w:val="00FE1880"/>
    <w:rsid w:val="00FE1990"/>
    <w:rsid w:val="00FE1A07"/>
    <w:rsid w:val="00FE1CEE"/>
    <w:rsid w:val="00FE226B"/>
    <w:rsid w:val="00FE288E"/>
    <w:rsid w:val="00FE29E9"/>
    <w:rsid w:val="00FE2AFE"/>
    <w:rsid w:val="00FE2CF5"/>
    <w:rsid w:val="00FE2E24"/>
    <w:rsid w:val="00FE304D"/>
    <w:rsid w:val="00FE30E8"/>
    <w:rsid w:val="00FE30F3"/>
    <w:rsid w:val="00FE3111"/>
    <w:rsid w:val="00FE31CD"/>
    <w:rsid w:val="00FE333F"/>
    <w:rsid w:val="00FE3A9D"/>
    <w:rsid w:val="00FE3CD8"/>
    <w:rsid w:val="00FE3DBA"/>
    <w:rsid w:val="00FE4580"/>
    <w:rsid w:val="00FE462E"/>
    <w:rsid w:val="00FE4964"/>
    <w:rsid w:val="00FE49FE"/>
    <w:rsid w:val="00FE4B90"/>
    <w:rsid w:val="00FE4C00"/>
    <w:rsid w:val="00FE4C11"/>
    <w:rsid w:val="00FE4D05"/>
    <w:rsid w:val="00FE4D30"/>
    <w:rsid w:val="00FE4E48"/>
    <w:rsid w:val="00FE4E94"/>
    <w:rsid w:val="00FE523F"/>
    <w:rsid w:val="00FE5252"/>
    <w:rsid w:val="00FE5407"/>
    <w:rsid w:val="00FE5454"/>
    <w:rsid w:val="00FE54EA"/>
    <w:rsid w:val="00FE57D4"/>
    <w:rsid w:val="00FE5C40"/>
    <w:rsid w:val="00FE5D0E"/>
    <w:rsid w:val="00FE5E76"/>
    <w:rsid w:val="00FE5EB1"/>
    <w:rsid w:val="00FE5FFE"/>
    <w:rsid w:val="00FE628E"/>
    <w:rsid w:val="00FE62BC"/>
    <w:rsid w:val="00FE62EA"/>
    <w:rsid w:val="00FE6341"/>
    <w:rsid w:val="00FE68A1"/>
    <w:rsid w:val="00FE69D3"/>
    <w:rsid w:val="00FE6E26"/>
    <w:rsid w:val="00FE76C5"/>
    <w:rsid w:val="00FE77B3"/>
    <w:rsid w:val="00FF0093"/>
    <w:rsid w:val="00FF009E"/>
    <w:rsid w:val="00FF01D7"/>
    <w:rsid w:val="00FF028E"/>
    <w:rsid w:val="00FF055F"/>
    <w:rsid w:val="00FF0593"/>
    <w:rsid w:val="00FF06CF"/>
    <w:rsid w:val="00FF0722"/>
    <w:rsid w:val="00FF097C"/>
    <w:rsid w:val="00FF09DB"/>
    <w:rsid w:val="00FF0A13"/>
    <w:rsid w:val="00FF10A7"/>
    <w:rsid w:val="00FF1258"/>
    <w:rsid w:val="00FF1794"/>
    <w:rsid w:val="00FF18F6"/>
    <w:rsid w:val="00FF1A39"/>
    <w:rsid w:val="00FF1AF1"/>
    <w:rsid w:val="00FF1BFA"/>
    <w:rsid w:val="00FF1E3E"/>
    <w:rsid w:val="00FF2396"/>
    <w:rsid w:val="00FF273F"/>
    <w:rsid w:val="00FF277B"/>
    <w:rsid w:val="00FF2788"/>
    <w:rsid w:val="00FF2D0C"/>
    <w:rsid w:val="00FF2D8B"/>
    <w:rsid w:val="00FF2E52"/>
    <w:rsid w:val="00FF2E70"/>
    <w:rsid w:val="00FF2E8C"/>
    <w:rsid w:val="00FF2F88"/>
    <w:rsid w:val="00FF3177"/>
    <w:rsid w:val="00FF386C"/>
    <w:rsid w:val="00FF3C36"/>
    <w:rsid w:val="00FF3D96"/>
    <w:rsid w:val="00FF3FB7"/>
    <w:rsid w:val="00FF442E"/>
    <w:rsid w:val="00FF457B"/>
    <w:rsid w:val="00FF4697"/>
    <w:rsid w:val="00FF499C"/>
    <w:rsid w:val="00FF49F1"/>
    <w:rsid w:val="00FF4B22"/>
    <w:rsid w:val="00FF4CAE"/>
    <w:rsid w:val="00FF4F1C"/>
    <w:rsid w:val="00FF55C0"/>
    <w:rsid w:val="00FF5736"/>
    <w:rsid w:val="00FF5920"/>
    <w:rsid w:val="00FF5B2D"/>
    <w:rsid w:val="00FF5C2D"/>
    <w:rsid w:val="00FF5F95"/>
    <w:rsid w:val="00FF635E"/>
    <w:rsid w:val="00FF63C9"/>
    <w:rsid w:val="00FF64BB"/>
    <w:rsid w:val="00FF6592"/>
    <w:rsid w:val="00FF659D"/>
    <w:rsid w:val="00FF65E3"/>
    <w:rsid w:val="00FF6718"/>
    <w:rsid w:val="00FF68BD"/>
    <w:rsid w:val="00FF68D4"/>
    <w:rsid w:val="00FF6B46"/>
    <w:rsid w:val="00FF6BBD"/>
    <w:rsid w:val="00FF6BCD"/>
    <w:rsid w:val="00FF6D1F"/>
    <w:rsid w:val="00FF7631"/>
    <w:rsid w:val="00FF77CD"/>
    <w:rsid w:val="00FF78B4"/>
    <w:rsid w:val="00FF79B8"/>
    <w:rsid w:val="00FF7A8B"/>
    <w:rsid w:val="00FF7B25"/>
    <w:rsid w:val="00FF7CE2"/>
    <w:rsid w:val="00FF7FAF"/>
    <w:rsid w:val="011F7C5E"/>
    <w:rsid w:val="017E505F"/>
    <w:rsid w:val="02381B76"/>
    <w:rsid w:val="023F160A"/>
    <w:rsid w:val="02D886C6"/>
    <w:rsid w:val="02F75538"/>
    <w:rsid w:val="03047E46"/>
    <w:rsid w:val="03983098"/>
    <w:rsid w:val="03DCF901"/>
    <w:rsid w:val="042B0CB6"/>
    <w:rsid w:val="044D4F9A"/>
    <w:rsid w:val="046E647B"/>
    <w:rsid w:val="04A3EA7C"/>
    <w:rsid w:val="0502D64B"/>
    <w:rsid w:val="051396EB"/>
    <w:rsid w:val="0568F799"/>
    <w:rsid w:val="056D15A7"/>
    <w:rsid w:val="05F4D236"/>
    <w:rsid w:val="060B654E"/>
    <w:rsid w:val="062D9EFA"/>
    <w:rsid w:val="064A8DC0"/>
    <w:rsid w:val="06608DCD"/>
    <w:rsid w:val="066480B9"/>
    <w:rsid w:val="067C18B5"/>
    <w:rsid w:val="069C34F1"/>
    <w:rsid w:val="06F47C23"/>
    <w:rsid w:val="077135E5"/>
    <w:rsid w:val="07DF362D"/>
    <w:rsid w:val="07DFB2A5"/>
    <w:rsid w:val="07E4216D"/>
    <w:rsid w:val="07F8D772"/>
    <w:rsid w:val="08840775"/>
    <w:rsid w:val="088A61D3"/>
    <w:rsid w:val="08951572"/>
    <w:rsid w:val="08A65811"/>
    <w:rsid w:val="08A82B7E"/>
    <w:rsid w:val="08C4663A"/>
    <w:rsid w:val="090B6784"/>
    <w:rsid w:val="09221B3D"/>
    <w:rsid w:val="0976D1FF"/>
    <w:rsid w:val="09C8F9CE"/>
    <w:rsid w:val="0A02311D"/>
    <w:rsid w:val="0A6DA509"/>
    <w:rsid w:val="0B451EEB"/>
    <w:rsid w:val="0B62CB52"/>
    <w:rsid w:val="0BA00170"/>
    <w:rsid w:val="0BBDA105"/>
    <w:rsid w:val="0BF6C836"/>
    <w:rsid w:val="0D2F9F67"/>
    <w:rsid w:val="0D547913"/>
    <w:rsid w:val="0D733B81"/>
    <w:rsid w:val="0D974657"/>
    <w:rsid w:val="0E9DD30F"/>
    <w:rsid w:val="0EB59E47"/>
    <w:rsid w:val="0F1E099A"/>
    <w:rsid w:val="107CCFF1"/>
    <w:rsid w:val="10D0D211"/>
    <w:rsid w:val="10DFBD2B"/>
    <w:rsid w:val="10FA76FD"/>
    <w:rsid w:val="1263ADC3"/>
    <w:rsid w:val="12F78E8F"/>
    <w:rsid w:val="134DC948"/>
    <w:rsid w:val="139E0547"/>
    <w:rsid w:val="13A116AC"/>
    <w:rsid w:val="13D13C74"/>
    <w:rsid w:val="1440CD57"/>
    <w:rsid w:val="144256A2"/>
    <w:rsid w:val="14485591"/>
    <w:rsid w:val="14E12F9A"/>
    <w:rsid w:val="15721993"/>
    <w:rsid w:val="159AB19B"/>
    <w:rsid w:val="15A3A41B"/>
    <w:rsid w:val="15AC590C"/>
    <w:rsid w:val="15C618E3"/>
    <w:rsid w:val="15F48996"/>
    <w:rsid w:val="169EB2FB"/>
    <w:rsid w:val="16A1947A"/>
    <w:rsid w:val="17149B84"/>
    <w:rsid w:val="1791F12A"/>
    <w:rsid w:val="17DCA354"/>
    <w:rsid w:val="18BE3965"/>
    <w:rsid w:val="190F4A65"/>
    <w:rsid w:val="192D371E"/>
    <w:rsid w:val="19486FCD"/>
    <w:rsid w:val="19C02611"/>
    <w:rsid w:val="19E53D56"/>
    <w:rsid w:val="19FB3DA9"/>
    <w:rsid w:val="1A79BBE3"/>
    <w:rsid w:val="1A9A9E81"/>
    <w:rsid w:val="1AD60445"/>
    <w:rsid w:val="1AE5B030"/>
    <w:rsid w:val="1BA6516F"/>
    <w:rsid w:val="1C3A1FC6"/>
    <w:rsid w:val="1C914E0E"/>
    <w:rsid w:val="1CB1635B"/>
    <w:rsid w:val="1CC2B8D4"/>
    <w:rsid w:val="1CE025EB"/>
    <w:rsid w:val="1CE46B45"/>
    <w:rsid w:val="1D377FA5"/>
    <w:rsid w:val="1DD437B3"/>
    <w:rsid w:val="1DE74E50"/>
    <w:rsid w:val="1DF55FB3"/>
    <w:rsid w:val="1E25D1B5"/>
    <w:rsid w:val="1E43F977"/>
    <w:rsid w:val="1E771E9E"/>
    <w:rsid w:val="1E81E799"/>
    <w:rsid w:val="1ECF70B4"/>
    <w:rsid w:val="1EDF1C37"/>
    <w:rsid w:val="1EE5230D"/>
    <w:rsid w:val="1F134310"/>
    <w:rsid w:val="1F214D83"/>
    <w:rsid w:val="1F32F9BA"/>
    <w:rsid w:val="1F79E8BC"/>
    <w:rsid w:val="1FC3BDB2"/>
    <w:rsid w:val="1FD5059D"/>
    <w:rsid w:val="20A46527"/>
    <w:rsid w:val="20D46D84"/>
    <w:rsid w:val="20F71FD9"/>
    <w:rsid w:val="20FC8A36"/>
    <w:rsid w:val="2128FE23"/>
    <w:rsid w:val="214F8E14"/>
    <w:rsid w:val="21BA8E88"/>
    <w:rsid w:val="21DDA127"/>
    <w:rsid w:val="21F3BBE6"/>
    <w:rsid w:val="2203EEF3"/>
    <w:rsid w:val="221C0259"/>
    <w:rsid w:val="222D55A5"/>
    <w:rsid w:val="22762CCE"/>
    <w:rsid w:val="228E95CD"/>
    <w:rsid w:val="229BC851"/>
    <w:rsid w:val="22B07151"/>
    <w:rsid w:val="22F4F4BF"/>
    <w:rsid w:val="23266BEA"/>
    <w:rsid w:val="2340B6E9"/>
    <w:rsid w:val="234415D8"/>
    <w:rsid w:val="235FD2D3"/>
    <w:rsid w:val="2386D490"/>
    <w:rsid w:val="239D7947"/>
    <w:rsid w:val="2408F1C5"/>
    <w:rsid w:val="243BD933"/>
    <w:rsid w:val="2462D5D6"/>
    <w:rsid w:val="24657D22"/>
    <w:rsid w:val="24A5F7EF"/>
    <w:rsid w:val="24CA3ADA"/>
    <w:rsid w:val="2505F069"/>
    <w:rsid w:val="2523C3D5"/>
    <w:rsid w:val="25A9C558"/>
    <w:rsid w:val="25C6F1C1"/>
    <w:rsid w:val="25DC5ED0"/>
    <w:rsid w:val="2611BAED"/>
    <w:rsid w:val="262A5AC7"/>
    <w:rsid w:val="26ADA08B"/>
    <w:rsid w:val="270D89EE"/>
    <w:rsid w:val="27157CF5"/>
    <w:rsid w:val="2717ACEA"/>
    <w:rsid w:val="27CD38A6"/>
    <w:rsid w:val="28744FE1"/>
    <w:rsid w:val="28A9F411"/>
    <w:rsid w:val="28CF5162"/>
    <w:rsid w:val="28F3FA42"/>
    <w:rsid w:val="2927A2E9"/>
    <w:rsid w:val="29835D19"/>
    <w:rsid w:val="299B2AB1"/>
    <w:rsid w:val="29D4109A"/>
    <w:rsid w:val="29D5B3DC"/>
    <w:rsid w:val="2A39D8E4"/>
    <w:rsid w:val="2ABEC683"/>
    <w:rsid w:val="2AE952C3"/>
    <w:rsid w:val="2B013118"/>
    <w:rsid w:val="2B89CE44"/>
    <w:rsid w:val="2B9ACB05"/>
    <w:rsid w:val="2BCC47C3"/>
    <w:rsid w:val="2BCCAF7A"/>
    <w:rsid w:val="2BD3A86E"/>
    <w:rsid w:val="2C38EBE3"/>
    <w:rsid w:val="2C8A1396"/>
    <w:rsid w:val="2CD33E3D"/>
    <w:rsid w:val="2CE2FF83"/>
    <w:rsid w:val="2D1DF27F"/>
    <w:rsid w:val="2D62AF64"/>
    <w:rsid w:val="2D902162"/>
    <w:rsid w:val="2DC74012"/>
    <w:rsid w:val="2DD0CFAD"/>
    <w:rsid w:val="2E387F14"/>
    <w:rsid w:val="2E792DA2"/>
    <w:rsid w:val="2EE25C6D"/>
    <w:rsid w:val="2F401284"/>
    <w:rsid w:val="2F75D9E0"/>
    <w:rsid w:val="2FB0F437"/>
    <w:rsid w:val="2FC3D403"/>
    <w:rsid w:val="2FEFEA05"/>
    <w:rsid w:val="3004F8EA"/>
    <w:rsid w:val="302469DE"/>
    <w:rsid w:val="30BA3A68"/>
    <w:rsid w:val="30DA0BF6"/>
    <w:rsid w:val="30EC1DF9"/>
    <w:rsid w:val="314C298A"/>
    <w:rsid w:val="315FD582"/>
    <w:rsid w:val="31A6A500"/>
    <w:rsid w:val="324E5133"/>
    <w:rsid w:val="327965DA"/>
    <w:rsid w:val="3292EA46"/>
    <w:rsid w:val="329498C6"/>
    <w:rsid w:val="32BA769C"/>
    <w:rsid w:val="33197ACC"/>
    <w:rsid w:val="33599A75"/>
    <w:rsid w:val="336567F6"/>
    <w:rsid w:val="33CE6111"/>
    <w:rsid w:val="33D3B759"/>
    <w:rsid w:val="34000F1D"/>
    <w:rsid w:val="34687791"/>
    <w:rsid w:val="347C86D2"/>
    <w:rsid w:val="34BBE88E"/>
    <w:rsid w:val="34DA6B85"/>
    <w:rsid w:val="34F21634"/>
    <w:rsid w:val="3534316E"/>
    <w:rsid w:val="35A77F5B"/>
    <w:rsid w:val="35D0022F"/>
    <w:rsid w:val="35E79994"/>
    <w:rsid w:val="3612DD5F"/>
    <w:rsid w:val="36562809"/>
    <w:rsid w:val="366497A3"/>
    <w:rsid w:val="36C56F6F"/>
    <w:rsid w:val="374D740D"/>
    <w:rsid w:val="37689920"/>
    <w:rsid w:val="3788EB45"/>
    <w:rsid w:val="37949A1F"/>
    <w:rsid w:val="37B68A2D"/>
    <w:rsid w:val="37E8999B"/>
    <w:rsid w:val="3814E5C4"/>
    <w:rsid w:val="38864432"/>
    <w:rsid w:val="38A42D6D"/>
    <w:rsid w:val="39226277"/>
    <w:rsid w:val="3945FDAC"/>
    <w:rsid w:val="39BE3524"/>
    <w:rsid w:val="3A049EA3"/>
    <w:rsid w:val="3A129750"/>
    <w:rsid w:val="3A4AB497"/>
    <w:rsid w:val="3A791C02"/>
    <w:rsid w:val="3A7C09C9"/>
    <w:rsid w:val="3AAA4CC0"/>
    <w:rsid w:val="3BC4E783"/>
    <w:rsid w:val="3BC7329B"/>
    <w:rsid w:val="3BCFD029"/>
    <w:rsid w:val="3BDE46E1"/>
    <w:rsid w:val="3BDED470"/>
    <w:rsid w:val="3C962086"/>
    <w:rsid w:val="3CA73A82"/>
    <w:rsid w:val="3CB7E3AA"/>
    <w:rsid w:val="3CD5AEBA"/>
    <w:rsid w:val="3CDB2E2F"/>
    <w:rsid w:val="3CFD15DE"/>
    <w:rsid w:val="3D065904"/>
    <w:rsid w:val="3D582E57"/>
    <w:rsid w:val="3D7616C0"/>
    <w:rsid w:val="3D774C5C"/>
    <w:rsid w:val="3D779E1F"/>
    <w:rsid w:val="3DB36628"/>
    <w:rsid w:val="3DF959EB"/>
    <w:rsid w:val="3E07ADC7"/>
    <w:rsid w:val="3E531F5A"/>
    <w:rsid w:val="3E733738"/>
    <w:rsid w:val="3E9B97AE"/>
    <w:rsid w:val="3EC48AD4"/>
    <w:rsid w:val="3ECADF4A"/>
    <w:rsid w:val="3ED1AE16"/>
    <w:rsid w:val="3EF998BA"/>
    <w:rsid w:val="3F0C1795"/>
    <w:rsid w:val="3F0CBEDD"/>
    <w:rsid w:val="3F46C2F7"/>
    <w:rsid w:val="3FA871E6"/>
    <w:rsid w:val="401AA83F"/>
    <w:rsid w:val="40688405"/>
    <w:rsid w:val="4072771A"/>
    <w:rsid w:val="408EBFE7"/>
    <w:rsid w:val="40A49AE9"/>
    <w:rsid w:val="40D994C4"/>
    <w:rsid w:val="40F32822"/>
    <w:rsid w:val="41131C1A"/>
    <w:rsid w:val="415B2673"/>
    <w:rsid w:val="41E60DE9"/>
    <w:rsid w:val="41EFDEE3"/>
    <w:rsid w:val="41FBA8EB"/>
    <w:rsid w:val="4205C831"/>
    <w:rsid w:val="4298B509"/>
    <w:rsid w:val="43856F17"/>
    <w:rsid w:val="43A41AD6"/>
    <w:rsid w:val="43D865CB"/>
    <w:rsid w:val="43DAB0BD"/>
    <w:rsid w:val="44548F7A"/>
    <w:rsid w:val="44AA64BA"/>
    <w:rsid w:val="44C10894"/>
    <w:rsid w:val="44CF31A6"/>
    <w:rsid w:val="44FE8FBF"/>
    <w:rsid w:val="453DB421"/>
    <w:rsid w:val="4574AC11"/>
    <w:rsid w:val="4617A746"/>
    <w:rsid w:val="466845ED"/>
    <w:rsid w:val="46749A0C"/>
    <w:rsid w:val="469803C4"/>
    <w:rsid w:val="470D3FDA"/>
    <w:rsid w:val="473BE2B9"/>
    <w:rsid w:val="47A3B965"/>
    <w:rsid w:val="47AC9A70"/>
    <w:rsid w:val="484DB1C2"/>
    <w:rsid w:val="4876C3CB"/>
    <w:rsid w:val="48804363"/>
    <w:rsid w:val="48B0F05D"/>
    <w:rsid w:val="48FA89CD"/>
    <w:rsid w:val="490D463E"/>
    <w:rsid w:val="493728DB"/>
    <w:rsid w:val="498127AE"/>
    <w:rsid w:val="49AE7673"/>
    <w:rsid w:val="4A0D7036"/>
    <w:rsid w:val="4A3243EC"/>
    <w:rsid w:val="4AB019B8"/>
    <w:rsid w:val="4B05F040"/>
    <w:rsid w:val="4B20392A"/>
    <w:rsid w:val="4B2E0C64"/>
    <w:rsid w:val="4B56408E"/>
    <w:rsid w:val="4BE187CD"/>
    <w:rsid w:val="4CE15ECF"/>
    <w:rsid w:val="4CE7DDA3"/>
    <w:rsid w:val="4CF205E1"/>
    <w:rsid w:val="4CF2F5CA"/>
    <w:rsid w:val="4D01719A"/>
    <w:rsid w:val="4D4F616C"/>
    <w:rsid w:val="4D7E66E5"/>
    <w:rsid w:val="4D9349DF"/>
    <w:rsid w:val="4DB6AFDA"/>
    <w:rsid w:val="4DFFF4D1"/>
    <w:rsid w:val="4E60494B"/>
    <w:rsid w:val="4E85D9C2"/>
    <w:rsid w:val="4F6D13FA"/>
    <w:rsid w:val="4FDE5A8A"/>
    <w:rsid w:val="502DA3EE"/>
    <w:rsid w:val="506B3EA9"/>
    <w:rsid w:val="51059EF0"/>
    <w:rsid w:val="512699A7"/>
    <w:rsid w:val="514658C1"/>
    <w:rsid w:val="516B1467"/>
    <w:rsid w:val="523A42B6"/>
    <w:rsid w:val="528BEB61"/>
    <w:rsid w:val="529528C2"/>
    <w:rsid w:val="529A143E"/>
    <w:rsid w:val="534754C0"/>
    <w:rsid w:val="53B1AE6E"/>
    <w:rsid w:val="53B37334"/>
    <w:rsid w:val="541236CA"/>
    <w:rsid w:val="547A4726"/>
    <w:rsid w:val="54840122"/>
    <w:rsid w:val="5513E397"/>
    <w:rsid w:val="55248A01"/>
    <w:rsid w:val="558FFB65"/>
    <w:rsid w:val="55C9089A"/>
    <w:rsid w:val="55DC74EC"/>
    <w:rsid w:val="563FC3E1"/>
    <w:rsid w:val="568F4990"/>
    <w:rsid w:val="5719B475"/>
    <w:rsid w:val="57BB0EB0"/>
    <w:rsid w:val="57C209E7"/>
    <w:rsid w:val="57FA5CE8"/>
    <w:rsid w:val="5833BA6B"/>
    <w:rsid w:val="5863F608"/>
    <w:rsid w:val="58B9A006"/>
    <w:rsid w:val="5900CB53"/>
    <w:rsid w:val="593042AC"/>
    <w:rsid w:val="597CDBCC"/>
    <w:rsid w:val="597E16B5"/>
    <w:rsid w:val="59DD16A6"/>
    <w:rsid w:val="5A65B023"/>
    <w:rsid w:val="5A698192"/>
    <w:rsid w:val="5AC58AB5"/>
    <w:rsid w:val="5ACD264A"/>
    <w:rsid w:val="5B1E5B5A"/>
    <w:rsid w:val="5B237890"/>
    <w:rsid w:val="5B5C29B2"/>
    <w:rsid w:val="5B93023F"/>
    <w:rsid w:val="5D0DC8B0"/>
    <w:rsid w:val="5D1171D4"/>
    <w:rsid w:val="5D215C04"/>
    <w:rsid w:val="5D39612C"/>
    <w:rsid w:val="5D66B2E1"/>
    <w:rsid w:val="5D6CB048"/>
    <w:rsid w:val="5D87614D"/>
    <w:rsid w:val="5DC29683"/>
    <w:rsid w:val="5E712B8D"/>
    <w:rsid w:val="5EB38DFE"/>
    <w:rsid w:val="5EDB127E"/>
    <w:rsid w:val="5FB1E002"/>
    <w:rsid w:val="5FE2C7A3"/>
    <w:rsid w:val="5FFFCF08"/>
    <w:rsid w:val="60069816"/>
    <w:rsid w:val="6095AB16"/>
    <w:rsid w:val="60C99E6B"/>
    <w:rsid w:val="6165BEB3"/>
    <w:rsid w:val="619D814F"/>
    <w:rsid w:val="61A87605"/>
    <w:rsid w:val="6211C44D"/>
    <w:rsid w:val="624B1037"/>
    <w:rsid w:val="62565838"/>
    <w:rsid w:val="6263437A"/>
    <w:rsid w:val="628F4780"/>
    <w:rsid w:val="62CCA069"/>
    <w:rsid w:val="6372C6BD"/>
    <w:rsid w:val="639BA67E"/>
    <w:rsid w:val="63B7A8D2"/>
    <w:rsid w:val="646D417A"/>
    <w:rsid w:val="6500732F"/>
    <w:rsid w:val="653E4416"/>
    <w:rsid w:val="65410A7D"/>
    <w:rsid w:val="6566A4B3"/>
    <w:rsid w:val="658A2274"/>
    <w:rsid w:val="658BF77B"/>
    <w:rsid w:val="65A1E2A1"/>
    <w:rsid w:val="65DF0F86"/>
    <w:rsid w:val="6674B3CA"/>
    <w:rsid w:val="66827B26"/>
    <w:rsid w:val="66B9C50D"/>
    <w:rsid w:val="67BCDBB5"/>
    <w:rsid w:val="67C0C10D"/>
    <w:rsid w:val="67C35D6D"/>
    <w:rsid w:val="67D9DAB7"/>
    <w:rsid w:val="67F4C398"/>
    <w:rsid w:val="68111552"/>
    <w:rsid w:val="6843BA96"/>
    <w:rsid w:val="68670508"/>
    <w:rsid w:val="689D24B1"/>
    <w:rsid w:val="68B4EF81"/>
    <w:rsid w:val="690FC691"/>
    <w:rsid w:val="69D90F0C"/>
    <w:rsid w:val="6A7FC991"/>
    <w:rsid w:val="6A85E6B2"/>
    <w:rsid w:val="6ADCFE9A"/>
    <w:rsid w:val="6B65FAB3"/>
    <w:rsid w:val="6B6EC7AC"/>
    <w:rsid w:val="6BE427A1"/>
    <w:rsid w:val="6C16A258"/>
    <w:rsid w:val="6C6B8756"/>
    <w:rsid w:val="6CBA3B27"/>
    <w:rsid w:val="6CD85849"/>
    <w:rsid w:val="6CF634ED"/>
    <w:rsid w:val="6D088C86"/>
    <w:rsid w:val="6D6BC695"/>
    <w:rsid w:val="6D8A10DC"/>
    <w:rsid w:val="6DCB1B5F"/>
    <w:rsid w:val="6DD6E9B7"/>
    <w:rsid w:val="6E16F9FB"/>
    <w:rsid w:val="6E19809C"/>
    <w:rsid w:val="6E7D5453"/>
    <w:rsid w:val="6F44C25A"/>
    <w:rsid w:val="6FAFDD82"/>
    <w:rsid w:val="6FE516C8"/>
    <w:rsid w:val="6FE85A7F"/>
    <w:rsid w:val="6FEFFF12"/>
    <w:rsid w:val="6FFFA915"/>
    <w:rsid w:val="702ACEF6"/>
    <w:rsid w:val="7063003E"/>
    <w:rsid w:val="70648779"/>
    <w:rsid w:val="7071FC5D"/>
    <w:rsid w:val="707CE941"/>
    <w:rsid w:val="70A5307D"/>
    <w:rsid w:val="70F2261B"/>
    <w:rsid w:val="711E4018"/>
    <w:rsid w:val="71682E35"/>
    <w:rsid w:val="7192403B"/>
    <w:rsid w:val="719A2627"/>
    <w:rsid w:val="71BDB220"/>
    <w:rsid w:val="71C4014D"/>
    <w:rsid w:val="71E7109B"/>
    <w:rsid w:val="71F0AD01"/>
    <w:rsid w:val="722EEF9D"/>
    <w:rsid w:val="7286E5DF"/>
    <w:rsid w:val="729029FA"/>
    <w:rsid w:val="72B1A6E1"/>
    <w:rsid w:val="7315B9A6"/>
    <w:rsid w:val="731E9140"/>
    <w:rsid w:val="73A1D0BE"/>
    <w:rsid w:val="73C271B7"/>
    <w:rsid w:val="749DF004"/>
    <w:rsid w:val="74E9DD87"/>
    <w:rsid w:val="752F15BC"/>
    <w:rsid w:val="753777F5"/>
    <w:rsid w:val="7551B1D6"/>
    <w:rsid w:val="75799FF6"/>
    <w:rsid w:val="75D8CB96"/>
    <w:rsid w:val="75EDA8A0"/>
    <w:rsid w:val="75F1BD2F"/>
    <w:rsid w:val="76AA88C9"/>
    <w:rsid w:val="76C464E9"/>
    <w:rsid w:val="76FFC926"/>
    <w:rsid w:val="7705AA9B"/>
    <w:rsid w:val="771B194A"/>
    <w:rsid w:val="7798DED5"/>
    <w:rsid w:val="7807616E"/>
    <w:rsid w:val="78440DE8"/>
    <w:rsid w:val="789FFD79"/>
    <w:rsid w:val="7927508D"/>
    <w:rsid w:val="799D7F1D"/>
    <w:rsid w:val="79BBE621"/>
    <w:rsid w:val="79F65897"/>
    <w:rsid w:val="7AFC0C4D"/>
    <w:rsid w:val="7B052E04"/>
    <w:rsid w:val="7B4866EC"/>
    <w:rsid w:val="7B5159B7"/>
    <w:rsid w:val="7B69B813"/>
    <w:rsid w:val="7BBBD817"/>
    <w:rsid w:val="7C1F04B3"/>
    <w:rsid w:val="7C3EDC36"/>
    <w:rsid w:val="7C496DF3"/>
    <w:rsid w:val="7C767930"/>
    <w:rsid w:val="7C85D312"/>
    <w:rsid w:val="7C9F2CEF"/>
    <w:rsid w:val="7CFEDB09"/>
    <w:rsid w:val="7D00F498"/>
    <w:rsid w:val="7D0F6E14"/>
    <w:rsid w:val="7D19EDB0"/>
    <w:rsid w:val="7DADD72A"/>
    <w:rsid w:val="7DBC03E6"/>
    <w:rsid w:val="7DC4650D"/>
    <w:rsid w:val="7E027D0F"/>
    <w:rsid w:val="7E377965"/>
    <w:rsid w:val="7E5C7BB8"/>
    <w:rsid w:val="7E88C7AE"/>
    <w:rsid w:val="7E8C85EA"/>
    <w:rsid w:val="7EB886E5"/>
    <w:rsid w:val="7ED014B6"/>
    <w:rsid w:val="7ED07E00"/>
    <w:rsid w:val="7F3D751C"/>
    <w:rsid w:val="7FB80B27"/>
    <w:rsid w:val="7FEC39BD"/>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7C19F1B8"/>
  <w15:docId w15:val="{51719EFA-4EB1-48A0-94C4-B633151FA2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imes New Roman"/>
        <w:lang w:val="en-GB" w:eastAsia="fr-FR" w:bidi="ar-SA"/>
      </w:rPr>
    </w:rPrDefault>
    <w:pPrDefault>
      <w:pPr>
        <w:spacing w:before="240" w:after="240" w:line="264" w:lineRule="auto"/>
      </w:pPr>
    </w:pPrDefault>
  </w:docDefaults>
  <w:latentStyles w:defLockedState="0" w:defUIPriority="0" w:defSemiHidden="0" w:defUnhideWhenUsed="0" w:defQFormat="0" w:count="376">
    <w:lsdException w:name="Normal" w:uiPriority="1" w:qFormat="1"/>
    <w:lsdException w:name="heading 1" w:uiPriority="9" w:qFormat="1"/>
    <w:lsdException w:name="heading 2" w:uiPriority="9" w:qFormat="1"/>
    <w:lsdException w:name="heading 3" w:uiPriority="9" w:qFormat="1"/>
    <w:lsdException w:name="heading 4" w:uiPriority="9" w:unhideWhenUsed="1" w:qFormat="1"/>
    <w:lsdException w:name="heading 5" w:uiPriority="9" w:unhideWhenUsed="1" w:qFormat="1"/>
    <w:lsdException w:name="heading 6" w:uiPriority="9" w:unhideWhenUsed="1" w:qFormat="1"/>
    <w:lsdException w:name="heading 7" w:uiPriority="9" w:unhideWhenUsed="1" w:qFormat="1"/>
    <w:lsdException w:name="heading 8" w:uiPriority="9" w:unhideWhenUsed="1" w:qFormat="1"/>
    <w:lsdException w:name="heading 9" w:uiPriority="9" w:unhideWhenUsed="1" w:qFormat="1"/>
    <w:lsdException w:name="index 1" w:uiPriority="39" w:unhideWhenUsed="1"/>
    <w:lsdException w:name="index 2" w:uiPriority="39" w:unhideWhenUsed="1"/>
    <w:lsdException w:name="index 3" w:uiPriority="39" w:unhideWhenUsed="1"/>
    <w:lsdException w:name="index 4" w:uiPriority="39" w:unhideWhenUsed="1"/>
    <w:lsdException w:name="index 5" w:uiPriority="39" w:unhideWhenUsed="1"/>
    <w:lsdException w:name="index 6" w:uiPriority="39" w:unhideWhenUsed="1"/>
    <w:lsdException w:name="index 7" w:uiPriority="39" w:unhideWhenUsed="1"/>
    <w:lsdException w:name="index 8" w:uiPriority="39" w:unhideWhenUsed="1"/>
    <w:lsdException w:name="index 9" w:uiPriority="39" w:unhideWhenUsed="1"/>
    <w:lsdException w:name="toc 1" w:uiPriority="39" w:unhideWhenUsed="1"/>
    <w:lsdException w:name="toc 2" w:uiPriority="39" w:unhideWhenUsed="1"/>
    <w:lsdException w:name="toc 3" w:uiPriority="39" w:unhideWhenUsed="1"/>
    <w:lsdException w:name="toc 4" w:uiPriority="39" w:unhideWhenUsed="1"/>
    <w:lsdException w:name="toc 5" w:uiPriority="39" w:unhideWhenUsed="1"/>
    <w:lsdException w:name="toc 6" w:uiPriority="39" w:unhideWhenUsed="1"/>
    <w:lsdException w:name="toc 7" w:uiPriority="39" w:unhideWhenUsed="1"/>
    <w:lsdException w:name="toc 8" w:uiPriority="39" w:unhideWhenUsed="1"/>
    <w:lsdException w:name="toc 9" w:uiPriority="39" w:unhideWhenUsed="1"/>
    <w:lsdException w:name="Normal Indent" w:semiHidden="1"/>
    <w:lsdException w:name="footnote text" w:uiPriority="1" w:unhideWhenUsed="1" w:qFormat="1"/>
    <w:lsdException w:name="annotation text" w:semiHidden="1" w:uiPriority="99" w:qFormat="1"/>
    <w:lsdException w:name="header" w:uiPriority="99"/>
    <w:lsdException w:name="footer" w:uiPriority="99"/>
    <w:lsdException w:name="index heading" w:uiPriority="39" w:unhideWhenUsed="1"/>
    <w:lsdException w:name="caption" w:semiHidden="1" w:uiPriority="35"/>
    <w:lsdException w:name="table of figures" w:uiPriority="39" w:unhideWhenUsed="1"/>
    <w:lsdException w:name="envelope address" w:semiHidden="1"/>
    <w:lsdException w:name="envelope return" w:semiHidden="1"/>
    <w:lsdException w:name="footnote reference" w:uiPriority="1" w:unhideWhenUsed="1" w:qFormat="1"/>
    <w:lsdException w:name="annotation reference" w:semiHidden="1" w:uiPriority="99" w:qFormat="1"/>
    <w:lsdException w:name="line number" w:semiHidden="1"/>
    <w:lsdException w:name="page number" w:semiHidden="1"/>
    <w:lsdException w:name="endnote reference" w:uiPriority="8" w:unhideWhenUsed="1"/>
    <w:lsdException w:name="endnote text" w:uiPriority="8" w:unhideWhenUsed="1"/>
    <w:lsdException w:name="table of authorities" w:semiHidden="1"/>
    <w:lsdException w:name="macro" w:uiPriority="39"/>
    <w:lsdException w:name="toa heading" w:semiHidden="1"/>
    <w:lsdException w:name="List" w:semiHidden="1" w:uiPriority="3"/>
    <w:lsdException w:name="List Bullet" w:uiPriority="3" w:qFormat="1"/>
    <w:lsdException w:name="List Number" w:uiPriority="3" w:qFormat="1"/>
    <w:lsdException w:name="List 2" w:semiHidden="1" w:uiPriority="3"/>
    <w:lsdException w:name="List 3" w:semiHidden="1" w:uiPriority="3"/>
    <w:lsdException w:name="List 4" w:semiHidden="1" w:uiPriority="3"/>
    <w:lsdException w:name="List 5" w:semiHidden="1" w:uiPriority="3"/>
    <w:lsdException w:name="List Bullet 2" w:semiHidden="1" w:uiPriority="3"/>
    <w:lsdException w:name="List Bullet 3" w:semiHidden="1" w:uiPriority="3"/>
    <w:lsdException w:name="List Bullet 4" w:semiHidden="1" w:uiPriority="3"/>
    <w:lsdException w:name="List Bullet 5" w:semiHidden="1" w:uiPriority="3"/>
    <w:lsdException w:name="List Number 2" w:semiHidden="1"/>
    <w:lsdException w:name="List Number 3" w:semiHidden="1" w:uiPriority="3"/>
    <w:lsdException w:name="List Number 4" w:semiHidden="1" w:uiPriority="3"/>
    <w:lsdException w:name="List Number 5" w:semiHidden="1" w:uiPriority="3"/>
    <w:lsdException w:name="Title" w:semiHidden="1" w:uiPriority="14"/>
    <w:lsdException w:name="Closing" w:semiHidden="1"/>
    <w:lsdException w:name="Signature" w:semiHidden="1"/>
    <w:lsdException w:name="Default Paragraph Font" w:semiHidden="1" w:uiPriority="99"/>
    <w:lsdException w:name="Body Text" w:semiHidden="1"/>
    <w:lsdException w:name="Body Text Indent" w:semiHidden="1"/>
    <w:lsdException w:name="List Continue" w:semiHidden="1" w:uiPriority="3"/>
    <w:lsdException w:name="List Continue 2" w:semiHidden="1" w:uiPriority="3"/>
    <w:lsdException w:name="List Continue 3" w:semiHidden="1" w:uiPriority="3"/>
    <w:lsdException w:name="List Continue 4" w:semiHidden="1" w:uiPriority="3"/>
    <w:lsdException w:name="List Continue 5" w:semiHidden="1" w:uiPriority="3"/>
    <w:lsdException w:name="Message Header" w:semiHidden="1"/>
    <w:lsdException w:name="Subtitle" w:semiHidden="1" w:uiPriority="15"/>
    <w:lsdException w:name="Salutation" w:semiHidden="1"/>
    <w:lsdException w:name="Date" w:semiHidden="1" w:uiPriority="19"/>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unhideWhenUsed="1" w:qFormat="1"/>
    <w:lsdException w:name="FollowedHyperlink" w:semiHidden="1"/>
    <w:lsdException w:name="Strong" w:semiHidden="1" w:uiPriority="22"/>
    <w:lsdException w:name="Emphasis" w:semiHidden="1" w:uiPriority="69"/>
    <w:lsdException w:name="Document Map" w:semiHidden="1"/>
    <w:lsdException w:name="Plain Text" w:semiHidden="1"/>
    <w:lsdException w:name="E-mail Signature" w:semiHidden="1"/>
    <w:lsdException w:name="HTML Top of Form" w:semiHidden="1" w:uiPriority="99"/>
    <w:lsdException w:name="HTML Bottom of Form" w:semiHidden="1" w:uiPriority="99"/>
    <w:lsdException w:name="Normal (Web)" w:semiHidden="1" w:uiPriority="99"/>
    <w:lsdException w:name="HTML Acronym" w:semiHidden="1" w:uiPriority="39"/>
    <w:lsdException w:name="HTML Address" w:semiHidden="1" w:uiPriority="39"/>
    <w:lsdException w:name="HTML Cite" w:semiHidden="1" w:uiPriority="39"/>
    <w:lsdException w:name="HTML Code" w:semiHidden="1" w:uiPriority="39"/>
    <w:lsdException w:name="HTML Definition" w:semiHidden="1" w:uiPriority="39"/>
    <w:lsdException w:name="HTML Keyboard" w:semiHidden="1" w:uiPriority="39"/>
    <w:lsdException w:name="HTML Preformatted" w:semiHidden="1" w:uiPriority="39"/>
    <w:lsdException w:name="HTML Sample" w:semiHidden="1" w:uiPriority="39"/>
    <w:lsdException w:name="HTML Typewriter" w:semiHidden="1" w:uiPriority="39"/>
    <w:lsdException w:name="HTML Variable" w:semiHidden="1" w:uiPriority="39"/>
    <w:lsdException w:name="Normal Table" w:semiHidden="1" w:uiPriority="10" w:unhideWhenUsed="1"/>
    <w:lsdException w:name="annotation subject" w:semiHidden="1"/>
    <w:lsdException w:name="No List" w:semiHidden="1" w:uiPriority="99"/>
    <w:lsdException w:name="Outline List 1" w:semiHidden="1"/>
    <w:lsdException w:name="Outline List 2" w:semiHidden="1"/>
    <w:lsdException w:name="Outline List 3" w:semiHidden="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10"/>
    <w:lsdException w:name="Table Theme" w:semiHidden="1" w:unhideWhenUsed="1"/>
    <w:lsdException w:name="Placeholder Text" w:semiHidden="1" w:uiPriority="99"/>
    <w:lsdException w:name="No Spacing" w:uiPriority="2"/>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semiHidden="1" w:uiPriority="34"/>
    <w:lsdException w:name="Quote" w:semiHidden="1"/>
    <w:lsdException w:name="Intense Quote" w:semiHidden="1" w:uiPriority="39"/>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semiHidden="1"/>
    <w:lsdException w:name="Intense Emphasis" w:semiHidden="1" w:uiPriority="39"/>
    <w:lsdException w:name="Subtle Reference" w:semiHidden="1"/>
    <w:lsdException w:name="Intense Reference" w:semiHidden="1" w:uiPriority="39"/>
    <w:lsdException w:name="Book Title" w:semiHidden="1"/>
    <w:lsdException w:name="Bibliography" w:semiHidden="1"/>
    <w:lsdException w:name="TOC Heading" w:uiPriority="37"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uiPriority w:val="1"/>
    <w:qFormat/>
    <w:rsid w:val="002021F6"/>
    <w:pPr>
      <w:suppressAutoHyphens/>
    </w:pPr>
    <w:rPr>
      <w:rFonts w:ascii="EC Square Sans Pro" w:eastAsia="SimSun" w:hAnsi="EC Square Sans Pro"/>
      <w:lang w:eastAsia="en-GB"/>
    </w:rPr>
  </w:style>
  <w:style w:type="paragraph" w:styleId="Heading1">
    <w:name w:val="heading 1"/>
    <w:next w:val="Normal"/>
    <w:link w:val="Heading1Char"/>
    <w:uiPriority w:val="9"/>
    <w:qFormat/>
    <w:rsid w:val="001051DF"/>
    <w:pPr>
      <w:keepNext/>
      <w:keepLines/>
      <w:pageBreakBefore/>
      <w:suppressAutoHyphens/>
      <w:spacing w:before="0" w:after="720"/>
      <w:outlineLvl w:val="0"/>
    </w:pPr>
    <w:rPr>
      <w:rFonts w:asciiTheme="majorHAnsi" w:eastAsia="SimSun" w:hAnsiTheme="majorHAnsi"/>
      <w:color w:val="003399" w:themeColor="text2"/>
      <w:sz w:val="48"/>
      <w:lang w:eastAsia="en-GB"/>
    </w:rPr>
  </w:style>
  <w:style w:type="paragraph" w:styleId="Heading2">
    <w:name w:val="heading 2"/>
    <w:next w:val="Normal"/>
    <w:link w:val="Heading2Char"/>
    <w:uiPriority w:val="9"/>
    <w:qFormat/>
    <w:rsid w:val="001051DF"/>
    <w:pPr>
      <w:keepNext/>
      <w:keepLines/>
      <w:pageBreakBefore/>
      <w:suppressAutoHyphens/>
      <w:spacing w:before="0" w:after="720"/>
      <w:ind w:left="576" w:hanging="576"/>
      <w:outlineLvl w:val="1"/>
    </w:pPr>
    <w:rPr>
      <w:rFonts w:asciiTheme="majorHAnsi" w:eastAsia="SimSun" w:hAnsiTheme="majorHAnsi"/>
      <w:color w:val="003399" w:themeColor="text2"/>
      <w:sz w:val="48"/>
      <w:lang w:eastAsia="en-GB"/>
    </w:rPr>
  </w:style>
  <w:style w:type="paragraph" w:styleId="Heading3">
    <w:name w:val="heading 3"/>
    <w:next w:val="Normal"/>
    <w:link w:val="Heading3Char"/>
    <w:uiPriority w:val="9"/>
    <w:qFormat/>
    <w:rsid w:val="00206F76"/>
    <w:pPr>
      <w:keepNext/>
      <w:keepLines/>
      <w:pBdr>
        <w:bottom w:val="single" w:sz="6" w:space="1" w:color="DE6002"/>
      </w:pBdr>
      <w:suppressAutoHyphens/>
      <w:spacing w:before="480"/>
      <w:ind w:left="720" w:hanging="720"/>
      <w:outlineLvl w:val="2"/>
    </w:pPr>
    <w:rPr>
      <w:rFonts w:asciiTheme="majorHAnsi" w:eastAsia="SimSun" w:hAnsiTheme="majorHAnsi"/>
      <w:b/>
      <w:color w:val="003399" w:themeColor="text2"/>
      <w:sz w:val="28"/>
      <w:lang w:eastAsia="en-GB"/>
    </w:rPr>
  </w:style>
  <w:style w:type="paragraph" w:styleId="Heading4">
    <w:name w:val="heading 4"/>
    <w:next w:val="Normal"/>
    <w:link w:val="Heading4Char"/>
    <w:uiPriority w:val="9"/>
    <w:unhideWhenUsed/>
    <w:qFormat/>
    <w:rsid w:val="001051DF"/>
    <w:pPr>
      <w:keepNext/>
      <w:keepLines/>
      <w:suppressAutoHyphens/>
      <w:spacing w:before="480"/>
      <w:ind w:left="864" w:hanging="864"/>
      <w:outlineLvl w:val="3"/>
    </w:pPr>
    <w:rPr>
      <w:rFonts w:asciiTheme="majorHAnsi" w:eastAsia="SimSun" w:hAnsiTheme="majorHAnsi"/>
      <w:color w:val="003399" w:themeColor="text2"/>
      <w:sz w:val="28"/>
      <w:lang w:eastAsia="en-GB"/>
    </w:rPr>
  </w:style>
  <w:style w:type="paragraph" w:styleId="Heading5">
    <w:name w:val="heading 5"/>
    <w:next w:val="Normal"/>
    <w:link w:val="Heading5Char"/>
    <w:uiPriority w:val="9"/>
    <w:unhideWhenUsed/>
    <w:qFormat/>
    <w:rsid w:val="001051DF"/>
    <w:pPr>
      <w:keepNext/>
      <w:keepLines/>
      <w:suppressAutoHyphens/>
      <w:spacing w:before="360"/>
      <w:outlineLvl w:val="4"/>
    </w:pPr>
    <w:rPr>
      <w:rFonts w:asciiTheme="majorHAnsi" w:eastAsia="SimSun" w:hAnsiTheme="majorHAnsi"/>
      <w:b/>
      <w:color w:val="003399" w:themeColor="text2"/>
      <w:sz w:val="22"/>
      <w:lang w:eastAsia="en-GB"/>
    </w:rPr>
  </w:style>
  <w:style w:type="paragraph" w:styleId="Heading6">
    <w:name w:val="heading 6"/>
    <w:next w:val="Normal"/>
    <w:link w:val="Heading6Char"/>
    <w:uiPriority w:val="9"/>
    <w:unhideWhenUsed/>
    <w:rsid w:val="00EC3443"/>
    <w:pPr>
      <w:keepNext/>
      <w:keepLines/>
      <w:suppressAutoHyphens/>
      <w:spacing w:before="360"/>
      <w:outlineLvl w:val="5"/>
    </w:pPr>
    <w:rPr>
      <w:rFonts w:asciiTheme="majorHAnsi" w:eastAsia="SimSun" w:hAnsiTheme="majorHAnsi"/>
      <w:b/>
      <w:color w:val="003399" w:themeColor="text2"/>
      <w:lang w:eastAsia="en-GB"/>
    </w:rPr>
  </w:style>
  <w:style w:type="paragraph" w:styleId="Heading7">
    <w:name w:val="heading 7"/>
    <w:next w:val="Normal"/>
    <w:link w:val="Heading7Char"/>
    <w:uiPriority w:val="9"/>
    <w:semiHidden/>
    <w:rsid w:val="00EC3443"/>
    <w:pPr>
      <w:keepNext/>
      <w:keepLines/>
      <w:suppressAutoHyphens/>
      <w:outlineLvl w:val="6"/>
    </w:pPr>
    <w:rPr>
      <w:rFonts w:asciiTheme="majorHAnsi" w:eastAsia="SimSun" w:hAnsiTheme="majorHAnsi"/>
      <w:color w:val="008139" w:themeColor="accent1"/>
      <w:spacing w:val="12"/>
      <w:lang w:eastAsia="en-GB"/>
    </w:rPr>
  </w:style>
  <w:style w:type="paragraph" w:styleId="Heading8">
    <w:name w:val="heading 8"/>
    <w:next w:val="Normal"/>
    <w:link w:val="Heading8Char"/>
    <w:uiPriority w:val="9"/>
    <w:semiHidden/>
    <w:rsid w:val="00EC3443"/>
    <w:pPr>
      <w:keepNext/>
      <w:keepLines/>
      <w:suppressAutoHyphens/>
      <w:outlineLvl w:val="7"/>
    </w:pPr>
    <w:rPr>
      <w:rFonts w:asciiTheme="majorHAnsi" w:eastAsia="SimSun" w:hAnsiTheme="majorHAnsi"/>
      <w:i/>
      <w:color w:val="008139" w:themeColor="accent1"/>
      <w:spacing w:val="12"/>
      <w:lang w:eastAsia="en-GB"/>
    </w:rPr>
  </w:style>
  <w:style w:type="paragraph" w:styleId="Heading9">
    <w:name w:val="heading 9"/>
    <w:next w:val="Normal"/>
    <w:link w:val="Heading9Char"/>
    <w:uiPriority w:val="9"/>
    <w:semiHidden/>
    <w:rsid w:val="00EC3443"/>
    <w:pPr>
      <w:keepNext/>
      <w:keepLines/>
      <w:suppressAutoHyphens/>
      <w:outlineLvl w:val="8"/>
    </w:pPr>
    <w:rPr>
      <w:rFonts w:asciiTheme="majorHAnsi" w:eastAsia="SimSun" w:hAnsiTheme="majorHAnsi"/>
      <w:color w:val="008139" w:themeColor="accent1"/>
      <w:spacing w:val="12"/>
      <w:lang w:eastAsia="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ndnoteTextChar">
    <w:name w:val="Endnote Text Char"/>
    <w:link w:val="EndnoteText"/>
    <w:uiPriority w:val="8"/>
    <w:unhideWhenUsed/>
    <w:rsid w:val="00DB5F48"/>
    <w:rPr>
      <w:rFonts w:eastAsia="SimSun"/>
      <w:color w:val="000000" w:themeColor="dark1"/>
      <w:sz w:val="18"/>
      <w:lang w:eastAsia="en-GB"/>
    </w:rPr>
  </w:style>
  <w:style w:type="character" w:customStyle="1" w:styleId="FootnoteTextChar">
    <w:name w:val="Footnote Text Char"/>
    <w:aliases w:val="Footnote Text Char3 Char,Footnote Text Char1 Char1 Char,Footnote Text Char2 Char Char Char,Footnote Text Char1 Char1 Char Char Char,Footnote Text Char2 Char Char Char Char Char,Footnote Text Char1 Char1 Char Char Char Char Char Char"/>
    <w:basedOn w:val="DefaultParagraphFont"/>
    <w:link w:val="FootnoteText"/>
    <w:uiPriority w:val="1"/>
    <w:qFormat/>
    <w:rsid w:val="001051DF"/>
    <w:rPr>
      <w:rFonts w:eastAsia="SimSun"/>
      <w:sz w:val="18"/>
      <w:lang w:eastAsia="en-GB"/>
    </w:rPr>
  </w:style>
  <w:style w:type="paragraph" w:customStyle="1" w:styleId="Pagedecouverture">
    <w:name w:val="Page de couverture"/>
    <w:basedOn w:val="Normal"/>
    <w:next w:val="Normal"/>
    <w:uiPriority w:val="39"/>
    <w:semiHidden/>
    <w:rsid w:val="001051DF"/>
    <w:pPr>
      <w:spacing w:before="0" w:after="0" w:line="240" w:lineRule="auto"/>
    </w:pPr>
    <w:rPr>
      <w:rFonts w:ascii="Times New Roman" w:eastAsiaTheme="minorHAnsi" w:hAnsi="Times New Roman"/>
      <w:szCs w:val="22"/>
      <w:lang w:eastAsia="en-US"/>
    </w:rPr>
  </w:style>
  <w:style w:type="paragraph" w:customStyle="1" w:styleId="FooterCoverPage">
    <w:name w:val="Footer Cover Page"/>
    <w:basedOn w:val="Normal"/>
    <w:link w:val="FooterCoverPageChar"/>
    <w:uiPriority w:val="39"/>
    <w:semiHidden/>
    <w:rsid w:val="00EC3443"/>
    <w:pPr>
      <w:tabs>
        <w:tab w:val="center" w:pos="4535"/>
        <w:tab w:val="right" w:pos="9071"/>
        <w:tab w:val="right" w:pos="9921"/>
      </w:tabs>
      <w:spacing w:before="360" w:after="0" w:line="240" w:lineRule="auto"/>
      <w:ind w:left="-850" w:right="-850"/>
    </w:pPr>
    <w:rPr>
      <w:rFonts w:ascii="Times New Roman" w:hAnsi="Times New Roman"/>
      <w:sz w:val="24"/>
    </w:rPr>
  </w:style>
  <w:style w:type="character" w:customStyle="1" w:styleId="FooterCoverPageChar">
    <w:name w:val="Footer Cover Page Char"/>
    <w:basedOn w:val="PublicationTitleChar"/>
    <w:link w:val="FooterCoverPage"/>
    <w:uiPriority w:val="39"/>
    <w:semiHidden/>
    <w:rsid w:val="001051DF"/>
    <w:rPr>
      <w:rFonts w:ascii="Times New Roman" w:eastAsia="SimSun" w:hAnsi="Times New Roman"/>
      <w:bCs w:val="0"/>
      <w:color w:val="003399" w:themeColor="text2"/>
      <w:sz w:val="24"/>
      <w:szCs w:val="72"/>
      <w:lang w:eastAsia="en-GB"/>
    </w:rPr>
  </w:style>
  <w:style w:type="paragraph" w:customStyle="1" w:styleId="HeaderCoverPage">
    <w:name w:val="Header Cover Page"/>
    <w:basedOn w:val="Normal"/>
    <w:link w:val="HeaderCoverPageChar"/>
    <w:semiHidden/>
    <w:rsid w:val="00EC3443"/>
    <w:pPr>
      <w:tabs>
        <w:tab w:val="center" w:pos="4535"/>
        <w:tab w:val="right" w:pos="9071"/>
      </w:tabs>
      <w:spacing w:before="0" w:after="120" w:line="240" w:lineRule="auto"/>
      <w:jc w:val="both"/>
    </w:pPr>
    <w:rPr>
      <w:rFonts w:ascii="Times New Roman" w:hAnsi="Times New Roman"/>
      <w:sz w:val="24"/>
    </w:rPr>
  </w:style>
  <w:style w:type="character" w:customStyle="1" w:styleId="HeaderCoverPageChar">
    <w:name w:val="Header Cover Page Char"/>
    <w:basedOn w:val="PublicationTitleChar"/>
    <w:link w:val="HeaderCoverPage"/>
    <w:semiHidden/>
    <w:rsid w:val="001051DF"/>
    <w:rPr>
      <w:rFonts w:ascii="Times New Roman" w:eastAsia="SimSun" w:hAnsi="Times New Roman"/>
      <w:bCs w:val="0"/>
      <w:color w:val="003399" w:themeColor="text2"/>
      <w:sz w:val="24"/>
      <w:szCs w:val="72"/>
      <w:lang w:eastAsia="en-GB"/>
    </w:rPr>
  </w:style>
  <w:style w:type="character" w:customStyle="1" w:styleId="BodyPlaceholderText">
    <w:name w:val="BodyPlaceholderText"/>
    <w:uiPriority w:val="1"/>
    <w:semiHidden/>
    <w:rsid w:val="001051DF"/>
    <w:rPr>
      <w:noProof w:val="0"/>
      <w:color w:val="003399" w:themeColor="text2"/>
      <w:shd w:val="clear" w:color="auto" w:fill="FFFFFF"/>
      <w:lang w:val="en-GB"/>
    </w:rPr>
  </w:style>
  <w:style w:type="character" w:customStyle="1" w:styleId="Bold">
    <w:name w:val="Bold"/>
    <w:qFormat/>
    <w:rsid w:val="001051DF"/>
    <w:rPr>
      <w:b/>
      <w:noProof w:val="0"/>
      <w:spacing w:val="1"/>
      <w:lang w:val="en-GB"/>
    </w:rPr>
  </w:style>
  <w:style w:type="character" w:customStyle="1" w:styleId="BoldAccent1">
    <w:name w:val="Bold (Accent 1)"/>
    <w:qFormat/>
    <w:rsid w:val="001051DF"/>
    <w:rPr>
      <w:b/>
      <w:noProof w:val="0"/>
      <w:color w:val="003399" w:themeColor="text2"/>
      <w:spacing w:val="1"/>
      <w:lang w:val="en-GB"/>
    </w:rPr>
  </w:style>
  <w:style w:type="character" w:styleId="Emphasis">
    <w:name w:val="Emphasis"/>
    <w:uiPriority w:val="69"/>
    <w:semiHidden/>
    <w:rsid w:val="001051DF"/>
    <w:rPr>
      <w:b/>
      <w:noProof w:val="0"/>
      <w:lang w:val="en-GB"/>
    </w:rPr>
  </w:style>
  <w:style w:type="character" w:styleId="EndnoteReference">
    <w:name w:val="endnote reference"/>
    <w:basedOn w:val="DefaultParagraphFont"/>
    <w:uiPriority w:val="8"/>
    <w:rsid w:val="001051DF"/>
    <w:rPr>
      <w:rFonts w:ascii="Calibri" w:hAnsi="Calibri" w:cs="Calibri"/>
      <w:noProof w:val="0"/>
      <w:color w:val="auto"/>
      <w:spacing w:val="0"/>
      <w:w w:val="100"/>
      <w:position w:val="-2"/>
      <w:sz w:val="22"/>
      <w:vertAlign w:val="superscript"/>
      <w:lang w:val="en-GB"/>
    </w:rPr>
  </w:style>
  <w:style w:type="character" w:styleId="Hyperlink">
    <w:name w:val="Hyperlink"/>
    <w:qFormat/>
    <w:rsid w:val="00EC3443"/>
    <w:rPr>
      <w:noProof w:val="0"/>
      <w:color w:val="003399" w:themeColor="text2"/>
      <w:u w:val="single"/>
      <w:shd w:val="clear" w:color="auto" w:fill="auto"/>
      <w:lang w:val="en-GB"/>
    </w:rPr>
  </w:style>
  <w:style w:type="character" w:customStyle="1" w:styleId="HyperlinkWhite">
    <w:name w:val="Hyperlink White"/>
    <w:basedOn w:val="Hyperlink"/>
    <w:unhideWhenUsed/>
    <w:rsid w:val="001051DF"/>
    <w:rPr>
      <w:noProof w:val="0"/>
      <w:color w:val="FFFFFF" w:themeColor="light1"/>
      <w:u w:val="single"/>
      <w:shd w:val="clear" w:color="auto" w:fill="auto"/>
      <w:lang w:val="en-GB"/>
    </w:rPr>
  </w:style>
  <w:style w:type="character" w:customStyle="1" w:styleId="langBG">
    <w:name w:val="lang_BG"/>
    <w:semiHidden/>
    <w:rsid w:val="001051DF"/>
    <w:rPr>
      <w:noProof w:val="0"/>
      <w:lang w:val="bg-BG"/>
    </w:rPr>
  </w:style>
  <w:style w:type="character" w:customStyle="1" w:styleId="langCS">
    <w:name w:val="lang_CS"/>
    <w:semiHidden/>
    <w:rsid w:val="001051DF"/>
    <w:rPr>
      <w:noProof w:val="0"/>
      <w:lang w:val="cs-CZ"/>
    </w:rPr>
  </w:style>
  <w:style w:type="character" w:customStyle="1" w:styleId="langDA">
    <w:name w:val="lang_DA"/>
    <w:semiHidden/>
    <w:rsid w:val="001051DF"/>
    <w:rPr>
      <w:noProof w:val="0"/>
      <w:lang w:val="da-DK"/>
    </w:rPr>
  </w:style>
  <w:style w:type="character" w:customStyle="1" w:styleId="langDE">
    <w:name w:val="lang_DE"/>
    <w:semiHidden/>
    <w:rsid w:val="001051DF"/>
    <w:rPr>
      <w:noProof w:val="0"/>
      <w:lang w:val="de-DE"/>
    </w:rPr>
  </w:style>
  <w:style w:type="character" w:customStyle="1" w:styleId="langEL">
    <w:name w:val="lang_EL"/>
    <w:semiHidden/>
    <w:rsid w:val="001051DF"/>
    <w:rPr>
      <w:noProof w:val="0"/>
      <w:lang w:val="el-GR"/>
    </w:rPr>
  </w:style>
  <w:style w:type="character" w:customStyle="1" w:styleId="langEN">
    <w:name w:val="lang_EN"/>
    <w:semiHidden/>
    <w:rsid w:val="001051DF"/>
    <w:rPr>
      <w:noProof w:val="0"/>
      <w:lang w:val="en-GB"/>
    </w:rPr>
  </w:style>
  <w:style w:type="character" w:customStyle="1" w:styleId="langES">
    <w:name w:val="lang_ES"/>
    <w:semiHidden/>
    <w:rsid w:val="001051DF"/>
    <w:rPr>
      <w:noProof w:val="0"/>
      <w:lang w:val="es-ES"/>
    </w:rPr>
  </w:style>
  <w:style w:type="character" w:customStyle="1" w:styleId="langET">
    <w:name w:val="lang_ET"/>
    <w:semiHidden/>
    <w:rsid w:val="001051DF"/>
    <w:rPr>
      <w:noProof w:val="0"/>
      <w:lang w:val="et-EE"/>
    </w:rPr>
  </w:style>
  <w:style w:type="character" w:customStyle="1" w:styleId="langFI">
    <w:name w:val="lang_FI"/>
    <w:semiHidden/>
    <w:rsid w:val="001051DF"/>
    <w:rPr>
      <w:noProof w:val="0"/>
      <w:lang w:val="fi-FI"/>
    </w:rPr>
  </w:style>
  <w:style w:type="character" w:customStyle="1" w:styleId="langFR">
    <w:name w:val="lang_FR"/>
    <w:semiHidden/>
    <w:rsid w:val="001051DF"/>
    <w:rPr>
      <w:noProof w:val="0"/>
      <w:lang w:val="fr-FR"/>
    </w:rPr>
  </w:style>
  <w:style w:type="character" w:customStyle="1" w:styleId="langGA">
    <w:name w:val="lang_GA"/>
    <w:semiHidden/>
    <w:rsid w:val="001051DF"/>
    <w:rPr>
      <w:noProof w:val="0"/>
      <w:lang w:val="ga-IE"/>
    </w:rPr>
  </w:style>
  <w:style w:type="character" w:customStyle="1" w:styleId="langHR">
    <w:name w:val="lang_HR"/>
    <w:semiHidden/>
    <w:rsid w:val="001051DF"/>
    <w:rPr>
      <w:noProof w:val="0"/>
      <w:lang w:val="hr-HR"/>
    </w:rPr>
  </w:style>
  <w:style w:type="character" w:customStyle="1" w:styleId="langHU">
    <w:name w:val="lang_HU"/>
    <w:semiHidden/>
    <w:rsid w:val="001051DF"/>
    <w:rPr>
      <w:noProof w:val="0"/>
      <w:lang w:val="hu-HU"/>
    </w:rPr>
  </w:style>
  <w:style w:type="character" w:customStyle="1" w:styleId="langIT">
    <w:name w:val="lang_IT"/>
    <w:semiHidden/>
    <w:rsid w:val="001051DF"/>
    <w:rPr>
      <w:noProof w:val="0"/>
      <w:lang w:val="it-IT"/>
    </w:rPr>
  </w:style>
  <w:style w:type="character" w:customStyle="1" w:styleId="langLT">
    <w:name w:val="lang_LT"/>
    <w:semiHidden/>
    <w:rsid w:val="001051DF"/>
    <w:rPr>
      <w:noProof w:val="0"/>
      <w:lang w:val="lt-LT"/>
    </w:rPr>
  </w:style>
  <w:style w:type="character" w:customStyle="1" w:styleId="langLV">
    <w:name w:val="lang_LV"/>
    <w:semiHidden/>
    <w:rsid w:val="001051DF"/>
    <w:rPr>
      <w:noProof w:val="0"/>
      <w:lang w:val="lv-LV"/>
    </w:rPr>
  </w:style>
  <w:style w:type="character" w:customStyle="1" w:styleId="langMT">
    <w:name w:val="lang_MT"/>
    <w:semiHidden/>
    <w:rsid w:val="001051DF"/>
    <w:rPr>
      <w:noProof w:val="0"/>
      <w:lang w:val="mt-MT"/>
    </w:rPr>
  </w:style>
  <w:style w:type="character" w:customStyle="1" w:styleId="langNL">
    <w:name w:val="lang_NL"/>
    <w:semiHidden/>
    <w:rsid w:val="001051DF"/>
    <w:rPr>
      <w:noProof w:val="0"/>
      <w:lang w:val="nl-NL"/>
    </w:rPr>
  </w:style>
  <w:style w:type="character" w:customStyle="1" w:styleId="langPL">
    <w:name w:val="lang_PL"/>
    <w:semiHidden/>
    <w:rsid w:val="001051DF"/>
    <w:rPr>
      <w:noProof w:val="0"/>
      <w:lang w:val="pl-PL"/>
    </w:rPr>
  </w:style>
  <w:style w:type="character" w:customStyle="1" w:styleId="langPT">
    <w:name w:val="lang_PT"/>
    <w:semiHidden/>
    <w:rsid w:val="001051DF"/>
    <w:rPr>
      <w:noProof w:val="0"/>
      <w:lang w:val="pt-PT"/>
    </w:rPr>
  </w:style>
  <w:style w:type="character" w:customStyle="1" w:styleId="langRO">
    <w:name w:val="lang_RO"/>
    <w:semiHidden/>
    <w:rsid w:val="001051DF"/>
    <w:rPr>
      <w:noProof w:val="0"/>
      <w:lang w:val="ro-RO"/>
    </w:rPr>
  </w:style>
  <w:style w:type="character" w:customStyle="1" w:styleId="langSK">
    <w:name w:val="lang_SK"/>
    <w:semiHidden/>
    <w:rsid w:val="001051DF"/>
    <w:rPr>
      <w:noProof w:val="0"/>
      <w:lang w:val="sk-SK"/>
    </w:rPr>
  </w:style>
  <w:style w:type="character" w:customStyle="1" w:styleId="langSL">
    <w:name w:val="lang_SL"/>
    <w:semiHidden/>
    <w:rsid w:val="001051DF"/>
    <w:rPr>
      <w:noProof w:val="0"/>
      <w:lang w:val="sl-SI"/>
    </w:rPr>
  </w:style>
  <w:style w:type="character" w:customStyle="1" w:styleId="langSV">
    <w:name w:val="lang_SV"/>
    <w:semiHidden/>
    <w:rsid w:val="001051DF"/>
    <w:rPr>
      <w:noProof w:val="0"/>
      <w:lang w:val="sv-SE"/>
    </w:rPr>
  </w:style>
  <w:style w:type="character" w:customStyle="1" w:styleId="langXX">
    <w:name w:val="lang_XX"/>
    <w:semiHidden/>
    <w:rsid w:val="001051DF"/>
    <w:rPr>
      <w:noProof w:val="0"/>
    </w:rPr>
  </w:style>
  <w:style w:type="character" w:styleId="PlaceholderText">
    <w:name w:val="Placeholder Text"/>
    <w:uiPriority w:val="99"/>
    <w:semiHidden/>
    <w:rsid w:val="001051DF"/>
    <w:rPr>
      <w:noProof w:val="0"/>
      <w:color w:val="003399" w:themeColor="text2"/>
      <w:shd w:val="clear" w:color="auto" w:fill="FFFFFF"/>
      <w:lang w:val="en-GB"/>
    </w:rPr>
  </w:style>
  <w:style w:type="paragraph" w:customStyle="1" w:styleId="BoxTitle">
    <w:name w:val="Box Title"/>
    <w:basedOn w:val="Normal"/>
    <w:next w:val="Normal"/>
    <w:uiPriority w:val="4"/>
    <w:qFormat/>
    <w:rsid w:val="00EC3443"/>
    <w:pPr>
      <w:keepNext/>
      <w:keepLines/>
    </w:pPr>
    <w:rPr>
      <w:rFonts w:ascii="EC Square Sans Pro Medium" w:eastAsia="Times New Roman" w:hAnsi="EC Square Sans Pro Medium"/>
      <w:color w:val="DC3903"/>
      <w:sz w:val="22"/>
    </w:rPr>
  </w:style>
  <w:style w:type="paragraph" w:styleId="Caption">
    <w:name w:val="caption"/>
    <w:next w:val="Normal"/>
    <w:uiPriority w:val="35"/>
    <w:semiHidden/>
    <w:rsid w:val="001051DF"/>
    <w:pPr>
      <w:suppressAutoHyphens/>
      <w:spacing w:after="200" w:line="240" w:lineRule="auto"/>
    </w:pPr>
    <w:rPr>
      <w:rFonts w:ascii="EC Square Sans Pro" w:eastAsia="SimSun" w:hAnsi="EC Square Sans Pro"/>
      <w:b/>
      <w:lang w:eastAsia="en-GB"/>
    </w:rPr>
  </w:style>
  <w:style w:type="paragraph" w:customStyle="1" w:styleId="Comment">
    <w:name w:val="Comment"/>
    <w:basedOn w:val="Normal"/>
    <w:uiPriority w:val="36"/>
    <w:semiHidden/>
    <w:rsid w:val="001051DF"/>
    <w:pPr>
      <w:shd w:val="thinDiagStripe" w:color="D9D9D9" w:fill="auto"/>
    </w:pPr>
    <w:rPr>
      <w:vanish/>
    </w:rPr>
  </w:style>
  <w:style w:type="paragraph" w:customStyle="1" w:styleId="CopyrightPage">
    <w:name w:val="Copyright Page"/>
    <w:basedOn w:val="Normal"/>
    <w:uiPriority w:val="40"/>
    <w:semiHidden/>
    <w:rsid w:val="001051DF"/>
    <w:rPr>
      <w:sz w:val="18"/>
      <w:szCs w:val="18"/>
    </w:rPr>
  </w:style>
  <w:style w:type="paragraph" w:customStyle="1" w:styleId="CopyrightPageIdentifier">
    <w:name w:val="Copyright Page Identifier"/>
    <w:basedOn w:val="Normal"/>
    <w:uiPriority w:val="40"/>
    <w:semiHidden/>
    <w:rsid w:val="001051DF"/>
    <w:pPr>
      <w:tabs>
        <w:tab w:val="left" w:pos="567"/>
        <w:tab w:val="left" w:pos="2835"/>
        <w:tab w:val="left" w:pos="4535"/>
        <w:tab w:val="left" w:pos="6520"/>
      </w:tabs>
      <w:spacing w:before="120"/>
      <w:contextualSpacing/>
    </w:pPr>
    <w:rPr>
      <w:sz w:val="18"/>
      <w:szCs w:val="18"/>
    </w:rPr>
  </w:style>
  <w:style w:type="paragraph" w:customStyle="1" w:styleId="CopyrightPageNoSpace">
    <w:name w:val="Copyright Page NoSpace"/>
    <w:basedOn w:val="Normal"/>
    <w:uiPriority w:val="40"/>
    <w:semiHidden/>
    <w:rsid w:val="001051DF"/>
    <w:pPr>
      <w:spacing w:before="0" w:after="0"/>
    </w:pPr>
    <w:rPr>
      <w:sz w:val="18"/>
      <w:szCs w:val="18"/>
    </w:rPr>
  </w:style>
  <w:style w:type="paragraph" w:customStyle="1" w:styleId="FigureCopyrights">
    <w:name w:val="Figure Copyrights"/>
    <w:basedOn w:val="ImageCopyrights"/>
    <w:next w:val="FigureSource"/>
    <w:uiPriority w:val="5"/>
    <w:semiHidden/>
    <w:rsid w:val="001051DF"/>
  </w:style>
  <w:style w:type="paragraph" w:customStyle="1" w:styleId="FigurePlaceholder">
    <w:name w:val="Figure Placeholder"/>
    <w:basedOn w:val="ImagePlaceholder"/>
    <w:next w:val="FigureCopyrights"/>
    <w:uiPriority w:val="5"/>
    <w:semiHidden/>
    <w:rsid w:val="001051DF"/>
  </w:style>
  <w:style w:type="paragraph" w:customStyle="1" w:styleId="FigureSource">
    <w:name w:val="Figure Source"/>
    <w:basedOn w:val="ImageSource"/>
    <w:next w:val="Normal"/>
    <w:uiPriority w:val="5"/>
    <w:semiHidden/>
    <w:rsid w:val="001051DF"/>
  </w:style>
  <w:style w:type="paragraph" w:customStyle="1" w:styleId="FigureSubtitle">
    <w:name w:val="Figure Subtitle"/>
    <w:basedOn w:val="ImageSubtitle"/>
    <w:next w:val="FigurePlaceholder"/>
    <w:uiPriority w:val="5"/>
    <w:semiHidden/>
    <w:rsid w:val="001051DF"/>
    <w:rPr>
      <w:rFonts w:eastAsia="Times New Roman"/>
    </w:rPr>
  </w:style>
  <w:style w:type="paragraph" w:customStyle="1" w:styleId="FigureTitle">
    <w:name w:val="Figure Title"/>
    <w:basedOn w:val="Normal"/>
    <w:next w:val="FigureSubtitle"/>
    <w:uiPriority w:val="5"/>
    <w:semiHidden/>
    <w:rsid w:val="001051DF"/>
    <w:pPr>
      <w:keepNext/>
      <w:spacing w:before="360" w:after="60"/>
    </w:pPr>
    <w:rPr>
      <w:rFonts w:eastAsia="Times New Roman"/>
      <w:b/>
      <w:color w:val="DC3903"/>
    </w:rPr>
  </w:style>
  <w:style w:type="paragraph" w:customStyle="1" w:styleId="FooterCover">
    <w:name w:val="Footer Cover"/>
    <w:uiPriority w:val="99"/>
    <w:semiHidden/>
    <w:rsid w:val="001051DF"/>
    <w:pPr>
      <w:suppressAutoHyphens/>
      <w:spacing w:before="0" w:after="0" w:line="240" w:lineRule="auto"/>
    </w:pPr>
    <w:rPr>
      <w:rFonts w:ascii="EC Square Sans Pro" w:eastAsia="SimSun" w:hAnsi="EC Square Sans Pro"/>
      <w:color w:val="FFFFFF" w:themeColor="light1"/>
      <w:sz w:val="18"/>
      <w:lang w:eastAsia="en-GB"/>
    </w:rPr>
  </w:style>
  <w:style w:type="paragraph" w:customStyle="1" w:styleId="FooterEven">
    <w:name w:val="Footer Even"/>
    <w:basedOn w:val="Footer"/>
    <w:uiPriority w:val="15"/>
    <w:rsid w:val="001051DF"/>
    <w:pPr>
      <w:jc w:val="right"/>
    </w:pPr>
  </w:style>
  <w:style w:type="paragraph" w:customStyle="1" w:styleId="FooterOdd">
    <w:name w:val="Footer Odd"/>
    <w:basedOn w:val="Footer"/>
    <w:uiPriority w:val="15"/>
    <w:rsid w:val="001051DF"/>
    <w:pPr>
      <w:jc w:val="left"/>
    </w:pPr>
  </w:style>
  <w:style w:type="paragraph" w:customStyle="1" w:styleId="HeaderEven">
    <w:name w:val="Header Even"/>
    <w:basedOn w:val="Header"/>
    <w:uiPriority w:val="15"/>
    <w:rsid w:val="001051DF"/>
    <w:pPr>
      <w:jc w:val="right"/>
    </w:pPr>
  </w:style>
  <w:style w:type="paragraph" w:customStyle="1" w:styleId="HeaderOdd">
    <w:name w:val="Header Odd"/>
    <w:basedOn w:val="Header"/>
    <w:uiPriority w:val="15"/>
    <w:rsid w:val="001051DF"/>
    <w:pPr>
      <w:jc w:val="left"/>
    </w:pPr>
  </w:style>
  <w:style w:type="paragraph" w:customStyle="1" w:styleId="ImageAlternative">
    <w:name w:val="Image Alternative"/>
    <w:next w:val="ImageCaption"/>
    <w:uiPriority w:val="5"/>
    <w:semiHidden/>
    <w:rsid w:val="001051DF"/>
    <w:pPr>
      <w:keepNext/>
      <w:shd w:val="clear" w:color="auto" w:fill="C00000"/>
      <w:suppressAutoHyphens/>
      <w:spacing w:before="40" w:line="281" w:lineRule="auto"/>
    </w:pPr>
    <w:rPr>
      <w:rFonts w:ascii="EC Square Sans Pro" w:eastAsia="SimSun" w:hAnsi="EC Square Sans Pro"/>
      <w:color w:val="FFFFFF" w:themeColor="light1"/>
      <w:sz w:val="22"/>
      <w:lang w:eastAsia="en-GB"/>
    </w:rPr>
  </w:style>
  <w:style w:type="paragraph" w:customStyle="1" w:styleId="ImageCaption">
    <w:name w:val="Image Caption"/>
    <w:next w:val="ImageCopyrights"/>
    <w:uiPriority w:val="5"/>
    <w:rsid w:val="001051DF"/>
    <w:pPr>
      <w:suppressAutoHyphens/>
      <w:spacing w:before="40" w:after="40" w:line="240" w:lineRule="auto"/>
    </w:pPr>
    <w:rPr>
      <w:rFonts w:ascii="EC Square Sans Pro Medium" w:eastAsia="SimSun" w:hAnsi="EC Square Sans Pro Medium"/>
      <w:sz w:val="16"/>
      <w:lang w:eastAsia="en-GB"/>
    </w:rPr>
  </w:style>
  <w:style w:type="paragraph" w:customStyle="1" w:styleId="ImageCopyrights">
    <w:name w:val="Image Copyrights"/>
    <w:next w:val="ImageSource"/>
    <w:uiPriority w:val="5"/>
    <w:rsid w:val="001051DF"/>
    <w:pPr>
      <w:keepNext/>
      <w:suppressAutoHyphens/>
      <w:spacing w:before="40" w:after="40" w:line="240" w:lineRule="auto"/>
    </w:pPr>
    <w:rPr>
      <w:rFonts w:ascii="EC Square Sans Pro" w:eastAsia="SimSun" w:hAnsi="EC Square Sans Pro"/>
      <w:sz w:val="16"/>
      <w:lang w:eastAsia="en-GB"/>
    </w:rPr>
  </w:style>
  <w:style w:type="paragraph" w:customStyle="1" w:styleId="ImageNotes">
    <w:name w:val="Image Notes"/>
    <w:uiPriority w:val="5"/>
    <w:qFormat/>
    <w:rsid w:val="001051DF"/>
    <w:pPr>
      <w:suppressAutoHyphens/>
      <w:spacing w:before="40" w:after="40" w:line="240" w:lineRule="auto"/>
    </w:pPr>
    <w:rPr>
      <w:sz w:val="16"/>
      <w:lang w:eastAsia="en-GB"/>
    </w:rPr>
  </w:style>
  <w:style w:type="paragraph" w:customStyle="1" w:styleId="ImagePlaceholder">
    <w:name w:val="Image Placeholder"/>
    <w:next w:val="ImageAlternative"/>
    <w:uiPriority w:val="5"/>
    <w:qFormat/>
    <w:rsid w:val="001051DF"/>
    <w:pPr>
      <w:keepNext/>
      <w:suppressAutoHyphens/>
      <w:spacing w:before="0" w:after="0" w:line="281" w:lineRule="auto"/>
      <w:jc w:val="center"/>
    </w:pPr>
    <w:rPr>
      <w:rFonts w:ascii="EC Square Sans Pro" w:eastAsia="SimSun" w:hAnsi="EC Square Sans Pro"/>
      <w:noProof/>
      <w:lang w:eastAsia="en-GB"/>
    </w:rPr>
  </w:style>
  <w:style w:type="paragraph" w:customStyle="1" w:styleId="ImageSource">
    <w:name w:val="Image Source"/>
    <w:next w:val="Normal"/>
    <w:uiPriority w:val="5"/>
    <w:qFormat/>
    <w:rsid w:val="001051DF"/>
    <w:pPr>
      <w:suppressAutoHyphens/>
      <w:spacing w:before="40" w:after="40" w:line="240" w:lineRule="auto"/>
    </w:pPr>
    <w:rPr>
      <w:rFonts w:ascii="EC Square Sans Pro" w:eastAsia="SimSun" w:hAnsi="EC Square Sans Pro"/>
      <w:sz w:val="16"/>
      <w:lang w:eastAsia="en-GB"/>
    </w:rPr>
  </w:style>
  <w:style w:type="paragraph" w:customStyle="1" w:styleId="ImageSubtitle">
    <w:name w:val="Image Subtitle"/>
    <w:next w:val="ImagePlaceholder"/>
    <w:uiPriority w:val="5"/>
    <w:qFormat/>
    <w:rsid w:val="001051DF"/>
    <w:pPr>
      <w:keepNext/>
      <w:suppressAutoHyphens/>
      <w:spacing w:before="0" w:after="60" w:line="281" w:lineRule="auto"/>
    </w:pPr>
    <w:rPr>
      <w:rFonts w:ascii="EC Square Sans Pro" w:eastAsia="SimSun" w:hAnsi="EC Square Sans Pro"/>
      <w:color w:val="DC3903"/>
      <w:lang w:eastAsia="en-GB"/>
    </w:rPr>
  </w:style>
  <w:style w:type="paragraph" w:customStyle="1" w:styleId="ImageTitle">
    <w:name w:val="Image Title"/>
    <w:next w:val="ImageSubtitle"/>
    <w:uiPriority w:val="5"/>
    <w:qFormat/>
    <w:rsid w:val="002C1925"/>
    <w:pPr>
      <w:keepNext/>
      <w:suppressAutoHyphens/>
      <w:spacing w:before="480" w:after="60"/>
    </w:pPr>
    <w:rPr>
      <w:rFonts w:ascii="EC Square Sans Pro Medium" w:eastAsia="SimSun" w:hAnsi="EC Square Sans Pro Medium"/>
      <w:color w:val="DC3903"/>
      <w:sz w:val="22"/>
      <w:lang w:eastAsia="en-GB"/>
    </w:rPr>
  </w:style>
  <w:style w:type="paragraph" w:styleId="Index1">
    <w:name w:val="index 1"/>
    <w:basedOn w:val="Normal"/>
    <w:next w:val="Normal"/>
    <w:uiPriority w:val="39"/>
    <w:semiHidden/>
    <w:rsid w:val="001051DF"/>
    <w:pPr>
      <w:spacing w:before="0" w:after="0" w:line="240" w:lineRule="auto"/>
      <w:ind w:left="238" w:hanging="238"/>
    </w:pPr>
  </w:style>
  <w:style w:type="paragraph" w:styleId="Index2">
    <w:name w:val="index 2"/>
    <w:basedOn w:val="Normal"/>
    <w:next w:val="Normal"/>
    <w:uiPriority w:val="39"/>
    <w:semiHidden/>
    <w:rsid w:val="001051DF"/>
    <w:pPr>
      <w:spacing w:before="0" w:after="0" w:line="240" w:lineRule="auto"/>
      <w:ind w:left="476" w:hanging="238"/>
    </w:pPr>
  </w:style>
  <w:style w:type="paragraph" w:styleId="Index3">
    <w:name w:val="index 3"/>
    <w:basedOn w:val="Normal"/>
    <w:next w:val="Normal"/>
    <w:uiPriority w:val="39"/>
    <w:semiHidden/>
    <w:rsid w:val="001051DF"/>
    <w:pPr>
      <w:spacing w:before="0" w:after="0" w:line="240" w:lineRule="auto"/>
      <w:ind w:left="720" w:hanging="238"/>
    </w:pPr>
  </w:style>
  <w:style w:type="paragraph" w:styleId="Index4">
    <w:name w:val="index 4"/>
    <w:basedOn w:val="Normal"/>
    <w:next w:val="Normal"/>
    <w:uiPriority w:val="39"/>
    <w:semiHidden/>
    <w:rsid w:val="001051DF"/>
    <w:pPr>
      <w:spacing w:before="0" w:after="0" w:line="240" w:lineRule="auto"/>
      <w:ind w:left="958" w:hanging="238"/>
    </w:pPr>
  </w:style>
  <w:style w:type="paragraph" w:styleId="Index5">
    <w:name w:val="index 5"/>
    <w:basedOn w:val="Normal"/>
    <w:next w:val="Normal"/>
    <w:uiPriority w:val="39"/>
    <w:semiHidden/>
    <w:rsid w:val="001051DF"/>
    <w:pPr>
      <w:spacing w:before="0" w:after="0" w:line="240" w:lineRule="auto"/>
      <w:ind w:left="1196" w:hanging="238"/>
    </w:pPr>
  </w:style>
  <w:style w:type="paragraph" w:styleId="Index6">
    <w:name w:val="index 6"/>
    <w:basedOn w:val="Normal"/>
    <w:next w:val="Normal"/>
    <w:uiPriority w:val="39"/>
    <w:semiHidden/>
    <w:rsid w:val="001051DF"/>
    <w:pPr>
      <w:spacing w:before="0" w:after="0" w:line="240" w:lineRule="auto"/>
      <w:ind w:left="1440" w:hanging="238"/>
    </w:pPr>
  </w:style>
  <w:style w:type="paragraph" w:styleId="Index7">
    <w:name w:val="index 7"/>
    <w:basedOn w:val="Normal"/>
    <w:next w:val="Normal"/>
    <w:uiPriority w:val="39"/>
    <w:semiHidden/>
    <w:rsid w:val="001051DF"/>
    <w:pPr>
      <w:spacing w:before="0" w:after="0" w:line="240" w:lineRule="auto"/>
      <w:ind w:left="1678" w:hanging="238"/>
    </w:pPr>
  </w:style>
  <w:style w:type="paragraph" w:styleId="Index8">
    <w:name w:val="index 8"/>
    <w:basedOn w:val="Normal"/>
    <w:next w:val="Normal"/>
    <w:uiPriority w:val="39"/>
    <w:semiHidden/>
    <w:rsid w:val="001051DF"/>
    <w:pPr>
      <w:spacing w:before="0" w:after="0" w:line="240" w:lineRule="auto"/>
      <w:ind w:left="1916" w:hanging="238"/>
    </w:pPr>
  </w:style>
  <w:style w:type="paragraph" w:styleId="Index9">
    <w:name w:val="index 9"/>
    <w:basedOn w:val="Normal"/>
    <w:next w:val="Normal"/>
    <w:uiPriority w:val="39"/>
    <w:semiHidden/>
    <w:rsid w:val="001051DF"/>
    <w:pPr>
      <w:spacing w:before="0" w:after="0" w:line="240" w:lineRule="auto"/>
      <w:ind w:left="2160" w:hanging="238"/>
    </w:pPr>
  </w:style>
  <w:style w:type="paragraph" w:styleId="IndexHeading">
    <w:name w:val="index heading"/>
    <w:basedOn w:val="Normal"/>
    <w:next w:val="Normal"/>
    <w:uiPriority w:val="39"/>
    <w:semiHidden/>
    <w:rsid w:val="001051DF"/>
    <w:rPr>
      <w:b/>
      <w:color w:val="003399" w:themeColor="text2"/>
    </w:rPr>
  </w:style>
  <w:style w:type="paragraph" w:customStyle="1" w:styleId="LayoutComment">
    <w:name w:val="Layout Comment"/>
    <w:basedOn w:val="Normal"/>
    <w:semiHidden/>
    <w:rsid w:val="00EC3443"/>
    <w:pPr>
      <w:pBdr>
        <w:top w:val="single" w:sz="48" w:space="31" w:color="595959"/>
        <w:left w:val="single" w:sz="48" w:space="31" w:color="595959"/>
        <w:bottom w:val="single" w:sz="48" w:space="31" w:color="595959"/>
        <w:right w:val="single" w:sz="48" w:space="31" w:color="595959"/>
      </w:pBdr>
      <w:shd w:val="clear" w:color="auto" w:fill="595959"/>
      <w:ind w:left="-658" w:right="-680"/>
    </w:pPr>
    <w:rPr>
      <w:color w:val="FFFFFF" w:themeColor="light1"/>
    </w:rPr>
  </w:style>
  <w:style w:type="paragraph" w:customStyle="1" w:styleId="Listabc">
    <w:name w:val="List abc"/>
    <w:uiPriority w:val="3"/>
    <w:qFormat/>
    <w:rsid w:val="001051DF"/>
    <w:pPr>
      <w:numPr>
        <w:numId w:val="34"/>
      </w:numPr>
      <w:tabs>
        <w:tab w:val="num" w:pos="397"/>
      </w:tabs>
      <w:suppressAutoHyphens/>
      <w:spacing w:before="60" w:after="60"/>
    </w:pPr>
    <w:rPr>
      <w:rFonts w:ascii="EC Square Sans Pro" w:eastAsia="SimSun" w:hAnsi="EC Square Sans Pro"/>
      <w:lang w:eastAsia="en-GB"/>
    </w:rPr>
  </w:style>
  <w:style w:type="paragraph" w:customStyle="1" w:styleId="ListabcLevel2">
    <w:name w:val="List abc (Level 2)"/>
    <w:uiPriority w:val="3"/>
    <w:rsid w:val="001051DF"/>
    <w:pPr>
      <w:numPr>
        <w:ilvl w:val="1"/>
        <w:numId w:val="34"/>
      </w:numPr>
      <w:tabs>
        <w:tab w:val="num" w:pos="1191"/>
      </w:tabs>
      <w:suppressAutoHyphens/>
      <w:spacing w:before="60" w:after="60"/>
    </w:pPr>
    <w:rPr>
      <w:rFonts w:ascii="EC Square Sans Pro" w:eastAsia="SimSun" w:hAnsi="EC Square Sans Pro"/>
      <w:lang w:eastAsia="en-GB"/>
    </w:rPr>
  </w:style>
  <w:style w:type="paragraph" w:customStyle="1" w:styleId="ListabcLevel3">
    <w:name w:val="List abc (Level 3)"/>
    <w:uiPriority w:val="3"/>
    <w:unhideWhenUsed/>
    <w:rsid w:val="001051DF"/>
    <w:pPr>
      <w:numPr>
        <w:ilvl w:val="2"/>
        <w:numId w:val="34"/>
      </w:numPr>
      <w:tabs>
        <w:tab w:val="num" w:pos="1984"/>
      </w:tabs>
      <w:suppressAutoHyphens/>
      <w:spacing w:before="60" w:after="60"/>
    </w:pPr>
    <w:rPr>
      <w:rFonts w:ascii="EC Square Sans Pro" w:eastAsia="SimSun" w:hAnsi="EC Square Sans Pro"/>
      <w:lang w:eastAsia="en-GB"/>
    </w:rPr>
  </w:style>
  <w:style w:type="paragraph" w:customStyle="1" w:styleId="ListabcLevel4">
    <w:name w:val="List abc (Level 4)"/>
    <w:basedOn w:val="Listabc"/>
    <w:uiPriority w:val="3"/>
    <w:semiHidden/>
    <w:rsid w:val="00EC3443"/>
    <w:pPr>
      <w:tabs>
        <w:tab w:val="clear" w:pos="397"/>
      </w:tabs>
      <w:suppressAutoHyphens w:val="0"/>
    </w:pPr>
    <w:rPr>
      <w:rFonts w:asciiTheme="minorHAnsi" w:eastAsia="Times New Roman" w:hAnsiTheme="minorHAnsi"/>
      <w:sz w:val="22"/>
      <w:szCs w:val="22"/>
    </w:rPr>
  </w:style>
  <w:style w:type="paragraph" w:styleId="ListBullet">
    <w:name w:val="List Bullet"/>
    <w:uiPriority w:val="3"/>
    <w:qFormat/>
    <w:rsid w:val="00EC509D"/>
    <w:pPr>
      <w:numPr>
        <w:numId w:val="23"/>
      </w:numPr>
      <w:spacing w:before="60" w:after="60"/>
    </w:pPr>
    <w:rPr>
      <w:rFonts w:ascii="EC Square Sans Pro" w:hAnsi="EC Square Sans Pro"/>
      <w:lang w:eastAsia="en-GB"/>
    </w:rPr>
  </w:style>
  <w:style w:type="paragraph" w:customStyle="1" w:styleId="ListBulletLevel2">
    <w:name w:val="List Bullet (Level 2)"/>
    <w:uiPriority w:val="3"/>
    <w:qFormat/>
    <w:rsid w:val="00EC509D"/>
    <w:pPr>
      <w:numPr>
        <w:ilvl w:val="1"/>
        <w:numId w:val="23"/>
      </w:numPr>
      <w:spacing w:before="60" w:after="60"/>
    </w:pPr>
    <w:rPr>
      <w:rFonts w:ascii="EC Square Sans Pro" w:hAnsi="EC Square Sans Pro"/>
      <w:lang w:eastAsia="en-GB"/>
    </w:rPr>
  </w:style>
  <w:style w:type="paragraph" w:customStyle="1" w:styleId="ListBulletLevel3">
    <w:name w:val="List Bullet (Level 3)"/>
    <w:uiPriority w:val="3"/>
    <w:unhideWhenUsed/>
    <w:qFormat/>
    <w:rsid w:val="00EC509D"/>
    <w:pPr>
      <w:numPr>
        <w:ilvl w:val="2"/>
        <w:numId w:val="23"/>
      </w:numPr>
      <w:spacing w:before="60" w:after="60"/>
    </w:pPr>
    <w:rPr>
      <w:rFonts w:ascii="EC Square Sans Pro" w:hAnsi="EC Square Sans Pro"/>
      <w:lang w:eastAsia="en-GB"/>
    </w:rPr>
  </w:style>
  <w:style w:type="paragraph" w:customStyle="1" w:styleId="ListBulletLevel4">
    <w:name w:val="List Bullet (Level 4)"/>
    <w:uiPriority w:val="3"/>
    <w:unhideWhenUsed/>
    <w:qFormat/>
    <w:rsid w:val="00EC509D"/>
    <w:pPr>
      <w:numPr>
        <w:ilvl w:val="3"/>
        <w:numId w:val="23"/>
      </w:numPr>
      <w:spacing w:before="60" w:after="60"/>
    </w:pPr>
    <w:rPr>
      <w:rFonts w:ascii="EC Square Sans Pro" w:hAnsi="EC Square Sans Pro"/>
      <w:lang w:eastAsia="en-GB"/>
    </w:rPr>
  </w:style>
  <w:style w:type="paragraph" w:customStyle="1" w:styleId="ListBulletLevel5">
    <w:name w:val="List Bullet (Level 5)"/>
    <w:uiPriority w:val="3"/>
    <w:semiHidden/>
    <w:rsid w:val="001051DF"/>
    <w:pPr>
      <w:suppressAutoHyphens/>
    </w:pPr>
    <w:rPr>
      <w:rFonts w:ascii="EC Square Sans Pro" w:hAnsi="EC Square Sans Pro"/>
      <w:lang w:eastAsia="en-GB"/>
    </w:rPr>
  </w:style>
  <w:style w:type="paragraph" w:customStyle="1" w:styleId="ListMixed">
    <w:name w:val="List Mixed"/>
    <w:uiPriority w:val="3"/>
    <w:qFormat/>
    <w:rsid w:val="001051DF"/>
    <w:pPr>
      <w:numPr>
        <w:numId w:val="30"/>
      </w:numPr>
      <w:suppressAutoHyphens/>
      <w:spacing w:before="60" w:after="60"/>
    </w:pPr>
    <w:rPr>
      <w:rFonts w:ascii="EC Square Sans Pro" w:eastAsia="SimSun" w:hAnsi="EC Square Sans Pro"/>
      <w:lang w:eastAsia="en-GB"/>
    </w:rPr>
  </w:style>
  <w:style w:type="paragraph" w:customStyle="1" w:styleId="ListMixedLevel2">
    <w:name w:val="List Mixed (Level 2)"/>
    <w:uiPriority w:val="3"/>
    <w:rsid w:val="00EC3443"/>
    <w:pPr>
      <w:numPr>
        <w:ilvl w:val="1"/>
        <w:numId w:val="10"/>
      </w:numPr>
      <w:suppressAutoHyphens/>
      <w:spacing w:before="60" w:after="60"/>
    </w:pPr>
    <w:rPr>
      <w:rFonts w:ascii="EC Square Sans Pro" w:hAnsi="EC Square Sans Pro"/>
      <w:lang w:eastAsia="en-GB"/>
    </w:rPr>
  </w:style>
  <w:style w:type="paragraph" w:customStyle="1" w:styleId="ListMixedLevel3">
    <w:name w:val="List Mixed (Level 3)"/>
    <w:uiPriority w:val="3"/>
    <w:unhideWhenUsed/>
    <w:rsid w:val="00EC3443"/>
    <w:pPr>
      <w:numPr>
        <w:ilvl w:val="2"/>
        <w:numId w:val="10"/>
      </w:numPr>
      <w:suppressAutoHyphens/>
      <w:spacing w:before="60" w:after="60"/>
    </w:pPr>
    <w:rPr>
      <w:rFonts w:ascii="EC Square Sans Pro" w:hAnsi="EC Square Sans Pro"/>
      <w:lang w:eastAsia="en-GB"/>
    </w:rPr>
  </w:style>
  <w:style w:type="paragraph" w:customStyle="1" w:styleId="ListMixedLevel4">
    <w:name w:val="List Mixed (Level 4)"/>
    <w:basedOn w:val="ListMixed"/>
    <w:uiPriority w:val="3"/>
    <w:semiHidden/>
    <w:rsid w:val="001051DF"/>
    <w:rPr>
      <w:rFonts w:asciiTheme="minorHAnsi" w:eastAsia="Times New Roman" w:hAnsiTheme="minorHAnsi"/>
    </w:rPr>
  </w:style>
  <w:style w:type="paragraph" w:styleId="ListNumber">
    <w:name w:val="List Number"/>
    <w:basedOn w:val="Normal"/>
    <w:uiPriority w:val="3"/>
    <w:qFormat/>
    <w:rsid w:val="00EC3443"/>
    <w:pPr>
      <w:numPr>
        <w:numId w:val="28"/>
      </w:numPr>
      <w:spacing w:before="60" w:after="60"/>
    </w:pPr>
    <w:rPr>
      <w:rFonts w:eastAsia="Times New Roman"/>
    </w:rPr>
  </w:style>
  <w:style w:type="paragraph" w:customStyle="1" w:styleId="ListNumberLevel2">
    <w:name w:val="List Number (Level 2)"/>
    <w:basedOn w:val="ListNumber"/>
    <w:uiPriority w:val="3"/>
    <w:qFormat/>
    <w:rsid w:val="00EC3443"/>
    <w:pPr>
      <w:numPr>
        <w:ilvl w:val="1"/>
      </w:numPr>
    </w:pPr>
  </w:style>
  <w:style w:type="paragraph" w:customStyle="1" w:styleId="ListNumberLevel3">
    <w:name w:val="List Number (Level 3)"/>
    <w:basedOn w:val="ListNumber"/>
    <w:uiPriority w:val="3"/>
    <w:unhideWhenUsed/>
    <w:qFormat/>
    <w:rsid w:val="00EC3443"/>
    <w:pPr>
      <w:numPr>
        <w:ilvl w:val="2"/>
      </w:numPr>
    </w:pPr>
  </w:style>
  <w:style w:type="paragraph" w:customStyle="1" w:styleId="ListNumberLevel4">
    <w:name w:val="List Number (Level 4)"/>
    <w:basedOn w:val="ListNumber"/>
    <w:uiPriority w:val="3"/>
    <w:unhideWhenUsed/>
    <w:qFormat/>
    <w:rsid w:val="00EC3443"/>
    <w:pPr>
      <w:numPr>
        <w:ilvl w:val="3"/>
      </w:numPr>
    </w:pPr>
  </w:style>
  <w:style w:type="paragraph" w:customStyle="1" w:styleId="ListNumberLevel5">
    <w:name w:val="List Number (Level 5)"/>
    <w:basedOn w:val="ListNumber"/>
    <w:uiPriority w:val="1"/>
    <w:semiHidden/>
    <w:rsid w:val="001051DF"/>
  </w:style>
  <w:style w:type="paragraph" w:customStyle="1" w:styleId="ListNumberNonindented">
    <w:name w:val="List Number Nonindented"/>
    <w:uiPriority w:val="3"/>
    <w:rsid w:val="00EC3443"/>
    <w:pPr>
      <w:numPr>
        <w:numId w:val="29"/>
      </w:numPr>
      <w:suppressAutoHyphens/>
      <w:spacing w:before="60" w:after="60"/>
    </w:pPr>
    <w:rPr>
      <w:rFonts w:ascii="EC Square Sans Pro" w:hAnsi="EC Square Sans Pro"/>
      <w:lang w:eastAsia="en-GB"/>
    </w:rPr>
  </w:style>
  <w:style w:type="paragraph" w:customStyle="1" w:styleId="ListNumberNonindentedLevel2">
    <w:name w:val="List Number Nonindented (Level 2)"/>
    <w:uiPriority w:val="3"/>
    <w:rsid w:val="00EC3443"/>
    <w:pPr>
      <w:numPr>
        <w:ilvl w:val="1"/>
        <w:numId w:val="29"/>
      </w:numPr>
      <w:suppressAutoHyphens/>
      <w:spacing w:before="60" w:after="60"/>
    </w:pPr>
    <w:rPr>
      <w:rFonts w:ascii="EC Square Sans Pro" w:hAnsi="EC Square Sans Pro"/>
      <w:lang w:eastAsia="en-GB"/>
    </w:rPr>
  </w:style>
  <w:style w:type="paragraph" w:customStyle="1" w:styleId="ListNumberNonindentedLevel3">
    <w:name w:val="List Number Nonindented (Level 3)"/>
    <w:uiPriority w:val="3"/>
    <w:unhideWhenUsed/>
    <w:rsid w:val="00EC3443"/>
    <w:pPr>
      <w:numPr>
        <w:ilvl w:val="2"/>
        <w:numId w:val="29"/>
      </w:numPr>
      <w:suppressAutoHyphens/>
      <w:spacing w:before="60" w:after="60"/>
    </w:pPr>
    <w:rPr>
      <w:rFonts w:ascii="EC Square Sans Pro" w:hAnsi="EC Square Sans Pro"/>
      <w:lang w:eastAsia="en-GB"/>
    </w:rPr>
  </w:style>
  <w:style w:type="paragraph" w:customStyle="1" w:styleId="ListNumberNonindentedLevel4">
    <w:name w:val="List Number Nonindented (Level 4)"/>
    <w:uiPriority w:val="3"/>
    <w:unhideWhenUsed/>
    <w:rsid w:val="00EC3443"/>
    <w:pPr>
      <w:numPr>
        <w:ilvl w:val="3"/>
        <w:numId w:val="29"/>
      </w:numPr>
      <w:suppressAutoHyphens/>
      <w:spacing w:before="60" w:after="60"/>
    </w:pPr>
    <w:rPr>
      <w:rFonts w:ascii="EC Square Sans Pro" w:hAnsi="EC Square Sans Pro"/>
      <w:lang w:eastAsia="en-GB"/>
    </w:rPr>
  </w:style>
  <w:style w:type="paragraph" w:customStyle="1" w:styleId="ListNumberNonindentedLevel5">
    <w:name w:val="List Number Nonindented (Level 5)"/>
    <w:basedOn w:val="ListNumberNonindented"/>
    <w:uiPriority w:val="1"/>
    <w:semiHidden/>
    <w:rsid w:val="00EC3443"/>
    <w:pPr>
      <w:numPr>
        <w:numId w:val="0"/>
      </w:numPr>
      <w:ind w:left="397" w:hanging="397"/>
    </w:pPr>
    <w:rPr>
      <w:rFonts w:asciiTheme="minorHAnsi" w:hAnsiTheme="minorHAnsi"/>
    </w:rPr>
  </w:style>
  <w:style w:type="paragraph" w:styleId="MacroText">
    <w:name w:val="macro"/>
    <w:link w:val="MacroTextChar"/>
    <w:uiPriority w:val="39"/>
    <w:rsid w:val="001051DF"/>
    <w:pPr>
      <w:tabs>
        <w:tab w:val="left" w:pos="505"/>
        <w:tab w:val="left" w:pos="958"/>
        <w:tab w:val="left" w:pos="1440"/>
        <w:tab w:val="left" w:pos="1922"/>
        <w:tab w:val="left" w:pos="2398"/>
        <w:tab w:val="left" w:pos="2880"/>
        <w:tab w:val="left" w:pos="3362"/>
        <w:tab w:val="left" w:pos="3838"/>
        <w:tab w:val="left" w:pos="4320"/>
      </w:tabs>
      <w:suppressAutoHyphens/>
      <w:spacing w:after="0"/>
    </w:pPr>
    <w:rPr>
      <w:rFonts w:ascii="EC Square Sans Pro" w:eastAsia="SimSun" w:hAnsi="EC Square Sans Pro"/>
      <w:lang w:eastAsia="en-GB"/>
    </w:rPr>
  </w:style>
  <w:style w:type="paragraph" w:styleId="NoSpacing">
    <w:name w:val="No Spacing"/>
    <w:uiPriority w:val="2"/>
    <w:rsid w:val="001051DF"/>
    <w:pPr>
      <w:suppressAutoHyphens/>
      <w:spacing w:before="0" w:after="0" w:line="240" w:lineRule="auto"/>
    </w:pPr>
    <w:rPr>
      <w:rFonts w:ascii="EC Square Sans Pro" w:eastAsia="SimSun" w:hAnsi="EC Square Sans Pro"/>
      <w:lang w:eastAsia="en-GB"/>
    </w:rPr>
  </w:style>
  <w:style w:type="paragraph" w:customStyle="1" w:styleId="NormalIntro">
    <w:name w:val="Normal Intro"/>
    <w:basedOn w:val="Normal"/>
    <w:uiPriority w:val="2"/>
    <w:unhideWhenUsed/>
    <w:rsid w:val="001051DF"/>
    <w:pPr>
      <w:spacing w:before="120" w:after="120"/>
    </w:pPr>
    <w:rPr>
      <w:color w:val="003399" w:themeColor="text2"/>
      <w:sz w:val="22"/>
    </w:rPr>
  </w:style>
  <w:style w:type="paragraph" w:customStyle="1" w:styleId="NormalLeftAligned">
    <w:name w:val="Normal Left Aligned"/>
    <w:basedOn w:val="Normal"/>
    <w:uiPriority w:val="1"/>
    <w:unhideWhenUsed/>
    <w:rsid w:val="001051DF"/>
  </w:style>
  <w:style w:type="paragraph" w:customStyle="1" w:styleId="ObjectiveTableAdditonalText">
    <w:name w:val="Objective Table Additonal Text"/>
    <w:basedOn w:val="ObjectiveTableTitle"/>
    <w:uiPriority w:val="70"/>
    <w:semiHidden/>
    <w:rsid w:val="001051DF"/>
    <w:pPr>
      <w:jc w:val="right"/>
    </w:pPr>
    <w:rPr>
      <w:b w:val="0"/>
      <w:i/>
    </w:rPr>
  </w:style>
  <w:style w:type="paragraph" w:customStyle="1" w:styleId="ObjectiveTableGeneralObjectiveTitle">
    <w:name w:val="Objective Table General Objective Title"/>
    <w:basedOn w:val="ObjectiveTableTitle"/>
    <w:uiPriority w:val="70"/>
    <w:semiHidden/>
    <w:rsid w:val="001051DF"/>
    <w:pPr>
      <w:tabs>
        <w:tab w:val="left" w:pos="2494"/>
      </w:tabs>
    </w:pPr>
  </w:style>
  <w:style w:type="paragraph" w:customStyle="1" w:styleId="ObjectiveTableIndicatorTitle">
    <w:name w:val="Objective Table Indicator Title"/>
    <w:basedOn w:val="ObjectiveTableTitle"/>
    <w:uiPriority w:val="70"/>
    <w:semiHidden/>
    <w:rsid w:val="001051DF"/>
    <w:pPr>
      <w:shd w:val="clear" w:color="000000" w:fill="F3F7FF" w:themeFill="background2"/>
      <w:spacing w:after="0"/>
    </w:pPr>
    <w:rPr>
      <w:color w:val="000000" w:themeColor="dark1"/>
    </w:rPr>
  </w:style>
  <w:style w:type="paragraph" w:customStyle="1" w:styleId="ObjectiveTableMainOutputs">
    <w:name w:val="Objective Table Main Outputs"/>
    <w:basedOn w:val="ObjectiveTableTitle"/>
    <w:uiPriority w:val="70"/>
    <w:semiHidden/>
    <w:rsid w:val="001051DF"/>
    <w:pPr>
      <w:shd w:val="clear" w:color="auto" w:fill="DE6002" w:themeFill="accent2"/>
      <w:spacing w:after="0"/>
    </w:pPr>
  </w:style>
  <w:style w:type="paragraph" w:customStyle="1" w:styleId="ObjectiveTableObjectiveTitle">
    <w:name w:val="Objective Table Objective Title"/>
    <w:basedOn w:val="ObjectiveTableTitle"/>
    <w:uiPriority w:val="70"/>
    <w:semiHidden/>
    <w:rsid w:val="001051DF"/>
  </w:style>
  <w:style w:type="paragraph" w:customStyle="1" w:styleId="ObjectiveTableSpecificObjectiveTitle">
    <w:name w:val="Objective Table Specific Objective Title"/>
    <w:basedOn w:val="ObjectiveTableSubtitle"/>
    <w:uiPriority w:val="70"/>
    <w:semiHidden/>
    <w:rsid w:val="001051DF"/>
    <w:pPr>
      <w:tabs>
        <w:tab w:val="left" w:pos="2494"/>
      </w:tabs>
    </w:pPr>
  </w:style>
  <w:style w:type="paragraph" w:customStyle="1" w:styleId="ObjectiveTableSubtitle">
    <w:name w:val="Objective Table Subtitle"/>
    <w:basedOn w:val="ObjectiveTableTitle"/>
    <w:uiPriority w:val="70"/>
    <w:semiHidden/>
    <w:rsid w:val="001051DF"/>
    <w:pPr>
      <w:spacing w:after="0"/>
    </w:pPr>
    <w:rPr>
      <w:i/>
    </w:rPr>
  </w:style>
  <w:style w:type="paragraph" w:customStyle="1" w:styleId="ObjectiveTableTargetTitle">
    <w:name w:val="Objective Table Target Title"/>
    <w:basedOn w:val="ObjectiveTableTitle"/>
    <w:uiPriority w:val="70"/>
    <w:semiHidden/>
    <w:rsid w:val="001051DF"/>
    <w:pPr>
      <w:shd w:val="clear" w:color="auto" w:fill="FDAB07" w:themeFill="accent4"/>
      <w:spacing w:after="0"/>
    </w:pPr>
  </w:style>
  <w:style w:type="paragraph" w:customStyle="1" w:styleId="ObjectiveTableTitle">
    <w:name w:val="Objective Table Title"/>
    <w:basedOn w:val="Normal"/>
    <w:uiPriority w:val="70"/>
    <w:semiHidden/>
    <w:rsid w:val="001051DF"/>
    <w:pPr>
      <w:keepNext/>
      <w:keepLines/>
      <w:pBdr>
        <w:top w:val="single" w:sz="4" w:space="1" w:color="8C8C8C"/>
        <w:left w:val="single" w:sz="4" w:space="4" w:color="8C8C8C"/>
        <w:bottom w:val="single" w:sz="4" w:space="1" w:color="8C8C8C"/>
        <w:right w:val="single" w:sz="4" w:space="4" w:color="8C8C8C"/>
      </w:pBdr>
      <w:shd w:val="clear" w:color="auto" w:fill="008139" w:themeFill="accent1"/>
      <w:spacing w:before="0"/>
      <w:ind w:left="119" w:right="119"/>
    </w:pPr>
    <w:rPr>
      <w:b/>
      <w:color w:val="FFFFFF" w:themeColor="light1"/>
    </w:rPr>
  </w:style>
  <w:style w:type="paragraph" w:customStyle="1" w:styleId="PublicationAuthorServices">
    <w:name w:val="Publication Author Services"/>
    <w:uiPriority w:val="82"/>
    <w:unhideWhenUsed/>
    <w:rsid w:val="00DB5F48"/>
    <w:pPr>
      <w:suppressAutoHyphens/>
      <w:spacing w:before="1680" w:after="720"/>
      <w:ind w:left="3827"/>
    </w:pPr>
    <w:rPr>
      <w:rFonts w:ascii="EC Square Sans Pro" w:eastAsia="SimSun" w:hAnsi="EC Square Sans Pro"/>
      <w:color w:val="003399" w:themeColor="text2"/>
      <w:sz w:val="32"/>
      <w:szCs w:val="32"/>
      <w:lang w:eastAsia="en-GB"/>
    </w:rPr>
  </w:style>
  <w:style w:type="paragraph" w:customStyle="1" w:styleId="PublicationDate">
    <w:name w:val="Publication Date"/>
    <w:uiPriority w:val="83"/>
    <w:unhideWhenUsed/>
    <w:rsid w:val="001051DF"/>
    <w:pPr>
      <w:suppressAutoHyphens/>
      <w:spacing w:before="0"/>
      <w:ind w:left="3827"/>
    </w:pPr>
    <w:rPr>
      <w:rFonts w:ascii="EC Square Sans Pro" w:eastAsia="SimSun" w:hAnsi="EC Square Sans Pro"/>
      <w:caps/>
      <w:color w:val="003399" w:themeColor="text2"/>
      <w:sz w:val="32"/>
      <w:szCs w:val="32"/>
      <w:lang w:eastAsia="en-GB"/>
    </w:rPr>
  </w:style>
  <w:style w:type="paragraph" w:customStyle="1" w:styleId="PublicationSubtitle">
    <w:name w:val="Publication Subtitle"/>
    <w:uiPriority w:val="81"/>
    <w:unhideWhenUsed/>
    <w:rsid w:val="00DB5F48"/>
    <w:pPr>
      <w:suppressAutoHyphens/>
      <w:spacing w:before="480" w:after="0"/>
      <w:ind w:left="3827"/>
    </w:pPr>
    <w:rPr>
      <w:rFonts w:asciiTheme="majorHAnsi" w:eastAsia="SimSun" w:hAnsiTheme="majorHAnsi"/>
      <w:color w:val="003399" w:themeColor="text2"/>
      <w:sz w:val="44"/>
      <w:szCs w:val="44"/>
      <w:lang w:eastAsia="en-GB"/>
    </w:rPr>
  </w:style>
  <w:style w:type="paragraph" w:customStyle="1" w:styleId="PublicationTitle">
    <w:name w:val="Publication Title"/>
    <w:link w:val="PublicationTitleChar"/>
    <w:uiPriority w:val="80"/>
    <w:unhideWhenUsed/>
    <w:rsid w:val="001051DF"/>
    <w:pPr>
      <w:suppressAutoHyphens/>
      <w:spacing w:before="3360"/>
      <w:ind w:left="3828" w:right="1"/>
    </w:pPr>
    <w:rPr>
      <w:rFonts w:asciiTheme="majorHAnsi" w:eastAsia="SimSun" w:hAnsiTheme="majorHAnsi"/>
      <w:bCs/>
      <w:color w:val="003399" w:themeColor="text2"/>
      <w:sz w:val="72"/>
      <w:szCs w:val="72"/>
      <w:lang w:eastAsia="en-GB"/>
    </w:rPr>
  </w:style>
  <w:style w:type="paragraph" w:customStyle="1" w:styleId="References1">
    <w:name w:val="References 1"/>
    <w:basedOn w:val="Heading1"/>
    <w:next w:val="Normal"/>
    <w:uiPriority w:val="40"/>
    <w:semiHidden/>
    <w:rsid w:val="00EC3443"/>
  </w:style>
  <w:style w:type="paragraph" w:customStyle="1" w:styleId="References2">
    <w:name w:val="References 2"/>
    <w:basedOn w:val="Heading2"/>
    <w:next w:val="Normal"/>
    <w:uiPriority w:val="40"/>
    <w:semiHidden/>
    <w:rsid w:val="00EC3443"/>
    <w:pPr>
      <w:ind w:left="0" w:firstLine="0"/>
    </w:pPr>
  </w:style>
  <w:style w:type="paragraph" w:customStyle="1" w:styleId="TableAlternative">
    <w:name w:val="Table Alternative"/>
    <w:basedOn w:val="ImageAlternative"/>
    <w:next w:val="Normal"/>
    <w:semiHidden/>
    <w:rsid w:val="001051DF"/>
  </w:style>
  <w:style w:type="paragraph" w:customStyle="1" w:styleId="TableBody">
    <w:name w:val="Table Body"/>
    <w:next w:val="Normal"/>
    <w:uiPriority w:val="6"/>
    <w:semiHidden/>
    <w:rsid w:val="001051DF"/>
    <w:pPr>
      <w:keepNext/>
      <w:suppressAutoHyphens/>
      <w:spacing w:after="40" w:line="240" w:lineRule="auto"/>
    </w:pPr>
    <w:rPr>
      <w:rFonts w:ascii="EC Square Sans Pro" w:eastAsia="SimSun" w:hAnsi="EC Square Sans Pro"/>
      <w:lang w:eastAsia="en-GB"/>
    </w:rPr>
  </w:style>
  <w:style w:type="paragraph" w:customStyle="1" w:styleId="TableCaption">
    <w:name w:val="Table Caption"/>
    <w:basedOn w:val="ImageCaption"/>
    <w:next w:val="TableSource"/>
    <w:uiPriority w:val="4"/>
    <w:rsid w:val="001051DF"/>
  </w:style>
  <w:style w:type="paragraph" w:customStyle="1" w:styleId="TableCopyrights">
    <w:name w:val="Table Copyrights"/>
    <w:basedOn w:val="TableSource"/>
    <w:uiPriority w:val="4"/>
    <w:unhideWhenUsed/>
    <w:rsid w:val="001051DF"/>
    <w:rPr>
      <w:rFonts w:eastAsia="Times New Roman"/>
    </w:rPr>
  </w:style>
  <w:style w:type="paragraph" w:customStyle="1" w:styleId="TableNotes">
    <w:name w:val="Table Notes"/>
    <w:basedOn w:val="TableSource"/>
    <w:uiPriority w:val="4"/>
    <w:unhideWhenUsed/>
    <w:qFormat/>
    <w:rsid w:val="001051DF"/>
    <w:pPr>
      <w:tabs>
        <w:tab w:val="left" w:pos="284"/>
      </w:tabs>
    </w:pPr>
    <w:rPr>
      <w:rFonts w:eastAsia="Times New Roman"/>
    </w:rPr>
  </w:style>
  <w:style w:type="paragraph" w:styleId="TableofFigures">
    <w:name w:val="table of figures"/>
    <w:next w:val="Normal"/>
    <w:uiPriority w:val="39"/>
    <w:rsid w:val="00EC3443"/>
    <w:pPr>
      <w:tabs>
        <w:tab w:val="right" w:leader="dot" w:pos="8504"/>
      </w:tabs>
      <w:suppressAutoHyphens/>
      <w:spacing w:after="0" w:line="240" w:lineRule="auto"/>
    </w:pPr>
    <w:rPr>
      <w:rFonts w:ascii="EC Square Sans Pro" w:eastAsia="SimSun" w:hAnsi="EC Square Sans Pro"/>
      <w:color w:val="003399" w:themeColor="text2"/>
      <w:lang w:eastAsia="en-GB"/>
    </w:rPr>
  </w:style>
  <w:style w:type="paragraph" w:customStyle="1" w:styleId="TableSource">
    <w:name w:val="Table Source"/>
    <w:basedOn w:val="ImageSource"/>
    <w:next w:val="Normal"/>
    <w:uiPriority w:val="6"/>
    <w:unhideWhenUsed/>
    <w:qFormat/>
    <w:rsid w:val="001051DF"/>
    <w:pPr>
      <w:spacing w:before="120"/>
    </w:pPr>
    <w:rPr>
      <w:rFonts w:asciiTheme="minorHAnsi" w:hAnsiTheme="minorHAnsi"/>
      <w:color w:val="000000" w:themeColor="dark1"/>
    </w:rPr>
  </w:style>
  <w:style w:type="paragraph" w:customStyle="1" w:styleId="TableSubtitle">
    <w:name w:val="Table Subtitle"/>
    <w:basedOn w:val="ImageSubtitle"/>
    <w:uiPriority w:val="4"/>
    <w:unhideWhenUsed/>
    <w:rsid w:val="00EC3443"/>
    <w:pPr>
      <w:keepLines/>
      <w:spacing w:line="264" w:lineRule="auto"/>
      <w:jc w:val="both"/>
    </w:pPr>
    <w:rPr>
      <w:rFonts w:asciiTheme="minorHAnsi" w:eastAsia="Times New Roman" w:hAnsiTheme="minorHAnsi"/>
    </w:rPr>
  </w:style>
  <w:style w:type="paragraph" w:customStyle="1" w:styleId="TableTitle">
    <w:name w:val="Table Title"/>
    <w:basedOn w:val="ImageTitle"/>
    <w:next w:val="TableBody"/>
    <w:uiPriority w:val="4"/>
    <w:unhideWhenUsed/>
    <w:qFormat/>
    <w:rsid w:val="002C1925"/>
    <w:pPr>
      <w:keepLines/>
    </w:pPr>
    <w:rPr>
      <w:rFonts w:eastAsia="Times New Roman"/>
    </w:rPr>
  </w:style>
  <w:style w:type="paragraph" w:customStyle="1" w:styleId="TitlePageAuthorServices">
    <w:name w:val="Title Page Author Services"/>
    <w:uiPriority w:val="86"/>
    <w:unhideWhenUsed/>
    <w:rsid w:val="001051DF"/>
    <w:pPr>
      <w:suppressAutoHyphens/>
      <w:ind w:left="850"/>
      <w:contextualSpacing/>
    </w:pPr>
    <w:rPr>
      <w:rFonts w:ascii="EC Square Sans Pro Medium" w:eastAsia="SimSun" w:hAnsi="EC Square Sans Pro Medium"/>
      <w:color w:val="003399" w:themeColor="dark2"/>
      <w:sz w:val="36"/>
      <w:lang w:eastAsia="en-GB"/>
    </w:rPr>
  </w:style>
  <w:style w:type="paragraph" w:customStyle="1" w:styleId="TitlePageDate">
    <w:name w:val="Title Page Date"/>
    <w:uiPriority w:val="87"/>
    <w:unhideWhenUsed/>
    <w:rsid w:val="00DB5F48"/>
    <w:pPr>
      <w:keepNext/>
      <w:keepLines/>
      <w:suppressAutoHyphens/>
      <w:ind w:left="850" w:right="850"/>
      <w:contextualSpacing/>
      <w:jc w:val="right"/>
    </w:pPr>
    <w:rPr>
      <w:rFonts w:ascii="EC Square Sans Pro Medium" w:eastAsia="SimSun" w:hAnsi="EC Square Sans Pro Medium"/>
      <w:color w:val="003399" w:themeColor="text2"/>
      <w:sz w:val="40"/>
      <w:lang w:eastAsia="en-GB"/>
    </w:rPr>
  </w:style>
  <w:style w:type="paragraph" w:customStyle="1" w:styleId="TitlePageEditorSeat">
    <w:name w:val="Title Page Editor Seat"/>
    <w:uiPriority w:val="88"/>
    <w:unhideWhenUsed/>
    <w:rsid w:val="001051DF"/>
    <w:pPr>
      <w:keepNext/>
      <w:keepLines/>
      <w:suppressAutoHyphens/>
      <w:ind w:right="850"/>
      <w:contextualSpacing/>
      <w:jc w:val="right"/>
    </w:pPr>
    <w:rPr>
      <w:rFonts w:eastAsia="SimSun"/>
      <w:sz w:val="32"/>
      <w:lang w:eastAsia="en-GB"/>
    </w:rPr>
  </w:style>
  <w:style w:type="paragraph" w:customStyle="1" w:styleId="TitlePageSubtitle">
    <w:name w:val="Title Page Subtitle"/>
    <w:uiPriority w:val="85"/>
    <w:unhideWhenUsed/>
    <w:rsid w:val="001051DF"/>
    <w:pPr>
      <w:suppressAutoHyphens/>
      <w:spacing w:before="600" w:after="600"/>
      <w:ind w:left="850" w:right="850"/>
      <w:contextualSpacing/>
      <w:jc w:val="right"/>
    </w:pPr>
    <w:rPr>
      <w:rFonts w:ascii="EC Square Sans Pro Medium" w:eastAsia="SimSun" w:hAnsi="EC Square Sans Pro Medium"/>
      <w:color w:val="003399" w:themeColor="text2"/>
      <w:sz w:val="48"/>
      <w:lang w:eastAsia="en-GB"/>
    </w:rPr>
  </w:style>
  <w:style w:type="paragraph" w:customStyle="1" w:styleId="TitlePageTitle">
    <w:name w:val="Title Page Title"/>
    <w:uiPriority w:val="84"/>
    <w:unhideWhenUsed/>
    <w:rsid w:val="001051DF"/>
    <w:pPr>
      <w:suppressAutoHyphens/>
      <w:spacing w:before="2600" w:after="360"/>
      <w:ind w:left="850" w:right="850"/>
      <w:contextualSpacing/>
      <w:jc w:val="right"/>
    </w:pPr>
    <w:rPr>
      <w:rFonts w:ascii="EC Square Sans Pro Medium" w:eastAsia="SimSun" w:hAnsi="EC Square Sans Pro Medium"/>
      <w:color w:val="003399" w:themeColor="text2"/>
      <w:sz w:val="64"/>
      <w:lang w:eastAsia="en-GB"/>
    </w:rPr>
  </w:style>
  <w:style w:type="paragraph" w:styleId="TOC1">
    <w:name w:val="toc 1"/>
    <w:basedOn w:val="Normal"/>
    <w:next w:val="Normal"/>
    <w:uiPriority w:val="39"/>
    <w:rsid w:val="001051DF"/>
    <w:pPr>
      <w:tabs>
        <w:tab w:val="right" w:leader="dot" w:pos="9072"/>
      </w:tabs>
      <w:spacing w:before="120" w:after="120"/>
    </w:pPr>
    <w:rPr>
      <w:rFonts w:eastAsiaTheme="minorHAnsi" w:cstheme="minorBidi"/>
      <w:b/>
      <w:caps/>
      <w:lang w:eastAsia="en-US"/>
    </w:rPr>
  </w:style>
  <w:style w:type="paragraph" w:styleId="TOC2">
    <w:name w:val="toc 2"/>
    <w:basedOn w:val="Normal"/>
    <w:next w:val="Normal"/>
    <w:uiPriority w:val="39"/>
    <w:rsid w:val="001051DF"/>
    <w:pPr>
      <w:tabs>
        <w:tab w:val="right" w:leader="dot" w:pos="9072"/>
      </w:tabs>
      <w:spacing w:before="120" w:after="120"/>
      <w:ind w:left="714" w:hanging="357"/>
    </w:pPr>
    <w:rPr>
      <w:rFonts w:eastAsiaTheme="minorHAnsi" w:cstheme="minorBidi"/>
      <w:lang w:eastAsia="en-US"/>
    </w:rPr>
  </w:style>
  <w:style w:type="paragraph" w:styleId="TOC3">
    <w:name w:val="toc 3"/>
    <w:basedOn w:val="Normal"/>
    <w:next w:val="Normal"/>
    <w:uiPriority w:val="39"/>
    <w:rsid w:val="001051DF"/>
    <w:pPr>
      <w:spacing w:before="120" w:after="120"/>
      <w:ind w:left="720"/>
    </w:pPr>
    <w:rPr>
      <w:rFonts w:eastAsiaTheme="minorHAnsi" w:cstheme="minorBidi"/>
      <w:lang w:eastAsia="en-US"/>
    </w:rPr>
  </w:style>
  <w:style w:type="paragraph" w:styleId="TOC4">
    <w:name w:val="toc 4"/>
    <w:basedOn w:val="Normal"/>
    <w:next w:val="Normal"/>
    <w:uiPriority w:val="39"/>
    <w:semiHidden/>
    <w:rsid w:val="001051DF"/>
    <w:pPr>
      <w:spacing w:before="120" w:after="120"/>
      <w:ind w:left="601"/>
    </w:pPr>
    <w:rPr>
      <w:rFonts w:eastAsiaTheme="minorHAnsi" w:cstheme="minorBidi"/>
      <w:lang w:eastAsia="en-US"/>
    </w:rPr>
  </w:style>
  <w:style w:type="paragraph" w:styleId="TOC5">
    <w:name w:val="toc 5"/>
    <w:basedOn w:val="Normal"/>
    <w:next w:val="Normal"/>
    <w:uiPriority w:val="39"/>
    <w:semiHidden/>
    <w:rsid w:val="001051DF"/>
    <w:pPr>
      <w:spacing w:before="120" w:after="120"/>
      <w:ind w:left="799"/>
    </w:pPr>
    <w:rPr>
      <w:rFonts w:eastAsiaTheme="minorHAnsi" w:cstheme="minorBidi"/>
      <w:lang w:eastAsia="en-US"/>
    </w:rPr>
  </w:style>
  <w:style w:type="paragraph" w:styleId="TOC6">
    <w:name w:val="toc 6"/>
    <w:basedOn w:val="Normal"/>
    <w:next w:val="Normal"/>
    <w:uiPriority w:val="39"/>
    <w:semiHidden/>
    <w:rsid w:val="001051DF"/>
    <w:pPr>
      <w:spacing w:before="120" w:after="120"/>
      <w:ind w:left="998"/>
    </w:pPr>
    <w:rPr>
      <w:rFonts w:eastAsiaTheme="minorHAnsi" w:cstheme="minorBidi"/>
      <w:lang w:eastAsia="en-US"/>
    </w:rPr>
  </w:style>
  <w:style w:type="paragraph" w:styleId="TOC7">
    <w:name w:val="toc 7"/>
    <w:basedOn w:val="Normal"/>
    <w:next w:val="Normal"/>
    <w:uiPriority w:val="39"/>
    <w:semiHidden/>
    <w:rsid w:val="001051DF"/>
    <w:pPr>
      <w:spacing w:before="120" w:after="120"/>
      <w:ind w:left="1202"/>
    </w:pPr>
    <w:rPr>
      <w:rFonts w:eastAsiaTheme="minorHAnsi" w:cstheme="minorBidi"/>
      <w:lang w:eastAsia="en-US"/>
    </w:rPr>
  </w:style>
  <w:style w:type="paragraph" w:styleId="TOC8">
    <w:name w:val="toc 8"/>
    <w:basedOn w:val="Normal"/>
    <w:next w:val="Normal"/>
    <w:uiPriority w:val="39"/>
    <w:semiHidden/>
    <w:rsid w:val="001051DF"/>
    <w:pPr>
      <w:spacing w:after="100"/>
      <w:ind w:left="1400"/>
    </w:pPr>
    <w:rPr>
      <w:rFonts w:eastAsiaTheme="minorHAnsi" w:cstheme="minorBidi"/>
      <w:lang w:eastAsia="en-US"/>
    </w:rPr>
  </w:style>
  <w:style w:type="paragraph" w:styleId="TOC9">
    <w:name w:val="toc 9"/>
    <w:basedOn w:val="Normal"/>
    <w:next w:val="Normal"/>
    <w:uiPriority w:val="39"/>
    <w:semiHidden/>
    <w:rsid w:val="001051DF"/>
    <w:pPr>
      <w:spacing w:after="100"/>
      <w:ind w:left="1600"/>
    </w:pPr>
    <w:rPr>
      <w:rFonts w:eastAsiaTheme="minorHAnsi" w:cstheme="minorBidi"/>
      <w:lang w:eastAsia="en-US"/>
    </w:rPr>
  </w:style>
  <w:style w:type="paragraph" w:styleId="TOCHeading">
    <w:name w:val="TOC Heading"/>
    <w:basedOn w:val="Heading1"/>
    <w:next w:val="Normal"/>
    <w:uiPriority w:val="37"/>
    <w:unhideWhenUsed/>
    <w:rsid w:val="00206F76"/>
    <w:pPr>
      <w:pageBreakBefore w:val="0"/>
      <w:pBdr>
        <w:bottom w:val="single" w:sz="6" w:space="1" w:color="DE6002"/>
      </w:pBdr>
      <w:spacing w:before="480" w:after="240"/>
    </w:pPr>
    <w:rPr>
      <w:rFonts w:eastAsia="Times New Roman"/>
      <w:b/>
      <w:sz w:val="28"/>
    </w:rPr>
  </w:style>
  <w:style w:type="paragraph" w:styleId="Date">
    <w:name w:val="Date"/>
    <w:next w:val="Normal"/>
    <w:link w:val="DateChar"/>
    <w:uiPriority w:val="19"/>
    <w:semiHidden/>
    <w:rsid w:val="001051DF"/>
    <w:pPr>
      <w:suppressAutoHyphens/>
      <w:spacing w:after="0"/>
      <w:ind w:left="5669"/>
    </w:pPr>
    <w:rPr>
      <w:rFonts w:ascii="EC Square Sans Pro" w:eastAsia="SimSun" w:hAnsi="EC Square Sans Pro"/>
      <w:lang w:eastAsia="en-GB"/>
    </w:rPr>
  </w:style>
  <w:style w:type="character" w:customStyle="1" w:styleId="DateChar">
    <w:name w:val="Date Char"/>
    <w:link w:val="Date"/>
    <w:uiPriority w:val="19"/>
    <w:semiHidden/>
    <w:rsid w:val="001051DF"/>
    <w:rPr>
      <w:rFonts w:ascii="EC Square Sans Pro" w:eastAsia="SimSun" w:hAnsi="EC Square Sans Pro"/>
      <w:lang w:eastAsia="en-GB"/>
    </w:rPr>
  </w:style>
  <w:style w:type="paragraph" w:styleId="EndnoteText">
    <w:name w:val="endnote text"/>
    <w:basedOn w:val="Normal"/>
    <w:link w:val="EndnoteTextChar"/>
    <w:uiPriority w:val="8"/>
    <w:rsid w:val="001051DF"/>
    <w:pPr>
      <w:spacing w:before="0" w:after="0" w:line="240" w:lineRule="auto"/>
      <w:ind w:left="357" w:hanging="357"/>
    </w:pPr>
    <w:rPr>
      <w:rFonts w:asciiTheme="minorHAnsi" w:hAnsiTheme="minorHAnsi"/>
      <w:color w:val="000000" w:themeColor="dark1"/>
      <w:sz w:val="18"/>
    </w:rPr>
  </w:style>
  <w:style w:type="paragraph" w:styleId="Footer">
    <w:name w:val="footer"/>
    <w:link w:val="FooterChar"/>
    <w:uiPriority w:val="99"/>
    <w:rsid w:val="001051DF"/>
    <w:pPr>
      <w:tabs>
        <w:tab w:val="center" w:pos="4535"/>
        <w:tab w:val="right" w:pos="9071"/>
      </w:tabs>
      <w:suppressAutoHyphens/>
      <w:spacing w:before="0" w:after="0" w:line="240" w:lineRule="auto"/>
      <w:jc w:val="center"/>
    </w:pPr>
    <w:rPr>
      <w:rFonts w:eastAsia="SimSun"/>
      <w:sz w:val="22"/>
      <w:lang w:eastAsia="en-GB"/>
    </w:rPr>
  </w:style>
  <w:style w:type="character" w:customStyle="1" w:styleId="FooterChar">
    <w:name w:val="Footer Char"/>
    <w:link w:val="Footer"/>
    <w:uiPriority w:val="99"/>
    <w:rsid w:val="001051DF"/>
    <w:rPr>
      <w:rFonts w:eastAsia="SimSun"/>
      <w:sz w:val="22"/>
      <w:lang w:eastAsia="en-GB"/>
    </w:rPr>
  </w:style>
  <w:style w:type="paragraph" w:styleId="FootnoteText">
    <w:name w:val="footnote text"/>
    <w:aliases w:val="Footnote Text Char3,Footnote Text Char1 Char1,Footnote Text Char2 Char Char,Footnote Text Char1 Char1 Char Char,Footnote Text Char2 Char Char Char Char,Footnote Text Char1 Char1 Char Char Char Char Char,-E Fußnotentext,Fußnotentext Ursprun"/>
    <w:basedOn w:val="Normal"/>
    <w:link w:val="FootnoteTextChar"/>
    <w:uiPriority w:val="1"/>
    <w:qFormat/>
    <w:rsid w:val="001051DF"/>
    <w:pPr>
      <w:spacing w:before="0" w:after="0" w:line="240" w:lineRule="auto"/>
      <w:ind w:left="357" w:hanging="357"/>
    </w:pPr>
    <w:rPr>
      <w:rFonts w:asciiTheme="minorHAnsi" w:hAnsiTheme="minorHAnsi"/>
      <w:sz w:val="18"/>
    </w:rPr>
  </w:style>
  <w:style w:type="paragraph" w:styleId="Header">
    <w:name w:val="header"/>
    <w:link w:val="HeaderChar"/>
    <w:uiPriority w:val="99"/>
    <w:rsid w:val="001051DF"/>
    <w:pPr>
      <w:tabs>
        <w:tab w:val="center" w:pos="4535"/>
        <w:tab w:val="right" w:pos="9071"/>
      </w:tabs>
      <w:suppressAutoHyphens/>
      <w:spacing w:before="0" w:after="0" w:line="240" w:lineRule="auto"/>
      <w:jc w:val="center"/>
    </w:pPr>
    <w:rPr>
      <w:rFonts w:eastAsia="SimSun"/>
      <w:sz w:val="22"/>
      <w:lang w:eastAsia="en-GB"/>
    </w:rPr>
  </w:style>
  <w:style w:type="character" w:customStyle="1" w:styleId="HeaderChar">
    <w:name w:val="Header Char"/>
    <w:link w:val="Header"/>
    <w:uiPriority w:val="99"/>
    <w:rsid w:val="001051DF"/>
    <w:rPr>
      <w:rFonts w:eastAsia="SimSun"/>
      <w:sz w:val="22"/>
      <w:lang w:eastAsia="en-GB"/>
    </w:rPr>
  </w:style>
  <w:style w:type="character" w:customStyle="1" w:styleId="Heading1Char">
    <w:name w:val="Heading 1 Char"/>
    <w:link w:val="Heading1"/>
    <w:uiPriority w:val="9"/>
    <w:qFormat/>
    <w:rsid w:val="001051DF"/>
    <w:rPr>
      <w:rFonts w:asciiTheme="majorHAnsi" w:eastAsia="SimSun" w:hAnsiTheme="majorHAnsi"/>
      <w:color w:val="003399" w:themeColor="text2"/>
      <w:sz w:val="48"/>
      <w:lang w:eastAsia="en-GB"/>
    </w:rPr>
  </w:style>
  <w:style w:type="paragraph" w:customStyle="1" w:styleId="Heading1NoBreakBefore">
    <w:name w:val="Heading 1 No Break Before"/>
    <w:basedOn w:val="Heading1"/>
    <w:next w:val="Normal"/>
    <w:link w:val="Heading1NoBreakBeforeChar"/>
    <w:uiPriority w:val="9"/>
    <w:rsid w:val="001051DF"/>
    <w:pPr>
      <w:pageBreakBefore w:val="0"/>
      <w:spacing w:before="720" w:after="480"/>
    </w:pPr>
  </w:style>
  <w:style w:type="character" w:customStyle="1" w:styleId="Heading1NoBreakBeforeChar">
    <w:name w:val="Heading 1 No Break Before Char"/>
    <w:link w:val="Heading1NoBreakBefore"/>
    <w:uiPriority w:val="9"/>
    <w:qFormat/>
    <w:rsid w:val="001051DF"/>
    <w:rPr>
      <w:rFonts w:asciiTheme="majorHAnsi" w:eastAsia="SimSun" w:hAnsiTheme="majorHAnsi"/>
      <w:color w:val="003399" w:themeColor="text2"/>
      <w:sz w:val="48"/>
      <w:lang w:eastAsia="en-GB"/>
    </w:rPr>
  </w:style>
  <w:style w:type="character" w:customStyle="1" w:styleId="Heading2Char">
    <w:name w:val="Heading 2 Char"/>
    <w:link w:val="Heading2"/>
    <w:uiPriority w:val="9"/>
    <w:qFormat/>
    <w:rsid w:val="001051DF"/>
    <w:rPr>
      <w:rFonts w:asciiTheme="majorHAnsi" w:eastAsia="SimSun" w:hAnsiTheme="majorHAnsi"/>
      <w:color w:val="003399" w:themeColor="text2"/>
      <w:sz w:val="48"/>
      <w:lang w:eastAsia="en-GB"/>
    </w:rPr>
  </w:style>
  <w:style w:type="paragraph" w:customStyle="1" w:styleId="Heading2LabelledLetter">
    <w:name w:val="Heading 2 Labelled Letter"/>
    <w:basedOn w:val="Heading2"/>
    <w:next w:val="Normal"/>
    <w:link w:val="Heading2LabelledLetterChar"/>
    <w:uiPriority w:val="9"/>
    <w:rsid w:val="001051DF"/>
    <w:pPr>
      <w:ind w:left="357" w:hanging="357"/>
    </w:pPr>
  </w:style>
  <w:style w:type="character" w:customStyle="1" w:styleId="Heading2LabelledLetterChar">
    <w:name w:val="Heading 2 Labelled Letter Char"/>
    <w:link w:val="Heading2LabelledLetter"/>
    <w:uiPriority w:val="9"/>
    <w:qFormat/>
    <w:rsid w:val="001051DF"/>
    <w:rPr>
      <w:rFonts w:asciiTheme="majorHAnsi" w:eastAsia="SimSun" w:hAnsiTheme="majorHAnsi"/>
      <w:color w:val="003399" w:themeColor="text2"/>
      <w:sz w:val="48"/>
      <w:lang w:eastAsia="en-GB"/>
    </w:rPr>
  </w:style>
  <w:style w:type="paragraph" w:customStyle="1" w:styleId="Heading2LabelledNumber">
    <w:name w:val="Heading 2 Labelled Number"/>
    <w:basedOn w:val="Heading2"/>
    <w:next w:val="Normal"/>
    <w:link w:val="Heading2LabelledNumberChar"/>
    <w:uiPriority w:val="9"/>
    <w:rsid w:val="001051DF"/>
    <w:pPr>
      <w:ind w:left="357" w:hanging="357"/>
    </w:pPr>
  </w:style>
  <w:style w:type="character" w:customStyle="1" w:styleId="Heading2LabelledNumberChar">
    <w:name w:val="Heading 2 Labelled Number Char"/>
    <w:link w:val="Heading2LabelledNumber"/>
    <w:uiPriority w:val="9"/>
    <w:qFormat/>
    <w:rsid w:val="001051DF"/>
    <w:rPr>
      <w:rFonts w:asciiTheme="majorHAnsi" w:eastAsia="SimSun" w:hAnsiTheme="majorHAnsi"/>
      <w:color w:val="003399" w:themeColor="text2"/>
      <w:sz w:val="48"/>
      <w:lang w:eastAsia="en-GB"/>
    </w:rPr>
  </w:style>
  <w:style w:type="character" w:customStyle="1" w:styleId="Heading3Char">
    <w:name w:val="Heading 3 Char"/>
    <w:link w:val="Heading3"/>
    <w:uiPriority w:val="9"/>
    <w:qFormat/>
    <w:rsid w:val="00206F76"/>
    <w:rPr>
      <w:rFonts w:asciiTheme="majorHAnsi" w:eastAsia="SimSun" w:hAnsiTheme="majorHAnsi"/>
      <w:b/>
      <w:color w:val="003399" w:themeColor="text2"/>
      <w:sz w:val="28"/>
      <w:lang w:eastAsia="en-GB"/>
    </w:rPr>
  </w:style>
  <w:style w:type="character" w:customStyle="1" w:styleId="Heading4Char">
    <w:name w:val="Heading 4 Char"/>
    <w:link w:val="Heading4"/>
    <w:uiPriority w:val="9"/>
    <w:unhideWhenUsed/>
    <w:qFormat/>
    <w:rsid w:val="001051DF"/>
    <w:rPr>
      <w:rFonts w:asciiTheme="majorHAnsi" w:eastAsia="SimSun" w:hAnsiTheme="majorHAnsi"/>
      <w:color w:val="003399" w:themeColor="text2"/>
      <w:sz w:val="28"/>
      <w:lang w:eastAsia="en-GB"/>
    </w:rPr>
  </w:style>
  <w:style w:type="character" w:customStyle="1" w:styleId="Heading5Char">
    <w:name w:val="Heading 5 Char"/>
    <w:link w:val="Heading5"/>
    <w:uiPriority w:val="9"/>
    <w:unhideWhenUsed/>
    <w:qFormat/>
    <w:rsid w:val="001051DF"/>
    <w:rPr>
      <w:rFonts w:asciiTheme="majorHAnsi" w:eastAsia="SimSun" w:hAnsiTheme="majorHAnsi"/>
      <w:b/>
      <w:color w:val="003399" w:themeColor="text2"/>
      <w:sz w:val="22"/>
      <w:lang w:eastAsia="en-GB"/>
    </w:rPr>
  </w:style>
  <w:style w:type="character" w:customStyle="1" w:styleId="Heading6Char">
    <w:name w:val="Heading 6 Char"/>
    <w:link w:val="Heading6"/>
    <w:uiPriority w:val="9"/>
    <w:unhideWhenUsed/>
    <w:qFormat/>
    <w:rsid w:val="00DB5F48"/>
    <w:rPr>
      <w:rFonts w:asciiTheme="majorHAnsi" w:eastAsia="SimSun" w:hAnsiTheme="majorHAnsi"/>
      <w:b/>
      <w:color w:val="003399" w:themeColor="text2"/>
      <w:lang w:eastAsia="en-GB"/>
    </w:rPr>
  </w:style>
  <w:style w:type="character" w:customStyle="1" w:styleId="Heading7Char">
    <w:name w:val="Heading 7 Char"/>
    <w:link w:val="Heading7"/>
    <w:uiPriority w:val="9"/>
    <w:semiHidden/>
    <w:unhideWhenUsed/>
    <w:qFormat/>
    <w:rsid w:val="001051DF"/>
    <w:rPr>
      <w:rFonts w:asciiTheme="majorHAnsi" w:eastAsia="SimSun" w:hAnsiTheme="majorHAnsi"/>
      <w:color w:val="008139" w:themeColor="accent1"/>
      <w:spacing w:val="12"/>
      <w:lang w:eastAsia="en-GB"/>
    </w:rPr>
  </w:style>
  <w:style w:type="character" w:customStyle="1" w:styleId="Heading8Char">
    <w:name w:val="Heading 8 Char"/>
    <w:link w:val="Heading8"/>
    <w:uiPriority w:val="9"/>
    <w:semiHidden/>
    <w:unhideWhenUsed/>
    <w:qFormat/>
    <w:rsid w:val="001051DF"/>
    <w:rPr>
      <w:rFonts w:asciiTheme="majorHAnsi" w:eastAsia="SimSun" w:hAnsiTheme="majorHAnsi"/>
      <w:i/>
      <w:color w:val="008139" w:themeColor="accent1"/>
      <w:spacing w:val="12"/>
      <w:lang w:eastAsia="en-GB"/>
    </w:rPr>
  </w:style>
  <w:style w:type="character" w:customStyle="1" w:styleId="Heading9Char">
    <w:name w:val="Heading 9 Char"/>
    <w:link w:val="Heading9"/>
    <w:uiPriority w:val="9"/>
    <w:semiHidden/>
    <w:unhideWhenUsed/>
    <w:qFormat/>
    <w:rsid w:val="001051DF"/>
    <w:rPr>
      <w:rFonts w:asciiTheme="majorHAnsi" w:eastAsia="SimSun" w:hAnsiTheme="majorHAnsi"/>
      <w:color w:val="008139" w:themeColor="accent1"/>
      <w:spacing w:val="12"/>
      <w:lang w:eastAsia="en-GB"/>
    </w:rPr>
  </w:style>
  <w:style w:type="paragraph" w:customStyle="1" w:styleId="HeadingNoTOC1">
    <w:name w:val="Heading NoTOC 1"/>
    <w:basedOn w:val="Heading1"/>
    <w:next w:val="Normal"/>
    <w:link w:val="HeadingNoTOC1Char"/>
    <w:uiPriority w:val="9"/>
    <w:rsid w:val="001051DF"/>
    <w:pPr>
      <w:pageBreakBefore w:val="0"/>
      <w:spacing w:before="480" w:after="360"/>
    </w:pPr>
  </w:style>
  <w:style w:type="character" w:customStyle="1" w:styleId="HeadingNoTOC1Char">
    <w:name w:val="Heading NoTOC 1 Char"/>
    <w:link w:val="HeadingNoTOC1"/>
    <w:uiPriority w:val="9"/>
    <w:rsid w:val="001051DF"/>
    <w:rPr>
      <w:rFonts w:asciiTheme="majorHAnsi" w:eastAsia="SimSun" w:hAnsiTheme="majorHAnsi"/>
      <w:color w:val="003399" w:themeColor="text2"/>
      <w:sz w:val="48"/>
      <w:lang w:eastAsia="en-GB"/>
    </w:rPr>
  </w:style>
  <w:style w:type="paragraph" w:customStyle="1" w:styleId="HeadingNoTOC1NoBreakBefore">
    <w:name w:val="Heading NoTOC 1 No Break Before"/>
    <w:basedOn w:val="HeadingNoTOC1"/>
    <w:next w:val="Normal"/>
    <w:link w:val="HeadingNoTOC1NoBreakBeforeChar"/>
    <w:uiPriority w:val="9"/>
    <w:rsid w:val="001051DF"/>
  </w:style>
  <w:style w:type="character" w:customStyle="1" w:styleId="HeadingNoTOC1NoBreakBeforeChar">
    <w:name w:val="Heading NoTOC 1 No Break Before Char"/>
    <w:link w:val="HeadingNoTOC1NoBreakBefore"/>
    <w:uiPriority w:val="9"/>
    <w:qFormat/>
    <w:rsid w:val="001051DF"/>
    <w:rPr>
      <w:rFonts w:asciiTheme="majorHAnsi" w:eastAsia="SimSun" w:hAnsiTheme="majorHAnsi"/>
      <w:color w:val="003399" w:themeColor="text2"/>
      <w:sz w:val="48"/>
      <w:lang w:eastAsia="en-GB"/>
    </w:rPr>
  </w:style>
  <w:style w:type="paragraph" w:customStyle="1" w:styleId="HeadingNoTOC2">
    <w:name w:val="Heading NoTOC 2"/>
    <w:basedOn w:val="Heading2"/>
    <w:next w:val="Normal"/>
    <w:link w:val="HeadingNoTOC2Char"/>
    <w:uiPriority w:val="9"/>
    <w:rsid w:val="001051DF"/>
  </w:style>
  <w:style w:type="character" w:customStyle="1" w:styleId="HeadingNoTOC2Char">
    <w:name w:val="Heading NoTOC 2 Char"/>
    <w:link w:val="HeadingNoTOC2"/>
    <w:uiPriority w:val="9"/>
    <w:rsid w:val="001051DF"/>
    <w:rPr>
      <w:rFonts w:asciiTheme="majorHAnsi" w:eastAsia="SimSun" w:hAnsiTheme="majorHAnsi"/>
      <w:color w:val="003399" w:themeColor="text2"/>
      <w:sz w:val="48"/>
      <w:lang w:eastAsia="en-GB"/>
    </w:rPr>
  </w:style>
  <w:style w:type="paragraph" w:customStyle="1" w:styleId="HeadingNoTOC3">
    <w:name w:val="Heading NoTOC 3"/>
    <w:basedOn w:val="Heading3"/>
    <w:next w:val="Normal"/>
    <w:link w:val="HeadingNoTOC3Char"/>
    <w:uiPriority w:val="9"/>
    <w:rsid w:val="001051DF"/>
  </w:style>
  <w:style w:type="character" w:customStyle="1" w:styleId="HeadingNoTOC3Char">
    <w:name w:val="Heading NoTOC 3 Char"/>
    <w:link w:val="HeadingNoTOC3"/>
    <w:uiPriority w:val="9"/>
    <w:rsid w:val="001051DF"/>
    <w:rPr>
      <w:rFonts w:asciiTheme="majorHAnsi" w:eastAsia="SimSun" w:hAnsiTheme="majorHAnsi"/>
      <w:b/>
      <w:color w:val="003399" w:themeColor="text2"/>
      <w:sz w:val="28"/>
      <w:lang w:eastAsia="en-GB"/>
    </w:rPr>
  </w:style>
  <w:style w:type="paragraph" w:customStyle="1" w:styleId="HeadingNoTOC4">
    <w:name w:val="Heading NoTOC 4"/>
    <w:basedOn w:val="Heading4"/>
    <w:next w:val="Normal"/>
    <w:link w:val="HeadingNoTOC4Char"/>
    <w:uiPriority w:val="9"/>
    <w:rsid w:val="001051DF"/>
  </w:style>
  <w:style w:type="character" w:customStyle="1" w:styleId="HeadingNoTOC4Char">
    <w:name w:val="Heading NoTOC 4 Char"/>
    <w:link w:val="HeadingNoTOC4"/>
    <w:uiPriority w:val="9"/>
    <w:rsid w:val="001051DF"/>
    <w:rPr>
      <w:rFonts w:asciiTheme="majorHAnsi" w:eastAsia="SimSun" w:hAnsiTheme="majorHAnsi"/>
      <w:color w:val="003399" w:themeColor="text2"/>
      <w:sz w:val="28"/>
      <w:lang w:eastAsia="en-GB"/>
    </w:rPr>
  </w:style>
  <w:style w:type="paragraph" w:customStyle="1" w:styleId="HeadingNoTOC5">
    <w:name w:val="Heading NoTOC 5"/>
    <w:basedOn w:val="Heading5"/>
    <w:next w:val="Normal"/>
    <w:link w:val="HeadingNoTOC5Char"/>
    <w:uiPriority w:val="9"/>
    <w:unhideWhenUsed/>
    <w:rsid w:val="001051DF"/>
  </w:style>
  <w:style w:type="character" w:customStyle="1" w:styleId="HeadingNoTOC5Char">
    <w:name w:val="Heading NoTOC 5 Char"/>
    <w:link w:val="HeadingNoTOC5"/>
    <w:uiPriority w:val="9"/>
    <w:unhideWhenUsed/>
    <w:rsid w:val="001051DF"/>
    <w:rPr>
      <w:rFonts w:asciiTheme="majorHAnsi" w:eastAsia="SimSun" w:hAnsiTheme="majorHAnsi"/>
      <w:b/>
      <w:color w:val="003399" w:themeColor="text2"/>
      <w:sz w:val="22"/>
      <w:lang w:eastAsia="en-GB"/>
    </w:rPr>
  </w:style>
  <w:style w:type="paragraph" w:customStyle="1" w:styleId="HeadingNoTOC6">
    <w:name w:val="Heading NoTOC 6"/>
    <w:basedOn w:val="Heading6"/>
    <w:next w:val="Normal"/>
    <w:link w:val="HeadingNoTOC6Char"/>
    <w:uiPriority w:val="9"/>
    <w:unhideWhenUsed/>
    <w:rsid w:val="001051DF"/>
  </w:style>
  <w:style w:type="character" w:customStyle="1" w:styleId="HeadingNoTOC6Char">
    <w:name w:val="Heading NoTOC 6 Char"/>
    <w:link w:val="HeadingNoTOC6"/>
    <w:uiPriority w:val="9"/>
    <w:unhideWhenUsed/>
    <w:rsid w:val="001051DF"/>
    <w:rPr>
      <w:rFonts w:asciiTheme="majorHAnsi" w:eastAsia="SimSun" w:hAnsiTheme="majorHAnsi"/>
      <w:b/>
      <w:color w:val="008139" w:themeColor="accent1"/>
      <w:lang w:eastAsia="en-GB"/>
    </w:rPr>
  </w:style>
  <w:style w:type="paragraph" w:customStyle="1" w:styleId="HeadingNoTOC7">
    <w:name w:val="Heading NoTOC 7"/>
    <w:basedOn w:val="Heading7"/>
    <w:next w:val="Normal"/>
    <w:link w:val="HeadingNoTOC7Char"/>
    <w:uiPriority w:val="9"/>
    <w:unhideWhenUsed/>
    <w:rsid w:val="00DB5F48"/>
    <w:rPr>
      <w:color w:val="003399" w:themeColor="text2"/>
    </w:rPr>
  </w:style>
  <w:style w:type="character" w:customStyle="1" w:styleId="HeadingNoTOC7Char">
    <w:name w:val="Heading NoTOC 7 Char"/>
    <w:link w:val="HeadingNoTOC7"/>
    <w:uiPriority w:val="9"/>
    <w:unhideWhenUsed/>
    <w:rsid w:val="00DB5F48"/>
    <w:rPr>
      <w:rFonts w:asciiTheme="majorHAnsi" w:eastAsia="SimSun" w:hAnsiTheme="majorHAnsi"/>
      <w:color w:val="003399" w:themeColor="text2"/>
      <w:spacing w:val="12"/>
      <w:lang w:eastAsia="en-GB"/>
    </w:rPr>
  </w:style>
  <w:style w:type="paragraph" w:customStyle="1" w:styleId="HeadingNoTOC8">
    <w:name w:val="Heading NoTOC 8"/>
    <w:basedOn w:val="Heading8"/>
    <w:next w:val="Normal"/>
    <w:link w:val="HeadingNoTOC8Char"/>
    <w:uiPriority w:val="9"/>
    <w:unhideWhenUsed/>
    <w:rsid w:val="00DB5F48"/>
    <w:rPr>
      <w:color w:val="003399" w:themeColor="text2"/>
    </w:rPr>
  </w:style>
  <w:style w:type="character" w:customStyle="1" w:styleId="HeadingNoTOC8Char">
    <w:name w:val="Heading NoTOC 8 Char"/>
    <w:link w:val="HeadingNoTOC8"/>
    <w:uiPriority w:val="9"/>
    <w:unhideWhenUsed/>
    <w:rsid w:val="00DB5F48"/>
    <w:rPr>
      <w:rFonts w:asciiTheme="majorHAnsi" w:eastAsia="SimSun" w:hAnsiTheme="majorHAnsi"/>
      <w:i/>
      <w:color w:val="003399" w:themeColor="text2"/>
      <w:spacing w:val="12"/>
      <w:lang w:eastAsia="en-GB"/>
    </w:rPr>
  </w:style>
  <w:style w:type="paragraph" w:customStyle="1" w:styleId="HeadingNoTOC9">
    <w:name w:val="Heading NoTOC 9"/>
    <w:basedOn w:val="Heading9"/>
    <w:next w:val="Normal"/>
    <w:link w:val="HeadingNoTOC9Char"/>
    <w:uiPriority w:val="9"/>
    <w:unhideWhenUsed/>
    <w:rsid w:val="00A7171A"/>
    <w:rPr>
      <w:color w:val="003399" w:themeColor="text2"/>
    </w:rPr>
  </w:style>
  <w:style w:type="character" w:customStyle="1" w:styleId="HeadingNoTOC9Char">
    <w:name w:val="Heading NoTOC 9 Char"/>
    <w:link w:val="HeadingNoTOC9"/>
    <w:uiPriority w:val="9"/>
    <w:unhideWhenUsed/>
    <w:rsid w:val="00A7171A"/>
    <w:rPr>
      <w:rFonts w:asciiTheme="majorHAnsi" w:eastAsia="SimSun" w:hAnsiTheme="majorHAnsi"/>
      <w:color w:val="003399" w:themeColor="text2"/>
      <w:spacing w:val="12"/>
      <w:lang w:eastAsia="en-GB"/>
    </w:rPr>
  </w:style>
  <w:style w:type="paragraph" w:customStyle="1" w:styleId="HeadingNumbered1">
    <w:name w:val="Heading Numbered 1"/>
    <w:basedOn w:val="Heading1"/>
    <w:next w:val="Normal"/>
    <w:link w:val="HeadingNumbered1Char"/>
    <w:uiPriority w:val="9"/>
    <w:rsid w:val="00F05EBF"/>
    <w:pPr>
      <w:numPr>
        <w:numId w:val="4"/>
      </w:numPr>
    </w:pPr>
  </w:style>
  <w:style w:type="character" w:customStyle="1" w:styleId="HeadingNumbered1Char">
    <w:name w:val="Heading Numbered 1 Char"/>
    <w:link w:val="HeadingNumbered1"/>
    <w:uiPriority w:val="9"/>
    <w:rsid w:val="001051DF"/>
    <w:rPr>
      <w:rFonts w:asciiTheme="majorHAnsi" w:eastAsia="SimSun" w:hAnsiTheme="majorHAnsi"/>
      <w:color w:val="003399" w:themeColor="text2"/>
      <w:sz w:val="48"/>
      <w:lang w:eastAsia="en-GB"/>
    </w:rPr>
  </w:style>
  <w:style w:type="paragraph" w:customStyle="1" w:styleId="HeadingNumbered1NoBreakBefore">
    <w:name w:val="Heading Numbered 1 No Break Before"/>
    <w:basedOn w:val="HeadingNumbered1"/>
    <w:next w:val="Normal"/>
    <w:link w:val="HeadingNumbered1NoBreakBeforeChar"/>
    <w:uiPriority w:val="9"/>
    <w:rsid w:val="001051DF"/>
    <w:pPr>
      <w:ind w:left="851" w:hanging="851"/>
    </w:pPr>
  </w:style>
  <w:style w:type="character" w:customStyle="1" w:styleId="HeadingNumbered1NoBreakBeforeChar">
    <w:name w:val="Heading Numbered 1 No Break Before Char"/>
    <w:link w:val="HeadingNumbered1NoBreakBefore"/>
    <w:uiPriority w:val="9"/>
    <w:qFormat/>
    <w:rsid w:val="001051DF"/>
    <w:rPr>
      <w:rFonts w:asciiTheme="majorHAnsi" w:eastAsia="SimSun" w:hAnsiTheme="majorHAnsi"/>
      <w:color w:val="003399" w:themeColor="text2"/>
      <w:sz w:val="48"/>
      <w:lang w:eastAsia="en-GB"/>
    </w:rPr>
  </w:style>
  <w:style w:type="paragraph" w:customStyle="1" w:styleId="HeadingNumbered2">
    <w:name w:val="Heading Numbered 2"/>
    <w:basedOn w:val="Heading2"/>
    <w:next w:val="Normal"/>
    <w:link w:val="HeadingNumbered2Char"/>
    <w:uiPriority w:val="9"/>
    <w:rsid w:val="001051DF"/>
    <w:pPr>
      <w:numPr>
        <w:ilvl w:val="1"/>
        <w:numId w:val="4"/>
      </w:numPr>
    </w:pPr>
  </w:style>
  <w:style w:type="character" w:customStyle="1" w:styleId="HeadingNumbered2Char">
    <w:name w:val="Heading Numbered 2 Char"/>
    <w:link w:val="HeadingNumbered2"/>
    <w:uiPriority w:val="9"/>
    <w:rsid w:val="001051DF"/>
    <w:rPr>
      <w:rFonts w:asciiTheme="majorHAnsi" w:eastAsia="SimSun" w:hAnsiTheme="majorHAnsi"/>
      <w:color w:val="003399" w:themeColor="text2"/>
      <w:sz w:val="48"/>
      <w:lang w:eastAsia="en-GB"/>
    </w:rPr>
  </w:style>
  <w:style w:type="paragraph" w:customStyle="1" w:styleId="HeadingNumbered3">
    <w:name w:val="Heading Numbered 3"/>
    <w:basedOn w:val="Heading3"/>
    <w:next w:val="Normal"/>
    <w:link w:val="HeadingNumbered3Char"/>
    <w:uiPriority w:val="9"/>
    <w:rsid w:val="00206F76"/>
    <w:pPr>
      <w:numPr>
        <w:ilvl w:val="2"/>
        <w:numId w:val="4"/>
      </w:numPr>
    </w:pPr>
  </w:style>
  <w:style w:type="character" w:customStyle="1" w:styleId="HeadingNumbered3Char">
    <w:name w:val="Heading Numbered 3 Char"/>
    <w:link w:val="HeadingNumbered3"/>
    <w:uiPriority w:val="9"/>
    <w:rsid w:val="00206F76"/>
    <w:rPr>
      <w:rFonts w:asciiTheme="majorHAnsi" w:eastAsia="SimSun" w:hAnsiTheme="majorHAnsi"/>
      <w:b/>
      <w:color w:val="003399" w:themeColor="text2"/>
      <w:sz w:val="28"/>
      <w:lang w:eastAsia="en-GB"/>
    </w:rPr>
  </w:style>
  <w:style w:type="paragraph" w:customStyle="1" w:styleId="HeadingNumbered4">
    <w:name w:val="Heading Numbered 4"/>
    <w:basedOn w:val="Heading4"/>
    <w:next w:val="Normal"/>
    <w:link w:val="HeadingNumbered4Char"/>
    <w:uiPriority w:val="9"/>
    <w:rsid w:val="001051DF"/>
    <w:pPr>
      <w:numPr>
        <w:ilvl w:val="3"/>
        <w:numId w:val="4"/>
      </w:numPr>
    </w:pPr>
  </w:style>
  <w:style w:type="character" w:customStyle="1" w:styleId="HeadingNumbered4Char">
    <w:name w:val="Heading Numbered 4 Char"/>
    <w:link w:val="HeadingNumbered4"/>
    <w:uiPriority w:val="9"/>
    <w:rsid w:val="001051DF"/>
    <w:rPr>
      <w:rFonts w:asciiTheme="majorHAnsi" w:eastAsia="SimSun" w:hAnsiTheme="majorHAnsi"/>
      <w:color w:val="003399" w:themeColor="text2"/>
      <w:sz w:val="28"/>
      <w:lang w:eastAsia="en-GB"/>
    </w:rPr>
  </w:style>
  <w:style w:type="paragraph" w:customStyle="1" w:styleId="HeadingNumbered5">
    <w:name w:val="Heading Numbered 5"/>
    <w:basedOn w:val="Heading5"/>
    <w:next w:val="Normal"/>
    <w:link w:val="HeadingNumbered5Char"/>
    <w:uiPriority w:val="9"/>
    <w:unhideWhenUsed/>
    <w:rsid w:val="001051DF"/>
    <w:pPr>
      <w:numPr>
        <w:ilvl w:val="4"/>
        <w:numId w:val="4"/>
      </w:numPr>
    </w:pPr>
  </w:style>
  <w:style w:type="character" w:customStyle="1" w:styleId="HeadingNumbered5Char">
    <w:name w:val="Heading Numbered 5 Char"/>
    <w:link w:val="HeadingNumbered5"/>
    <w:uiPriority w:val="9"/>
    <w:unhideWhenUsed/>
    <w:rsid w:val="001051DF"/>
    <w:rPr>
      <w:rFonts w:asciiTheme="majorHAnsi" w:eastAsia="SimSun" w:hAnsiTheme="majorHAnsi"/>
      <w:b/>
      <w:color w:val="003399" w:themeColor="text2"/>
      <w:sz w:val="22"/>
      <w:lang w:eastAsia="en-GB"/>
    </w:rPr>
  </w:style>
  <w:style w:type="paragraph" w:customStyle="1" w:styleId="HeadingNumbered6">
    <w:name w:val="Heading Numbered 6"/>
    <w:basedOn w:val="Heading6"/>
    <w:next w:val="Normal"/>
    <w:link w:val="HeadingNumbered6Char"/>
    <w:uiPriority w:val="9"/>
    <w:unhideWhenUsed/>
    <w:rsid w:val="001051DF"/>
    <w:pPr>
      <w:numPr>
        <w:ilvl w:val="5"/>
        <w:numId w:val="4"/>
      </w:numPr>
    </w:pPr>
  </w:style>
  <w:style w:type="character" w:customStyle="1" w:styleId="HeadingNumbered6Char">
    <w:name w:val="Heading Numbered 6 Char"/>
    <w:link w:val="HeadingNumbered6"/>
    <w:uiPriority w:val="9"/>
    <w:unhideWhenUsed/>
    <w:rsid w:val="001051DF"/>
    <w:rPr>
      <w:rFonts w:asciiTheme="majorHAnsi" w:eastAsia="SimSun" w:hAnsiTheme="majorHAnsi"/>
      <w:b/>
      <w:color w:val="003399" w:themeColor="text2"/>
      <w:lang w:eastAsia="en-GB"/>
    </w:rPr>
  </w:style>
  <w:style w:type="paragraph" w:customStyle="1" w:styleId="HeadingNumbered7">
    <w:name w:val="Heading Numbered 7"/>
    <w:basedOn w:val="Heading7"/>
    <w:next w:val="Normal"/>
    <w:link w:val="HeadingNumbered7Char"/>
    <w:uiPriority w:val="9"/>
    <w:unhideWhenUsed/>
    <w:rsid w:val="00A7171A"/>
    <w:pPr>
      <w:numPr>
        <w:ilvl w:val="6"/>
        <w:numId w:val="4"/>
      </w:numPr>
    </w:pPr>
    <w:rPr>
      <w:color w:val="003399" w:themeColor="text2"/>
    </w:rPr>
  </w:style>
  <w:style w:type="character" w:customStyle="1" w:styleId="HeadingNumbered7Char">
    <w:name w:val="Heading Numbered 7 Char"/>
    <w:link w:val="HeadingNumbered7"/>
    <w:uiPriority w:val="9"/>
    <w:unhideWhenUsed/>
    <w:rsid w:val="00A7171A"/>
    <w:rPr>
      <w:rFonts w:asciiTheme="majorHAnsi" w:eastAsia="SimSun" w:hAnsiTheme="majorHAnsi"/>
      <w:color w:val="003399" w:themeColor="text2"/>
      <w:spacing w:val="12"/>
      <w:lang w:eastAsia="en-GB"/>
    </w:rPr>
  </w:style>
  <w:style w:type="paragraph" w:customStyle="1" w:styleId="HeadingNumbered8">
    <w:name w:val="Heading Numbered 8"/>
    <w:basedOn w:val="Heading8"/>
    <w:next w:val="Normal"/>
    <w:link w:val="HeadingNumbered8Char"/>
    <w:uiPriority w:val="9"/>
    <w:unhideWhenUsed/>
    <w:rsid w:val="00A7171A"/>
    <w:pPr>
      <w:numPr>
        <w:ilvl w:val="7"/>
        <w:numId w:val="4"/>
      </w:numPr>
    </w:pPr>
    <w:rPr>
      <w:color w:val="003399" w:themeColor="text2"/>
    </w:rPr>
  </w:style>
  <w:style w:type="character" w:customStyle="1" w:styleId="HeadingNumbered8Char">
    <w:name w:val="Heading Numbered 8 Char"/>
    <w:link w:val="HeadingNumbered8"/>
    <w:uiPriority w:val="9"/>
    <w:unhideWhenUsed/>
    <w:rsid w:val="00A7171A"/>
    <w:rPr>
      <w:rFonts w:asciiTheme="majorHAnsi" w:eastAsia="SimSun" w:hAnsiTheme="majorHAnsi"/>
      <w:i/>
      <w:color w:val="003399" w:themeColor="text2"/>
      <w:spacing w:val="12"/>
      <w:lang w:eastAsia="en-GB"/>
    </w:rPr>
  </w:style>
  <w:style w:type="paragraph" w:customStyle="1" w:styleId="HeadingNumbered9">
    <w:name w:val="Heading Numbered 9"/>
    <w:basedOn w:val="Heading9"/>
    <w:next w:val="Normal"/>
    <w:link w:val="HeadingNumbered9Char"/>
    <w:uiPriority w:val="9"/>
    <w:unhideWhenUsed/>
    <w:rsid w:val="00A7171A"/>
    <w:pPr>
      <w:numPr>
        <w:ilvl w:val="8"/>
        <w:numId w:val="4"/>
      </w:numPr>
    </w:pPr>
    <w:rPr>
      <w:color w:val="003399" w:themeColor="text2"/>
    </w:rPr>
  </w:style>
  <w:style w:type="character" w:customStyle="1" w:styleId="HeadingNumbered9Char">
    <w:name w:val="Heading Numbered 9 Char"/>
    <w:link w:val="HeadingNumbered9"/>
    <w:uiPriority w:val="9"/>
    <w:unhideWhenUsed/>
    <w:rsid w:val="00A7171A"/>
    <w:rPr>
      <w:rFonts w:asciiTheme="majorHAnsi" w:eastAsia="SimSun" w:hAnsiTheme="majorHAnsi"/>
      <w:color w:val="003399" w:themeColor="text2"/>
      <w:spacing w:val="12"/>
      <w:lang w:eastAsia="en-GB"/>
    </w:rPr>
  </w:style>
  <w:style w:type="paragraph" w:styleId="Subtitle">
    <w:name w:val="Subtitle"/>
    <w:next w:val="Normal"/>
    <w:link w:val="SubtitleChar"/>
    <w:uiPriority w:val="15"/>
    <w:semiHidden/>
    <w:rsid w:val="001051DF"/>
    <w:pPr>
      <w:suppressAutoHyphens/>
      <w:spacing w:before="2760"/>
      <w:jc w:val="center"/>
    </w:pPr>
    <w:rPr>
      <w:rFonts w:ascii="EC Square Sans Pro" w:eastAsia="SimSun" w:hAnsi="EC Square Sans Pro"/>
      <w:b/>
      <w:color w:val="003399" w:themeColor="text2"/>
      <w:sz w:val="52"/>
      <w:lang w:eastAsia="en-GB"/>
    </w:rPr>
  </w:style>
  <w:style w:type="character" w:customStyle="1" w:styleId="SubtitleChar">
    <w:name w:val="Subtitle Char"/>
    <w:link w:val="Subtitle"/>
    <w:uiPriority w:val="15"/>
    <w:semiHidden/>
    <w:qFormat/>
    <w:rsid w:val="001051DF"/>
    <w:rPr>
      <w:rFonts w:ascii="EC Square Sans Pro" w:eastAsia="SimSun" w:hAnsi="EC Square Sans Pro"/>
      <w:b/>
      <w:color w:val="003399" w:themeColor="text2"/>
      <w:sz w:val="52"/>
      <w:lang w:eastAsia="en-GB"/>
    </w:rPr>
  </w:style>
  <w:style w:type="paragraph" w:styleId="Title">
    <w:name w:val="Title"/>
    <w:next w:val="Normal"/>
    <w:link w:val="TitleChar"/>
    <w:uiPriority w:val="14"/>
    <w:semiHidden/>
    <w:rsid w:val="001051DF"/>
    <w:pPr>
      <w:suppressAutoHyphens/>
      <w:spacing w:beforeAutospacing="1"/>
      <w:jc w:val="center"/>
    </w:pPr>
    <w:rPr>
      <w:rFonts w:ascii="EC Square Sans Pro" w:eastAsia="SimSun" w:hAnsi="EC Square Sans Pro"/>
      <w:b/>
      <w:sz w:val="40"/>
      <w:lang w:eastAsia="en-GB"/>
    </w:rPr>
  </w:style>
  <w:style w:type="character" w:customStyle="1" w:styleId="TitleChar">
    <w:name w:val="Title Char"/>
    <w:link w:val="Title"/>
    <w:uiPriority w:val="14"/>
    <w:semiHidden/>
    <w:qFormat/>
    <w:rsid w:val="001051DF"/>
    <w:rPr>
      <w:rFonts w:ascii="EC Square Sans Pro" w:eastAsia="SimSun" w:hAnsi="EC Square Sans Pro"/>
      <w:b/>
      <w:sz w:val="40"/>
      <w:lang w:eastAsia="en-GB"/>
    </w:rPr>
  </w:style>
  <w:style w:type="table" w:customStyle="1" w:styleId="BodyTable">
    <w:name w:val="Body Table"/>
    <w:basedOn w:val="TableNormal"/>
    <w:uiPriority w:val="99"/>
    <w:unhideWhenUsed/>
    <w:rsid w:val="001051DF"/>
    <w:pPr>
      <w:spacing w:before="60" w:after="60" w:line="240" w:lineRule="auto"/>
    </w:pPr>
    <w:rPr>
      <w:rFonts w:ascii="EC Square Sans Pro" w:eastAsia="EC Square Sans Pro" w:hAnsi="EC Square Sans Pro" w:cs="Tunga"/>
      <w:sz w:val="18"/>
      <w:lang w:val="fr-BE" w:eastAsia="en-US"/>
    </w:rPr>
    <w:tblPr>
      <w:tblStyleRowBandSize w:val="1"/>
      <w:jc w:val="center"/>
      <w:tblBorders>
        <w:insideH w:val="single" w:sz="4" w:space="0" w:color="8C8C8C"/>
        <w:insideV w:val="single" w:sz="4" w:space="0" w:color="8C8C8C"/>
      </w:tblBorders>
    </w:tblPr>
    <w:trPr>
      <w:cantSplit/>
      <w:jc w:val="center"/>
    </w:trPr>
    <w:tcPr>
      <w:shd w:val="clear" w:color="auto" w:fill="auto"/>
    </w:tcPr>
    <w:tblStylePr w:type="firstRow">
      <w:pPr>
        <w:wordWrap/>
        <w:spacing w:beforeLines="0" w:before="100" w:beforeAutospacing="0" w:afterLines="0" w:after="100" w:afterAutospacing="0" w:line="240" w:lineRule="auto"/>
        <w:contextualSpacing w:val="0"/>
        <w:jc w:val="center"/>
      </w:pPr>
      <w:rPr>
        <w:b/>
        <w:color w:val="FFFFFF"/>
      </w:rPr>
      <w:tblPr/>
      <w:tcPr>
        <w:tcBorders>
          <w:top w:val="single" w:sz="12" w:space="0" w:color="FFFFFF" w:themeColor="background1"/>
          <w:left w:val="single" w:sz="12" w:space="0" w:color="FFFFFF" w:themeColor="background1"/>
          <w:bottom w:val="nil"/>
          <w:right w:val="single" w:sz="12" w:space="0" w:color="FFFFFF" w:themeColor="background1"/>
          <w:insideH w:val="single" w:sz="4" w:space="0" w:color="FFFFFF" w:themeColor="background1"/>
          <w:insideV w:val="single" w:sz="4" w:space="0" w:color="FFFFFF" w:themeColor="background1"/>
          <w:tl2br w:val="nil"/>
          <w:tr2bl w:val="nil"/>
        </w:tcBorders>
        <w:shd w:val="clear" w:color="auto" w:fill="003399" w:themeFill="text2"/>
      </w:tcPr>
    </w:tblStylePr>
    <w:tblStylePr w:type="lastRow">
      <w:rPr>
        <w:b/>
        <w:i w:val="0"/>
        <w:color w:val="000000" w:themeColor="text1"/>
      </w:rPr>
      <w:tblPr/>
      <w:tcPr>
        <w:tcBorders>
          <w:top w:val="single" w:sz="4" w:space="0" w:color="8C8C8C"/>
          <w:left w:val="nil"/>
          <w:bottom w:val="nil"/>
          <w:right w:val="nil"/>
          <w:insideH w:val="nil"/>
          <w:insideV w:val="single" w:sz="4" w:space="0" w:color="8C8C8C"/>
          <w:tl2br w:val="nil"/>
          <w:tr2bl w:val="nil"/>
        </w:tcBorders>
        <w:shd w:val="clear" w:color="auto" w:fill="E1F3F2"/>
      </w:tcPr>
    </w:tblStylePr>
    <w:tblStylePr w:type="firstCol">
      <w:rPr>
        <w:b/>
        <w:i w:val="0"/>
        <w:color w:val="003399" w:themeColor="text2"/>
      </w:rPr>
    </w:tblStylePr>
    <w:tblStylePr w:type="band1Horz">
      <w:tblPr/>
      <w:tcPr>
        <w:tcBorders>
          <w:top w:val="nil"/>
          <w:left w:val="nil"/>
          <w:bottom w:val="nil"/>
          <w:right w:val="nil"/>
          <w:insideH w:val="nil"/>
          <w:insideV w:val="single" w:sz="4" w:space="0" w:color="8C8C8C"/>
          <w:tl2br w:val="nil"/>
          <w:tr2bl w:val="nil"/>
        </w:tcBorders>
        <w:shd w:val="clear" w:color="auto" w:fill="auto"/>
      </w:tcPr>
    </w:tblStylePr>
    <w:tblStylePr w:type="band2Horz">
      <w:tblPr/>
      <w:tcPr>
        <w:tcBorders>
          <w:top w:val="single" w:sz="4" w:space="0" w:color="8C8C8C"/>
          <w:left w:val="nil"/>
          <w:bottom w:val="single" w:sz="4" w:space="0" w:color="8C8C8C"/>
          <w:right w:val="nil"/>
          <w:insideH w:val="nil"/>
          <w:insideV w:val="single" w:sz="4" w:space="0" w:color="8C8C8C"/>
          <w:tl2br w:val="nil"/>
          <w:tr2bl w:val="nil"/>
        </w:tcBorders>
        <w:shd w:val="clear" w:color="auto" w:fill="F2F2F2"/>
      </w:tcPr>
    </w:tblStylePr>
  </w:style>
  <w:style w:type="table" w:customStyle="1" w:styleId="TableBoxBlueBackground">
    <w:name w:val="Table Box Blue Background"/>
    <w:uiPriority w:val="99"/>
    <w:unhideWhenUsed/>
    <w:rsid w:val="008A7658"/>
    <w:pPr>
      <w:spacing w:before="120" w:after="120"/>
    </w:pPr>
    <w:rPr>
      <w:rFonts w:ascii="EC Square Sans Pro" w:eastAsia="SimSun" w:hAnsi="EC Square Sans Pro"/>
      <w:color w:val="003399" w:themeColor="text2"/>
      <w:lang w:eastAsia="en-GB"/>
    </w:rPr>
    <w:tblPr>
      <w:tblInd w:w="0" w:type="dxa"/>
      <w:tblCellMar>
        <w:top w:w="142" w:type="dxa"/>
        <w:left w:w="301" w:type="dxa"/>
        <w:bottom w:w="142" w:type="dxa"/>
        <w:right w:w="301" w:type="dxa"/>
      </w:tblCellMar>
    </w:tblPr>
    <w:tcPr>
      <w:shd w:val="clear" w:color="auto" w:fill="F3F7FF" w:themeFill="background2"/>
    </w:tcPr>
  </w:style>
  <w:style w:type="table" w:customStyle="1" w:styleId="TableBoxBlueDashedBorder">
    <w:name w:val="Table Box Blue Dashed Border"/>
    <w:uiPriority w:val="99"/>
    <w:unhideWhenUsed/>
    <w:rsid w:val="001051DF"/>
    <w:rPr>
      <w:rFonts w:ascii="EC Square Sans Pro" w:eastAsia="SimSun" w:hAnsi="EC Square Sans Pro"/>
      <w:lang w:eastAsia="en-GB"/>
    </w:rPr>
    <w:tblPr>
      <w:tblInd w:w="0" w:type="dxa"/>
      <w:tblBorders>
        <w:top w:val="dashSmallGap" w:sz="12" w:space="0" w:color="0E4194"/>
        <w:left w:val="dashSmallGap" w:sz="12" w:space="0" w:color="0E4194"/>
        <w:bottom w:val="dashSmallGap" w:sz="12" w:space="0" w:color="0E4194"/>
        <w:right w:val="dashSmallGap" w:sz="12" w:space="0" w:color="0E4194"/>
      </w:tblBorders>
      <w:tblCellMar>
        <w:top w:w="0" w:type="dxa"/>
        <w:left w:w="108" w:type="dxa"/>
        <w:bottom w:w="0" w:type="dxa"/>
        <w:right w:w="108" w:type="dxa"/>
      </w:tblCellMar>
    </w:tblPr>
    <w:tcPr>
      <w:shd w:val="clear" w:color="000000" w:fill="auto"/>
    </w:tcPr>
  </w:style>
  <w:style w:type="table" w:customStyle="1" w:styleId="TableBoxGreyBackground">
    <w:name w:val="Table Box Grey Background"/>
    <w:uiPriority w:val="99"/>
    <w:unhideWhenUsed/>
    <w:rsid w:val="001051DF"/>
    <w:rPr>
      <w:rFonts w:ascii="EC Square Sans Pro" w:eastAsia="SimSun" w:hAnsi="EC Square Sans Pro"/>
      <w:lang w:eastAsia="en-GB"/>
    </w:rPr>
    <w:tblPr>
      <w:tblInd w:w="0" w:type="dxa"/>
      <w:tblBorders>
        <w:top w:val="single" w:sz="4" w:space="0" w:color="8C8C8C"/>
        <w:left w:val="single" w:sz="4" w:space="0" w:color="8C8C8C"/>
        <w:bottom w:val="single" w:sz="4" w:space="0" w:color="8C8C8C"/>
        <w:right w:val="single" w:sz="4" w:space="0" w:color="8C8C8C"/>
      </w:tblBorders>
      <w:tblCellMar>
        <w:top w:w="0" w:type="dxa"/>
        <w:left w:w="108" w:type="dxa"/>
        <w:bottom w:w="0" w:type="dxa"/>
        <w:right w:w="108" w:type="dxa"/>
      </w:tblCellMar>
    </w:tblPr>
    <w:tcPr>
      <w:shd w:val="clear" w:color="000000" w:fill="F3F7FF" w:themeFill="background2"/>
    </w:tcPr>
  </w:style>
  <w:style w:type="table" w:customStyle="1" w:styleId="TableBoxRedBorder">
    <w:name w:val="Table Box Red Border"/>
    <w:uiPriority w:val="99"/>
    <w:unhideWhenUsed/>
    <w:rsid w:val="0021727E"/>
    <w:rPr>
      <w:rFonts w:ascii="EC Square Sans Pro" w:hAnsi="EC Square Sans Pro"/>
      <w:lang w:eastAsia="en-GB"/>
    </w:rPr>
    <w:tblPr>
      <w:tblInd w:w="0" w:type="dxa"/>
      <w:tblBorders>
        <w:top w:val="single" w:sz="12" w:space="0" w:color="DC3903"/>
        <w:left w:val="single" w:sz="12" w:space="0" w:color="DC3903"/>
        <w:bottom w:val="single" w:sz="12" w:space="0" w:color="DC3903"/>
        <w:right w:val="single" w:sz="12" w:space="0" w:color="DC3903"/>
      </w:tblBorders>
      <w:tblCellMar>
        <w:top w:w="0" w:type="dxa"/>
        <w:left w:w="301" w:type="dxa"/>
        <w:bottom w:w="0" w:type="dxa"/>
        <w:right w:w="301" w:type="dxa"/>
      </w:tblCellMar>
    </w:tblPr>
    <w:tcPr>
      <w:shd w:val="clear" w:color="000000" w:fill="FFFFFF" w:themeFill="background1"/>
    </w:tcPr>
  </w:style>
  <w:style w:type="table" w:customStyle="1" w:styleId="TableBoxYellowBackground">
    <w:name w:val="Table Box Yellow Background"/>
    <w:uiPriority w:val="99"/>
    <w:unhideWhenUsed/>
    <w:rsid w:val="001051DF"/>
    <w:rPr>
      <w:rFonts w:ascii="EC Square Sans Pro" w:eastAsia="SimSun" w:hAnsi="EC Square Sans Pro"/>
      <w:lang w:eastAsia="en-GB"/>
    </w:rPr>
    <w:tblPr>
      <w:tblInd w:w="0" w:type="dxa"/>
      <w:tblBorders>
        <w:top w:val="single" w:sz="4" w:space="0" w:color="2688FE" w:themeColor="accent3"/>
        <w:left w:val="single" w:sz="4" w:space="0" w:color="2688FE" w:themeColor="accent3"/>
        <w:bottom w:val="single" w:sz="4" w:space="0" w:color="2688FE" w:themeColor="accent3"/>
        <w:right w:val="single" w:sz="4" w:space="0" w:color="2688FE" w:themeColor="accent3"/>
      </w:tblBorders>
      <w:tblCellMar>
        <w:top w:w="0" w:type="dxa"/>
        <w:left w:w="108" w:type="dxa"/>
        <w:bottom w:w="0" w:type="dxa"/>
        <w:right w:w="108" w:type="dxa"/>
      </w:tblCellMar>
    </w:tblPr>
    <w:tcPr>
      <w:shd w:val="clear" w:color="000000" w:fill="2688FE" w:themeFill="accent3"/>
    </w:tcPr>
  </w:style>
  <w:style w:type="table" w:styleId="TableGrid">
    <w:name w:val="Table Grid"/>
    <w:aliases w:val="Document Table,CV1,Standard table format,Simple table"/>
    <w:basedOn w:val="TableNormal"/>
    <w:uiPriority w:val="10"/>
    <w:rsid w:val="001051DF"/>
    <w:pPr>
      <w:keepNext/>
      <w:spacing w:before="40" w:after="40"/>
    </w:pPr>
    <w:rPr>
      <w:rFonts w:ascii="EC Square Sans Cond Pro" w:eastAsia="SimSun" w:hAnsi="EC Square Sans Cond Pro"/>
      <w:lang w:eastAsia="en-GB"/>
    </w:rPr>
    <w:tblPr>
      <w:tblStyleRowBandSize w:val="1"/>
      <w:tblStyleColBandSize w:val="1"/>
      <w:jc w:val="center"/>
      <w:tblBorders>
        <w:top w:val="single" w:sz="4" w:space="0" w:color="8C8C8C"/>
        <w:left w:val="single" w:sz="4" w:space="0" w:color="8C8C8C"/>
        <w:bottom w:val="single" w:sz="4" w:space="0" w:color="8C8C8C"/>
        <w:right w:val="single" w:sz="4" w:space="0" w:color="8C8C8C"/>
        <w:insideH w:val="single" w:sz="4" w:space="0" w:color="8C8C8C"/>
        <w:insideV w:val="single" w:sz="4" w:space="0" w:color="8C8C8C"/>
      </w:tblBorders>
      <w:shd w:val="clear" w:color="auto" w:fill="F3F7FF" w:themeFill="background2"/>
    </w:tblPr>
    <w:trPr>
      <w:cantSplit/>
      <w:jc w:val="center"/>
    </w:trPr>
    <w:tcPr>
      <w:shd w:val="clear" w:color="auto" w:fill="F3F7FF" w:themeFill="background2"/>
    </w:tcPr>
    <w:tblStylePr w:type="firstRow">
      <w:pPr>
        <w:spacing w:before="40" w:after="40" w:line="264" w:lineRule="auto"/>
        <w:jc w:val="both"/>
      </w:pPr>
      <w:rPr>
        <w:b/>
        <w:color w:val="FFFFFF" w:themeColor="light1"/>
      </w:rPr>
      <w:tblPr/>
      <w:trPr>
        <w:cantSplit/>
        <w:tblHeader/>
      </w:trPr>
      <w:tcPr>
        <w:tcBorders>
          <w:bottom w:val="single" w:sz="4" w:space="0" w:color="8C8C8C"/>
          <w:insideH w:val="single" w:sz="4" w:space="0" w:color="8C8C8C"/>
          <w:insideV w:val="single" w:sz="4" w:space="0" w:color="8C8C8C"/>
        </w:tcBorders>
        <w:shd w:val="clear" w:color="FFFFFF" w:fill="008139" w:themeFill="accent1"/>
        <w:vAlign w:val="top"/>
      </w:tcPr>
    </w:tblStylePr>
    <w:tblStylePr w:type="lastRow">
      <w:pPr>
        <w:jc w:val="both"/>
      </w:pPr>
      <w:rPr>
        <w:b/>
        <w:color w:val="FFFFFF" w:themeColor="light1"/>
      </w:rPr>
      <w:tblPr/>
      <w:tcPr>
        <w:shd w:val="clear" w:color="FFFFFF" w:fill="DE6002" w:themeFill="accent2"/>
      </w:tcPr>
    </w:tblStylePr>
    <w:tblStylePr w:type="firstCol">
      <w:pPr>
        <w:jc w:val="both"/>
      </w:pPr>
      <w:rPr>
        <w:b/>
      </w:rPr>
      <w:tblPr/>
      <w:tcPr>
        <w:shd w:val="clear" w:color="000000" w:fill="F3F7FF" w:themeFill="background2"/>
      </w:tcPr>
    </w:tblStylePr>
  </w:style>
  <w:style w:type="table" w:customStyle="1" w:styleId="TableObjective">
    <w:name w:val="Table Objective"/>
    <w:basedOn w:val="TableNormal"/>
    <w:uiPriority w:val="10"/>
    <w:unhideWhenUsed/>
    <w:rsid w:val="001051DF"/>
    <w:pPr>
      <w:keepLines/>
      <w:spacing w:before="40" w:after="40"/>
    </w:pPr>
    <w:rPr>
      <w:rFonts w:ascii="EC Square Sans Cond Pro" w:eastAsia="SimSun" w:hAnsi="EC Square Sans Cond Pro"/>
      <w:lang w:eastAsia="en-GB"/>
    </w:rPr>
    <w:tblPr>
      <w:tblStyleRowBandSize w:val="1"/>
      <w:tblStyleColBandSize w:val="1"/>
      <w:jc w:val="center"/>
      <w:tblBorders>
        <w:top w:val="single" w:sz="4" w:space="0" w:color="8C8C8C"/>
        <w:left w:val="single" w:sz="4" w:space="0" w:color="8C8C8C"/>
        <w:bottom w:val="single" w:sz="4" w:space="0" w:color="8C8C8C"/>
        <w:right w:val="single" w:sz="4" w:space="0" w:color="8C8C8C"/>
        <w:insideH w:val="single" w:sz="4" w:space="0" w:color="8C8C8C"/>
        <w:insideV w:val="single" w:sz="4" w:space="0" w:color="8C8C8C"/>
      </w:tblBorders>
      <w:shd w:val="clear" w:color="auto" w:fill="F3F7FF" w:themeFill="background2"/>
    </w:tblPr>
    <w:trPr>
      <w:cantSplit/>
      <w:jc w:val="center"/>
    </w:trPr>
    <w:tcPr>
      <w:shd w:val="clear" w:color="auto" w:fill="F3F7FF" w:themeFill="background2"/>
    </w:tcPr>
    <w:tblStylePr w:type="firstRow">
      <w:pPr>
        <w:spacing w:before="40" w:after="40" w:line="264" w:lineRule="auto"/>
      </w:pPr>
      <w:rPr>
        <w:b/>
        <w:color w:val="000000" w:themeColor="dark1"/>
        <w:sz w:val="20"/>
      </w:rPr>
      <w:tblPr/>
      <w:trPr>
        <w:cantSplit/>
        <w:tblHeader/>
      </w:trPr>
      <w:tcPr>
        <w:tcBorders>
          <w:bottom w:val="single" w:sz="4" w:space="0" w:color="8C8C8C"/>
          <w:insideH w:val="single" w:sz="4" w:space="0" w:color="8C8C8C"/>
          <w:insideV w:val="single" w:sz="4" w:space="0" w:color="8C8C8C"/>
        </w:tcBorders>
        <w:shd w:val="clear" w:color="auto" w:fill="F3F7FF" w:themeFill="background2"/>
        <w:vAlign w:val="top"/>
      </w:tcPr>
    </w:tblStylePr>
  </w:style>
  <w:style w:type="paragraph" w:customStyle="1" w:styleId="amprboxBLUEbulletlist">
    <w:name w:val="[ampr box BLUE] bullet list"/>
    <w:basedOn w:val="amprboxBLUEtext"/>
    <w:uiPriority w:val="7"/>
    <w:qFormat/>
    <w:locked/>
    <w:rsid w:val="00567B81"/>
    <w:pPr>
      <w:numPr>
        <w:numId w:val="16"/>
      </w:numPr>
      <w:spacing w:before="60" w:after="60"/>
    </w:pPr>
  </w:style>
  <w:style w:type="paragraph" w:customStyle="1" w:styleId="amprboxtext">
    <w:name w:val="[ampr box] text"/>
    <w:basedOn w:val="Normal"/>
    <w:uiPriority w:val="7"/>
    <w:rsid w:val="00EC3443"/>
    <w:pPr>
      <w:keepLines/>
      <w:pBdr>
        <w:top w:val="single" w:sz="12" w:space="12" w:color="DC3903"/>
        <w:left w:val="single" w:sz="12" w:space="12" w:color="DC3903"/>
        <w:bottom w:val="single" w:sz="12" w:space="12" w:color="DC3903"/>
        <w:right w:val="single" w:sz="12" w:space="12" w:color="DC3903"/>
      </w:pBdr>
      <w:ind w:left="301" w:right="301"/>
    </w:pPr>
    <w:rPr>
      <w:rFonts w:eastAsia="EC Square Sans Pro"/>
      <w:color w:val="000000" w:themeColor="text1"/>
      <w:szCs w:val="21"/>
      <w:lang w:eastAsia="fr-BE"/>
    </w:rPr>
  </w:style>
  <w:style w:type="paragraph" w:customStyle="1" w:styleId="amprboxbulletlist">
    <w:name w:val="[ampr box] bullet list"/>
    <w:basedOn w:val="amprboxtext"/>
    <w:uiPriority w:val="7"/>
    <w:qFormat/>
    <w:rsid w:val="00EC3443"/>
    <w:pPr>
      <w:numPr>
        <w:numId w:val="21"/>
      </w:numPr>
      <w:spacing w:before="60" w:after="60"/>
    </w:pPr>
    <w:rPr>
      <w:noProof/>
    </w:rPr>
  </w:style>
  <w:style w:type="paragraph" w:customStyle="1" w:styleId="amprboxheading">
    <w:name w:val="[ampr box] heading"/>
    <w:basedOn w:val="amprboxtext"/>
    <w:next w:val="amprboxtext"/>
    <w:uiPriority w:val="7"/>
    <w:rsid w:val="00EC3443"/>
    <w:pPr>
      <w:keepNext/>
    </w:pPr>
    <w:rPr>
      <w:rFonts w:ascii="EC Square Sans Pro Medium" w:hAnsi="EC Square Sans Pro Medium"/>
      <w:color w:val="DC3903"/>
      <w:sz w:val="22"/>
    </w:rPr>
  </w:style>
  <w:style w:type="numbering" w:customStyle="1" w:styleId="amprLISTblackbullets">
    <w:name w:val="[ampr LIST black]  bullets"/>
    <w:uiPriority w:val="99"/>
    <w:locked/>
    <w:rsid w:val="001051DF"/>
    <w:pPr>
      <w:numPr>
        <w:numId w:val="32"/>
      </w:numPr>
    </w:pPr>
  </w:style>
  <w:style w:type="numbering" w:customStyle="1" w:styleId="amprLISTbluebullets">
    <w:name w:val="[ampr LIST blue]  bullets"/>
    <w:uiPriority w:val="99"/>
    <w:rsid w:val="00EC3443"/>
    <w:pPr>
      <w:numPr>
        <w:numId w:val="2"/>
      </w:numPr>
    </w:pPr>
  </w:style>
  <w:style w:type="numbering" w:customStyle="1" w:styleId="amprLISTgreenbullets">
    <w:name w:val="[ampr LIST green] bullets"/>
    <w:uiPriority w:val="99"/>
    <w:locked/>
    <w:rsid w:val="00EC3443"/>
    <w:pPr>
      <w:numPr>
        <w:numId w:val="8"/>
      </w:numPr>
    </w:pPr>
  </w:style>
  <w:style w:type="numbering" w:customStyle="1" w:styleId="amprLISTpurplebullets">
    <w:name w:val="[ampr LIST purple] bullets"/>
    <w:uiPriority w:val="99"/>
    <w:rsid w:val="00EC3443"/>
  </w:style>
  <w:style w:type="paragraph" w:customStyle="1" w:styleId="amprquotetext">
    <w:name w:val="[ampr quote] text"/>
    <w:basedOn w:val="Normal"/>
    <w:next w:val="Normal"/>
    <w:uiPriority w:val="2"/>
    <w:qFormat/>
    <w:locked/>
    <w:rsid w:val="00B658D4"/>
    <w:pPr>
      <w:ind w:left="284" w:right="281"/>
    </w:pPr>
    <w:rPr>
      <w:rFonts w:asciiTheme="minorHAnsi" w:hAnsiTheme="minorHAnsi"/>
      <w:i/>
      <w:iCs/>
      <w:color w:val="2688FE" w:themeColor="accent3"/>
      <w:sz w:val="24"/>
      <w:szCs w:val="24"/>
      <w:lang w:eastAsia="fr-BE"/>
    </w:rPr>
  </w:style>
  <w:style w:type="paragraph" w:customStyle="1" w:styleId="amprFooter-Left">
    <w:name w:val="[ampr] Footer - Left"/>
    <w:basedOn w:val="Normal"/>
    <w:next w:val="Normal"/>
    <w:uiPriority w:val="15"/>
    <w:locked/>
    <w:rsid w:val="007257BA"/>
    <w:pPr>
      <w:spacing w:before="0" w:after="0" w:line="240" w:lineRule="auto"/>
    </w:pPr>
    <w:rPr>
      <w:rFonts w:eastAsia="EC Square Sans Pro"/>
      <w:szCs w:val="21"/>
      <w:lang w:eastAsia="zh-CN"/>
    </w:rPr>
  </w:style>
  <w:style w:type="paragraph" w:customStyle="1" w:styleId="amprFooter-Right">
    <w:name w:val="[ampr] Footer - Right"/>
    <w:basedOn w:val="Footer"/>
    <w:uiPriority w:val="15"/>
    <w:locked/>
    <w:rsid w:val="007257BA"/>
    <w:pPr>
      <w:tabs>
        <w:tab w:val="clear" w:pos="4535"/>
        <w:tab w:val="clear" w:pos="9071"/>
      </w:tabs>
      <w:jc w:val="right"/>
    </w:pPr>
    <w:rPr>
      <w:rFonts w:ascii="EC Square Sans Pro" w:eastAsia="EC Square Sans Pro" w:hAnsi="EC Square Sans Pro"/>
      <w:sz w:val="20"/>
      <w:szCs w:val="21"/>
      <w:lang w:eastAsia="zh-CN"/>
    </w:rPr>
  </w:style>
  <w:style w:type="paragraph" w:customStyle="1" w:styleId="amprHeader-Left">
    <w:name w:val="[ampr] Header - Left"/>
    <w:basedOn w:val="Normal"/>
    <w:next w:val="Normal"/>
    <w:uiPriority w:val="15"/>
    <w:locked/>
    <w:rsid w:val="007257BA"/>
    <w:pPr>
      <w:spacing w:before="0" w:after="0" w:line="240" w:lineRule="auto"/>
    </w:pPr>
    <w:rPr>
      <w:rFonts w:eastAsia="EC Square Sans Pro"/>
      <w:color w:val="747474"/>
      <w:szCs w:val="21"/>
      <w:lang w:eastAsia="zh-CN"/>
    </w:rPr>
  </w:style>
  <w:style w:type="paragraph" w:customStyle="1" w:styleId="amprHeader-Right">
    <w:name w:val="[ampr] Header - Right"/>
    <w:basedOn w:val="Normal"/>
    <w:next w:val="Normal"/>
    <w:uiPriority w:val="15"/>
    <w:locked/>
    <w:rsid w:val="007257BA"/>
    <w:pPr>
      <w:spacing w:before="0" w:after="0" w:line="240" w:lineRule="auto"/>
      <w:jc w:val="right"/>
    </w:pPr>
    <w:rPr>
      <w:rFonts w:eastAsia="EC Square Sans Pro"/>
      <w:color w:val="747474"/>
      <w:szCs w:val="21"/>
      <w:lang w:eastAsia="zh-CN"/>
    </w:rPr>
  </w:style>
  <w:style w:type="table" w:customStyle="1" w:styleId="amprtableboxBLUE">
    <w:name w:val="[ampr] table box BLUE"/>
    <w:basedOn w:val="TableNormal"/>
    <w:uiPriority w:val="99"/>
    <w:semiHidden/>
    <w:unhideWhenUsed/>
    <w:locked/>
    <w:rsid w:val="001051DF"/>
    <w:rPr>
      <w:rFonts w:ascii="EC Square Sans Pro" w:eastAsia="SimSun" w:hAnsi="EC Square Sans Pro"/>
      <w:color w:val="FFFFFF" w:themeColor="background1"/>
      <w:lang w:eastAsia="en-GB"/>
    </w:rPr>
    <w:tblPr>
      <w:jc w:val="center"/>
      <w:tblCellMar>
        <w:left w:w="301" w:type="dxa"/>
        <w:right w:w="301" w:type="dxa"/>
      </w:tblCellMar>
    </w:tblPr>
    <w:trPr>
      <w:jc w:val="center"/>
    </w:trPr>
    <w:tcPr>
      <w:shd w:val="clear" w:color="auto" w:fill="003399" w:themeFill="text2"/>
    </w:tcPr>
  </w:style>
  <w:style w:type="table" w:customStyle="1" w:styleId="Planning2022Box">
    <w:name w:val="[Planning 2022] Box"/>
    <w:basedOn w:val="TableNormal"/>
    <w:uiPriority w:val="99"/>
    <w:rsid w:val="001051DF"/>
    <w:pPr>
      <w:spacing w:before="0"/>
    </w:pPr>
    <w:rPr>
      <w:rFonts w:ascii="EC Square Sans Pro" w:eastAsiaTheme="minorEastAsia" w:hAnsi="EC Square Sans Pro" w:cstheme="minorBidi"/>
      <w:sz w:val="24"/>
      <w:szCs w:val="24"/>
      <w:lang w:eastAsia="nl-BE"/>
    </w:rPr>
    <w:tblPr>
      <w:tblBorders>
        <w:top w:val="single" w:sz="4" w:space="0" w:color="8C8C8C"/>
        <w:left w:val="single" w:sz="4" w:space="0" w:color="8C8C8C"/>
        <w:bottom w:val="single" w:sz="4" w:space="0" w:color="8C8C8C"/>
        <w:right w:val="single" w:sz="4" w:space="0" w:color="8C8C8C"/>
      </w:tblBorders>
    </w:tblPr>
    <w:tcPr>
      <w:shd w:val="clear" w:color="auto" w:fill="F2F2F2"/>
    </w:tcPr>
  </w:style>
  <w:style w:type="numbering" w:customStyle="1" w:styleId="PPOLISTHyphened">
    <w:name w:val="[PPO_LIST] Hyphened [ – ][ * ][ ◊ ]"/>
    <w:uiPriority w:val="99"/>
    <w:rsid w:val="00EC3443"/>
    <w:pPr>
      <w:numPr>
        <w:numId w:val="5"/>
      </w:numPr>
    </w:pPr>
  </w:style>
  <w:style w:type="numbering" w:styleId="111111">
    <w:name w:val="Outline List 2"/>
    <w:basedOn w:val="NoList"/>
    <w:semiHidden/>
    <w:unhideWhenUsed/>
    <w:rsid w:val="00EC3443"/>
    <w:pPr>
      <w:numPr>
        <w:numId w:val="18"/>
      </w:numPr>
    </w:pPr>
  </w:style>
  <w:style w:type="numbering" w:styleId="1ai">
    <w:name w:val="Outline List 1"/>
    <w:basedOn w:val="NoList"/>
    <w:semiHidden/>
    <w:unhideWhenUsed/>
    <w:rsid w:val="001051DF"/>
    <w:pPr>
      <w:numPr>
        <w:numId w:val="33"/>
      </w:numPr>
    </w:pPr>
  </w:style>
  <w:style w:type="table" w:customStyle="1" w:styleId="AMPR20212">
    <w:name w:val="AMPR_2021_2"/>
    <w:basedOn w:val="TableNormal"/>
    <w:uiPriority w:val="99"/>
    <w:semiHidden/>
    <w:unhideWhenUsed/>
    <w:locked/>
    <w:rsid w:val="001051DF"/>
    <w:pPr>
      <w:spacing w:before="60" w:after="60"/>
    </w:pPr>
    <w:rPr>
      <w:rFonts w:ascii="EC Square Sans Pro" w:eastAsiaTheme="minorHAnsi" w:hAnsi="EC Square Sans Pro" w:cstheme="minorBidi"/>
      <w:lang w:val="fr-BE" w:eastAsia="en-US"/>
    </w:rPr>
    <w:tblPr>
      <w:jc w:val="center"/>
      <w:tblBorders>
        <w:top w:val="single" w:sz="4" w:space="0" w:color="8C8C8C"/>
        <w:left w:val="single" w:sz="4" w:space="0" w:color="8C8C8C"/>
        <w:bottom w:val="single" w:sz="4" w:space="0" w:color="8C8C8C"/>
        <w:right w:val="single" w:sz="4" w:space="0" w:color="8C8C8C"/>
        <w:insideH w:val="single" w:sz="4" w:space="0" w:color="8C8C8C"/>
        <w:insideV w:val="single" w:sz="4" w:space="0" w:color="8C8C8C"/>
      </w:tblBorders>
    </w:tblPr>
    <w:trPr>
      <w:jc w:val="center"/>
    </w:trPr>
    <w:tcPr>
      <w:shd w:val="clear" w:color="auto" w:fill="F2F2F2" w:themeFill="background1" w:themeFillShade="F2"/>
    </w:tcPr>
    <w:tblStylePr w:type="firstRow">
      <w:pPr>
        <w:wordWrap/>
        <w:spacing w:beforeLines="0" w:before="100" w:beforeAutospacing="0" w:afterLines="0" w:after="100" w:afterAutospacing="0" w:line="240" w:lineRule="auto"/>
        <w:contextualSpacing w:val="0"/>
      </w:pPr>
      <w:rPr>
        <w:b/>
        <w:color w:val="FFFFFF" w:themeColor="background1"/>
      </w:rPr>
      <w:tblPr/>
      <w:tcPr>
        <w:tcBorders>
          <w:top w:val="single" w:sz="4" w:space="0" w:color="003399" w:themeColor="text2"/>
          <w:left w:val="single" w:sz="4" w:space="0" w:color="003399" w:themeColor="text2"/>
          <w:bottom w:val="single" w:sz="4" w:space="0" w:color="003399" w:themeColor="text2"/>
          <w:right w:val="single" w:sz="4" w:space="0" w:color="003399" w:themeColor="text2"/>
          <w:insideH w:val="nil"/>
          <w:insideV w:val="single" w:sz="4" w:space="0" w:color="FFFFFF" w:themeColor="background1"/>
          <w:tl2br w:val="nil"/>
          <w:tr2bl w:val="nil"/>
        </w:tcBorders>
        <w:shd w:val="clear" w:color="auto" w:fill="003399" w:themeFill="text2"/>
      </w:tcPr>
    </w:tblStylePr>
    <w:tblStylePr w:type="firstCol">
      <w:rPr>
        <w:b/>
        <w:i w:val="0"/>
        <w:color w:val="008139" w:themeColor="accent1"/>
      </w:rPr>
    </w:tblStylePr>
  </w:style>
  <w:style w:type="numbering" w:styleId="ArticleSection">
    <w:name w:val="Outline List 3"/>
    <w:basedOn w:val="NoList"/>
    <w:semiHidden/>
    <w:unhideWhenUsed/>
    <w:rsid w:val="001051DF"/>
    <w:pPr>
      <w:numPr>
        <w:numId w:val="1"/>
      </w:numPr>
    </w:pPr>
  </w:style>
  <w:style w:type="paragraph" w:styleId="BalloonText">
    <w:name w:val="Balloon Text"/>
    <w:basedOn w:val="Normal"/>
    <w:link w:val="BalloonTextChar"/>
    <w:semiHidden/>
    <w:rsid w:val="001051DF"/>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051DF"/>
    <w:rPr>
      <w:rFonts w:ascii="Segoe UI" w:eastAsia="SimSun" w:hAnsi="Segoe UI" w:cs="Segoe UI"/>
      <w:sz w:val="18"/>
      <w:szCs w:val="18"/>
      <w:lang w:eastAsia="en-GB"/>
    </w:rPr>
  </w:style>
  <w:style w:type="paragraph" w:styleId="Bibliography">
    <w:name w:val="Bibliography"/>
    <w:basedOn w:val="Normal"/>
    <w:next w:val="Normal"/>
    <w:semiHidden/>
    <w:rsid w:val="001051DF"/>
  </w:style>
  <w:style w:type="paragraph" w:styleId="BlockText">
    <w:name w:val="Block Text"/>
    <w:basedOn w:val="Normal"/>
    <w:semiHidden/>
    <w:rsid w:val="001051DF"/>
    <w:pPr>
      <w:pBdr>
        <w:top w:val="single" w:sz="2" w:space="10" w:color="008139" w:themeColor="accent1"/>
        <w:left w:val="single" w:sz="2" w:space="10" w:color="008139" w:themeColor="accent1"/>
        <w:bottom w:val="single" w:sz="2" w:space="10" w:color="008139" w:themeColor="accent1"/>
        <w:right w:val="single" w:sz="2" w:space="10" w:color="008139" w:themeColor="accent1"/>
      </w:pBdr>
      <w:ind w:left="1152" w:right="1152"/>
    </w:pPr>
    <w:rPr>
      <w:rFonts w:asciiTheme="minorHAnsi" w:eastAsiaTheme="minorEastAsia" w:hAnsiTheme="minorHAnsi" w:cstheme="minorBidi"/>
      <w:i/>
      <w:iCs/>
      <w:color w:val="008139" w:themeColor="accent1"/>
    </w:rPr>
  </w:style>
  <w:style w:type="table" w:customStyle="1" w:styleId="BodyTable2">
    <w:name w:val="Body Table 2"/>
    <w:basedOn w:val="TableNormal"/>
    <w:uiPriority w:val="10"/>
    <w:semiHidden/>
    <w:unhideWhenUsed/>
    <w:locked/>
    <w:rsid w:val="001051DF"/>
    <w:pPr>
      <w:spacing w:before="100" w:after="100"/>
    </w:pPr>
    <w:rPr>
      <w:rFonts w:eastAsia="SimSun"/>
      <w:lang w:eastAsia="en-GB"/>
    </w:rPr>
    <w:tblPr>
      <w:tblStyleRowBandSize w:val="1"/>
      <w:tblStyleColBandSize w:val="1"/>
      <w:jc w:val="center"/>
      <w:tblBorders>
        <w:top w:val="single" w:sz="4" w:space="0" w:color="8C8C8C"/>
        <w:bottom w:val="single" w:sz="4" w:space="0" w:color="8C8C8C"/>
        <w:insideH w:val="single" w:sz="4" w:space="0" w:color="8C8C8C"/>
      </w:tblBorders>
    </w:tblPr>
    <w:trPr>
      <w:cantSplit/>
      <w:jc w:val="center"/>
    </w:trPr>
    <w:tcPr>
      <w:shd w:val="clear" w:color="auto" w:fill="auto"/>
    </w:tcPr>
    <w:tblStylePr w:type="firstRow">
      <w:pPr>
        <w:wordWrap/>
        <w:spacing w:beforeLines="0" w:before="100" w:beforeAutospacing="0" w:afterLines="0" w:after="100" w:afterAutospacing="0" w:line="264" w:lineRule="auto"/>
        <w:jc w:val="center"/>
      </w:pPr>
      <w:rPr>
        <w:b/>
        <w:color w:val="FFFFFF" w:themeColor="light1"/>
      </w:rPr>
      <w:tblPr/>
      <w:trPr>
        <w:cantSplit/>
        <w:tblHeader/>
      </w:trPr>
      <w:tcPr>
        <w:tcBorders>
          <w:top w:val="nil"/>
          <w:left w:val="nil"/>
          <w:bottom w:val="nil"/>
          <w:right w:val="nil"/>
          <w:insideH w:val="nil"/>
          <w:insideV w:val="nil"/>
          <w:tl2br w:val="nil"/>
          <w:tr2bl w:val="nil"/>
        </w:tcBorders>
        <w:shd w:val="clear" w:color="FFFFFF" w:fill="003399" w:themeFill="text2"/>
        <w:vAlign w:val="top"/>
      </w:tcPr>
    </w:tblStylePr>
    <w:tblStylePr w:type="lastRow">
      <w:pPr>
        <w:jc w:val="both"/>
      </w:pPr>
      <w:rPr>
        <w:b/>
        <w:color w:val="003399" w:themeColor="text2"/>
      </w:rPr>
      <w:tblPr/>
      <w:tcPr>
        <w:tcBorders>
          <w:top w:val="nil"/>
          <w:left w:val="nil"/>
          <w:bottom w:val="nil"/>
          <w:right w:val="nil"/>
          <w:insideH w:val="nil"/>
          <w:insideV w:val="nil"/>
          <w:tl2br w:val="nil"/>
          <w:tr2bl w:val="nil"/>
        </w:tcBorders>
        <w:shd w:val="clear" w:color="FFFFFF" w:fill="auto"/>
      </w:tcPr>
    </w:tblStylePr>
    <w:tblStylePr w:type="firstCol">
      <w:pPr>
        <w:jc w:val="both"/>
      </w:pPr>
      <w:rPr>
        <w:b/>
        <w:color w:val="008139" w:themeColor="accent1"/>
      </w:rPr>
    </w:tblStylePr>
    <w:tblStylePr w:type="band2Vert">
      <w:tblPr/>
      <w:tcPr>
        <w:tcBorders>
          <w:top w:val="single" w:sz="4" w:space="0" w:color="8C8C8C"/>
          <w:left w:val="nil"/>
          <w:bottom w:val="single" w:sz="4" w:space="0" w:color="8C8C8C"/>
          <w:right w:val="nil"/>
          <w:insideH w:val="single" w:sz="4" w:space="0" w:color="8C8C8C"/>
          <w:insideV w:val="nil"/>
          <w:tl2br w:val="nil"/>
          <w:tr2bl w:val="nil"/>
        </w:tcBorders>
        <w:shd w:val="clear" w:color="auto" w:fill="F2F2F2" w:themeFill="background1" w:themeFillShade="F2"/>
      </w:tcPr>
    </w:tblStylePr>
    <w:tblStylePr w:type="band1Horz">
      <w:tblPr/>
      <w:tcPr>
        <w:tcBorders>
          <w:top w:val="single" w:sz="4" w:space="0" w:color="8C8C8C"/>
          <w:left w:val="nil"/>
          <w:bottom w:val="single" w:sz="4" w:space="0" w:color="8C8C8C"/>
          <w:right w:val="nil"/>
          <w:insideH w:val="single" w:sz="4" w:space="0" w:color="8C8C8C"/>
          <w:insideV w:val="nil"/>
          <w:tl2br w:val="nil"/>
          <w:tr2bl w:val="nil"/>
        </w:tcBorders>
        <w:shd w:val="clear" w:color="auto" w:fill="auto"/>
      </w:tcPr>
    </w:tblStylePr>
    <w:tblStylePr w:type="band2Horz">
      <w:tblPr/>
      <w:tcPr>
        <w:tcBorders>
          <w:top w:val="single" w:sz="4" w:space="0" w:color="8C8C8C"/>
          <w:left w:val="nil"/>
          <w:bottom w:val="single" w:sz="4" w:space="0" w:color="8C8C8C"/>
          <w:right w:val="nil"/>
          <w:insideH w:val="single" w:sz="4" w:space="0" w:color="8C8C8C"/>
          <w:insideV w:val="nil"/>
          <w:tl2br w:val="nil"/>
          <w:tr2bl w:val="nil"/>
        </w:tcBorders>
        <w:shd w:val="clear" w:color="auto" w:fill="F2F2F2" w:themeFill="background1" w:themeFillShade="F2"/>
      </w:tcPr>
    </w:tblStylePr>
  </w:style>
  <w:style w:type="table" w:customStyle="1" w:styleId="BodyTable3">
    <w:name w:val="Body Table 3"/>
    <w:basedOn w:val="TableNormal"/>
    <w:uiPriority w:val="99"/>
    <w:unhideWhenUsed/>
    <w:locked/>
    <w:rsid w:val="001051DF"/>
    <w:pPr>
      <w:spacing w:before="60" w:after="60" w:line="240" w:lineRule="auto"/>
    </w:pPr>
    <w:rPr>
      <w:rFonts w:ascii="EC Square Sans Pro" w:eastAsia="EC Square Sans Pro" w:hAnsi="EC Square Sans Pro" w:cs="Tunga"/>
      <w:lang w:val="fr-BE" w:eastAsia="en-US"/>
    </w:rPr>
    <w:tblPr>
      <w:tblStyleRowBandSize w:val="1"/>
      <w:jc w:val="center"/>
      <w:tblBorders>
        <w:insideH w:val="single" w:sz="4" w:space="0" w:color="8C8C8C"/>
        <w:insideV w:val="single" w:sz="4" w:space="0" w:color="8C8C8C"/>
      </w:tblBorders>
    </w:tblPr>
    <w:trPr>
      <w:cantSplit/>
      <w:jc w:val="center"/>
    </w:trPr>
    <w:tcPr>
      <w:shd w:val="clear" w:color="auto" w:fill="auto"/>
    </w:tcPr>
    <w:tblStylePr w:type="firstRow">
      <w:pPr>
        <w:wordWrap/>
        <w:spacing w:beforeLines="0" w:before="100" w:beforeAutospacing="0" w:afterLines="0" w:after="100" w:afterAutospacing="0" w:line="240" w:lineRule="auto"/>
        <w:contextualSpacing w:val="0"/>
      </w:pPr>
      <w:rPr>
        <w:b/>
        <w:color w:val="FFFFFF"/>
      </w:rPr>
      <w:tblPr/>
      <w:tcPr>
        <w:shd w:val="clear" w:color="auto" w:fill="003399" w:themeFill="text2"/>
      </w:tcPr>
    </w:tblStylePr>
    <w:tblStylePr w:type="lastRow">
      <w:rPr>
        <w:b/>
        <w:i w:val="0"/>
        <w:color w:val="000000" w:themeColor="text1"/>
      </w:rPr>
      <w:tblPr/>
      <w:tcPr>
        <w:tcBorders>
          <w:top w:val="nil"/>
          <w:left w:val="nil"/>
          <w:bottom w:val="nil"/>
          <w:right w:val="nil"/>
          <w:insideH w:val="nil"/>
          <w:insideV w:val="single" w:sz="4" w:space="0" w:color="8C8C8C"/>
          <w:tl2br w:val="nil"/>
          <w:tr2bl w:val="nil"/>
        </w:tcBorders>
        <w:shd w:val="clear" w:color="auto" w:fill="E2D0F1" w:themeFill="accent6" w:themeFillTint="33"/>
      </w:tcPr>
    </w:tblStylePr>
    <w:tblStylePr w:type="firstCol">
      <w:rPr>
        <w:b/>
        <w:i w:val="0"/>
        <w:color w:val="008139" w:themeColor="accent1"/>
      </w:rPr>
    </w:tblStylePr>
    <w:tblStylePr w:type="band2Horz">
      <w:tblPr/>
      <w:tcPr>
        <w:tcBorders>
          <w:top w:val="nil"/>
          <w:left w:val="nil"/>
          <w:bottom w:val="nil"/>
          <w:right w:val="nil"/>
          <w:insideH w:val="nil"/>
          <w:insideV w:val="single" w:sz="4" w:space="0" w:color="8C8C8C"/>
          <w:tl2br w:val="nil"/>
          <w:tr2bl w:val="nil"/>
        </w:tcBorders>
        <w:shd w:val="clear" w:color="auto" w:fill="F2F2F2"/>
      </w:tcPr>
    </w:tblStylePr>
  </w:style>
  <w:style w:type="table" w:customStyle="1" w:styleId="BodyTable1">
    <w:name w:val="Body Table1"/>
    <w:basedOn w:val="TableNormal"/>
    <w:uiPriority w:val="99"/>
    <w:locked/>
    <w:rsid w:val="001051DF"/>
    <w:pPr>
      <w:spacing w:before="60" w:after="60" w:line="240" w:lineRule="auto"/>
    </w:pPr>
    <w:rPr>
      <w:rFonts w:ascii="EC Square Sans Pro" w:eastAsia="EC Square Sans Pro" w:hAnsi="EC Square Sans Pro" w:cs="Tunga"/>
      <w:sz w:val="18"/>
      <w:lang w:val="fr-BE" w:eastAsia="en-US"/>
    </w:rPr>
    <w:tblPr>
      <w:tblStyleRowBandSize w:val="1"/>
      <w:tblInd w:w="0" w:type="nil"/>
      <w:tblBorders>
        <w:insideH w:val="single" w:sz="4" w:space="0" w:color="8C8C8C"/>
        <w:insideV w:val="single" w:sz="4" w:space="0" w:color="8C8C8C"/>
      </w:tblBorders>
    </w:tblPr>
    <w:tblStylePr w:type="firstRow">
      <w:pPr>
        <w:wordWrap/>
        <w:spacing w:beforeLines="0" w:before="100" w:beforeAutospacing="1" w:afterLines="0" w:after="100" w:afterAutospacing="1" w:line="240" w:lineRule="auto"/>
        <w:jc w:val="center"/>
      </w:pPr>
      <w:rPr>
        <w:b/>
        <w:color w:val="FFFFFF"/>
      </w:rPr>
      <w:tblPr/>
      <w:tcPr>
        <w:tcBorders>
          <w:top w:val="single" w:sz="12" w:space="0" w:color="FFFFFF" w:themeColor="background1"/>
          <w:left w:val="single" w:sz="12" w:space="0" w:color="FFFFFF" w:themeColor="background1"/>
          <w:bottom w:val="nil"/>
          <w:right w:val="single" w:sz="12" w:space="0" w:color="FFFFFF" w:themeColor="background1"/>
          <w:insideH w:val="single" w:sz="4" w:space="0" w:color="FFFFFF" w:themeColor="background1"/>
          <w:insideV w:val="single" w:sz="4" w:space="0" w:color="FFFFFF" w:themeColor="background1"/>
          <w:tl2br w:val="nil"/>
          <w:tr2bl w:val="nil"/>
        </w:tcBorders>
        <w:shd w:val="clear" w:color="auto" w:fill="003399" w:themeFill="text2"/>
      </w:tcPr>
    </w:tblStylePr>
    <w:tblStylePr w:type="lastRow">
      <w:rPr>
        <w:b/>
        <w:i w:val="0"/>
        <w:color w:val="000000" w:themeColor="text1"/>
      </w:rPr>
      <w:tblPr/>
      <w:tcPr>
        <w:tcBorders>
          <w:top w:val="single" w:sz="4" w:space="0" w:color="8C8C8C"/>
          <w:left w:val="nil"/>
          <w:bottom w:val="nil"/>
          <w:right w:val="nil"/>
          <w:insideH w:val="nil"/>
          <w:insideV w:val="single" w:sz="4" w:space="0" w:color="8C8C8C"/>
          <w:tl2br w:val="nil"/>
          <w:tr2bl w:val="nil"/>
        </w:tcBorders>
        <w:shd w:val="clear" w:color="auto" w:fill="E1F3F2"/>
      </w:tcPr>
    </w:tblStylePr>
    <w:tblStylePr w:type="firstCol">
      <w:rPr>
        <w:b/>
        <w:i w:val="0"/>
        <w:color w:val="003399" w:themeColor="text2"/>
      </w:rPr>
    </w:tblStylePr>
    <w:tblStylePr w:type="band1Horz">
      <w:tblPr/>
      <w:tcPr>
        <w:tcBorders>
          <w:top w:val="nil"/>
          <w:left w:val="nil"/>
          <w:bottom w:val="nil"/>
          <w:right w:val="nil"/>
          <w:insideH w:val="nil"/>
          <w:insideV w:val="single" w:sz="4" w:space="0" w:color="8C8C8C"/>
          <w:tl2br w:val="nil"/>
          <w:tr2bl w:val="nil"/>
        </w:tcBorders>
      </w:tcPr>
    </w:tblStylePr>
    <w:tblStylePr w:type="band2Horz">
      <w:tblPr/>
      <w:tcPr>
        <w:tcBorders>
          <w:top w:val="single" w:sz="4" w:space="0" w:color="8C8C8C"/>
          <w:left w:val="nil"/>
          <w:bottom w:val="single" w:sz="4" w:space="0" w:color="8C8C8C"/>
          <w:right w:val="nil"/>
          <w:insideH w:val="nil"/>
          <w:insideV w:val="single" w:sz="4" w:space="0" w:color="8C8C8C"/>
          <w:tl2br w:val="nil"/>
          <w:tr2bl w:val="nil"/>
        </w:tcBorders>
        <w:shd w:val="clear" w:color="auto" w:fill="F2F2F2"/>
      </w:tcPr>
    </w:tblStylePr>
  </w:style>
  <w:style w:type="paragraph" w:styleId="BodyText">
    <w:name w:val="Body Text"/>
    <w:basedOn w:val="Normal"/>
    <w:link w:val="BodyTextChar"/>
    <w:semiHidden/>
    <w:rsid w:val="001051DF"/>
    <w:pPr>
      <w:spacing w:after="120"/>
    </w:pPr>
  </w:style>
  <w:style w:type="character" w:customStyle="1" w:styleId="BodyTextChar">
    <w:name w:val="Body Text Char"/>
    <w:basedOn w:val="DefaultParagraphFont"/>
    <w:link w:val="BodyText"/>
    <w:semiHidden/>
    <w:rsid w:val="001051DF"/>
    <w:rPr>
      <w:rFonts w:ascii="EC Square Sans Pro" w:eastAsia="SimSun" w:hAnsi="EC Square Sans Pro"/>
      <w:lang w:eastAsia="en-GB"/>
    </w:rPr>
  </w:style>
  <w:style w:type="paragraph" w:styleId="BodyText2">
    <w:name w:val="Body Text 2"/>
    <w:basedOn w:val="Normal"/>
    <w:link w:val="BodyText2Char"/>
    <w:semiHidden/>
    <w:rsid w:val="001051DF"/>
    <w:pPr>
      <w:spacing w:after="120" w:line="480" w:lineRule="auto"/>
    </w:pPr>
  </w:style>
  <w:style w:type="character" w:customStyle="1" w:styleId="BodyText2Char">
    <w:name w:val="Body Text 2 Char"/>
    <w:basedOn w:val="DefaultParagraphFont"/>
    <w:link w:val="BodyText2"/>
    <w:semiHidden/>
    <w:rsid w:val="001051DF"/>
    <w:rPr>
      <w:rFonts w:ascii="EC Square Sans Pro" w:eastAsia="SimSun" w:hAnsi="EC Square Sans Pro"/>
      <w:lang w:eastAsia="en-GB"/>
    </w:rPr>
  </w:style>
  <w:style w:type="paragraph" w:styleId="BodyText3">
    <w:name w:val="Body Text 3"/>
    <w:basedOn w:val="Normal"/>
    <w:link w:val="BodyText3Char"/>
    <w:semiHidden/>
    <w:rsid w:val="001051DF"/>
    <w:pPr>
      <w:spacing w:after="120"/>
    </w:pPr>
    <w:rPr>
      <w:sz w:val="16"/>
      <w:szCs w:val="16"/>
    </w:rPr>
  </w:style>
  <w:style w:type="character" w:customStyle="1" w:styleId="BodyText3Char">
    <w:name w:val="Body Text 3 Char"/>
    <w:basedOn w:val="DefaultParagraphFont"/>
    <w:link w:val="BodyText3"/>
    <w:semiHidden/>
    <w:rsid w:val="001051DF"/>
    <w:rPr>
      <w:rFonts w:ascii="EC Square Sans Pro" w:eastAsia="SimSun" w:hAnsi="EC Square Sans Pro"/>
      <w:sz w:val="16"/>
      <w:szCs w:val="16"/>
      <w:lang w:eastAsia="en-GB"/>
    </w:rPr>
  </w:style>
  <w:style w:type="paragraph" w:styleId="BodyTextFirstIndent">
    <w:name w:val="Body Text First Indent"/>
    <w:basedOn w:val="BodyText"/>
    <w:link w:val="BodyTextFirstIndentChar"/>
    <w:semiHidden/>
    <w:rsid w:val="001051DF"/>
    <w:pPr>
      <w:spacing w:after="240"/>
      <w:ind w:firstLine="360"/>
    </w:pPr>
  </w:style>
  <w:style w:type="character" w:customStyle="1" w:styleId="BodyTextFirstIndentChar">
    <w:name w:val="Body Text First Indent Char"/>
    <w:basedOn w:val="BodyTextChar"/>
    <w:link w:val="BodyTextFirstIndent"/>
    <w:semiHidden/>
    <w:rsid w:val="001051DF"/>
    <w:rPr>
      <w:rFonts w:ascii="EC Square Sans Pro" w:eastAsia="SimSun" w:hAnsi="EC Square Sans Pro"/>
      <w:lang w:eastAsia="en-GB"/>
    </w:rPr>
  </w:style>
  <w:style w:type="paragraph" w:styleId="BodyTextIndent">
    <w:name w:val="Body Text Indent"/>
    <w:basedOn w:val="Normal"/>
    <w:link w:val="BodyTextIndentChar"/>
    <w:semiHidden/>
    <w:rsid w:val="001051DF"/>
    <w:pPr>
      <w:spacing w:after="120"/>
      <w:ind w:left="283"/>
    </w:pPr>
  </w:style>
  <w:style w:type="character" w:customStyle="1" w:styleId="BodyTextIndentChar">
    <w:name w:val="Body Text Indent Char"/>
    <w:basedOn w:val="DefaultParagraphFont"/>
    <w:link w:val="BodyTextIndent"/>
    <w:semiHidden/>
    <w:rsid w:val="001051DF"/>
    <w:rPr>
      <w:rFonts w:ascii="EC Square Sans Pro" w:eastAsia="SimSun" w:hAnsi="EC Square Sans Pro"/>
      <w:lang w:eastAsia="en-GB"/>
    </w:rPr>
  </w:style>
  <w:style w:type="paragraph" w:styleId="BodyTextFirstIndent2">
    <w:name w:val="Body Text First Indent 2"/>
    <w:basedOn w:val="BodyTextIndent"/>
    <w:link w:val="BodyTextFirstIndent2Char"/>
    <w:semiHidden/>
    <w:rsid w:val="001051DF"/>
    <w:pPr>
      <w:spacing w:after="240"/>
      <w:ind w:left="360" w:firstLine="360"/>
    </w:pPr>
  </w:style>
  <w:style w:type="character" w:customStyle="1" w:styleId="BodyTextFirstIndent2Char">
    <w:name w:val="Body Text First Indent 2 Char"/>
    <w:basedOn w:val="BodyTextIndentChar"/>
    <w:link w:val="BodyTextFirstIndent2"/>
    <w:semiHidden/>
    <w:rsid w:val="001051DF"/>
    <w:rPr>
      <w:rFonts w:ascii="EC Square Sans Pro" w:eastAsia="SimSun" w:hAnsi="EC Square Sans Pro"/>
      <w:lang w:eastAsia="en-GB"/>
    </w:rPr>
  </w:style>
  <w:style w:type="paragraph" w:styleId="BodyTextIndent2">
    <w:name w:val="Body Text Indent 2"/>
    <w:basedOn w:val="Normal"/>
    <w:link w:val="BodyTextIndent2Char"/>
    <w:semiHidden/>
    <w:rsid w:val="001051DF"/>
    <w:pPr>
      <w:spacing w:after="120" w:line="480" w:lineRule="auto"/>
      <w:ind w:left="283"/>
    </w:pPr>
  </w:style>
  <w:style w:type="character" w:customStyle="1" w:styleId="BodyTextIndent2Char">
    <w:name w:val="Body Text Indent 2 Char"/>
    <w:basedOn w:val="DefaultParagraphFont"/>
    <w:link w:val="BodyTextIndent2"/>
    <w:semiHidden/>
    <w:rsid w:val="001051DF"/>
    <w:rPr>
      <w:rFonts w:ascii="EC Square Sans Pro" w:eastAsia="SimSun" w:hAnsi="EC Square Sans Pro"/>
      <w:lang w:eastAsia="en-GB"/>
    </w:rPr>
  </w:style>
  <w:style w:type="paragraph" w:styleId="BodyTextIndent3">
    <w:name w:val="Body Text Indent 3"/>
    <w:basedOn w:val="Normal"/>
    <w:link w:val="BodyTextIndent3Char"/>
    <w:semiHidden/>
    <w:rsid w:val="001051DF"/>
    <w:pPr>
      <w:spacing w:after="120"/>
      <w:ind w:left="283"/>
    </w:pPr>
    <w:rPr>
      <w:sz w:val="16"/>
      <w:szCs w:val="16"/>
    </w:rPr>
  </w:style>
  <w:style w:type="character" w:customStyle="1" w:styleId="BodyTextIndent3Char">
    <w:name w:val="Body Text Indent 3 Char"/>
    <w:basedOn w:val="DefaultParagraphFont"/>
    <w:link w:val="BodyTextIndent3"/>
    <w:semiHidden/>
    <w:rsid w:val="001051DF"/>
    <w:rPr>
      <w:rFonts w:ascii="EC Square Sans Pro" w:eastAsia="SimSun" w:hAnsi="EC Square Sans Pro"/>
      <w:sz w:val="16"/>
      <w:szCs w:val="16"/>
      <w:lang w:eastAsia="en-GB"/>
    </w:rPr>
  </w:style>
  <w:style w:type="character" w:styleId="BookTitle">
    <w:name w:val="Book Title"/>
    <w:basedOn w:val="DefaultParagraphFont"/>
    <w:semiHidden/>
    <w:rsid w:val="001051DF"/>
    <w:rPr>
      <w:b/>
      <w:bCs/>
      <w:i/>
      <w:iCs/>
      <w:noProof w:val="0"/>
      <w:spacing w:val="5"/>
      <w:lang w:val="en-GB"/>
    </w:rPr>
  </w:style>
  <w:style w:type="paragraph" w:customStyle="1" w:styleId="BoxTitleblue">
    <w:name w:val="Box Title (blue)"/>
    <w:basedOn w:val="BoxTitle"/>
    <w:next w:val="Normal"/>
    <w:uiPriority w:val="4"/>
    <w:qFormat/>
    <w:rsid w:val="001051DF"/>
    <w:rPr>
      <w:color w:val="003399" w:themeColor="text2"/>
    </w:rPr>
  </w:style>
  <w:style w:type="paragraph" w:styleId="Closing">
    <w:name w:val="Closing"/>
    <w:basedOn w:val="Normal"/>
    <w:link w:val="ClosingChar"/>
    <w:semiHidden/>
    <w:rsid w:val="001051DF"/>
    <w:pPr>
      <w:spacing w:before="0" w:after="0" w:line="240" w:lineRule="auto"/>
      <w:ind w:left="4252"/>
    </w:pPr>
  </w:style>
  <w:style w:type="character" w:customStyle="1" w:styleId="ClosingChar">
    <w:name w:val="Closing Char"/>
    <w:basedOn w:val="DefaultParagraphFont"/>
    <w:link w:val="Closing"/>
    <w:semiHidden/>
    <w:rsid w:val="001051DF"/>
    <w:rPr>
      <w:rFonts w:ascii="EC Square Sans Pro" w:eastAsia="SimSun" w:hAnsi="EC Square Sans Pro"/>
      <w:lang w:eastAsia="en-GB"/>
    </w:rPr>
  </w:style>
  <w:style w:type="table" w:styleId="ColorfulGrid">
    <w:name w:val="Colorful Grid"/>
    <w:basedOn w:val="TableNormal"/>
    <w:semiHidden/>
    <w:unhideWhenUsed/>
    <w:rsid w:val="001051DF"/>
    <w:pPr>
      <w:spacing w:before="0" w:after="0" w:line="240" w:lineRule="auto"/>
    </w:pPr>
    <w:rPr>
      <w:rFonts w:ascii="EC Square Sans Pro" w:eastAsia="SimSun" w:hAnsi="EC Square Sans Pro"/>
      <w:color w:val="000000" w:themeColor="text1"/>
      <w:lang w:eastAsia="en-GB"/>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semiHidden/>
    <w:unhideWhenUsed/>
    <w:rsid w:val="001051DF"/>
    <w:pPr>
      <w:spacing w:before="0" w:after="0" w:line="240" w:lineRule="auto"/>
    </w:pPr>
    <w:rPr>
      <w:rFonts w:ascii="EC Square Sans Pro" w:eastAsia="SimSun" w:hAnsi="EC Square Sans Pro"/>
      <w:color w:val="000000" w:themeColor="text1"/>
      <w:lang w:eastAsia="en-GB"/>
    </w:rPr>
    <w:tblPr>
      <w:tblStyleRowBandSize w:val="1"/>
      <w:tblStyleColBandSize w:val="1"/>
      <w:tblBorders>
        <w:insideH w:val="single" w:sz="4" w:space="0" w:color="FFFFFF" w:themeColor="background1"/>
      </w:tblBorders>
    </w:tblPr>
    <w:tcPr>
      <w:shd w:val="clear" w:color="auto" w:fill="B2FFD4" w:themeFill="accent1" w:themeFillTint="33"/>
    </w:tcPr>
    <w:tblStylePr w:type="firstRow">
      <w:rPr>
        <w:b/>
        <w:bCs/>
      </w:rPr>
      <w:tblPr/>
      <w:tcPr>
        <w:shd w:val="clear" w:color="auto" w:fill="66FFA9" w:themeFill="accent1" w:themeFillTint="66"/>
      </w:tcPr>
    </w:tblStylePr>
    <w:tblStylePr w:type="lastRow">
      <w:rPr>
        <w:b/>
        <w:bCs/>
        <w:color w:val="000000" w:themeColor="text1"/>
      </w:rPr>
      <w:tblPr/>
      <w:tcPr>
        <w:shd w:val="clear" w:color="auto" w:fill="66FFA9" w:themeFill="accent1" w:themeFillTint="66"/>
      </w:tcPr>
    </w:tblStylePr>
    <w:tblStylePr w:type="firstCol">
      <w:rPr>
        <w:color w:val="FFFFFF" w:themeColor="background1"/>
      </w:rPr>
      <w:tblPr/>
      <w:tcPr>
        <w:shd w:val="clear" w:color="auto" w:fill="00602A" w:themeFill="accent1" w:themeFillShade="BF"/>
      </w:tcPr>
    </w:tblStylePr>
    <w:tblStylePr w:type="lastCol">
      <w:rPr>
        <w:color w:val="FFFFFF" w:themeColor="background1"/>
      </w:rPr>
      <w:tblPr/>
      <w:tcPr>
        <w:shd w:val="clear" w:color="auto" w:fill="00602A" w:themeFill="accent1" w:themeFillShade="BF"/>
      </w:tcPr>
    </w:tblStylePr>
    <w:tblStylePr w:type="band1Vert">
      <w:tblPr/>
      <w:tcPr>
        <w:shd w:val="clear" w:color="auto" w:fill="41FF94" w:themeFill="accent1" w:themeFillTint="7F"/>
      </w:tcPr>
    </w:tblStylePr>
    <w:tblStylePr w:type="band1Horz">
      <w:tblPr/>
      <w:tcPr>
        <w:shd w:val="clear" w:color="auto" w:fill="41FF94" w:themeFill="accent1" w:themeFillTint="7F"/>
      </w:tcPr>
    </w:tblStylePr>
  </w:style>
  <w:style w:type="table" w:styleId="ColorfulGrid-Accent2">
    <w:name w:val="Colorful Grid Accent 2"/>
    <w:basedOn w:val="TableNormal"/>
    <w:semiHidden/>
    <w:unhideWhenUsed/>
    <w:rsid w:val="001051DF"/>
    <w:pPr>
      <w:spacing w:before="0" w:after="0" w:line="240" w:lineRule="auto"/>
    </w:pPr>
    <w:rPr>
      <w:rFonts w:ascii="EC Square Sans Pro" w:eastAsia="SimSun" w:hAnsi="EC Square Sans Pro"/>
      <w:color w:val="000000" w:themeColor="text1"/>
      <w:lang w:eastAsia="en-GB"/>
    </w:rPr>
    <w:tblPr>
      <w:tblStyleRowBandSize w:val="1"/>
      <w:tblStyleColBandSize w:val="1"/>
      <w:tblBorders>
        <w:insideH w:val="single" w:sz="4" w:space="0" w:color="FFFFFF" w:themeColor="background1"/>
      </w:tblBorders>
    </w:tblPr>
    <w:tcPr>
      <w:shd w:val="clear" w:color="auto" w:fill="FEDEC6" w:themeFill="accent2" w:themeFillTint="33"/>
    </w:tcPr>
    <w:tblStylePr w:type="firstRow">
      <w:rPr>
        <w:b/>
        <w:bCs/>
      </w:rPr>
      <w:tblPr/>
      <w:tcPr>
        <w:shd w:val="clear" w:color="auto" w:fill="FEBD8D" w:themeFill="accent2" w:themeFillTint="66"/>
      </w:tcPr>
    </w:tblStylePr>
    <w:tblStylePr w:type="lastRow">
      <w:rPr>
        <w:b/>
        <w:bCs/>
        <w:color w:val="000000" w:themeColor="text1"/>
      </w:rPr>
      <w:tblPr/>
      <w:tcPr>
        <w:shd w:val="clear" w:color="auto" w:fill="FEBD8D" w:themeFill="accent2" w:themeFillTint="66"/>
      </w:tcPr>
    </w:tblStylePr>
    <w:tblStylePr w:type="firstCol">
      <w:rPr>
        <w:color w:val="FFFFFF" w:themeColor="background1"/>
      </w:rPr>
      <w:tblPr/>
      <w:tcPr>
        <w:shd w:val="clear" w:color="auto" w:fill="A64701" w:themeFill="accent2" w:themeFillShade="BF"/>
      </w:tcPr>
    </w:tblStylePr>
    <w:tblStylePr w:type="lastCol">
      <w:rPr>
        <w:color w:val="FFFFFF" w:themeColor="background1"/>
      </w:rPr>
      <w:tblPr/>
      <w:tcPr>
        <w:shd w:val="clear" w:color="auto" w:fill="A64701" w:themeFill="accent2" w:themeFillShade="BF"/>
      </w:tcPr>
    </w:tblStylePr>
    <w:tblStylePr w:type="band1Vert">
      <w:tblPr/>
      <w:tcPr>
        <w:shd w:val="clear" w:color="auto" w:fill="FDAC71" w:themeFill="accent2" w:themeFillTint="7F"/>
      </w:tcPr>
    </w:tblStylePr>
    <w:tblStylePr w:type="band1Horz">
      <w:tblPr/>
      <w:tcPr>
        <w:shd w:val="clear" w:color="auto" w:fill="FDAC71" w:themeFill="accent2" w:themeFillTint="7F"/>
      </w:tcPr>
    </w:tblStylePr>
  </w:style>
  <w:style w:type="table" w:styleId="ColorfulGrid-Accent3">
    <w:name w:val="Colorful Grid Accent 3"/>
    <w:basedOn w:val="TableNormal"/>
    <w:semiHidden/>
    <w:unhideWhenUsed/>
    <w:rsid w:val="001051DF"/>
    <w:pPr>
      <w:spacing w:before="0" w:after="0" w:line="240" w:lineRule="auto"/>
    </w:pPr>
    <w:rPr>
      <w:rFonts w:ascii="EC Square Sans Pro" w:eastAsia="SimSun" w:hAnsi="EC Square Sans Pro"/>
      <w:color w:val="000000" w:themeColor="text1"/>
      <w:lang w:eastAsia="en-GB"/>
    </w:rPr>
    <w:tblPr>
      <w:tblStyleRowBandSize w:val="1"/>
      <w:tblStyleColBandSize w:val="1"/>
      <w:tblBorders>
        <w:insideH w:val="single" w:sz="4" w:space="0" w:color="FFFFFF" w:themeColor="background1"/>
      </w:tblBorders>
    </w:tblPr>
    <w:tcPr>
      <w:shd w:val="clear" w:color="auto" w:fill="D3E7FE" w:themeFill="accent3" w:themeFillTint="33"/>
    </w:tcPr>
    <w:tblStylePr w:type="firstRow">
      <w:rPr>
        <w:b/>
        <w:bCs/>
      </w:rPr>
      <w:tblPr/>
      <w:tcPr>
        <w:shd w:val="clear" w:color="auto" w:fill="A8CFFE" w:themeFill="accent3" w:themeFillTint="66"/>
      </w:tcPr>
    </w:tblStylePr>
    <w:tblStylePr w:type="lastRow">
      <w:rPr>
        <w:b/>
        <w:bCs/>
        <w:color w:val="000000" w:themeColor="text1"/>
      </w:rPr>
      <w:tblPr/>
      <w:tcPr>
        <w:shd w:val="clear" w:color="auto" w:fill="A8CFFE" w:themeFill="accent3" w:themeFillTint="66"/>
      </w:tcPr>
    </w:tblStylePr>
    <w:tblStylePr w:type="firstCol">
      <w:rPr>
        <w:color w:val="FFFFFF" w:themeColor="background1"/>
      </w:rPr>
      <w:tblPr/>
      <w:tcPr>
        <w:shd w:val="clear" w:color="auto" w:fill="0162D9" w:themeFill="accent3" w:themeFillShade="BF"/>
      </w:tcPr>
    </w:tblStylePr>
    <w:tblStylePr w:type="lastCol">
      <w:rPr>
        <w:color w:val="FFFFFF" w:themeColor="background1"/>
      </w:rPr>
      <w:tblPr/>
      <w:tcPr>
        <w:shd w:val="clear" w:color="auto" w:fill="0162D9" w:themeFill="accent3" w:themeFillShade="BF"/>
      </w:tcPr>
    </w:tblStylePr>
    <w:tblStylePr w:type="band1Vert">
      <w:tblPr/>
      <w:tcPr>
        <w:shd w:val="clear" w:color="auto" w:fill="92C3FE" w:themeFill="accent3" w:themeFillTint="7F"/>
      </w:tcPr>
    </w:tblStylePr>
    <w:tblStylePr w:type="band1Horz">
      <w:tblPr/>
      <w:tcPr>
        <w:shd w:val="clear" w:color="auto" w:fill="92C3FE" w:themeFill="accent3" w:themeFillTint="7F"/>
      </w:tcPr>
    </w:tblStylePr>
  </w:style>
  <w:style w:type="table" w:styleId="ColorfulGrid-Accent4">
    <w:name w:val="Colorful Grid Accent 4"/>
    <w:basedOn w:val="TableNormal"/>
    <w:semiHidden/>
    <w:unhideWhenUsed/>
    <w:rsid w:val="001051DF"/>
    <w:pPr>
      <w:spacing w:before="0" w:after="0" w:line="240" w:lineRule="auto"/>
    </w:pPr>
    <w:rPr>
      <w:rFonts w:ascii="EC Square Sans Pro" w:eastAsia="SimSun" w:hAnsi="EC Square Sans Pro"/>
      <w:color w:val="000000" w:themeColor="text1"/>
      <w:lang w:eastAsia="en-GB"/>
    </w:rPr>
    <w:tblPr>
      <w:tblStyleRowBandSize w:val="1"/>
      <w:tblStyleColBandSize w:val="1"/>
      <w:tblBorders>
        <w:insideH w:val="single" w:sz="4" w:space="0" w:color="FFFFFF" w:themeColor="background1"/>
      </w:tblBorders>
    </w:tblPr>
    <w:tcPr>
      <w:shd w:val="clear" w:color="auto" w:fill="FEEECD" w:themeFill="accent4" w:themeFillTint="33"/>
    </w:tcPr>
    <w:tblStylePr w:type="firstRow">
      <w:rPr>
        <w:b/>
        <w:bCs/>
      </w:rPr>
      <w:tblPr/>
      <w:tcPr>
        <w:shd w:val="clear" w:color="auto" w:fill="FEDD9B" w:themeFill="accent4" w:themeFillTint="66"/>
      </w:tcPr>
    </w:tblStylePr>
    <w:tblStylePr w:type="lastRow">
      <w:rPr>
        <w:b/>
        <w:bCs/>
        <w:color w:val="000000" w:themeColor="text1"/>
      </w:rPr>
      <w:tblPr/>
      <w:tcPr>
        <w:shd w:val="clear" w:color="auto" w:fill="FEDD9B" w:themeFill="accent4" w:themeFillTint="66"/>
      </w:tcPr>
    </w:tblStylePr>
    <w:tblStylePr w:type="firstCol">
      <w:rPr>
        <w:color w:val="FFFFFF" w:themeColor="background1"/>
      </w:rPr>
      <w:tblPr/>
      <w:tcPr>
        <w:shd w:val="clear" w:color="auto" w:fill="C18101" w:themeFill="accent4" w:themeFillShade="BF"/>
      </w:tcPr>
    </w:tblStylePr>
    <w:tblStylePr w:type="lastCol">
      <w:rPr>
        <w:color w:val="FFFFFF" w:themeColor="background1"/>
      </w:rPr>
      <w:tblPr/>
      <w:tcPr>
        <w:shd w:val="clear" w:color="auto" w:fill="C18101" w:themeFill="accent4" w:themeFillShade="BF"/>
      </w:tcPr>
    </w:tblStylePr>
    <w:tblStylePr w:type="band1Vert">
      <w:tblPr/>
      <w:tcPr>
        <w:shd w:val="clear" w:color="auto" w:fill="FED583" w:themeFill="accent4" w:themeFillTint="7F"/>
      </w:tcPr>
    </w:tblStylePr>
    <w:tblStylePr w:type="band1Horz">
      <w:tblPr/>
      <w:tcPr>
        <w:shd w:val="clear" w:color="auto" w:fill="FED583" w:themeFill="accent4" w:themeFillTint="7F"/>
      </w:tcPr>
    </w:tblStylePr>
  </w:style>
  <w:style w:type="table" w:styleId="ColorfulGrid-Accent5">
    <w:name w:val="Colorful Grid Accent 5"/>
    <w:basedOn w:val="TableNormal"/>
    <w:semiHidden/>
    <w:unhideWhenUsed/>
    <w:rsid w:val="001051DF"/>
    <w:pPr>
      <w:spacing w:before="0" w:after="0" w:line="240" w:lineRule="auto"/>
    </w:pPr>
    <w:rPr>
      <w:rFonts w:ascii="EC Square Sans Pro" w:eastAsia="SimSun" w:hAnsi="EC Square Sans Pro"/>
      <w:color w:val="000000" w:themeColor="text1"/>
      <w:lang w:eastAsia="en-GB"/>
    </w:rPr>
    <w:tblPr>
      <w:tblStyleRowBandSize w:val="1"/>
      <w:tblStyleColBandSize w:val="1"/>
      <w:tblBorders>
        <w:insideH w:val="single" w:sz="4" w:space="0" w:color="FFFFFF" w:themeColor="background1"/>
      </w:tblBorders>
    </w:tblPr>
    <w:tcPr>
      <w:shd w:val="clear" w:color="auto" w:fill="FACEDD" w:themeFill="accent5" w:themeFillTint="33"/>
    </w:tcPr>
    <w:tblStylePr w:type="firstRow">
      <w:rPr>
        <w:b/>
        <w:bCs/>
      </w:rPr>
      <w:tblPr/>
      <w:tcPr>
        <w:shd w:val="clear" w:color="auto" w:fill="F59DBC" w:themeFill="accent5" w:themeFillTint="66"/>
      </w:tcPr>
    </w:tblStylePr>
    <w:tblStylePr w:type="lastRow">
      <w:rPr>
        <w:b/>
        <w:bCs/>
        <w:color w:val="000000" w:themeColor="text1"/>
      </w:rPr>
      <w:tblPr/>
      <w:tcPr>
        <w:shd w:val="clear" w:color="auto" w:fill="F59DBC" w:themeFill="accent5" w:themeFillTint="66"/>
      </w:tcPr>
    </w:tblStylePr>
    <w:tblStylePr w:type="firstCol">
      <w:rPr>
        <w:color w:val="FFFFFF" w:themeColor="background1"/>
      </w:rPr>
      <w:tblPr/>
      <w:tcPr>
        <w:shd w:val="clear" w:color="auto" w:fill="A41045" w:themeFill="accent5" w:themeFillShade="BF"/>
      </w:tcPr>
    </w:tblStylePr>
    <w:tblStylePr w:type="lastCol">
      <w:rPr>
        <w:color w:val="FFFFFF" w:themeColor="background1"/>
      </w:rPr>
      <w:tblPr/>
      <w:tcPr>
        <w:shd w:val="clear" w:color="auto" w:fill="A41045" w:themeFill="accent5" w:themeFillShade="BF"/>
      </w:tcPr>
    </w:tblStylePr>
    <w:tblStylePr w:type="band1Vert">
      <w:tblPr/>
      <w:tcPr>
        <w:shd w:val="clear" w:color="auto" w:fill="F285AC" w:themeFill="accent5" w:themeFillTint="7F"/>
      </w:tcPr>
    </w:tblStylePr>
    <w:tblStylePr w:type="band1Horz">
      <w:tblPr/>
      <w:tcPr>
        <w:shd w:val="clear" w:color="auto" w:fill="F285AC" w:themeFill="accent5" w:themeFillTint="7F"/>
      </w:tcPr>
    </w:tblStylePr>
  </w:style>
  <w:style w:type="table" w:styleId="ColorfulGrid-Accent6">
    <w:name w:val="Colorful Grid Accent 6"/>
    <w:basedOn w:val="TableNormal"/>
    <w:semiHidden/>
    <w:unhideWhenUsed/>
    <w:rsid w:val="001051DF"/>
    <w:pPr>
      <w:spacing w:before="0" w:after="0" w:line="240" w:lineRule="auto"/>
    </w:pPr>
    <w:rPr>
      <w:rFonts w:ascii="EC Square Sans Pro" w:eastAsia="SimSun" w:hAnsi="EC Square Sans Pro"/>
      <w:color w:val="000000" w:themeColor="text1"/>
      <w:lang w:eastAsia="en-GB"/>
    </w:rPr>
    <w:tblPr>
      <w:tblStyleRowBandSize w:val="1"/>
      <w:tblStyleColBandSize w:val="1"/>
      <w:tblBorders>
        <w:insideH w:val="single" w:sz="4" w:space="0" w:color="FFFFFF" w:themeColor="background1"/>
      </w:tblBorders>
    </w:tblPr>
    <w:tcPr>
      <w:shd w:val="clear" w:color="auto" w:fill="E2D0F1" w:themeFill="accent6" w:themeFillTint="33"/>
    </w:tcPr>
    <w:tblStylePr w:type="firstRow">
      <w:rPr>
        <w:b/>
        <w:bCs/>
      </w:rPr>
      <w:tblPr/>
      <w:tcPr>
        <w:shd w:val="clear" w:color="auto" w:fill="C6A1E3" w:themeFill="accent6" w:themeFillTint="66"/>
      </w:tcPr>
    </w:tblStylePr>
    <w:tblStylePr w:type="lastRow">
      <w:rPr>
        <w:b/>
        <w:bCs/>
        <w:color w:val="000000" w:themeColor="text1"/>
      </w:rPr>
      <w:tblPr/>
      <w:tcPr>
        <w:shd w:val="clear" w:color="auto" w:fill="C6A1E3" w:themeFill="accent6" w:themeFillTint="66"/>
      </w:tcPr>
    </w:tblStylePr>
    <w:tblStylePr w:type="firstCol">
      <w:rPr>
        <w:color w:val="FFFFFF" w:themeColor="background1"/>
      </w:rPr>
      <w:tblPr/>
      <w:tcPr>
        <w:shd w:val="clear" w:color="auto" w:fill="532477" w:themeFill="accent6" w:themeFillShade="BF"/>
      </w:tcPr>
    </w:tblStylePr>
    <w:tblStylePr w:type="lastCol">
      <w:rPr>
        <w:color w:val="FFFFFF" w:themeColor="background1"/>
      </w:rPr>
      <w:tblPr/>
      <w:tcPr>
        <w:shd w:val="clear" w:color="auto" w:fill="532477" w:themeFill="accent6" w:themeFillShade="BF"/>
      </w:tcPr>
    </w:tblStylePr>
    <w:tblStylePr w:type="band1Vert">
      <w:tblPr/>
      <w:tcPr>
        <w:shd w:val="clear" w:color="auto" w:fill="B98BDC" w:themeFill="accent6" w:themeFillTint="7F"/>
      </w:tcPr>
    </w:tblStylePr>
    <w:tblStylePr w:type="band1Horz">
      <w:tblPr/>
      <w:tcPr>
        <w:shd w:val="clear" w:color="auto" w:fill="B98BDC" w:themeFill="accent6" w:themeFillTint="7F"/>
      </w:tcPr>
    </w:tblStylePr>
  </w:style>
  <w:style w:type="table" w:styleId="ColorfulList">
    <w:name w:val="Colorful List"/>
    <w:basedOn w:val="TableNormal"/>
    <w:semiHidden/>
    <w:unhideWhenUsed/>
    <w:rsid w:val="001051DF"/>
    <w:pPr>
      <w:spacing w:before="0" w:after="0" w:line="240" w:lineRule="auto"/>
    </w:pPr>
    <w:rPr>
      <w:rFonts w:ascii="EC Square Sans Pro" w:eastAsia="SimSun" w:hAnsi="EC Square Sans Pro"/>
      <w:color w:val="000000" w:themeColor="text1"/>
      <w:lang w:eastAsia="en-GB"/>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B14C01" w:themeFill="accent2" w:themeFillShade="CC"/>
      </w:tcPr>
    </w:tblStylePr>
    <w:tblStylePr w:type="lastRow">
      <w:rPr>
        <w:b/>
        <w:bCs/>
        <w:color w:val="B14C01"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semiHidden/>
    <w:unhideWhenUsed/>
    <w:rsid w:val="001051DF"/>
    <w:pPr>
      <w:spacing w:before="0" w:after="0" w:line="240" w:lineRule="auto"/>
    </w:pPr>
    <w:rPr>
      <w:rFonts w:ascii="EC Square Sans Pro" w:eastAsia="SimSun" w:hAnsi="EC Square Sans Pro"/>
      <w:color w:val="000000" w:themeColor="text1"/>
      <w:lang w:eastAsia="en-GB"/>
    </w:rPr>
    <w:tblPr>
      <w:tblStyleRowBandSize w:val="1"/>
      <w:tblStyleColBandSize w:val="1"/>
    </w:tblPr>
    <w:tcPr>
      <w:shd w:val="clear" w:color="auto" w:fill="D9FFE9" w:themeFill="accent1" w:themeFillTint="19"/>
    </w:tcPr>
    <w:tblStylePr w:type="firstRow">
      <w:rPr>
        <w:b/>
        <w:bCs/>
        <w:color w:val="FFFFFF" w:themeColor="background1"/>
      </w:rPr>
      <w:tblPr/>
      <w:tcPr>
        <w:tcBorders>
          <w:bottom w:val="single" w:sz="12" w:space="0" w:color="FFFFFF" w:themeColor="background1"/>
        </w:tcBorders>
        <w:shd w:val="clear" w:color="auto" w:fill="B14C01" w:themeFill="accent2" w:themeFillShade="CC"/>
      </w:tcPr>
    </w:tblStylePr>
    <w:tblStylePr w:type="lastRow">
      <w:rPr>
        <w:b/>
        <w:bCs/>
        <w:color w:val="B14C01"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0FFCA" w:themeFill="accent1" w:themeFillTint="3F"/>
      </w:tcPr>
    </w:tblStylePr>
    <w:tblStylePr w:type="band1Horz">
      <w:tblPr/>
      <w:tcPr>
        <w:shd w:val="clear" w:color="auto" w:fill="B2FFD4" w:themeFill="accent1" w:themeFillTint="33"/>
      </w:tcPr>
    </w:tblStylePr>
  </w:style>
  <w:style w:type="table" w:styleId="ColorfulList-Accent2">
    <w:name w:val="Colorful List Accent 2"/>
    <w:basedOn w:val="TableNormal"/>
    <w:semiHidden/>
    <w:unhideWhenUsed/>
    <w:rsid w:val="001051DF"/>
    <w:pPr>
      <w:spacing w:before="0" w:after="0" w:line="240" w:lineRule="auto"/>
    </w:pPr>
    <w:rPr>
      <w:rFonts w:ascii="EC Square Sans Pro" w:eastAsia="SimSun" w:hAnsi="EC Square Sans Pro"/>
      <w:color w:val="000000" w:themeColor="text1"/>
      <w:lang w:eastAsia="en-GB"/>
    </w:rPr>
    <w:tblPr>
      <w:tblStyleRowBandSize w:val="1"/>
      <w:tblStyleColBandSize w:val="1"/>
    </w:tblPr>
    <w:tcPr>
      <w:shd w:val="clear" w:color="auto" w:fill="FEEEE2" w:themeFill="accent2" w:themeFillTint="19"/>
    </w:tcPr>
    <w:tblStylePr w:type="firstRow">
      <w:rPr>
        <w:b/>
        <w:bCs/>
        <w:color w:val="FFFFFF" w:themeColor="background1"/>
      </w:rPr>
      <w:tblPr/>
      <w:tcPr>
        <w:tcBorders>
          <w:bottom w:val="single" w:sz="12" w:space="0" w:color="FFFFFF" w:themeColor="background1"/>
        </w:tcBorders>
        <w:shd w:val="clear" w:color="auto" w:fill="B14C01" w:themeFill="accent2" w:themeFillShade="CC"/>
      </w:tcPr>
    </w:tblStylePr>
    <w:tblStylePr w:type="lastRow">
      <w:rPr>
        <w:b/>
        <w:bCs/>
        <w:color w:val="B14C01"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ED6B8" w:themeFill="accent2" w:themeFillTint="3F"/>
      </w:tcPr>
    </w:tblStylePr>
    <w:tblStylePr w:type="band1Horz">
      <w:tblPr/>
      <w:tcPr>
        <w:shd w:val="clear" w:color="auto" w:fill="FEDEC6" w:themeFill="accent2" w:themeFillTint="33"/>
      </w:tcPr>
    </w:tblStylePr>
  </w:style>
  <w:style w:type="table" w:styleId="ColorfulList-Accent3">
    <w:name w:val="Colorful List Accent 3"/>
    <w:basedOn w:val="TableNormal"/>
    <w:semiHidden/>
    <w:unhideWhenUsed/>
    <w:rsid w:val="001051DF"/>
    <w:pPr>
      <w:spacing w:before="0" w:after="0" w:line="240" w:lineRule="auto"/>
    </w:pPr>
    <w:rPr>
      <w:rFonts w:ascii="EC Square Sans Pro" w:eastAsia="SimSun" w:hAnsi="EC Square Sans Pro"/>
      <w:color w:val="000000" w:themeColor="text1"/>
      <w:lang w:eastAsia="en-GB"/>
    </w:rPr>
    <w:tblPr>
      <w:tblStyleRowBandSize w:val="1"/>
      <w:tblStyleColBandSize w:val="1"/>
    </w:tblPr>
    <w:tcPr>
      <w:shd w:val="clear" w:color="auto" w:fill="E9F3FF" w:themeFill="accent3" w:themeFillTint="19"/>
    </w:tcPr>
    <w:tblStylePr w:type="firstRow">
      <w:rPr>
        <w:b/>
        <w:bCs/>
        <w:color w:val="FFFFFF" w:themeColor="background1"/>
      </w:rPr>
      <w:tblPr/>
      <w:tcPr>
        <w:tcBorders>
          <w:bottom w:val="single" w:sz="12" w:space="0" w:color="FFFFFF" w:themeColor="background1"/>
        </w:tcBorders>
        <w:shd w:val="clear" w:color="auto" w:fill="CE8A01" w:themeFill="accent4" w:themeFillShade="CC"/>
      </w:tcPr>
    </w:tblStylePr>
    <w:tblStylePr w:type="lastRow">
      <w:rPr>
        <w:b/>
        <w:bCs/>
        <w:color w:val="CE8A01"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E1FE" w:themeFill="accent3" w:themeFillTint="3F"/>
      </w:tcPr>
    </w:tblStylePr>
    <w:tblStylePr w:type="band1Horz">
      <w:tblPr/>
      <w:tcPr>
        <w:shd w:val="clear" w:color="auto" w:fill="D3E7FE" w:themeFill="accent3" w:themeFillTint="33"/>
      </w:tcPr>
    </w:tblStylePr>
  </w:style>
  <w:style w:type="table" w:styleId="ColorfulList-Accent4">
    <w:name w:val="Colorful List Accent 4"/>
    <w:basedOn w:val="TableNormal"/>
    <w:semiHidden/>
    <w:unhideWhenUsed/>
    <w:rsid w:val="001051DF"/>
    <w:pPr>
      <w:spacing w:before="0" w:after="0" w:line="240" w:lineRule="auto"/>
    </w:pPr>
    <w:rPr>
      <w:rFonts w:ascii="EC Square Sans Pro" w:eastAsia="SimSun" w:hAnsi="EC Square Sans Pro"/>
      <w:color w:val="000000" w:themeColor="text1"/>
      <w:lang w:eastAsia="en-GB"/>
    </w:rPr>
    <w:tblPr>
      <w:tblStyleRowBandSize w:val="1"/>
      <w:tblStyleColBandSize w:val="1"/>
    </w:tblPr>
    <w:tcPr>
      <w:shd w:val="clear" w:color="auto" w:fill="FEF6E6" w:themeFill="accent4" w:themeFillTint="19"/>
    </w:tcPr>
    <w:tblStylePr w:type="firstRow">
      <w:rPr>
        <w:b/>
        <w:bCs/>
        <w:color w:val="FFFFFF" w:themeColor="background1"/>
      </w:rPr>
      <w:tblPr/>
      <w:tcPr>
        <w:tcBorders>
          <w:bottom w:val="single" w:sz="12" w:space="0" w:color="FFFFFF" w:themeColor="background1"/>
        </w:tcBorders>
        <w:shd w:val="clear" w:color="auto" w:fill="0169E8" w:themeFill="accent3" w:themeFillShade="CC"/>
      </w:tcPr>
    </w:tblStylePr>
    <w:tblStylePr w:type="lastRow">
      <w:rPr>
        <w:b/>
        <w:bCs/>
        <w:color w:val="0169E8"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EEAC1" w:themeFill="accent4" w:themeFillTint="3F"/>
      </w:tcPr>
    </w:tblStylePr>
    <w:tblStylePr w:type="band1Horz">
      <w:tblPr/>
      <w:tcPr>
        <w:shd w:val="clear" w:color="auto" w:fill="FEEECD" w:themeFill="accent4" w:themeFillTint="33"/>
      </w:tcPr>
    </w:tblStylePr>
  </w:style>
  <w:style w:type="table" w:styleId="ColorfulList-Accent5">
    <w:name w:val="Colorful List Accent 5"/>
    <w:basedOn w:val="TableNormal"/>
    <w:semiHidden/>
    <w:unhideWhenUsed/>
    <w:rsid w:val="001051DF"/>
    <w:pPr>
      <w:spacing w:before="0" w:after="0" w:line="240" w:lineRule="auto"/>
    </w:pPr>
    <w:rPr>
      <w:rFonts w:ascii="EC Square Sans Pro" w:eastAsia="SimSun" w:hAnsi="EC Square Sans Pro"/>
      <w:color w:val="000000" w:themeColor="text1"/>
      <w:lang w:eastAsia="en-GB"/>
    </w:rPr>
    <w:tblPr>
      <w:tblStyleRowBandSize w:val="1"/>
      <w:tblStyleColBandSize w:val="1"/>
    </w:tblPr>
    <w:tcPr>
      <w:shd w:val="clear" w:color="auto" w:fill="FCE7EE" w:themeFill="accent5" w:themeFillTint="19"/>
    </w:tcPr>
    <w:tblStylePr w:type="firstRow">
      <w:rPr>
        <w:b/>
        <w:bCs/>
        <w:color w:val="FFFFFF" w:themeColor="background1"/>
      </w:rPr>
      <w:tblPr/>
      <w:tcPr>
        <w:tcBorders>
          <w:bottom w:val="single" w:sz="12" w:space="0" w:color="FFFFFF" w:themeColor="background1"/>
        </w:tcBorders>
        <w:shd w:val="clear" w:color="auto" w:fill="59267F" w:themeFill="accent6" w:themeFillShade="CC"/>
      </w:tcPr>
    </w:tblStylePr>
    <w:tblStylePr w:type="lastRow">
      <w:rPr>
        <w:b/>
        <w:bCs/>
        <w:color w:val="59267F"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C2D6" w:themeFill="accent5" w:themeFillTint="3F"/>
      </w:tcPr>
    </w:tblStylePr>
    <w:tblStylePr w:type="band1Horz">
      <w:tblPr/>
      <w:tcPr>
        <w:shd w:val="clear" w:color="auto" w:fill="FACEDD" w:themeFill="accent5" w:themeFillTint="33"/>
      </w:tcPr>
    </w:tblStylePr>
  </w:style>
  <w:style w:type="table" w:styleId="ColorfulList-Accent6">
    <w:name w:val="Colorful List Accent 6"/>
    <w:basedOn w:val="TableNormal"/>
    <w:semiHidden/>
    <w:unhideWhenUsed/>
    <w:rsid w:val="001051DF"/>
    <w:pPr>
      <w:spacing w:before="0" w:after="0" w:line="240" w:lineRule="auto"/>
    </w:pPr>
    <w:rPr>
      <w:rFonts w:ascii="EC Square Sans Pro" w:eastAsia="SimSun" w:hAnsi="EC Square Sans Pro"/>
      <w:color w:val="000000" w:themeColor="text1"/>
      <w:lang w:eastAsia="en-GB"/>
    </w:rPr>
    <w:tblPr>
      <w:tblStyleRowBandSize w:val="1"/>
      <w:tblStyleColBandSize w:val="1"/>
    </w:tblPr>
    <w:tcPr>
      <w:shd w:val="clear" w:color="auto" w:fill="F1E8F8" w:themeFill="accent6" w:themeFillTint="19"/>
    </w:tcPr>
    <w:tblStylePr w:type="firstRow">
      <w:rPr>
        <w:b/>
        <w:bCs/>
        <w:color w:val="FFFFFF" w:themeColor="background1"/>
      </w:rPr>
      <w:tblPr/>
      <w:tcPr>
        <w:tcBorders>
          <w:bottom w:val="single" w:sz="12" w:space="0" w:color="FFFFFF" w:themeColor="background1"/>
        </w:tcBorders>
        <w:shd w:val="clear" w:color="auto" w:fill="AF114A" w:themeFill="accent5" w:themeFillShade="CC"/>
      </w:tcPr>
    </w:tblStylePr>
    <w:tblStylePr w:type="lastRow">
      <w:rPr>
        <w:b/>
        <w:bCs/>
        <w:color w:val="AF114A"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CC5ED" w:themeFill="accent6" w:themeFillTint="3F"/>
      </w:tcPr>
    </w:tblStylePr>
    <w:tblStylePr w:type="band1Horz">
      <w:tblPr/>
      <w:tcPr>
        <w:shd w:val="clear" w:color="auto" w:fill="E2D0F1" w:themeFill="accent6" w:themeFillTint="33"/>
      </w:tcPr>
    </w:tblStylePr>
  </w:style>
  <w:style w:type="table" w:styleId="ColorfulShading">
    <w:name w:val="Colorful Shading"/>
    <w:basedOn w:val="TableNormal"/>
    <w:semiHidden/>
    <w:unhideWhenUsed/>
    <w:rsid w:val="001051DF"/>
    <w:pPr>
      <w:spacing w:before="0" w:after="0" w:line="240" w:lineRule="auto"/>
    </w:pPr>
    <w:rPr>
      <w:rFonts w:ascii="EC Square Sans Pro" w:eastAsia="SimSun" w:hAnsi="EC Square Sans Pro"/>
      <w:color w:val="000000" w:themeColor="text1"/>
      <w:lang w:eastAsia="en-GB"/>
    </w:rPr>
    <w:tblPr>
      <w:tblStyleRowBandSize w:val="1"/>
      <w:tblStyleColBandSize w:val="1"/>
      <w:tblBorders>
        <w:top w:val="single" w:sz="24" w:space="0" w:color="DE600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DE600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semiHidden/>
    <w:unhideWhenUsed/>
    <w:rsid w:val="001051DF"/>
    <w:pPr>
      <w:spacing w:before="0" w:after="0" w:line="240" w:lineRule="auto"/>
    </w:pPr>
    <w:rPr>
      <w:rFonts w:ascii="EC Square Sans Pro" w:eastAsia="SimSun" w:hAnsi="EC Square Sans Pro"/>
      <w:color w:val="000000" w:themeColor="text1"/>
      <w:lang w:eastAsia="en-GB"/>
    </w:rPr>
    <w:tblPr>
      <w:tblStyleRowBandSize w:val="1"/>
      <w:tblStyleColBandSize w:val="1"/>
      <w:tblBorders>
        <w:top w:val="single" w:sz="24" w:space="0" w:color="DE6002" w:themeColor="accent2"/>
        <w:left w:val="single" w:sz="4" w:space="0" w:color="008139" w:themeColor="accent1"/>
        <w:bottom w:val="single" w:sz="4" w:space="0" w:color="008139" w:themeColor="accent1"/>
        <w:right w:val="single" w:sz="4" w:space="0" w:color="008139" w:themeColor="accent1"/>
        <w:insideH w:val="single" w:sz="4" w:space="0" w:color="FFFFFF" w:themeColor="background1"/>
        <w:insideV w:val="single" w:sz="4" w:space="0" w:color="FFFFFF" w:themeColor="background1"/>
      </w:tblBorders>
    </w:tblPr>
    <w:tcPr>
      <w:shd w:val="clear" w:color="auto" w:fill="D9FFE9" w:themeFill="accent1" w:themeFillTint="19"/>
    </w:tcPr>
    <w:tblStylePr w:type="firstRow">
      <w:rPr>
        <w:b/>
        <w:bCs/>
      </w:rPr>
      <w:tblPr/>
      <w:tcPr>
        <w:tcBorders>
          <w:top w:val="nil"/>
          <w:left w:val="nil"/>
          <w:bottom w:val="single" w:sz="24" w:space="0" w:color="DE600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D21" w:themeFill="accent1" w:themeFillShade="99"/>
      </w:tcPr>
    </w:tblStylePr>
    <w:tblStylePr w:type="firstCol">
      <w:rPr>
        <w:color w:val="FFFFFF" w:themeColor="background1"/>
      </w:rPr>
      <w:tblPr/>
      <w:tcPr>
        <w:tcBorders>
          <w:top w:val="nil"/>
          <w:left w:val="nil"/>
          <w:bottom w:val="nil"/>
          <w:right w:val="nil"/>
          <w:insideH w:val="single" w:sz="4" w:space="0" w:color="004D21" w:themeColor="accent1" w:themeShade="99"/>
          <w:insideV w:val="nil"/>
        </w:tcBorders>
        <w:shd w:val="clear" w:color="auto" w:fill="004D21"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4D21" w:themeFill="accent1" w:themeFillShade="99"/>
      </w:tcPr>
    </w:tblStylePr>
    <w:tblStylePr w:type="band1Vert">
      <w:tblPr/>
      <w:tcPr>
        <w:shd w:val="clear" w:color="auto" w:fill="66FFA9" w:themeFill="accent1" w:themeFillTint="66"/>
      </w:tcPr>
    </w:tblStylePr>
    <w:tblStylePr w:type="band1Horz">
      <w:tblPr/>
      <w:tcPr>
        <w:shd w:val="clear" w:color="auto" w:fill="41FF94"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semiHidden/>
    <w:unhideWhenUsed/>
    <w:rsid w:val="001051DF"/>
    <w:pPr>
      <w:spacing w:before="0" w:after="0" w:line="240" w:lineRule="auto"/>
    </w:pPr>
    <w:rPr>
      <w:rFonts w:ascii="EC Square Sans Pro" w:eastAsia="SimSun" w:hAnsi="EC Square Sans Pro"/>
      <w:color w:val="000000" w:themeColor="text1"/>
      <w:lang w:eastAsia="en-GB"/>
    </w:rPr>
    <w:tblPr>
      <w:tblStyleRowBandSize w:val="1"/>
      <w:tblStyleColBandSize w:val="1"/>
      <w:tblBorders>
        <w:top w:val="single" w:sz="24" w:space="0" w:color="DE6002" w:themeColor="accent2"/>
        <w:left w:val="single" w:sz="4" w:space="0" w:color="DE6002" w:themeColor="accent2"/>
        <w:bottom w:val="single" w:sz="4" w:space="0" w:color="DE6002" w:themeColor="accent2"/>
        <w:right w:val="single" w:sz="4" w:space="0" w:color="DE6002" w:themeColor="accent2"/>
        <w:insideH w:val="single" w:sz="4" w:space="0" w:color="FFFFFF" w:themeColor="background1"/>
        <w:insideV w:val="single" w:sz="4" w:space="0" w:color="FFFFFF" w:themeColor="background1"/>
      </w:tblBorders>
    </w:tblPr>
    <w:tcPr>
      <w:shd w:val="clear" w:color="auto" w:fill="FEEEE2" w:themeFill="accent2" w:themeFillTint="19"/>
    </w:tcPr>
    <w:tblStylePr w:type="firstRow">
      <w:rPr>
        <w:b/>
        <w:bCs/>
      </w:rPr>
      <w:tblPr/>
      <w:tcPr>
        <w:tcBorders>
          <w:top w:val="nil"/>
          <w:left w:val="nil"/>
          <w:bottom w:val="single" w:sz="24" w:space="0" w:color="DE600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53901" w:themeFill="accent2" w:themeFillShade="99"/>
      </w:tcPr>
    </w:tblStylePr>
    <w:tblStylePr w:type="firstCol">
      <w:rPr>
        <w:color w:val="FFFFFF" w:themeColor="background1"/>
      </w:rPr>
      <w:tblPr/>
      <w:tcPr>
        <w:tcBorders>
          <w:top w:val="nil"/>
          <w:left w:val="nil"/>
          <w:bottom w:val="nil"/>
          <w:right w:val="nil"/>
          <w:insideH w:val="single" w:sz="4" w:space="0" w:color="853901" w:themeColor="accent2" w:themeShade="99"/>
          <w:insideV w:val="nil"/>
        </w:tcBorders>
        <w:shd w:val="clear" w:color="auto" w:fill="853901"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853901" w:themeFill="accent2" w:themeFillShade="99"/>
      </w:tcPr>
    </w:tblStylePr>
    <w:tblStylePr w:type="band1Vert">
      <w:tblPr/>
      <w:tcPr>
        <w:shd w:val="clear" w:color="auto" w:fill="FEBD8D" w:themeFill="accent2" w:themeFillTint="66"/>
      </w:tcPr>
    </w:tblStylePr>
    <w:tblStylePr w:type="band1Horz">
      <w:tblPr/>
      <w:tcPr>
        <w:shd w:val="clear" w:color="auto" w:fill="FDAC71"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semiHidden/>
    <w:unhideWhenUsed/>
    <w:rsid w:val="001051DF"/>
    <w:pPr>
      <w:spacing w:before="0" w:after="0" w:line="240" w:lineRule="auto"/>
    </w:pPr>
    <w:rPr>
      <w:rFonts w:ascii="EC Square Sans Pro" w:eastAsia="SimSun" w:hAnsi="EC Square Sans Pro"/>
      <w:color w:val="000000" w:themeColor="text1"/>
      <w:lang w:eastAsia="en-GB"/>
    </w:rPr>
    <w:tblPr>
      <w:tblStyleRowBandSize w:val="1"/>
      <w:tblStyleColBandSize w:val="1"/>
      <w:tblBorders>
        <w:top w:val="single" w:sz="24" w:space="0" w:color="FDAB07" w:themeColor="accent4"/>
        <w:left w:val="single" w:sz="4" w:space="0" w:color="2688FE" w:themeColor="accent3"/>
        <w:bottom w:val="single" w:sz="4" w:space="0" w:color="2688FE" w:themeColor="accent3"/>
        <w:right w:val="single" w:sz="4" w:space="0" w:color="2688FE" w:themeColor="accent3"/>
        <w:insideH w:val="single" w:sz="4" w:space="0" w:color="FFFFFF" w:themeColor="background1"/>
        <w:insideV w:val="single" w:sz="4" w:space="0" w:color="FFFFFF" w:themeColor="background1"/>
      </w:tblBorders>
    </w:tblPr>
    <w:tcPr>
      <w:shd w:val="clear" w:color="auto" w:fill="E9F3FF" w:themeFill="accent3" w:themeFillTint="19"/>
    </w:tcPr>
    <w:tblStylePr w:type="firstRow">
      <w:rPr>
        <w:b/>
        <w:bCs/>
      </w:rPr>
      <w:tblPr/>
      <w:tcPr>
        <w:tcBorders>
          <w:top w:val="nil"/>
          <w:left w:val="nil"/>
          <w:bottom w:val="single" w:sz="24" w:space="0" w:color="FDAB07"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14FAE" w:themeFill="accent3" w:themeFillShade="99"/>
      </w:tcPr>
    </w:tblStylePr>
    <w:tblStylePr w:type="firstCol">
      <w:rPr>
        <w:color w:val="FFFFFF" w:themeColor="background1"/>
      </w:rPr>
      <w:tblPr/>
      <w:tcPr>
        <w:tcBorders>
          <w:top w:val="nil"/>
          <w:left w:val="nil"/>
          <w:bottom w:val="nil"/>
          <w:right w:val="nil"/>
          <w:insideH w:val="single" w:sz="4" w:space="0" w:color="014FAE" w:themeColor="accent3" w:themeShade="99"/>
          <w:insideV w:val="nil"/>
        </w:tcBorders>
        <w:shd w:val="clear" w:color="auto" w:fill="014FAE"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14FAE" w:themeFill="accent3" w:themeFillShade="99"/>
      </w:tcPr>
    </w:tblStylePr>
    <w:tblStylePr w:type="band1Vert">
      <w:tblPr/>
      <w:tcPr>
        <w:shd w:val="clear" w:color="auto" w:fill="A8CFFE" w:themeFill="accent3" w:themeFillTint="66"/>
      </w:tcPr>
    </w:tblStylePr>
    <w:tblStylePr w:type="band1Horz">
      <w:tblPr/>
      <w:tcPr>
        <w:shd w:val="clear" w:color="auto" w:fill="92C3FE" w:themeFill="accent3" w:themeFillTint="7F"/>
      </w:tcPr>
    </w:tblStylePr>
  </w:style>
  <w:style w:type="table" w:styleId="ColorfulShading-Accent4">
    <w:name w:val="Colorful Shading Accent 4"/>
    <w:basedOn w:val="TableNormal"/>
    <w:semiHidden/>
    <w:unhideWhenUsed/>
    <w:rsid w:val="001051DF"/>
    <w:pPr>
      <w:spacing w:before="0" w:after="0" w:line="240" w:lineRule="auto"/>
    </w:pPr>
    <w:rPr>
      <w:rFonts w:ascii="EC Square Sans Pro" w:eastAsia="SimSun" w:hAnsi="EC Square Sans Pro"/>
      <w:color w:val="000000" w:themeColor="text1"/>
      <w:lang w:eastAsia="en-GB"/>
    </w:rPr>
    <w:tblPr>
      <w:tblStyleRowBandSize w:val="1"/>
      <w:tblStyleColBandSize w:val="1"/>
      <w:tblBorders>
        <w:top w:val="single" w:sz="24" w:space="0" w:color="2688FE" w:themeColor="accent3"/>
        <w:left w:val="single" w:sz="4" w:space="0" w:color="FDAB07" w:themeColor="accent4"/>
        <w:bottom w:val="single" w:sz="4" w:space="0" w:color="FDAB07" w:themeColor="accent4"/>
        <w:right w:val="single" w:sz="4" w:space="0" w:color="FDAB07" w:themeColor="accent4"/>
        <w:insideH w:val="single" w:sz="4" w:space="0" w:color="FFFFFF" w:themeColor="background1"/>
        <w:insideV w:val="single" w:sz="4" w:space="0" w:color="FFFFFF" w:themeColor="background1"/>
      </w:tblBorders>
    </w:tblPr>
    <w:tcPr>
      <w:shd w:val="clear" w:color="auto" w:fill="FEF6E6" w:themeFill="accent4" w:themeFillTint="19"/>
    </w:tcPr>
    <w:tblStylePr w:type="firstRow">
      <w:rPr>
        <w:b/>
        <w:bCs/>
      </w:rPr>
      <w:tblPr/>
      <w:tcPr>
        <w:tcBorders>
          <w:top w:val="nil"/>
          <w:left w:val="nil"/>
          <w:bottom w:val="single" w:sz="24" w:space="0" w:color="2688FE"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A6701" w:themeFill="accent4" w:themeFillShade="99"/>
      </w:tcPr>
    </w:tblStylePr>
    <w:tblStylePr w:type="firstCol">
      <w:rPr>
        <w:color w:val="FFFFFF" w:themeColor="background1"/>
      </w:rPr>
      <w:tblPr/>
      <w:tcPr>
        <w:tcBorders>
          <w:top w:val="nil"/>
          <w:left w:val="nil"/>
          <w:bottom w:val="nil"/>
          <w:right w:val="nil"/>
          <w:insideH w:val="single" w:sz="4" w:space="0" w:color="9A6701" w:themeColor="accent4" w:themeShade="99"/>
          <w:insideV w:val="nil"/>
        </w:tcBorders>
        <w:shd w:val="clear" w:color="auto" w:fill="9A6701"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A6701" w:themeFill="accent4" w:themeFillShade="99"/>
      </w:tcPr>
    </w:tblStylePr>
    <w:tblStylePr w:type="band1Vert">
      <w:tblPr/>
      <w:tcPr>
        <w:shd w:val="clear" w:color="auto" w:fill="FEDD9B" w:themeFill="accent4" w:themeFillTint="66"/>
      </w:tcPr>
    </w:tblStylePr>
    <w:tblStylePr w:type="band1Horz">
      <w:tblPr/>
      <w:tcPr>
        <w:shd w:val="clear" w:color="auto" w:fill="FED583"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semiHidden/>
    <w:unhideWhenUsed/>
    <w:rsid w:val="001051DF"/>
    <w:pPr>
      <w:spacing w:before="0" w:after="0" w:line="240" w:lineRule="auto"/>
    </w:pPr>
    <w:rPr>
      <w:rFonts w:ascii="EC Square Sans Pro" w:eastAsia="SimSun" w:hAnsi="EC Square Sans Pro"/>
      <w:color w:val="000000" w:themeColor="text1"/>
      <w:lang w:eastAsia="en-GB"/>
    </w:rPr>
    <w:tblPr>
      <w:tblStyleRowBandSize w:val="1"/>
      <w:tblStyleColBandSize w:val="1"/>
      <w:tblBorders>
        <w:top w:val="single" w:sz="24" w:space="0" w:color="7030A0" w:themeColor="accent6"/>
        <w:left w:val="single" w:sz="4" w:space="0" w:color="DC165D" w:themeColor="accent5"/>
        <w:bottom w:val="single" w:sz="4" w:space="0" w:color="DC165D" w:themeColor="accent5"/>
        <w:right w:val="single" w:sz="4" w:space="0" w:color="DC165D" w:themeColor="accent5"/>
        <w:insideH w:val="single" w:sz="4" w:space="0" w:color="FFFFFF" w:themeColor="background1"/>
        <w:insideV w:val="single" w:sz="4" w:space="0" w:color="FFFFFF" w:themeColor="background1"/>
      </w:tblBorders>
    </w:tblPr>
    <w:tcPr>
      <w:shd w:val="clear" w:color="auto" w:fill="FCE7EE" w:themeFill="accent5" w:themeFillTint="19"/>
    </w:tcPr>
    <w:tblStylePr w:type="firstRow">
      <w:rPr>
        <w:b/>
        <w:bCs/>
      </w:rPr>
      <w:tblPr/>
      <w:tcPr>
        <w:tcBorders>
          <w:top w:val="nil"/>
          <w:left w:val="nil"/>
          <w:bottom w:val="single" w:sz="24" w:space="0" w:color="7030A0"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30D37" w:themeFill="accent5" w:themeFillShade="99"/>
      </w:tcPr>
    </w:tblStylePr>
    <w:tblStylePr w:type="firstCol">
      <w:rPr>
        <w:color w:val="FFFFFF" w:themeColor="background1"/>
      </w:rPr>
      <w:tblPr/>
      <w:tcPr>
        <w:tcBorders>
          <w:top w:val="nil"/>
          <w:left w:val="nil"/>
          <w:bottom w:val="nil"/>
          <w:right w:val="nil"/>
          <w:insideH w:val="single" w:sz="4" w:space="0" w:color="830D37" w:themeColor="accent5" w:themeShade="99"/>
          <w:insideV w:val="nil"/>
        </w:tcBorders>
        <w:shd w:val="clear" w:color="auto" w:fill="830D3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830D37" w:themeFill="accent5" w:themeFillShade="99"/>
      </w:tcPr>
    </w:tblStylePr>
    <w:tblStylePr w:type="band1Vert">
      <w:tblPr/>
      <w:tcPr>
        <w:shd w:val="clear" w:color="auto" w:fill="F59DBC" w:themeFill="accent5" w:themeFillTint="66"/>
      </w:tcPr>
    </w:tblStylePr>
    <w:tblStylePr w:type="band1Horz">
      <w:tblPr/>
      <w:tcPr>
        <w:shd w:val="clear" w:color="auto" w:fill="F285AC"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semiHidden/>
    <w:unhideWhenUsed/>
    <w:rsid w:val="001051DF"/>
    <w:pPr>
      <w:spacing w:before="0" w:after="0" w:line="240" w:lineRule="auto"/>
    </w:pPr>
    <w:rPr>
      <w:rFonts w:ascii="EC Square Sans Pro" w:eastAsia="SimSun" w:hAnsi="EC Square Sans Pro"/>
      <w:color w:val="000000" w:themeColor="text1"/>
      <w:lang w:eastAsia="en-GB"/>
    </w:rPr>
    <w:tblPr>
      <w:tblStyleRowBandSize w:val="1"/>
      <w:tblStyleColBandSize w:val="1"/>
      <w:tblBorders>
        <w:top w:val="single" w:sz="24" w:space="0" w:color="DC165D" w:themeColor="accent5"/>
        <w:left w:val="single" w:sz="4" w:space="0" w:color="7030A0" w:themeColor="accent6"/>
        <w:bottom w:val="single" w:sz="4" w:space="0" w:color="7030A0" w:themeColor="accent6"/>
        <w:right w:val="single" w:sz="4" w:space="0" w:color="7030A0" w:themeColor="accent6"/>
        <w:insideH w:val="single" w:sz="4" w:space="0" w:color="FFFFFF" w:themeColor="background1"/>
        <w:insideV w:val="single" w:sz="4" w:space="0" w:color="FFFFFF" w:themeColor="background1"/>
      </w:tblBorders>
    </w:tblPr>
    <w:tcPr>
      <w:shd w:val="clear" w:color="auto" w:fill="F1E8F8" w:themeFill="accent6" w:themeFillTint="19"/>
    </w:tcPr>
    <w:tblStylePr w:type="firstRow">
      <w:rPr>
        <w:b/>
        <w:bCs/>
      </w:rPr>
      <w:tblPr/>
      <w:tcPr>
        <w:tcBorders>
          <w:top w:val="nil"/>
          <w:left w:val="nil"/>
          <w:bottom w:val="single" w:sz="24" w:space="0" w:color="DC165D"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21C5F" w:themeFill="accent6" w:themeFillShade="99"/>
      </w:tcPr>
    </w:tblStylePr>
    <w:tblStylePr w:type="firstCol">
      <w:rPr>
        <w:color w:val="FFFFFF" w:themeColor="background1"/>
      </w:rPr>
      <w:tblPr/>
      <w:tcPr>
        <w:tcBorders>
          <w:top w:val="nil"/>
          <w:left w:val="nil"/>
          <w:bottom w:val="nil"/>
          <w:right w:val="nil"/>
          <w:insideH w:val="single" w:sz="4" w:space="0" w:color="421C5F" w:themeColor="accent6" w:themeShade="99"/>
          <w:insideV w:val="nil"/>
        </w:tcBorders>
        <w:shd w:val="clear" w:color="auto" w:fill="421C5F"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21C5F" w:themeFill="accent6" w:themeFillShade="99"/>
      </w:tcPr>
    </w:tblStylePr>
    <w:tblStylePr w:type="band1Vert">
      <w:tblPr/>
      <w:tcPr>
        <w:shd w:val="clear" w:color="auto" w:fill="C6A1E3" w:themeFill="accent6" w:themeFillTint="66"/>
      </w:tcPr>
    </w:tblStylePr>
    <w:tblStylePr w:type="band1Horz">
      <w:tblPr/>
      <w:tcPr>
        <w:shd w:val="clear" w:color="auto" w:fill="B98BDC"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EC3443"/>
    <w:rPr>
      <w:noProof w:val="0"/>
      <w:sz w:val="16"/>
      <w:szCs w:val="16"/>
      <w:lang w:val="en-GB"/>
    </w:rPr>
  </w:style>
  <w:style w:type="paragraph" w:styleId="CommentText">
    <w:name w:val="annotation text"/>
    <w:basedOn w:val="Normal"/>
    <w:link w:val="CommentTextChar"/>
    <w:uiPriority w:val="99"/>
    <w:semiHidden/>
    <w:rsid w:val="00EC3443"/>
    <w:pPr>
      <w:spacing w:line="240" w:lineRule="auto"/>
    </w:pPr>
  </w:style>
  <w:style w:type="character" w:customStyle="1" w:styleId="CommentTextChar">
    <w:name w:val="Comment Text Char"/>
    <w:basedOn w:val="DefaultParagraphFont"/>
    <w:link w:val="CommentText"/>
    <w:uiPriority w:val="99"/>
    <w:rsid w:val="00DB5F48"/>
    <w:rPr>
      <w:rFonts w:ascii="EC Square Sans Pro" w:eastAsia="SimSun" w:hAnsi="EC Square Sans Pro"/>
      <w:lang w:eastAsia="en-GB"/>
    </w:rPr>
  </w:style>
  <w:style w:type="paragraph" w:styleId="CommentSubject">
    <w:name w:val="annotation subject"/>
    <w:basedOn w:val="CommentText"/>
    <w:next w:val="CommentText"/>
    <w:link w:val="CommentSubjectChar"/>
    <w:semiHidden/>
    <w:rsid w:val="001051DF"/>
    <w:rPr>
      <w:b/>
      <w:bCs/>
    </w:rPr>
  </w:style>
  <w:style w:type="character" w:customStyle="1" w:styleId="CommentSubjectChar">
    <w:name w:val="Comment Subject Char"/>
    <w:basedOn w:val="CommentTextChar"/>
    <w:link w:val="CommentSubject"/>
    <w:semiHidden/>
    <w:rsid w:val="001051DF"/>
    <w:rPr>
      <w:rFonts w:ascii="EC Square Sans Pro" w:eastAsia="SimSun" w:hAnsi="EC Square Sans Pro"/>
      <w:b/>
      <w:bCs/>
      <w:lang w:eastAsia="en-GB"/>
    </w:rPr>
  </w:style>
  <w:style w:type="table" w:styleId="DarkList">
    <w:name w:val="Dark List"/>
    <w:basedOn w:val="TableNormal"/>
    <w:semiHidden/>
    <w:unhideWhenUsed/>
    <w:rsid w:val="001051DF"/>
    <w:pPr>
      <w:spacing w:before="0" w:after="0" w:line="240" w:lineRule="auto"/>
    </w:pPr>
    <w:rPr>
      <w:rFonts w:ascii="EC Square Sans Pro" w:eastAsia="SimSun" w:hAnsi="EC Square Sans Pro"/>
      <w:color w:val="FFFFFF" w:themeColor="background1"/>
      <w:lang w:eastAsia="en-GB"/>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semiHidden/>
    <w:unhideWhenUsed/>
    <w:rsid w:val="001051DF"/>
    <w:pPr>
      <w:spacing w:before="0" w:after="0" w:line="240" w:lineRule="auto"/>
    </w:pPr>
    <w:rPr>
      <w:rFonts w:ascii="EC Square Sans Pro" w:eastAsia="SimSun" w:hAnsi="EC Square Sans Pro"/>
      <w:color w:val="FFFFFF" w:themeColor="background1"/>
      <w:lang w:eastAsia="en-GB"/>
    </w:rPr>
    <w:tblPr>
      <w:tblStyleRowBandSize w:val="1"/>
      <w:tblStyleColBandSize w:val="1"/>
    </w:tblPr>
    <w:tcPr>
      <w:shd w:val="clear" w:color="auto" w:fill="008139"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401C"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602A"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602A" w:themeFill="accent1" w:themeFillShade="BF"/>
      </w:tcPr>
    </w:tblStylePr>
    <w:tblStylePr w:type="band1Vert">
      <w:tblPr/>
      <w:tcPr>
        <w:tcBorders>
          <w:top w:val="nil"/>
          <w:left w:val="nil"/>
          <w:bottom w:val="nil"/>
          <w:right w:val="nil"/>
          <w:insideH w:val="nil"/>
          <w:insideV w:val="nil"/>
        </w:tcBorders>
        <w:shd w:val="clear" w:color="auto" w:fill="00602A" w:themeFill="accent1" w:themeFillShade="BF"/>
      </w:tcPr>
    </w:tblStylePr>
    <w:tblStylePr w:type="band1Horz">
      <w:tblPr/>
      <w:tcPr>
        <w:tcBorders>
          <w:top w:val="nil"/>
          <w:left w:val="nil"/>
          <w:bottom w:val="nil"/>
          <w:right w:val="nil"/>
          <w:insideH w:val="nil"/>
          <w:insideV w:val="nil"/>
        </w:tcBorders>
        <w:shd w:val="clear" w:color="auto" w:fill="00602A" w:themeFill="accent1" w:themeFillShade="BF"/>
      </w:tcPr>
    </w:tblStylePr>
  </w:style>
  <w:style w:type="table" w:styleId="DarkList-Accent2">
    <w:name w:val="Dark List Accent 2"/>
    <w:basedOn w:val="TableNormal"/>
    <w:semiHidden/>
    <w:unhideWhenUsed/>
    <w:rsid w:val="001051DF"/>
    <w:pPr>
      <w:spacing w:before="0" w:after="0" w:line="240" w:lineRule="auto"/>
    </w:pPr>
    <w:rPr>
      <w:rFonts w:ascii="EC Square Sans Pro" w:eastAsia="SimSun" w:hAnsi="EC Square Sans Pro"/>
      <w:color w:val="FFFFFF" w:themeColor="background1"/>
      <w:lang w:eastAsia="en-GB"/>
    </w:rPr>
    <w:tblPr>
      <w:tblStyleRowBandSize w:val="1"/>
      <w:tblStyleColBandSize w:val="1"/>
    </w:tblPr>
    <w:tcPr>
      <w:shd w:val="clear" w:color="auto" w:fill="DE600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E2F01"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A6470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A64701" w:themeFill="accent2" w:themeFillShade="BF"/>
      </w:tcPr>
    </w:tblStylePr>
    <w:tblStylePr w:type="band1Vert">
      <w:tblPr/>
      <w:tcPr>
        <w:tcBorders>
          <w:top w:val="nil"/>
          <w:left w:val="nil"/>
          <w:bottom w:val="nil"/>
          <w:right w:val="nil"/>
          <w:insideH w:val="nil"/>
          <w:insideV w:val="nil"/>
        </w:tcBorders>
        <w:shd w:val="clear" w:color="auto" w:fill="A64701" w:themeFill="accent2" w:themeFillShade="BF"/>
      </w:tcPr>
    </w:tblStylePr>
    <w:tblStylePr w:type="band1Horz">
      <w:tblPr/>
      <w:tcPr>
        <w:tcBorders>
          <w:top w:val="nil"/>
          <w:left w:val="nil"/>
          <w:bottom w:val="nil"/>
          <w:right w:val="nil"/>
          <w:insideH w:val="nil"/>
          <w:insideV w:val="nil"/>
        </w:tcBorders>
        <w:shd w:val="clear" w:color="auto" w:fill="A64701" w:themeFill="accent2" w:themeFillShade="BF"/>
      </w:tcPr>
    </w:tblStylePr>
  </w:style>
  <w:style w:type="table" w:styleId="DarkList-Accent3">
    <w:name w:val="Dark List Accent 3"/>
    <w:basedOn w:val="TableNormal"/>
    <w:semiHidden/>
    <w:unhideWhenUsed/>
    <w:rsid w:val="001051DF"/>
    <w:pPr>
      <w:spacing w:before="0" w:after="0" w:line="240" w:lineRule="auto"/>
    </w:pPr>
    <w:rPr>
      <w:rFonts w:ascii="EC Square Sans Pro" w:eastAsia="SimSun" w:hAnsi="EC Square Sans Pro"/>
      <w:color w:val="FFFFFF" w:themeColor="background1"/>
      <w:lang w:eastAsia="en-GB"/>
    </w:rPr>
    <w:tblPr>
      <w:tblStyleRowBandSize w:val="1"/>
      <w:tblStyleColBandSize w:val="1"/>
    </w:tblPr>
    <w:tcPr>
      <w:shd w:val="clear" w:color="auto" w:fill="2688FE"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4190"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0162D9"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0162D9" w:themeFill="accent3" w:themeFillShade="BF"/>
      </w:tcPr>
    </w:tblStylePr>
    <w:tblStylePr w:type="band1Vert">
      <w:tblPr/>
      <w:tcPr>
        <w:tcBorders>
          <w:top w:val="nil"/>
          <w:left w:val="nil"/>
          <w:bottom w:val="nil"/>
          <w:right w:val="nil"/>
          <w:insideH w:val="nil"/>
          <w:insideV w:val="nil"/>
        </w:tcBorders>
        <w:shd w:val="clear" w:color="auto" w:fill="0162D9" w:themeFill="accent3" w:themeFillShade="BF"/>
      </w:tcPr>
    </w:tblStylePr>
    <w:tblStylePr w:type="band1Horz">
      <w:tblPr/>
      <w:tcPr>
        <w:tcBorders>
          <w:top w:val="nil"/>
          <w:left w:val="nil"/>
          <w:bottom w:val="nil"/>
          <w:right w:val="nil"/>
          <w:insideH w:val="nil"/>
          <w:insideV w:val="nil"/>
        </w:tcBorders>
        <w:shd w:val="clear" w:color="auto" w:fill="0162D9" w:themeFill="accent3" w:themeFillShade="BF"/>
      </w:tcPr>
    </w:tblStylePr>
  </w:style>
  <w:style w:type="table" w:styleId="DarkList-Accent4">
    <w:name w:val="Dark List Accent 4"/>
    <w:basedOn w:val="TableNormal"/>
    <w:semiHidden/>
    <w:unhideWhenUsed/>
    <w:rsid w:val="001051DF"/>
    <w:pPr>
      <w:spacing w:before="0" w:after="0" w:line="240" w:lineRule="auto"/>
    </w:pPr>
    <w:rPr>
      <w:rFonts w:ascii="EC Square Sans Pro" w:eastAsia="SimSun" w:hAnsi="EC Square Sans Pro"/>
      <w:color w:val="FFFFFF" w:themeColor="background1"/>
      <w:lang w:eastAsia="en-GB"/>
    </w:rPr>
    <w:tblPr>
      <w:tblStyleRowBandSize w:val="1"/>
      <w:tblStyleColBandSize w:val="1"/>
    </w:tblPr>
    <w:tcPr>
      <w:shd w:val="clear" w:color="auto" w:fill="FDAB07"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0550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C18101"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C18101" w:themeFill="accent4" w:themeFillShade="BF"/>
      </w:tcPr>
    </w:tblStylePr>
    <w:tblStylePr w:type="band1Vert">
      <w:tblPr/>
      <w:tcPr>
        <w:tcBorders>
          <w:top w:val="nil"/>
          <w:left w:val="nil"/>
          <w:bottom w:val="nil"/>
          <w:right w:val="nil"/>
          <w:insideH w:val="nil"/>
          <w:insideV w:val="nil"/>
        </w:tcBorders>
        <w:shd w:val="clear" w:color="auto" w:fill="C18101" w:themeFill="accent4" w:themeFillShade="BF"/>
      </w:tcPr>
    </w:tblStylePr>
    <w:tblStylePr w:type="band1Horz">
      <w:tblPr/>
      <w:tcPr>
        <w:tcBorders>
          <w:top w:val="nil"/>
          <w:left w:val="nil"/>
          <w:bottom w:val="nil"/>
          <w:right w:val="nil"/>
          <w:insideH w:val="nil"/>
          <w:insideV w:val="nil"/>
        </w:tcBorders>
        <w:shd w:val="clear" w:color="auto" w:fill="C18101" w:themeFill="accent4" w:themeFillShade="BF"/>
      </w:tcPr>
    </w:tblStylePr>
  </w:style>
  <w:style w:type="table" w:styleId="DarkList-Accent5">
    <w:name w:val="Dark List Accent 5"/>
    <w:basedOn w:val="TableNormal"/>
    <w:semiHidden/>
    <w:unhideWhenUsed/>
    <w:rsid w:val="001051DF"/>
    <w:pPr>
      <w:spacing w:before="0" w:after="0" w:line="240" w:lineRule="auto"/>
    </w:pPr>
    <w:rPr>
      <w:rFonts w:ascii="EC Square Sans Pro" w:eastAsia="SimSun" w:hAnsi="EC Square Sans Pro"/>
      <w:color w:val="FFFFFF" w:themeColor="background1"/>
      <w:lang w:eastAsia="en-GB"/>
    </w:rPr>
    <w:tblPr>
      <w:tblStyleRowBandSize w:val="1"/>
      <w:tblStyleColBandSize w:val="1"/>
    </w:tblPr>
    <w:tcPr>
      <w:shd w:val="clear" w:color="auto" w:fill="DC165D"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D0B2E"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A4104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A41045" w:themeFill="accent5" w:themeFillShade="BF"/>
      </w:tcPr>
    </w:tblStylePr>
    <w:tblStylePr w:type="band1Vert">
      <w:tblPr/>
      <w:tcPr>
        <w:tcBorders>
          <w:top w:val="nil"/>
          <w:left w:val="nil"/>
          <w:bottom w:val="nil"/>
          <w:right w:val="nil"/>
          <w:insideH w:val="nil"/>
          <w:insideV w:val="nil"/>
        </w:tcBorders>
        <w:shd w:val="clear" w:color="auto" w:fill="A41045" w:themeFill="accent5" w:themeFillShade="BF"/>
      </w:tcPr>
    </w:tblStylePr>
    <w:tblStylePr w:type="band1Horz">
      <w:tblPr/>
      <w:tcPr>
        <w:tcBorders>
          <w:top w:val="nil"/>
          <w:left w:val="nil"/>
          <w:bottom w:val="nil"/>
          <w:right w:val="nil"/>
          <w:insideH w:val="nil"/>
          <w:insideV w:val="nil"/>
        </w:tcBorders>
        <w:shd w:val="clear" w:color="auto" w:fill="A41045" w:themeFill="accent5" w:themeFillShade="BF"/>
      </w:tcPr>
    </w:tblStylePr>
  </w:style>
  <w:style w:type="table" w:styleId="DarkList-Accent6">
    <w:name w:val="Dark List Accent 6"/>
    <w:basedOn w:val="TableNormal"/>
    <w:semiHidden/>
    <w:unhideWhenUsed/>
    <w:rsid w:val="001051DF"/>
    <w:pPr>
      <w:spacing w:before="0" w:after="0" w:line="240" w:lineRule="auto"/>
    </w:pPr>
    <w:rPr>
      <w:rFonts w:ascii="EC Square Sans Pro" w:eastAsia="SimSun" w:hAnsi="EC Square Sans Pro"/>
      <w:color w:val="FFFFFF" w:themeColor="background1"/>
      <w:lang w:eastAsia="en-GB"/>
    </w:rPr>
    <w:tblPr>
      <w:tblStyleRowBandSize w:val="1"/>
      <w:tblStyleColBandSize w:val="1"/>
    </w:tblPr>
    <w:tcPr>
      <w:shd w:val="clear" w:color="auto" w:fill="7030A0"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184F"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2477"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2477" w:themeFill="accent6" w:themeFillShade="BF"/>
      </w:tcPr>
    </w:tblStylePr>
    <w:tblStylePr w:type="band1Vert">
      <w:tblPr/>
      <w:tcPr>
        <w:tcBorders>
          <w:top w:val="nil"/>
          <w:left w:val="nil"/>
          <w:bottom w:val="nil"/>
          <w:right w:val="nil"/>
          <w:insideH w:val="nil"/>
          <w:insideV w:val="nil"/>
        </w:tcBorders>
        <w:shd w:val="clear" w:color="auto" w:fill="532477" w:themeFill="accent6" w:themeFillShade="BF"/>
      </w:tcPr>
    </w:tblStylePr>
    <w:tblStylePr w:type="band1Horz">
      <w:tblPr/>
      <w:tcPr>
        <w:tcBorders>
          <w:top w:val="nil"/>
          <w:left w:val="nil"/>
          <w:bottom w:val="nil"/>
          <w:right w:val="nil"/>
          <w:insideH w:val="nil"/>
          <w:insideV w:val="nil"/>
        </w:tcBorders>
        <w:shd w:val="clear" w:color="auto" w:fill="532477" w:themeFill="accent6" w:themeFillShade="BF"/>
      </w:tcPr>
    </w:tblStylePr>
  </w:style>
  <w:style w:type="paragraph" w:styleId="DocumentMap">
    <w:name w:val="Document Map"/>
    <w:basedOn w:val="Normal"/>
    <w:link w:val="DocumentMapChar"/>
    <w:semiHidden/>
    <w:rsid w:val="001051DF"/>
    <w:pPr>
      <w:spacing w:before="0" w:after="0" w:line="240" w:lineRule="auto"/>
    </w:pPr>
    <w:rPr>
      <w:rFonts w:ascii="Segoe UI" w:hAnsi="Segoe UI" w:cs="Segoe UI"/>
      <w:sz w:val="16"/>
      <w:szCs w:val="16"/>
    </w:rPr>
  </w:style>
  <w:style w:type="character" w:customStyle="1" w:styleId="DocumentMapChar">
    <w:name w:val="Document Map Char"/>
    <w:basedOn w:val="DefaultParagraphFont"/>
    <w:link w:val="DocumentMap"/>
    <w:semiHidden/>
    <w:rsid w:val="001051DF"/>
    <w:rPr>
      <w:rFonts w:ascii="Segoe UI" w:eastAsia="SimSun" w:hAnsi="Segoe UI" w:cs="Segoe UI"/>
      <w:sz w:val="16"/>
      <w:szCs w:val="16"/>
      <w:lang w:eastAsia="en-GB"/>
    </w:rPr>
  </w:style>
  <w:style w:type="paragraph" w:styleId="E-mailSignature">
    <w:name w:val="E-mail Signature"/>
    <w:basedOn w:val="Normal"/>
    <w:link w:val="E-mailSignatureChar"/>
    <w:semiHidden/>
    <w:rsid w:val="001051DF"/>
    <w:pPr>
      <w:spacing w:before="0" w:after="0" w:line="240" w:lineRule="auto"/>
    </w:pPr>
  </w:style>
  <w:style w:type="character" w:customStyle="1" w:styleId="E-mailSignatureChar">
    <w:name w:val="E-mail Signature Char"/>
    <w:basedOn w:val="DefaultParagraphFont"/>
    <w:link w:val="E-mailSignature"/>
    <w:semiHidden/>
    <w:rsid w:val="001051DF"/>
    <w:rPr>
      <w:rFonts w:ascii="EC Square Sans Pro" w:eastAsia="SimSun" w:hAnsi="EC Square Sans Pro"/>
      <w:lang w:eastAsia="en-GB"/>
    </w:rPr>
  </w:style>
  <w:style w:type="paragraph" w:styleId="EnvelopeAddress">
    <w:name w:val="envelope address"/>
    <w:basedOn w:val="Normal"/>
    <w:semiHidden/>
    <w:rsid w:val="001051DF"/>
    <w:pPr>
      <w:framePr w:w="7920" w:h="1980" w:hRule="exact" w:hSpace="180" w:wrap="auto" w:hAnchor="page" w:xAlign="center" w:yAlign="bottom"/>
      <w:spacing w:before="0" w:after="0" w:line="240" w:lineRule="auto"/>
      <w:ind w:left="2880"/>
    </w:pPr>
    <w:rPr>
      <w:rFonts w:asciiTheme="majorHAnsi" w:eastAsiaTheme="majorEastAsia" w:hAnsiTheme="majorHAnsi" w:cstheme="majorBidi"/>
      <w:sz w:val="24"/>
      <w:szCs w:val="24"/>
    </w:rPr>
  </w:style>
  <w:style w:type="paragraph" w:styleId="EnvelopeReturn">
    <w:name w:val="envelope return"/>
    <w:basedOn w:val="Normal"/>
    <w:semiHidden/>
    <w:rsid w:val="001051DF"/>
    <w:pPr>
      <w:spacing w:before="0" w:after="0" w:line="240" w:lineRule="auto"/>
    </w:pPr>
    <w:rPr>
      <w:rFonts w:asciiTheme="majorHAnsi" w:eastAsiaTheme="majorEastAsia" w:hAnsiTheme="majorHAnsi" w:cstheme="majorBidi"/>
    </w:rPr>
  </w:style>
  <w:style w:type="character" w:styleId="FollowedHyperlink">
    <w:name w:val="FollowedHyperlink"/>
    <w:basedOn w:val="DefaultParagraphFont"/>
    <w:semiHidden/>
    <w:rsid w:val="001051DF"/>
    <w:rPr>
      <w:noProof w:val="0"/>
      <w:color w:val="003399" w:themeColor="followedHyperlink"/>
      <w:u w:val="single"/>
      <w:lang w:val="en-GB"/>
    </w:rPr>
  </w:style>
  <w:style w:type="table" w:styleId="GridTable1Light">
    <w:name w:val="Grid Table 1 Light"/>
    <w:basedOn w:val="TableNormal"/>
    <w:rsid w:val="001051DF"/>
    <w:pPr>
      <w:spacing w:after="0" w:line="240" w:lineRule="auto"/>
    </w:pPr>
    <w:rPr>
      <w:rFonts w:ascii="EC Square Sans Pro" w:eastAsia="SimSun" w:hAnsi="EC Square Sans Pro"/>
      <w:lang w:eastAsia="en-GB"/>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rsid w:val="001051DF"/>
    <w:pPr>
      <w:spacing w:after="0" w:line="240" w:lineRule="auto"/>
    </w:pPr>
    <w:rPr>
      <w:rFonts w:ascii="EC Square Sans Pro" w:eastAsia="SimSun" w:hAnsi="EC Square Sans Pro"/>
      <w:lang w:eastAsia="en-GB"/>
    </w:rPr>
    <w:tblPr>
      <w:tblStyleRowBandSize w:val="1"/>
      <w:tblStyleColBandSize w:val="1"/>
      <w:tblBorders>
        <w:top w:val="single" w:sz="4" w:space="0" w:color="66FFA9" w:themeColor="accent1" w:themeTint="66"/>
        <w:left w:val="single" w:sz="4" w:space="0" w:color="66FFA9" w:themeColor="accent1" w:themeTint="66"/>
        <w:bottom w:val="single" w:sz="4" w:space="0" w:color="66FFA9" w:themeColor="accent1" w:themeTint="66"/>
        <w:right w:val="single" w:sz="4" w:space="0" w:color="66FFA9" w:themeColor="accent1" w:themeTint="66"/>
        <w:insideH w:val="single" w:sz="4" w:space="0" w:color="66FFA9" w:themeColor="accent1" w:themeTint="66"/>
        <w:insideV w:val="single" w:sz="4" w:space="0" w:color="66FFA9" w:themeColor="accent1" w:themeTint="66"/>
      </w:tblBorders>
    </w:tblPr>
    <w:tblStylePr w:type="firstRow">
      <w:rPr>
        <w:b/>
        <w:bCs/>
      </w:rPr>
      <w:tblPr/>
      <w:tcPr>
        <w:tcBorders>
          <w:bottom w:val="single" w:sz="12" w:space="0" w:color="1AFF7E" w:themeColor="accent1" w:themeTint="99"/>
        </w:tcBorders>
      </w:tcPr>
    </w:tblStylePr>
    <w:tblStylePr w:type="lastRow">
      <w:rPr>
        <w:b/>
        <w:bCs/>
      </w:rPr>
      <w:tblPr/>
      <w:tcPr>
        <w:tcBorders>
          <w:top w:val="double" w:sz="2" w:space="0" w:color="1AFF7E"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rsid w:val="001051DF"/>
    <w:pPr>
      <w:spacing w:after="0" w:line="240" w:lineRule="auto"/>
    </w:pPr>
    <w:rPr>
      <w:rFonts w:ascii="EC Square Sans Pro" w:eastAsia="SimSun" w:hAnsi="EC Square Sans Pro"/>
      <w:lang w:eastAsia="en-GB"/>
    </w:rPr>
    <w:tblPr>
      <w:tblStyleRowBandSize w:val="1"/>
      <w:tblStyleColBandSize w:val="1"/>
      <w:tblBorders>
        <w:top w:val="single" w:sz="4" w:space="0" w:color="FEBD8D" w:themeColor="accent2" w:themeTint="66"/>
        <w:left w:val="single" w:sz="4" w:space="0" w:color="FEBD8D" w:themeColor="accent2" w:themeTint="66"/>
        <w:bottom w:val="single" w:sz="4" w:space="0" w:color="FEBD8D" w:themeColor="accent2" w:themeTint="66"/>
        <w:right w:val="single" w:sz="4" w:space="0" w:color="FEBD8D" w:themeColor="accent2" w:themeTint="66"/>
        <w:insideH w:val="single" w:sz="4" w:space="0" w:color="FEBD8D" w:themeColor="accent2" w:themeTint="66"/>
        <w:insideV w:val="single" w:sz="4" w:space="0" w:color="FEBD8D" w:themeColor="accent2" w:themeTint="66"/>
      </w:tblBorders>
    </w:tblPr>
    <w:tblStylePr w:type="firstRow">
      <w:rPr>
        <w:b/>
        <w:bCs/>
      </w:rPr>
      <w:tblPr/>
      <w:tcPr>
        <w:tcBorders>
          <w:bottom w:val="single" w:sz="12" w:space="0" w:color="FD9C54" w:themeColor="accent2" w:themeTint="99"/>
        </w:tcBorders>
      </w:tcPr>
    </w:tblStylePr>
    <w:tblStylePr w:type="lastRow">
      <w:rPr>
        <w:b/>
        <w:bCs/>
      </w:rPr>
      <w:tblPr/>
      <w:tcPr>
        <w:tcBorders>
          <w:top w:val="double" w:sz="2" w:space="0" w:color="FD9C5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rsid w:val="001051DF"/>
    <w:pPr>
      <w:spacing w:after="0" w:line="240" w:lineRule="auto"/>
    </w:pPr>
    <w:rPr>
      <w:rFonts w:ascii="EC Square Sans Pro" w:eastAsia="SimSun" w:hAnsi="EC Square Sans Pro"/>
      <w:lang w:eastAsia="en-GB"/>
    </w:rPr>
    <w:tblPr>
      <w:tblStyleRowBandSize w:val="1"/>
      <w:tblStyleColBandSize w:val="1"/>
      <w:tblBorders>
        <w:top w:val="single" w:sz="4" w:space="0" w:color="A8CFFE" w:themeColor="accent3" w:themeTint="66"/>
        <w:left w:val="single" w:sz="4" w:space="0" w:color="A8CFFE" w:themeColor="accent3" w:themeTint="66"/>
        <w:bottom w:val="single" w:sz="4" w:space="0" w:color="A8CFFE" w:themeColor="accent3" w:themeTint="66"/>
        <w:right w:val="single" w:sz="4" w:space="0" w:color="A8CFFE" w:themeColor="accent3" w:themeTint="66"/>
        <w:insideH w:val="single" w:sz="4" w:space="0" w:color="A8CFFE" w:themeColor="accent3" w:themeTint="66"/>
        <w:insideV w:val="single" w:sz="4" w:space="0" w:color="A8CFFE" w:themeColor="accent3" w:themeTint="66"/>
      </w:tblBorders>
    </w:tblPr>
    <w:tblStylePr w:type="firstRow">
      <w:rPr>
        <w:b/>
        <w:bCs/>
      </w:rPr>
      <w:tblPr/>
      <w:tcPr>
        <w:tcBorders>
          <w:bottom w:val="single" w:sz="12" w:space="0" w:color="7CB7FE" w:themeColor="accent3" w:themeTint="99"/>
        </w:tcBorders>
      </w:tcPr>
    </w:tblStylePr>
    <w:tblStylePr w:type="lastRow">
      <w:rPr>
        <w:b/>
        <w:bCs/>
      </w:rPr>
      <w:tblPr/>
      <w:tcPr>
        <w:tcBorders>
          <w:top w:val="double" w:sz="2" w:space="0" w:color="7CB7FE"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rsid w:val="001051DF"/>
    <w:pPr>
      <w:spacing w:after="0" w:line="240" w:lineRule="auto"/>
    </w:pPr>
    <w:rPr>
      <w:rFonts w:ascii="EC Square Sans Pro" w:eastAsia="SimSun" w:hAnsi="EC Square Sans Pro"/>
      <w:lang w:eastAsia="en-GB"/>
    </w:rPr>
    <w:tblPr>
      <w:tblStyleRowBandSize w:val="1"/>
      <w:tblStyleColBandSize w:val="1"/>
      <w:tblBorders>
        <w:top w:val="single" w:sz="4" w:space="0" w:color="FEDD9B" w:themeColor="accent4" w:themeTint="66"/>
        <w:left w:val="single" w:sz="4" w:space="0" w:color="FEDD9B" w:themeColor="accent4" w:themeTint="66"/>
        <w:bottom w:val="single" w:sz="4" w:space="0" w:color="FEDD9B" w:themeColor="accent4" w:themeTint="66"/>
        <w:right w:val="single" w:sz="4" w:space="0" w:color="FEDD9B" w:themeColor="accent4" w:themeTint="66"/>
        <w:insideH w:val="single" w:sz="4" w:space="0" w:color="FEDD9B" w:themeColor="accent4" w:themeTint="66"/>
        <w:insideV w:val="single" w:sz="4" w:space="0" w:color="FEDD9B" w:themeColor="accent4" w:themeTint="66"/>
      </w:tblBorders>
    </w:tblPr>
    <w:tblStylePr w:type="firstRow">
      <w:rPr>
        <w:b/>
        <w:bCs/>
      </w:rPr>
      <w:tblPr/>
      <w:tcPr>
        <w:tcBorders>
          <w:bottom w:val="single" w:sz="12" w:space="0" w:color="FDCC6A" w:themeColor="accent4" w:themeTint="99"/>
        </w:tcBorders>
      </w:tcPr>
    </w:tblStylePr>
    <w:tblStylePr w:type="lastRow">
      <w:rPr>
        <w:b/>
        <w:bCs/>
      </w:rPr>
      <w:tblPr/>
      <w:tcPr>
        <w:tcBorders>
          <w:top w:val="double" w:sz="2" w:space="0" w:color="FDCC6A"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rsid w:val="001051DF"/>
    <w:pPr>
      <w:spacing w:after="0" w:line="240" w:lineRule="auto"/>
    </w:pPr>
    <w:rPr>
      <w:rFonts w:ascii="EC Square Sans Pro" w:eastAsia="SimSun" w:hAnsi="EC Square Sans Pro"/>
      <w:lang w:eastAsia="en-GB"/>
    </w:rPr>
    <w:tblPr>
      <w:tblStyleRowBandSize w:val="1"/>
      <w:tblStyleColBandSize w:val="1"/>
      <w:tblBorders>
        <w:top w:val="single" w:sz="4" w:space="0" w:color="F59DBC" w:themeColor="accent5" w:themeTint="66"/>
        <w:left w:val="single" w:sz="4" w:space="0" w:color="F59DBC" w:themeColor="accent5" w:themeTint="66"/>
        <w:bottom w:val="single" w:sz="4" w:space="0" w:color="F59DBC" w:themeColor="accent5" w:themeTint="66"/>
        <w:right w:val="single" w:sz="4" w:space="0" w:color="F59DBC" w:themeColor="accent5" w:themeTint="66"/>
        <w:insideH w:val="single" w:sz="4" w:space="0" w:color="F59DBC" w:themeColor="accent5" w:themeTint="66"/>
        <w:insideV w:val="single" w:sz="4" w:space="0" w:color="F59DBC" w:themeColor="accent5" w:themeTint="66"/>
      </w:tblBorders>
    </w:tblPr>
    <w:tblStylePr w:type="firstRow">
      <w:rPr>
        <w:b/>
        <w:bCs/>
      </w:rPr>
      <w:tblPr/>
      <w:tcPr>
        <w:tcBorders>
          <w:bottom w:val="single" w:sz="12" w:space="0" w:color="F06C9B" w:themeColor="accent5" w:themeTint="99"/>
        </w:tcBorders>
      </w:tcPr>
    </w:tblStylePr>
    <w:tblStylePr w:type="lastRow">
      <w:rPr>
        <w:b/>
        <w:bCs/>
      </w:rPr>
      <w:tblPr/>
      <w:tcPr>
        <w:tcBorders>
          <w:top w:val="double" w:sz="2" w:space="0" w:color="F06C9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rsid w:val="001051DF"/>
    <w:pPr>
      <w:spacing w:after="0" w:line="240" w:lineRule="auto"/>
    </w:pPr>
    <w:rPr>
      <w:rFonts w:ascii="EC Square Sans Pro" w:eastAsia="SimSun" w:hAnsi="EC Square Sans Pro"/>
      <w:lang w:eastAsia="en-GB"/>
    </w:rPr>
    <w:tblPr>
      <w:tblStyleRowBandSize w:val="1"/>
      <w:tblStyleColBandSize w:val="1"/>
      <w:tblBorders>
        <w:top w:val="single" w:sz="4" w:space="0" w:color="C6A1E3" w:themeColor="accent6" w:themeTint="66"/>
        <w:left w:val="single" w:sz="4" w:space="0" w:color="C6A1E3" w:themeColor="accent6" w:themeTint="66"/>
        <w:bottom w:val="single" w:sz="4" w:space="0" w:color="C6A1E3" w:themeColor="accent6" w:themeTint="66"/>
        <w:right w:val="single" w:sz="4" w:space="0" w:color="C6A1E3" w:themeColor="accent6" w:themeTint="66"/>
        <w:insideH w:val="single" w:sz="4" w:space="0" w:color="C6A1E3" w:themeColor="accent6" w:themeTint="66"/>
        <w:insideV w:val="single" w:sz="4" w:space="0" w:color="C6A1E3" w:themeColor="accent6" w:themeTint="66"/>
      </w:tblBorders>
    </w:tblPr>
    <w:tblStylePr w:type="firstRow">
      <w:rPr>
        <w:b/>
        <w:bCs/>
      </w:rPr>
      <w:tblPr/>
      <w:tcPr>
        <w:tcBorders>
          <w:bottom w:val="single" w:sz="12" w:space="0" w:color="AB73D5" w:themeColor="accent6" w:themeTint="99"/>
        </w:tcBorders>
      </w:tcPr>
    </w:tblStylePr>
    <w:tblStylePr w:type="lastRow">
      <w:rPr>
        <w:b/>
        <w:bCs/>
      </w:rPr>
      <w:tblPr/>
      <w:tcPr>
        <w:tcBorders>
          <w:top w:val="double" w:sz="2" w:space="0" w:color="AB73D5" w:themeColor="accent6" w:themeTint="99"/>
        </w:tcBorders>
      </w:tcPr>
    </w:tblStylePr>
    <w:tblStylePr w:type="firstCol">
      <w:rPr>
        <w:b/>
        <w:bCs/>
      </w:rPr>
    </w:tblStylePr>
    <w:tblStylePr w:type="lastCol">
      <w:rPr>
        <w:b/>
        <w:bCs/>
      </w:rPr>
    </w:tblStylePr>
  </w:style>
  <w:style w:type="table" w:styleId="GridTable2">
    <w:name w:val="Grid Table 2"/>
    <w:basedOn w:val="TableNormal"/>
    <w:rsid w:val="001051DF"/>
    <w:pPr>
      <w:spacing w:after="0" w:line="240" w:lineRule="auto"/>
    </w:pPr>
    <w:rPr>
      <w:rFonts w:ascii="EC Square Sans Pro" w:eastAsia="SimSun" w:hAnsi="EC Square Sans Pro"/>
      <w:lang w:eastAsia="en-GB"/>
    </w:r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rsid w:val="001051DF"/>
    <w:pPr>
      <w:spacing w:after="0" w:line="240" w:lineRule="auto"/>
    </w:pPr>
    <w:rPr>
      <w:rFonts w:ascii="EC Square Sans Pro" w:eastAsia="SimSun" w:hAnsi="EC Square Sans Pro"/>
      <w:lang w:eastAsia="en-GB"/>
    </w:rPr>
    <w:tblPr>
      <w:tblStyleRowBandSize w:val="1"/>
      <w:tblStyleColBandSize w:val="1"/>
      <w:tblBorders>
        <w:top w:val="single" w:sz="2" w:space="0" w:color="1AFF7E" w:themeColor="accent1" w:themeTint="99"/>
        <w:bottom w:val="single" w:sz="2" w:space="0" w:color="1AFF7E" w:themeColor="accent1" w:themeTint="99"/>
        <w:insideH w:val="single" w:sz="2" w:space="0" w:color="1AFF7E" w:themeColor="accent1" w:themeTint="99"/>
        <w:insideV w:val="single" w:sz="2" w:space="0" w:color="1AFF7E" w:themeColor="accent1" w:themeTint="99"/>
      </w:tblBorders>
    </w:tblPr>
    <w:tblStylePr w:type="firstRow">
      <w:rPr>
        <w:b/>
        <w:bCs/>
      </w:rPr>
      <w:tblPr/>
      <w:tcPr>
        <w:tcBorders>
          <w:top w:val="nil"/>
          <w:bottom w:val="single" w:sz="12" w:space="0" w:color="1AFF7E" w:themeColor="accent1" w:themeTint="99"/>
          <w:insideH w:val="nil"/>
          <w:insideV w:val="nil"/>
        </w:tcBorders>
        <w:shd w:val="clear" w:color="auto" w:fill="FFFFFF" w:themeFill="background1"/>
      </w:tcPr>
    </w:tblStylePr>
    <w:tblStylePr w:type="lastRow">
      <w:rPr>
        <w:b/>
        <w:bCs/>
      </w:rPr>
      <w:tblPr/>
      <w:tcPr>
        <w:tcBorders>
          <w:top w:val="double" w:sz="2" w:space="0" w:color="1AFF7E"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2FFD4" w:themeFill="accent1" w:themeFillTint="33"/>
      </w:tcPr>
    </w:tblStylePr>
    <w:tblStylePr w:type="band1Horz">
      <w:tblPr/>
      <w:tcPr>
        <w:shd w:val="clear" w:color="auto" w:fill="B2FFD4" w:themeFill="accent1" w:themeFillTint="33"/>
      </w:tcPr>
    </w:tblStylePr>
  </w:style>
  <w:style w:type="table" w:styleId="GridTable2-Accent2">
    <w:name w:val="Grid Table 2 Accent 2"/>
    <w:basedOn w:val="TableNormal"/>
    <w:rsid w:val="001051DF"/>
    <w:pPr>
      <w:spacing w:after="0" w:line="240" w:lineRule="auto"/>
    </w:pPr>
    <w:rPr>
      <w:rFonts w:ascii="EC Square Sans Pro" w:eastAsia="SimSun" w:hAnsi="EC Square Sans Pro"/>
      <w:lang w:eastAsia="en-GB"/>
    </w:rPr>
    <w:tblPr>
      <w:tblStyleRowBandSize w:val="1"/>
      <w:tblStyleColBandSize w:val="1"/>
      <w:tblBorders>
        <w:top w:val="single" w:sz="2" w:space="0" w:color="FD9C54" w:themeColor="accent2" w:themeTint="99"/>
        <w:bottom w:val="single" w:sz="2" w:space="0" w:color="FD9C54" w:themeColor="accent2" w:themeTint="99"/>
        <w:insideH w:val="single" w:sz="2" w:space="0" w:color="FD9C54" w:themeColor="accent2" w:themeTint="99"/>
        <w:insideV w:val="single" w:sz="2" w:space="0" w:color="FD9C54" w:themeColor="accent2" w:themeTint="99"/>
      </w:tblBorders>
    </w:tblPr>
    <w:tblStylePr w:type="firstRow">
      <w:rPr>
        <w:b/>
        <w:bCs/>
      </w:rPr>
      <w:tblPr/>
      <w:tcPr>
        <w:tcBorders>
          <w:top w:val="nil"/>
          <w:bottom w:val="single" w:sz="12" w:space="0" w:color="FD9C54" w:themeColor="accent2" w:themeTint="99"/>
          <w:insideH w:val="nil"/>
          <w:insideV w:val="nil"/>
        </w:tcBorders>
        <w:shd w:val="clear" w:color="auto" w:fill="FFFFFF" w:themeFill="background1"/>
      </w:tcPr>
    </w:tblStylePr>
    <w:tblStylePr w:type="lastRow">
      <w:rPr>
        <w:b/>
        <w:bCs/>
      </w:rPr>
      <w:tblPr/>
      <w:tcPr>
        <w:tcBorders>
          <w:top w:val="double" w:sz="2" w:space="0" w:color="FD9C5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EDEC6" w:themeFill="accent2" w:themeFillTint="33"/>
      </w:tcPr>
    </w:tblStylePr>
    <w:tblStylePr w:type="band1Horz">
      <w:tblPr/>
      <w:tcPr>
        <w:shd w:val="clear" w:color="auto" w:fill="FEDEC6" w:themeFill="accent2" w:themeFillTint="33"/>
      </w:tcPr>
    </w:tblStylePr>
  </w:style>
  <w:style w:type="table" w:styleId="GridTable2-Accent3">
    <w:name w:val="Grid Table 2 Accent 3"/>
    <w:basedOn w:val="TableNormal"/>
    <w:rsid w:val="001051DF"/>
    <w:pPr>
      <w:spacing w:after="0" w:line="240" w:lineRule="auto"/>
    </w:pPr>
    <w:rPr>
      <w:rFonts w:ascii="EC Square Sans Pro" w:eastAsia="SimSun" w:hAnsi="EC Square Sans Pro"/>
      <w:lang w:eastAsia="en-GB"/>
    </w:rPr>
    <w:tblPr>
      <w:tblStyleRowBandSize w:val="1"/>
      <w:tblStyleColBandSize w:val="1"/>
      <w:tblBorders>
        <w:top w:val="single" w:sz="2" w:space="0" w:color="7CB7FE" w:themeColor="accent3" w:themeTint="99"/>
        <w:bottom w:val="single" w:sz="2" w:space="0" w:color="7CB7FE" w:themeColor="accent3" w:themeTint="99"/>
        <w:insideH w:val="single" w:sz="2" w:space="0" w:color="7CB7FE" w:themeColor="accent3" w:themeTint="99"/>
        <w:insideV w:val="single" w:sz="2" w:space="0" w:color="7CB7FE" w:themeColor="accent3" w:themeTint="99"/>
      </w:tblBorders>
    </w:tblPr>
    <w:tblStylePr w:type="firstRow">
      <w:rPr>
        <w:b/>
        <w:bCs/>
      </w:rPr>
      <w:tblPr/>
      <w:tcPr>
        <w:tcBorders>
          <w:top w:val="nil"/>
          <w:bottom w:val="single" w:sz="12" w:space="0" w:color="7CB7FE" w:themeColor="accent3" w:themeTint="99"/>
          <w:insideH w:val="nil"/>
          <w:insideV w:val="nil"/>
        </w:tcBorders>
        <w:shd w:val="clear" w:color="auto" w:fill="FFFFFF" w:themeFill="background1"/>
      </w:tcPr>
    </w:tblStylePr>
    <w:tblStylePr w:type="lastRow">
      <w:rPr>
        <w:b/>
        <w:bCs/>
      </w:rPr>
      <w:tblPr/>
      <w:tcPr>
        <w:tcBorders>
          <w:top w:val="double" w:sz="2" w:space="0" w:color="7CB7FE"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3E7FE" w:themeFill="accent3" w:themeFillTint="33"/>
      </w:tcPr>
    </w:tblStylePr>
    <w:tblStylePr w:type="band1Horz">
      <w:tblPr/>
      <w:tcPr>
        <w:shd w:val="clear" w:color="auto" w:fill="D3E7FE" w:themeFill="accent3" w:themeFillTint="33"/>
      </w:tcPr>
    </w:tblStylePr>
  </w:style>
  <w:style w:type="table" w:styleId="GridTable2-Accent4">
    <w:name w:val="Grid Table 2 Accent 4"/>
    <w:basedOn w:val="TableNormal"/>
    <w:rsid w:val="001051DF"/>
    <w:pPr>
      <w:spacing w:after="0" w:line="240" w:lineRule="auto"/>
    </w:pPr>
    <w:rPr>
      <w:rFonts w:ascii="EC Square Sans Pro" w:eastAsia="SimSun" w:hAnsi="EC Square Sans Pro"/>
      <w:lang w:eastAsia="en-GB"/>
    </w:rPr>
    <w:tblPr>
      <w:tblStyleRowBandSize w:val="1"/>
      <w:tblStyleColBandSize w:val="1"/>
      <w:tblBorders>
        <w:top w:val="single" w:sz="2" w:space="0" w:color="FDCC6A" w:themeColor="accent4" w:themeTint="99"/>
        <w:bottom w:val="single" w:sz="2" w:space="0" w:color="FDCC6A" w:themeColor="accent4" w:themeTint="99"/>
        <w:insideH w:val="single" w:sz="2" w:space="0" w:color="FDCC6A" w:themeColor="accent4" w:themeTint="99"/>
        <w:insideV w:val="single" w:sz="2" w:space="0" w:color="FDCC6A" w:themeColor="accent4" w:themeTint="99"/>
      </w:tblBorders>
    </w:tblPr>
    <w:tblStylePr w:type="firstRow">
      <w:rPr>
        <w:b/>
        <w:bCs/>
      </w:rPr>
      <w:tblPr/>
      <w:tcPr>
        <w:tcBorders>
          <w:top w:val="nil"/>
          <w:bottom w:val="single" w:sz="12" w:space="0" w:color="FDCC6A" w:themeColor="accent4" w:themeTint="99"/>
          <w:insideH w:val="nil"/>
          <w:insideV w:val="nil"/>
        </w:tcBorders>
        <w:shd w:val="clear" w:color="auto" w:fill="FFFFFF" w:themeFill="background1"/>
      </w:tcPr>
    </w:tblStylePr>
    <w:tblStylePr w:type="lastRow">
      <w:rPr>
        <w:b/>
        <w:bCs/>
      </w:rPr>
      <w:tblPr/>
      <w:tcPr>
        <w:tcBorders>
          <w:top w:val="double" w:sz="2" w:space="0" w:color="FDCC6A"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EEECD" w:themeFill="accent4" w:themeFillTint="33"/>
      </w:tcPr>
    </w:tblStylePr>
    <w:tblStylePr w:type="band1Horz">
      <w:tblPr/>
      <w:tcPr>
        <w:shd w:val="clear" w:color="auto" w:fill="FEEECD" w:themeFill="accent4" w:themeFillTint="33"/>
      </w:tcPr>
    </w:tblStylePr>
  </w:style>
  <w:style w:type="table" w:styleId="GridTable2-Accent5">
    <w:name w:val="Grid Table 2 Accent 5"/>
    <w:basedOn w:val="TableNormal"/>
    <w:rsid w:val="001051DF"/>
    <w:pPr>
      <w:spacing w:after="0" w:line="240" w:lineRule="auto"/>
    </w:pPr>
    <w:rPr>
      <w:rFonts w:ascii="EC Square Sans Pro" w:eastAsia="SimSun" w:hAnsi="EC Square Sans Pro"/>
      <w:lang w:eastAsia="en-GB"/>
    </w:rPr>
    <w:tblPr>
      <w:tblStyleRowBandSize w:val="1"/>
      <w:tblStyleColBandSize w:val="1"/>
      <w:tblBorders>
        <w:top w:val="single" w:sz="2" w:space="0" w:color="F06C9B" w:themeColor="accent5" w:themeTint="99"/>
        <w:bottom w:val="single" w:sz="2" w:space="0" w:color="F06C9B" w:themeColor="accent5" w:themeTint="99"/>
        <w:insideH w:val="single" w:sz="2" w:space="0" w:color="F06C9B" w:themeColor="accent5" w:themeTint="99"/>
        <w:insideV w:val="single" w:sz="2" w:space="0" w:color="F06C9B" w:themeColor="accent5" w:themeTint="99"/>
      </w:tblBorders>
    </w:tblPr>
    <w:tblStylePr w:type="firstRow">
      <w:rPr>
        <w:b/>
        <w:bCs/>
      </w:rPr>
      <w:tblPr/>
      <w:tcPr>
        <w:tcBorders>
          <w:top w:val="nil"/>
          <w:bottom w:val="single" w:sz="12" w:space="0" w:color="F06C9B" w:themeColor="accent5" w:themeTint="99"/>
          <w:insideH w:val="nil"/>
          <w:insideV w:val="nil"/>
        </w:tcBorders>
        <w:shd w:val="clear" w:color="auto" w:fill="FFFFFF" w:themeFill="background1"/>
      </w:tcPr>
    </w:tblStylePr>
    <w:tblStylePr w:type="lastRow">
      <w:rPr>
        <w:b/>
        <w:bCs/>
      </w:rPr>
      <w:tblPr/>
      <w:tcPr>
        <w:tcBorders>
          <w:top w:val="double" w:sz="2" w:space="0" w:color="F06C9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CEDD" w:themeFill="accent5" w:themeFillTint="33"/>
      </w:tcPr>
    </w:tblStylePr>
    <w:tblStylePr w:type="band1Horz">
      <w:tblPr/>
      <w:tcPr>
        <w:shd w:val="clear" w:color="auto" w:fill="FACEDD" w:themeFill="accent5" w:themeFillTint="33"/>
      </w:tcPr>
    </w:tblStylePr>
  </w:style>
  <w:style w:type="table" w:styleId="GridTable2-Accent6">
    <w:name w:val="Grid Table 2 Accent 6"/>
    <w:basedOn w:val="TableNormal"/>
    <w:rsid w:val="001051DF"/>
    <w:pPr>
      <w:spacing w:after="0" w:line="240" w:lineRule="auto"/>
    </w:pPr>
    <w:rPr>
      <w:rFonts w:ascii="EC Square Sans Pro" w:eastAsia="SimSun" w:hAnsi="EC Square Sans Pro"/>
      <w:lang w:eastAsia="en-GB"/>
    </w:rPr>
    <w:tblPr>
      <w:tblStyleRowBandSize w:val="1"/>
      <w:tblStyleColBandSize w:val="1"/>
      <w:tblBorders>
        <w:top w:val="single" w:sz="2" w:space="0" w:color="AB73D5" w:themeColor="accent6" w:themeTint="99"/>
        <w:bottom w:val="single" w:sz="2" w:space="0" w:color="AB73D5" w:themeColor="accent6" w:themeTint="99"/>
        <w:insideH w:val="single" w:sz="2" w:space="0" w:color="AB73D5" w:themeColor="accent6" w:themeTint="99"/>
        <w:insideV w:val="single" w:sz="2" w:space="0" w:color="AB73D5" w:themeColor="accent6" w:themeTint="99"/>
      </w:tblBorders>
    </w:tblPr>
    <w:tblStylePr w:type="firstRow">
      <w:rPr>
        <w:b/>
        <w:bCs/>
      </w:rPr>
      <w:tblPr/>
      <w:tcPr>
        <w:tcBorders>
          <w:top w:val="nil"/>
          <w:bottom w:val="single" w:sz="12" w:space="0" w:color="AB73D5" w:themeColor="accent6" w:themeTint="99"/>
          <w:insideH w:val="nil"/>
          <w:insideV w:val="nil"/>
        </w:tcBorders>
        <w:shd w:val="clear" w:color="auto" w:fill="FFFFFF" w:themeFill="background1"/>
      </w:tcPr>
    </w:tblStylePr>
    <w:tblStylePr w:type="lastRow">
      <w:rPr>
        <w:b/>
        <w:bCs/>
      </w:rPr>
      <w:tblPr/>
      <w:tcPr>
        <w:tcBorders>
          <w:top w:val="double" w:sz="2" w:space="0" w:color="AB73D5"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D0F1" w:themeFill="accent6" w:themeFillTint="33"/>
      </w:tcPr>
    </w:tblStylePr>
    <w:tblStylePr w:type="band1Horz">
      <w:tblPr/>
      <w:tcPr>
        <w:shd w:val="clear" w:color="auto" w:fill="E2D0F1" w:themeFill="accent6" w:themeFillTint="33"/>
      </w:tcPr>
    </w:tblStylePr>
  </w:style>
  <w:style w:type="table" w:styleId="GridTable3">
    <w:name w:val="Grid Table 3"/>
    <w:basedOn w:val="TableNormal"/>
    <w:rsid w:val="001051DF"/>
    <w:pPr>
      <w:spacing w:after="0" w:line="240" w:lineRule="auto"/>
    </w:pPr>
    <w:rPr>
      <w:rFonts w:ascii="EC Square Sans Pro" w:eastAsia="SimSun" w:hAnsi="EC Square Sans Pro"/>
      <w:lang w:eastAsia="en-GB"/>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rsid w:val="001051DF"/>
    <w:pPr>
      <w:spacing w:after="0" w:line="240" w:lineRule="auto"/>
    </w:pPr>
    <w:rPr>
      <w:rFonts w:ascii="EC Square Sans Pro" w:eastAsia="SimSun" w:hAnsi="EC Square Sans Pro"/>
      <w:lang w:eastAsia="en-GB"/>
    </w:rPr>
    <w:tblPr>
      <w:tblStyleRowBandSize w:val="1"/>
      <w:tblStyleColBandSize w:val="1"/>
      <w:tblBorders>
        <w:top w:val="single" w:sz="4" w:space="0" w:color="1AFF7E" w:themeColor="accent1" w:themeTint="99"/>
        <w:left w:val="single" w:sz="4" w:space="0" w:color="1AFF7E" w:themeColor="accent1" w:themeTint="99"/>
        <w:bottom w:val="single" w:sz="4" w:space="0" w:color="1AFF7E" w:themeColor="accent1" w:themeTint="99"/>
        <w:right w:val="single" w:sz="4" w:space="0" w:color="1AFF7E" w:themeColor="accent1" w:themeTint="99"/>
        <w:insideH w:val="single" w:sz="4" w:space="0" w:color="1AFF7E" w:themeColor="accent1" w:themeTint="99"/>
        <w:insideV w:val="single" w:sz="4" w:space="0" w:color="1AFF7E"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2FFD4" w:themeFill="accent1" w:themeFillTint="33"/>
      </w:tcPr>
    </w:tblStylePr>
    <w:tblStylePr w:type="band1Horz">
      <w:tblPr/>
      <w:tcPr>
        <w:shd w:val="clear" w:color="auto" w:fill="B2FFD4" w:themeFill="accent1" w:themeFillTint="33"/>
      </w:tcPr>
    </w:tblStylePr>
    <w:tblStylePr w:type="neCell">
      <w:tblPr/>
      <w:tcPr>
        <w:tcBorders>
          <w:bottom w:val="single" w:sz="4" w:space="0" w:color="1AFF7E" w:themeColor="accent1" w:themeTint="99"/>
        </w:tcBorders>
      </w:tcPr>
    </w:tblStylePr>
    <w:tblStylePr w:type="nwCell">
      <w:tblPr/>
      <w:tcPr>
        <w:tcBorders>
          <w:bottom w:val="single" w:sz="4" w:space="0" w:color="1AFF7E" w:themeColor="accent1" w:themeTint="99"/>
        </w:tcBorders>
      </w:tcPr>
    </w:tblStylePr>
    <w:tblStylePr w:type="seCell">
      <w:tblPr/>
      <w:tcPr>
        <w:tcBorders>
          <w:top w:val="single" w:sz="4" w:space="0" w:color="1AFF7E" w:themeColor="accent1" w:themeTint="99"/>
        </w:tcBorders>
      </w:tcPr>
    </w:tblStylePr>
    <w:tblStylePr w:type="swCell">
      <w:tblPr/>
      <w:tcPr>
        <w:tcBorders>
          <w:top w:val="single" w:sz="4" w:space="0" w:color="1AFF7E" w:themeColor="accent1" w:themeTint="99"/>
        </w:tcBorders>
      </w:tcPr>
    </w:tblStylePr>
  </w:style>
  <w:style w:type="table" w:styleId="GridTable3-Accent2">
    <w:name w:val="Grid Table 3 Accent 2"/>
    <w:basedOn w:val="TableNormal"/>
    <w:rsid w:val="001051DF"/>
    <w:pPr>
      <w:spacing w:after="0" w:line="240" w:lineRule="auto"/>
    </w:pPr>
    <w:rPr>
      <w:rFonts w:ascii="EC Square Sans Pro" w:eastAsia="SimSun" w:hAnsi="EC Square Sans Pro"/>
      <w:lang w:eastAsia="en-GB"/>
    </w:rPr>
    <w:tblPr>
      <w:tblStyleRowBandSize w:val="1"/>
      <w:tblStyleColBandSize w:val="1"/>
      <w:tblBorders>
        <w:top w:val="single" w:sz="4" w:space="0" w:color="FD9C54" w:themeColor="accent2" w:themeTint="99"/>
        <w:left w:val="single" w:sz="4" w:space="0" w:color="FD9C54" w:themeColor="accent2" w:themeTint="99"/>
        <w:bottom w:val="single" w:sz="4" w:space="0" w:color="FD9C54" w:themeColor="accent2" w:themeTint="99"/>
        <w:right w:val="single" w:sz="4" w:space="0" w:color="FD9C54" w:themeColor="accent2" w:themeTint="99"/>
        <w:insideH w:val="single" w:sz="4" w:space="0" w:color="FD9C54" w:themeColor="accent2" w:themeTint="99"/>
        <w:insideV w:val="single" w:sz="4" w:space="0" w:color="FD9C5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EDEC6" w:themeFill="accent2" w:themeFillTint="33"/>
      </w:tcPr>
    </w:tblStylePr>
    <w:tblStylePr w:type="band1Horz">
      <w:tblPr/>
      <w:tcPr>
        <w:shd w:val="clear" w:color="auto" w:fill="FEDEC6" w:themeFill="accent2" w:themeFillTint="33"/>
      </w:tcPr>
    </w:tblStylePr>
    <w:tblStylePr w:type="neCell">
      <w:tblPr/>
      <w:tcPr>
        <w:tcBorders>
          <w:bottom w:val="single" w:sz="4" w:space="0" w:color="FD9C54" w:themeColor="accent2" w:themeTint="99"/>
        </w:tcBorders>
      </w:tcPr>
    </w:tblStylePr>
    <w:tblStylePr w:type="nwCell">
      <w:tblPr/>
      <w:tcPr>
        <w:tcBorders>
          <w:bottom w:val="single" w:sz="4" w:space="0" w:color="FD9C54" w:themeColor="accent2" w:themeTint="99"/>
        </w:tcBorders>
      </w:tcPr>
    </w:tblStylePr>
    <w:tblStylePr w:type="seCell">
      <w:tblPr/>
      <w:tcPr>
        <w:tcBorders>
          <w:top w:val="single" w:sz="4" w:space="0" w:color="FD9C54" w:themeColor="accent2" w:themeTint="99"/>
        </w:tcBorders>
      </w:tcPr>
    </w:tblStylePr>
    <w:tblStylePr w:type="swCell">
      <w:tblPr/>
      <w:tcPr>
        <w:tcBorders>
          <w:top w:val="single" w:sz="4" w:space="0" w:color="FD9C54" w:themeColor="accent2" w:themeTint="99"/>
        </w:tcBorders>
      </w:tcPr>
    </w:tblStylePr>
  </w:style>
  <w:style w:type="table" w:styleId="GridTable3-Accent3">
    <w:name w:val="Grid Table 3 Accent 3"/>
    <w:basedOn w:val="TableNormal"/>
    <w:rsid w:val="001051DF"/>
    <w:pPr>
      <w:spacing w:after="0" w:line="240" w:lineRule="auto"/>
    </w:pPr>
    <w:rPr>
      <w:rFonts w:ascii="EC Square Sans Pro" w:eastAsia="SimSun" w:hAnsi="EC Square Sans Pro"/>
      <w:lang w:eastAsia="en-GB"/>
    </w:rPr>
    <w:tblPr>
      <w:tblStyleRowBandSize w:val="1"/>
      <w:tblStyleColBandSize w:val="1"/>
      <w:tblBorders>
        <w:top w:val="single" w:sz="4" w:space="0" w:color="7CB7FE" w:themeColor="accent3" w:themeTint="99"/>
        <w:left w:val="single" w:sz="4" w:space="0" w:color="7CB7FE" w:themeColor="accent3" w:themeTint="99"/>
        <w:bottom w:val="single" w:sz="4" w:space="0" w:color="7CB7FE" w:themeColor="accent3" w:themeTint="99"/>
        <w:right w:val="single" w:sz="4" w:space="0" w:color="7CB7FE" w:themeColor="accent3" w:themeTint="99"/>
        <w:insideH w:val="single" w:sz="4" w:space="0" w:color="7CB7FE" w:themeColor="accent3" w:themeTint="99"/>
        <w:insideV w:val="single" w:sz="4" w:space="0" w:color="7CB7FE"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E7FE" w:themeFill="accent3" w:themeFillTint="33"/>
      </w:tcPr>
    </w:tblStylePr>
    <w:tblStylePr w:type="band1Horz">
      <w:tblPr/>
      <w:tcPr>
        <w:shd w:val="clear" w:color="auto" w:fill="D3E7FE" w:themeFill="accent3" w:themeFillTint="33"/>
      </w:tcPr>
    </w:tblStylePr>
    <w:tblStylePr w:type="neCell">
      <w:tblPr/>
      <w:tcPr>
        <w:tcBorders>
          <w:bottom w:val="single" w:sz="4" w:space="0" w:color="7CB7FE" w:themeColor="accent3" w:themeTint="99"/>
        </w:tcBorders>
      </w:tcPr>
    </w:tblStylePr>
    <w:tblStylePr w:type="nwCell">
      <w:tblPr/>
      <w:tcPr>
        <w:tcBorders>
          <w:bottom w:val="single" w:sz="4" w:space="0" w:color="7CB7FE" w:themeColor="accent3" w:themeTint="99"/>
        </w:tcBorders>
      </w:tcPr>
    </w:tblStylePr>
    <w:tblStylePr w:type="seCell">
      <w:tblPr/>
      <w:tcPr>
        <w:tcBorders>
          <w:top w:val="single" w:sz="4" w:space="0" w:color="7CB7FE" w:themeColor="accent3" w:themeTint="99"/>
        </w:tcBorders>
      </w:tcPr>
    </w:tblStylePr>
    <w:tblStylePr w:type="swCell">
      <w:tblPr/>
      <w:tcPr>
        <w:tcBorders>
          <w:top w:val="single" w:sz="4" w:space="0" w:color="7CB7FE" w:themeColor="accent3" w:themeTint="99"/>
        </w:tcBorders>
      </w:tcPr>
    </w:tblStylePr>
  </w:style>
  <w:style w:type="table" w:styleId="GridTable3-Accent4">
    <w:name w:val="Grid Table 3 Accent 4"/>
    <w:basedOn w:val="TableNormal"/>
    <w:rsid w:val="001051DF"/>
    <w:pPr>
      <w:spacing w:after="0" w:line="240" w:lineRule="auto"/>
    </w:pPr>
    <w:rPr>
      <w:rFonts w:ascii="EC Square Sans Pro" w:eastAsia="SimSun" w:hAnsi="EC Square Sans Pro"/>
      <w:lang w:eastAsia="en-GB"/>
    </w:rPr>
    <w:tblPr>
      <w:tblStyleRowBandSize w:val="1"/>
      <w:tblStyleColBandSize w:val="1"/>
      <w:tblBorders>
        <w:top w:val="single" w:sz="4" w:space="0" w:color="FDCC6A" w:themeColor="accent4" w:themeTint="99"/>
        <w:left w:val="single" w:sz="4" w:space="0" w:color="FDCC6A" w:themeColor="accent4" w:themeTint="99"/>
        <w:bottom w:val="single" w:sz="4" w:space="0" w:color="FDCC6A" w:themeColor="accent4" w:themeTint="99"/>
        <w:right w:val="single" w:sz="4" w:space="0" w:color="FDCC6A" w:themeColor="accent4" w:themeTint="99"/>
        <w:insideH w:val="single" w:sz="4" w:space="0" w:color="FDCC6A" w:themeColor="accent4" w:themeTint="99"/>
        <w:insideV w:val="single" w:sz="4" w:space="0" w:color="FDCC6A"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EEECD" w:themeFill="accent4" w:themeFillTint="33"/>
      </w:tcPr>
    </w:tblStylePr>
    <w:tblStylePr w:type="band1Horz">
      <w:tblPr/>
      <w:tcPr>
        <w:shd w:val="clear" w:color="auto" w:fill="FEEECD" w:themeFill="accent4" w:themeFillTint="33"/>
      </w:tcPr>
    </w:tblStylePr>
    <w:tblStylePr w:type="neCell">
      <w:tblPr/>
      <w:tcPr>
        <w:tcBorders>
          <w:bottom w:val="single" w:sz="4" w:space="0" w:color="FDCC6A" w:themeColor="accent4" w:themeTint="99"/>
        </w:tcBorders>
      </w:tcPr>
    </w:tblStylePr>
    <w:tblStylePr w:type="nwCell">
      <w:tblPr/>
      <w:tcPr>
        <w:tcBorders>
          <w:bottom w:val="single" w:sz="4" w:space="0" w:color="FDCC6A" w:themeColor="accent4" w:themeTint="99"/>
        </w:tcBorders>
      </w:tcPr>
    </w:tblStylePr>
    <w:tblStylePr w:type="seCell">
      <w:tblPr/>
      <w:tcPr>
        <w:tcBorders>
          <w:top w:val="single" w:sz="4" w:space="0" w:color="FDCC6A" w:themeColor="accent4" w:themeTint="99"/>
        </w:tcBorders>
      </w:tcPr>
    </w:tblStylePr>
    <w:tblStylePr w:type="swCell">
      <w:tblPr/>
      <w:tcPr>
        <w:tcBorders>
          <w:top w:val="single" w:sz="4" w:space="0" w:color="FDCC6A" w:themeColor="accent4" w:themeTint="99"/>
        </w:tcBorders>
      </w:tcPr>
    </w:tblStylePr>
  </w:style>
  <w:style w:type="table" w:styleId="GridTable3-Accent5">
    <w:name w:val="Grid Table 3 Accent 5"/>
    <w:basedOn w:val="TableNormal"/>
    <w:rsid w:val="001051DF"/>
    <w:pPr>
      <w:spacing w:after="0" w:line="240" w:lineRule="auto"/>
    </w:pPr>
    <w:rPr>
      <w:rFonts w:ascii="EC Square Sans Pro" w:eastAsia="SimSun" w:hAnsi="EC Square Sans Pro"/>
      <w:lang w:eastAsia="en-GB"/>
    </w:rPr>
    <w:tblPr>
      <w:tblStyleRowBandSize w:val="1"/>
      <w:tblStyleColBandSize w:val="1"/>
      <w:tblBorders>
        <w:top w:val="single" w:sz="4" w:space="0" w:color="F06C9B" w:themeColor="accent5" w:themeTint="99"/>
        <w:left w:val="single" w:sz="4" w:space="0" w:color="F06C9B" w:themeColor="accent5" w:themeTint="99"/>
        <w:bottom w:val="single" w:sz="4" w:space="0" w:color="F06C9B" w:themeColor="accent5" w:themeTint="99"/>
        <w:right w:val="single" w:sz="4" w:space="0" w:color="F06C9B" w:themeColor="accent5" w:themeTint="99"/>
        <w:insideH w:val="single" w:sz="4" w:space="0" w:color="F06C9B" w:themeColor="accent5" w:themeTint="99"/>
        <w:insideV w:val="single" w:sz="4" w:space="0" w:color="F06C9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CEDD" w:themeFill="accent5" w:themeFillTint="33"/>
      </w:tcPr>
    </w:tblStylePr>
    <w:tblStylePr w:type="band1Horz">
      <w:tblPr/>
      <w:tcPr>
        <w:shd w:val="clear" w:color="auto" w:fill="FACEDD" w:themeFill="accent5" w:themeFillTint="33"/>
      </w:tcPr>
    </w:tblStylePr>
    <w:tblStylePr w:type="neCell">
      <w:tblPr/>
      <w:tcPr>
        <w:tcBorders>
          <w:bottom w:val="single" w:sz="4" w:space="0" w:color="F06C9B" w:themeColor="accent5" w:themeTint="99"/>
        </w:tcBorders>
      </w:tcPr>
    </w:tblStylePr>
    <w:tblStylePr w:type="nwCell">
      <w:tblPr/>
      <w:tcPr>
        <w:tcBorders>
          <w:bottom w:val="single" w:sz="4" w:space="0" w:color="F06C9B" w:themeColor="accent5" w:themeTint="99"/>
        </w:tcBorders>
      </w:tcPr>
    </w:tblStylePr>
    <w:tblStylePr w:type="seCell">
      <w:tblPr/>
      <w:tcPr>
        <w:tcBorders>
          <w:top w:val="single" w:sz="4" w:space="0" w:color="F06C9B" w:themeColor="accent5" w:themeTint="99"/>
        </w:tcBorders>
      </w:tcPr>
    </w:tblStylePr>
    <w:tblStylePr w:type="swCell">
      <w:tblPr/>
      <w:tcPr>
        <w:tcBorders>
          <w:top w:val="single" w:sz="4" w:space="0" w:color="F06C9B" w:themeColor="accent5" w:themeTint="99"/>
        </w:tcBorders>
      </w:tcPr>
    </w:tblStylePr>
  </w:style>
  <w:style w:type="table" w:styleId="GridTable3-Accent6">
    <w:name w:val="Grid Table 3 Accent 6"/>
    <w:basedOn w:val="TableNormal"/>
    <w:rsid w:val="001051DF"/>
    <w:pPr>
      <w:spacing w:after="0" w:line="240" w:lineRule="auto"/>
    </w:pPr>
    <w:rPr>
      <w:rFonts w:ascii="EC Square Sans Pro" w:eastAsia="SimSun" w:hAnsi="EC Square Sans Pro"/>
      <w:lang w:eastAsia="en-GB"/>
    </w:rPr>
    <w:tblPr>
      <w:tblStyleRowBandSize w:val="1"/>
      <w:tblStyleColBandSize w:val="1"/>
      <w:tblBorders>
        <w:top w:val="single" w:sz="4" w:space="0" w:color="AB73D5" w:themeColor="accent6" w:themeTint="99"/>
        <w:left w:val="single" w:sz="4" w:space="0" w:color="AB73D5" w:themeColor="accent6" w:themeTint="99"/>
        <w:bottom w:val="single" w:sz="4" w:space="0" w:color="AB73D5" w:themeColor="accent6" w:themeTint="99"/>
        <w:right w:val="single" w:sz="4" w:space="0" w:color="AB73D5" w:themeColor="accent6" w:themeTint="99"/>
        <w:insideH w:val="single" w:sz="4" w:space="0" w:color="AB73D5" w:themeColor="accent6" w:themeTint="99"/>
        <w:insideV w:val="single" w:sz="4" w:space="0" w:color="AB73D5"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D0F1" w:themeFill="accent6" w:themeFillTint="33"/>
      </w:tcPr>
    </w:tblStylePr>
    <w:tblStylePr w:type="band1Horz">
      <w:tblPr/>
      <w:tcPr>
        <w:shd w:val="clear" w:color="auto" w:fill="E2D0F1" w:themeFill="accent6" w:themeFillTint="33"/>
      </w:tcPr>
    </w:tblStylePr>
    <w:tblStylePr w:type="neCell">
      <w:tblPr/>
      <w:tcPr>
        <w:tcBorders>
          <w:bottom w:val="single" w:sz="4" w:space="0" w:color="AB73D5" w:themeColor="accent6" w:themeTint="99"/>
        </w:tcBorders>
      </w:tcPr>
    </w:tblStylePr>
    <w:tblStylePr w:type="nwCell">
      <w:tblPr/>
      <w:tcPr>
        <w:tcBorders>
          <w:bottom w:val="single" w:sz="4" w:space="0" w:color="AB73D5" w:themeColor="accent6" w:themeTint="99"/>
        </w:tcBorders>
      </w:tcPr>
    </w:tblStylePr>
    <w:tblStylePr w:type="seCell">
      <w:tblPr/>
      <w:tcPr>
        <w:tcBorders>
          <w:top w:val="single" w:sz="4" w:space="0" w:color="AB73D5" w:themeColor="accent6" w:themeTint="99"/>
        </w:tcBorders>
      </w:tcPr>
    </w:tblStylePr>
    <w:tblStylePr w:type="swCell">
      <w:tblPr/>
      <w:tcPr>
        <w:tcBorders>
          <w:top w:val="single" w:sz="4" w:space="0" w:color="AB73D5" w:themeColor="accent6" w:themeTint="99"/>
        </w:tcBorders>
      </w:tcPr>
    </w:tblStylePr>
  </w:style>
  <w:style w:type="table" w:styleId="GridTable4">
    <w:name w:val="Grid Table 4"/>
    <w:basedOn w:val="TableNormal"/>
    <w:rsid w:val="001051DF"/>
    <w:pPr>
      <w:spacing w:after="0" w:line="240" w:lineRule="auto"/>
    </w:pPr>
    <w:rPr>
      <w:rFonts w:ascii="EC Square Sans Pro" w:eastAsia="SimSun" w:hAnsi="EC Square Sans Pro"/>
      <w:lang w:eastAsia="en-GB"/>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rsid w:val="001051DF"/>
    <w:pPr>
      <w:spacing w:after="0" w:line="240" w:lineRule="auto"/>
    </w:pPr>
    <w:rPr>
      <w:rFonts w:ascii="EC Square Sans Pro" w:eastAsia="SimSun" w:hAnsi="EC Square Sans Pro"/>
      <w:lang w:eastAsia="en-GB"/>
    </w:rPr>
    <w:tblPr>
      <w:tblStyleRowBandSize w:val="1"/>
      <w:tblStyleColBandSize w:val="1"/>
      <w:tblBorders>
        <w:top w:val="single" w:sz="4" w:space="0" w:color="1AFF7E" w:themeColor="accent1" w:themeTint="99"/>
        <w:left w:val="single" w:sz="4" w:space="0" w:color="1AFF7E" w:themeColor="accent1" w:themeTint="99"/>
        <w:bottom w:val="single" w:sz="4" w:space="0" w:color="1AFF7E" w:themeColor="accent1" w:themeTint="99"/>
        <w:right w:val="single" w:sz="4" w:space="0" w:color="1AFF7E" w:themeColor="accent1" w:themeTint="99"/>
        <w:insideH w:val="single" w:sz="4" w:space="0" w:color="1AFF7E" w:themeColor="accent1" w:themeTint="99"/>
        <w:insideV w:val="single" w:sz="4" w:space="0" w:color="1AFF7E" w:themeColor="accent1" w:themeTint="99"/>
      </w:tblBorders>
    </w:tblPr>
    <w:tblStylePr w:type="firstRow">
      <w:rPr>
        <w:b/>
        <w:bCs/>
        <w:color w:val="FFFFFF" w:themeColor="background1"/>
      </w:rPr>
      <w:tblPr/>
      <w:tcPr>
        <w:tcBorders>
          <w:top w:val="single" w:sz="4" w:space="0" w:color="008139" w:themeColor="accent1"/>
          <w:left w:val="single" w:sz="4" w:space="0" w:color="008139" w:themeColor="accent1"/>
          <w:bottom w:val="single" w:sz="4" w:space="0" w:color="008139" w:themeColor="accent1"/>
          <w:right w:val="single" w:sz="4" w:space="0" w:color="008139" w:themeColor="accent1"/>
          <w:insideH w:val="nil"/>
          <w:insideV w:val="nil"/>
        </w:tcBorders>
        <w:shd w:val="clear" w:color="auto" w:fill="008139" w:themeFill="accent1"/>
      </w:tcPr>
    </w:tblStylePr>
    <w:tblStylePr w:type="lastRow">
      <w:rPr>
        <w:b/>
        <w:bCs/>
      </w:rPr>
      <w:tblPr/>
      <w:tcPr>
        <w:tcBorders>
          <w:top w:val="double" w:sz="4" w:space="0" w:color="008139" w:themeColor="accent1"/>
        </w:tcBorders>
      </w:tcPr>
    </w:tblStylePr>
    <w:tblStylePr w:type="firstCol">
      <w:rPr>
        <w:b/>
        <w:bCs/>
      </w:rPr>
    </w:tblStylePr>
    <w:tblStylePr w:type="lastCol">
      <w:rPr>
        <w:b/>
        <w:bCs/>
      </w:rPr>
    </w:tblStylePr>
    <w:tblStylePr w:type="band1Vert">
      <w:tblPr/>
      <w:tcPr>
        <w:shd w:val="clear" w:color="auto" w:fill="B2FFD4" w:themeFill="accent1" w:themeFillTint="33"/>
      </w:tcPr>
    </w:tblStylePr>
    <w:tblStylePr w:type="band1Horz">
      <w:tblPr/>
      <w:tcPr>
        <w:shd w:val="clear" w:color="auto" w:fill="B2FFD4" w:themeFill="accent1" w:themeFillTint="33"/>
      </w:tcPr>
    </w:tblStylePr>
  </w:style>
  <w:style w:type="table" w:styleId="GridTable4-Accent2">
    <w:name w:val="Grid Table 4 Accent 2"/>
    <w:basedOn w:val="TableNormal"/>
    <w:rsid w:val="001051DF"/>
    <w:pPr>
      <w:spacing w:after="0" w:line="240" w:lineRule="auto"/>
    </w:pPr>
    <w:rPr>
      <w:rFonts w:ascii="EC Square Sans Pro" w:eastAsia="SimSun" w:hAnsi="EC Square Sans Pro"/>
      <w:lang w:eastAsia="en-GB"/>
    </w:rPr>
    <w:tblPr>
      <w:tblStyleRowBandSize w:val="1"/>
      <w:tblStyleColBandSize w:val="1"/>
      <w:tblBorders>
        <w:top w:val="single" w:sz="4" w:space="0" w:color="FD9C54" w:themeColor="accent2" w:themeTint="99"/>
        <w:left w:val="single" w:sz="4" w:space="0" w:color="FD9C54" w:themeColor="accent2" w:themeTint="99"/>
        <w:bottom w:val="single" w:sz="4" w:space="0" w:color="FD9C54" w:themeColor="accent2" w:themeTint="99"/>
        <w:right w:val="single" w:sz="4" w:space="0" w:color="FD9C54" w:themeColor="accent2" w:themeTint="99"/>
        <w:insideH w:val="single" w:sz="4" w:space="0" w:color="FD9C54" w:themeColor="accent2" w:themeTint="99"/>
        <w:insideV w:val="single" w:sz="4" w:space="0" w:color="FD9C54" w:themeColor="accent2" w:themeTint="99"/>
      </w:tblBorders>
    </w:tblPr>
    <w:tblStylePr w:type="firstRow">
      <w:rPr>
        <w:b/>
        <w:bCs/>
        <w:color w:val="FFFFFF" w:themeColor="background1"/>
      </w:rPr>
      <w:tblPr/>
      <w:tcPr>
        <w:tcBorders>
          <w:top w:val="single" w:sz="4" w:space="0" w:color="DE6002" w:themeColor="accent2"/>
          <w:left w:val="single" w:sz="4" w:space="0" w:color="DE6002" w:themeColor="accent2"/>
          <w:bottom w:val="single" w:sz="4" w:space="0" w:color="DE6002" w:themeColor="accent2"/>
          <w:right w:val="single" w:sz="4" w:space="0" w:color="DE6002" w:themeColor="accent2"/>
          <w:insideH w:val="nil"/>
          <w:insideV w:val="nil"/>
        </w:tcBorders>
        <w:shd w:val="clear" w:color="auto" w:fill="DE6002" w:themeFill="accent2"/>
      </w:tcPr>
    </w:tblStylePr>
    <w:tblStylePr w:type="lastRow">
      <w:rPr>
        <w:b/>
        <w:bCs/>
      </w:rPr>
      <w:tblPr/>
      <w:tcPr>
        <w:tcBorders>
          <w:top w:val="double" w:sz="4" w:space="0" w:color="DE6002" w:themeColor="accent2"/>
        </w:tcBorders>
      </w:tcPr>
    </w:tblStylePr>
    <w:tblStylePr w:type="firstCol">
      <w:rPr>
        <w:b/>
        <w:bCs/>
      </w:rPr>
    </w:tblStylePr>
    <w:tblStylePr w:type="lastCol">
      <w:rPr>
        <w:b/>
        <w:bCs/>
      </w:rPr>
    </w:tblStylePr>
    <w:tblStylePr w:type="band1Vert">
      <w:tblPr/>
      <w:tcPr>
        <w:shd w:val="clear" w:color="auto" w:fill="FEDEC6" w:themeFill="accent2" w:themeFillTint="33"/>
      </w:tcPr>
    </w:tblStylePr>
    <w:tblStylePr w:type="band1Horz">
      <w:tblPr/>
      <w:tcPr>
        <w:shd w:val="clear" w:color="auto" w:fill="FEDEC6" w:themeFill="accent2" w:themeFillTint="33"/>
      </w:tcPr>
    </w:tblStylePr>
  </w:style>
  <w:style w:type="table" w:styleId="GridTable4-Accent3">
    <w:name w:val="Grid Table 4 Accent 3"/>
    <w:basedOn w:val="TableNormal"/>
    <w:rsid w:val="001051DF"/>
    <w:pPr>
      <w:spacing w:after="0" w:line="240" w:lineRule="auto"/>
    </w:pPr>
    <w:rPr>
      <w:rFonts w:ascii="EC Square Sans Pro" w:eastAsia="SimSun" w:hAnsi="EC Square Sans Pro"/>
      <w:lang w:eastAsia="en-GB"/>
    </w:rPr>
    <w:tblPr>
      <w:tblStyleRowBandSize w:val="1"/>
      <w:tblStyleColBandSize w:val="1"/>
      <w:tblBorders>
        <w:top w:val="single" w:sz="4" w:space="0" w:color="7CB7FE" w:themeColor="accent3" w:themeTint="99"/>
        <w:left w:val="single" w:sz="4" w:space="0" w:color="7CB7FE" w:themeColor="accent3" w:themeTint="99"/>
        <w:bottom w:val="single" w:sz="4" w:space="0" w:color="7CB7FE" w:themeColor="accent3" w:themeTint="99"/>
        <w:right w:val="single" w:sz="4" w:space="0" w:color="7CB7FE" w:themeColor="accent3" w:themeTint="99"/>
        <w:insideH w:val="single" w:sz="4" w:space="0" w:color="7CB7FE" w:themeColor="accent3" w:themeTint="99"/>
        <w:insideV w:val="single" w:sz="4" w:space="0" w:color="7CB7FE" w:themeColor="accent3" w:themeTint="99"/>
      </w:tblBorders>
    </w:tblPr>
    <w:tblStylePr w:type="firstRow">
      <w:rPr>
        <w:b/>
        <w:bCs/>
        <w:color w:val="FFFFFF" w:themeColor="background1"/>
      </w:rPr>
      <w:tblPr/>
      <w:tcPr>
        <w:tcBorders>
          <w:top w:val="single" w:sz="4" w:space="0" w:color="2688FE" w:themeColor="accent3"/>
          <w:left w:val="single" w:sz="4" w:space="0" w:color="2688FE" w:themeColor="accent3"/>
          <w:bottom w:val="single" w:sz="4" w:space="0" w:color="2688FE" w:themeColor="accent3"/>
          <w:right w:val="single" w:sz="4" w:space="0" w:color="2688FE" w:themeColor="accent3"/>
          <w:insideH w:val="nil"/>
          <w:insideV w:val="nil"/>
        </w:tcBorders>
        <w:shd w:val="clear" w:color="auto" w:fill="2688FE" w:themeFill="accent3"/>
      </w:tcPr>
    </w:tblStylePr>
    <w:tblStylePr w:type="lastRow">
      <w:rPr>
        <w:b/>
        <w:bCs/>
      </w:rPr>
      <w:tblPr/>
      <w:tcPr>
        <w:tcBorders>
          <w:top w:val="double" w:sz="4" w:space="0" w:color="2688FE" w:themeColor="accent3"/>
        </w:tcBorders>
      </w:tcPr>
    </w:tblStylePr>
    <w:tblStylePr w:type="firstCol">
      <w:rPr>
        <w:b/>
        <w:bCs/>
      </w:rPr>
    </w:tblStylePr>
    <w:tblStylePr w:type="lastCol">
      <w:rPr>
        <w:b/>
        <w:bCs/>
      </w:rPr>
    </w:tblStylePr>
    <w:tblStylePr w:type="band1Vert">
      <w:tblPr/>
      <w:tcPr>
        <w:shd w:val="clear" w:color="auto" w:fill="D3E7FE" w:themeFill="accent3" w:themeFillTint="33"/>
      </w:tcPr>
    </w:tblStylePr>
    <w:tblStylePr w:type="band1Horz">
      <w:tblPr/>
      <w:tcPr>
        <w:shd w:val="clear" w:color="auto" w:fill="D3E7FE" w:themeFill="accent3" w:themeFillTint="33"/>
      </w:tcPr>
    </w:tblStylePr>
  </w:style>
  <w:style w:type="table" w:styleId="GridTable4-Accent4">
    <w:name w:val="Grid Table 4 Accent 4"/>
    <w:basedOn w:val="TableNormal"/>
    <w:rsid w:val="001051DF"/>
    <w:pPr>
      <w:spacing w:after="0" w:line="240" w:lineRule="auto"/>
    </w:pPr>
    <w:rPr>
      <w:rFonts w:ascii="EC Square Sans Pro" w:eastAsia="SimSun" w:hAnsi="EC Square Sans Pro"/>
      <w:lang w:eastAsia="en-GB"/>
    </w:rPr>
    <w:tblPr>
      <w:tblStyleRowBandSize w:val="1"/>
      <w:tblStyleColBandSize w:val="1"/>
      <w:tblBorders>
        <w:top w:val="single" w:sz="4" w:space="0" w:color="FDCC6A" w:themeColor="accent4" w:themeTint="99"/>
        <w:left w:val="single" w:sz="4" w:space="0" w:color="FDCC6A" w:themeColor="accent4" w:themeTint="99"/>
        <w:bottom w:val="single" w:sz="4" w:space="0" w:color="FDCC6A" w:themeColor="accent4" w:themeTint="99"/>
        <w:right w:val="single" w:sz="4" w:space="0" w:color="FDCC6A" w:themeColor="accent4" w:themeTint="99"/>
        <w:insideH w:val="single" w:sz="4" w:space="0" w:color="FDCC6A" w:themeColor="accent4" w:themeTint="99"/>
        <w:insideV w:val="single" w:sz="4" w:space="0" w:color="FDCC6A" w:themeColor="accent4" w:themeTint="99"/>
      </w:tblBorders>
    </w:tblPr>
    <w:tblStylePr w:type="firstRow">
      <w:rPr>
        <w:b/>
        <w:bCs/>
        <w:color w:val="FFFFFF" w:themeColor="background1"/>
      </w:rPr>
      <w:tblPr/>
      <w:tcPr>
        <w:tcBorders>
          <w:top w:val="single" w:sz="4" w:space="0" w:color="FDAB07" w:themeColor="accent4"/>
          <w:left w:val="single" w:sz="4" w:space="0" w:color="FDAB07" w:themeColor="accent4"/>
          <w:bottom w:val="single" w:sz="4" w:space="0" w:color="FDAB07" w:themeColor="accent4"/>
          <w:right w:val="single" w:sz="4" w:space="0" w:color="FDAB07" w:themeColor="accent4"/>
          <w:insideH w:val="nil"/>
          <w:insideV w:val="nil"/>
        </w:tcBorders>
        <w:shd w:val="clear" w:color="auto" w:fill="FDAB07" w:themeFill="accent4"/>
      </w:tcPr>
    </w:tblStylePr>
    <w:tblStylePr w:type="lastRow">
      <w:rPr>
        <w:b/>
        <w:bCs/>
      </w:rPr>
      <w:tblPr/>
      <w:tcPr>
        <w:tcBorders>
          <w:top w:val="double" w:sz="4" w:space="0" w:color="FDAB07" w:themeColor="accent4"/>
        </w:tcBorders>
      </w:tcPr>
    </w:tblStylePr>
    <w:tblStylePr w:type="firstCol">
      <w:rPr>
        <w:b/>
        <w:bCs/>
      </w:rPr>
    </w:tblStylePr>
    <w:tblStylePr w:type="lastCol">
      <w:rPr>
        <w:b/>
        <w:bCs/>
      </w:rPr>
    </w:tblStylePr>
    <w:tblStylePr w:type="band1Vert">
      <w:tblPr/>
      <w:tcPr>
        <w:shd w:val="clear" w:color="auto" w:fill="FEEECD" w:themeFill="accent4" w:themeFillTint="33"/>
      </w:tcPr>
    </w:tblStylePr>
    <w:tblStylePr w:type="band1Horz">
      <w:tblPr/>
      <w:tcPr>
        <w:shd w:val="clear" w:color="auto" w:fill="FEEECD" w:themeFill="accent4" w:themeFillTint="33"/>
      </w:tcPr>
    </w:tblStylePr>
  </w:style>
  <w:style w:type="table" w:styleId="GridTable4-Accent5">
    <w:name w:val="Grid Table 4 Accent 5"/>
    <w:basedOn w:val="TableNormal"/>
    <w:rsid w:val="001051DF"/>
    <w:pPr>
      <w:spacing w:after="0" w:line="240" w:lineRule="auto"/>
    </w:pPr>
    <w:rPr>
      <w:rFonts w:ascii="EC Square Sans Pro" w:eastAsia="SimSun" w:hAnsi="EC Square Sans Pro"/>
      <w:lang w:eastAsia="en-GB"/>
    </w:rPr>
    <w:tblPr>
      <w:tblStyleRowBandSize w:val="1"/>
      <w:tblStyleColBandSize w:val="1"/>
      <w:tblBorders>
        <w:top w:val="single" w:sz="4" w:space="0" w:color="F06C9B" w:themeColor="accent5" w:themeTint="99"/>
        <w:left w:val="single" w:sz="4" w:space="0" w:color="F06C9B" w:themeColor="accent5" w:themeTint="99"/>
        <w:bottom w:val="single" w:sz="4" w:space="0" w:color="F06C9B" w:themeColor="accent5" w:themeTint="99"/>
        <w:right w:val="single" w:sz="4" w:space="0" w:color="F06C9B" w:themeColor="accent5" w:themeTint="99"/>
        <w:insideH w:val="single" w:sz="4" w:space="0" w:color="F06C9B" w:themeColor="accent5" w:themeTint="99"/>
        <w:insideV w:val="single" w:sz="4" w:space="0" w:color="F06C9B" w:themeColor="accent5" w:themeTint="99"/>
      </w:tblBorders>
    </w:tblPr>
    <w:tblStylePr w:type="firstRow">
      <w:rPr>
        <w:b/>
        <w:bCs/>
        <w:color w:val="FFFFFF" w:themeColor="background1"/>
      </w:rPr>
      <w:tblPr/>
      <w:tcPr>
        <w:tcBorders>
          <w:top w:val="single" w:sz="4" w:space="0" w:color="DC165D" w:themeColor="accent5"/>
          <w:left w:val="single" w:sz="4" w:space="0" w:color="DC165D" w:themeColor="accent5"/>
          <w:bottom w:val="single" w:sz="4" w:space="0" w:color="DC165D" w:themeColor="accent5"/>
          <w:right w:val="single" w:sz="4" w:space="0" w:color="DC165D" w:themeColor="accent5"/>
          <w:insideH w:val="nil"/>
          <w:insideV w:val="nil"/>
        </w:tcBorders>
        <w:shd w:val="clear" w:color="auto" w:fill="DC165D" w:themeFill="accent5"/>
      </w:tcPr>
    </w:tblStylePr>
    <w:tblStylePr w:type="lastRow">
      <w:rPr>
        <w:b/>
        <w:bCs/>
      </w:rPr>
      <w:tblPr/>
      <w:tcPr>
        <w:tcBorders>
          <w:top w:val="double" w:sz="4" w:space="0" w:color="DC165D" w:themeColor="accent5"/>
        </w:tcBorders>
      </w:tcPr>
    </w:tblStylePr>
    <w:tblStylePr w:type="firstCol">
      <w:rPr>
        <w:b/>
        <w:bCs/>
      </w:rPr>
    </w:tblStylePr>
    <w:tblStylePr w:type="lastCol">
      <w:rPr>
        <w:b/>
        <w:bCs/>
      </w:rPr>
    </w:tblStylePr>
    <w:tblStylePr w:type="band1Vert">
      <w:tblPr/>
      <w:tcPr>
        <w:shd w:val="clear" w:color="auto" w:fill="FACEDD" w:themeFill="accent5" w:themeFillTint="33"/>
      </w:tcPr>
    </w:tblStylePr>
    <w:tblStylePr w:type="band1Horz">
      <w:tblPr/>
      <w:tcPr>
        <w:shd w:val="clear" w:color="auto" w:fill="FACEDD" w:themeFill="accent5" w:themeFillTint="33"/>
      </w:tcPr>
    </w:tblStylePr>
  </w:style>
  <w:style w:type="table" w:styleId="GridTable4-Accent6">
    <w:name w:val="Grid Table 4 Accent 6"/>
    <w:basedOn w:val="TableNormal"/>
    <w:rsid w:val="001051DF"/>
    <w:pPr>
      <w:spacing w:after="0" w:line="240" w:lineRule="auto"/>
    </w:pPr>
    <w:rPr>
      <w:rFonts w:ascii="EC Square Sans Pro" w:eastAsia="SimSun" w:hAnsi="EC Square Sans Pro"/>
      <w:lang w:eastAsia="en-GB"/>
    </w:rPr>
    <w:tblPr>
      <w:tblStyleRowBandSize w:val="1"/>
      <w:tblStyleColBandSize w:val="1"/>
      <w:tblBorders>
        <w:top w:val="single" w:sz="4" w:space="0" w:color="AB73D5" w:themeColor="accent6" w:themeTint="99"/>
        <w:left w:val="single" w:sz="4" w:space="0" w:color="AB73D5" w:themeColor="accent6" w:themeTint="99"/>
        <w:bottom w:val="single" w:sz="4" w:space="0" w:color="AB73D5" w:themeColor="accent6" w:themeTint="99"/>
        <w:right w:val="single" w:sz="4" w:space="0" w:color="AB73D5" w:themeColor="accent6" w:themeTint="99"/>
        <w:insideH w:val="single" w:sz="4" w:space="0" w:color="AB73D5" w:themeColor="accent6" w:themeTint="99"/>
        <w:insideV w:val="single" w:sz="4" w:space="0" w:color="AB73D5" w:themeColor="accent6" w:themeTint="99"/>
      </w:tblBorders>
    </w:tblPr>
    <w:tblStylePr w:type="firstRow">
      <w:rPr>
        <w:b/>
        <w:bCs/>
        <w:color w:val="FFFFFF" w:themeColor="background1"/>
      </w:rPr>
      <w:tblPr/>
      <w:tcPr>
        <w:tcBorders>
          <w:top w:val="single" w:sz="4" w:space="0" w:color="7030A0" w:themeColor="accent6"/>
          <w:left w:val="single" w:sz="4" w:space="0" w:color="7030A0" w:themeColor="accent6"/>
          <w:bottom w:val="single" w:sz="4" w:space="0" w:color="7030A0" w:themeColor="accent6"/>
          <w:right w:val="single" w:sz="4" w:space="0" w:color="7030A0" w:themeColor="accent6"/>
          <w:insideH w:val="nil"/>
          <w:insideV w:val="nil"/>
        </w:tcBorders>
        <w:shd w:val="clear" w:color="auto" w:fill="7030A0" w:themeFill="accent6"/>
      </w:tcPr>
    </w:tblStylePr>
    <w:tblStylePr w:type="lastRow">
      <w:rPr>
        <w:b/>
        <w:bCs/>
      </w:rPr>
      <w:tblPr/>
      <w:tcPr>
        <w:tcBorders>
          <w:top w:val="double" w:sz="4" w:space="0" w:color="7030A0" w:themeColor="accent6"/>
        </w:tcBorders>
      </w:tcPr>
    </w:tblStylePr>
    <w:tblStylePr w:type="firstCol">
      <w:rPr>
        <w:b/>
        <w:bCs/>
      </w:rPr>
    </w:tblStylePr>
    <w:tblStylePr w:type="lastCol">
      <w:rPr>
        <w:b/>
        <w:bCs/>
      </w:rPr>
    </w:tblStylePr>
    <w:tblStylePr w:type="band1Vert">
      <w:tblPr/>
      <w:tcPr>
        <w:shd w:val="clear" w:color="auto" w:fill="E2D0F1" w:themeFill="accent6" w:themeFillTint="33"/>
      </w:tcPr>
    </w:tblStylePr>
    <w:tblStylePr w:type="band1Horz">
      <w:tblPr/>
      <w:tcPr>
        <w:shd w:val="clear" w:color="auto" w:fill="E2D0F1" w:themeFill="accent6" w:themeFillTint="33"/>
      </w:tcPr>
    </w:tblStylePr>
  </w:style>
  <w:style w:type="table" w:styleId="GridTable5Dark">
    <w:name w:val="Grid Table 5 Dark"/>
    <w:basedOn w:val="TableNormal"/>
    <w:rsid w:val="001051DF"/>
    <w:pPr>
      <w:spacing w:after="0" w:line="240" w:lineRule="auto"/>
    </w:pPr>
    <w:rPr>
      <w:rFonts w:ascii="EC Square Sans Pro" w:eastAsia="SimSun" w:hAnsi="EC Square Sans Pro"/>
      <w:lang w:eastAsia="en-GB"/>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rsid w:val="001051DF"/>
    <w:pPr>
      <w:spacing w:after="0" w:line="240" w:lineRule="auto"/>
    </w:pPr>
    <w:rPr>
      <w:rFonts w:ascii="EC Square Sans Pro" w:eastAsia="SimSun" w:hAnsi="EC Square Sans Pro"/>
      <w:lang w:eastAsia="en-GB"/>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2FFD4"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8139"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8139"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8139"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8139" w:themeFill="accent1"/>
      </w:tcPr>
    </w:tblStylePr>
    <w:tblStylePr w:type="band1Vert">
      <w:tblPr/>
      <w:tcPr>
        <w:shd w:val="clear" w:color="auto" w:fill="66FFA9" w:themeFill="accent1" w:themeFillTint="66"/>
      </w:tcPr>
    </w:tblStylePr>
    <w:tblStylePr w:type="band1Horz">
      <w:tblPr/>
      <w:tcPr>
        <w:shd w:val="clear" w:color="auto" w:fill="66FFA9" w:themeFill="accent1" w:themeFillTint="66"/>
      </w:tcPr>
    </w:tblStylePr>
  </w:style>
  <w:style w:type="table" w:styleId="GridTable5Dark-Accent2">
    <w:name w:val="Grid Table 5 Dark Accent 2"/>
    <w:basedOn w:val="TableNormal"/>
    <w:rsid w:val="001051DF"/>
    <w:pPr>
      <w:spacing w:after="0" w:line="240" w:lineRule="auto"/>
    </w:pPr>
    <w:rPr>
      <w:rFonts w:ascii="EC Square Sans Pro" w:eastAsia="SimSun" w:hAnsi="EC Square Sans Pro"/>
      <w:lang w:eastAsia="en-GB"/>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EDEC6"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DE6002"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DE6002"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DE6002"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DE6002" w:themeFill="accent2"/>
      </w:tcPr>
    </w:tblStylePr>
    <w:tblStylePr w:type="band1Vert">
      <w:tblPr/>
      <w:tcPr>
        <w:shd w:val="clear" w:color="auto" w:fill="FEBD8D" w:themeFill="accent2" w:themeFillTint="66"/>
      </w:tcPr>
    </w:tblStylePr>
    <w:tblStylePr w:type="band1Horz">
      <w:tblPr/>
      <w:tcPr>
        <w:shd w:val="clear" w:color="auto" w:fill="FEBD8D" w:themeFill="accent2" w:themeFillTint="66"/>
      </w:tcPr>
    </w:tblStylePr>
  </w:style>
  <w:style w:type="table" w:styleId="GridTable5Dark-Accent3">
    <w:name w:val="Grid Table 5 Dark Accent 3"/>
    <w:basedOn w:val="TableNormal"/>
    <w:rsid w:val="001051DF"/>
    <w:pPr>
      <w:spacing w:after="0" w:line="240" w:lineRule="auto"/>
    </w:pPr>
    <w:rPr>
      <w:rFonts w:ascii="EC Square Sans Pro" w:eastAsia="SimSun" w:hAnsi="EC Square Sans Pro"/>
      <w:lang w:eastAsia="en-GB"/>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3E7FE"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688FE"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688FE"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688FE"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688FE" w:themeFill="accent3"/>
      </w:tcPr>
    </w:tblStylePr>
    <w:tblStylePr w:type="band1Vert">
      <w:tblPr/>
      <w:tcPr>
        <w:shd w:val="clear" w:color="auto" w:fill="A8CFFE" w:themeFill="accent3" w:themeFillTint="66"/>
      </w:tcPr>
    </w:tblStylePr>
    <w:tblStylePr w:type="band1Horz">
      <w:tblPr/>
      <w:tcPr>
        <w:shd w:val="clear" w:color="auto" w:fill="A8CFFE" w:themeFill="accent3" w:themeFillTint="66"/>
      </w:tcPr>
    </w:tblStylePr>
  </w:style>
  <w:style w:type="table" w:styleId="GridTable5Dark-Accent4">
    <w:name w:val="Grid Table 5 Dark Accent 4"/>
    <w:basedOn w:val="TableNormal"/>
    <w:rsid w:val="001051DF"/>
    <w:pPr>
      <w:spacing w:after="0" w:line="240" w:lineRule="auto"/>
    </w:pPr>
    <w:rPr>
      <w:rFonts w:ascii="EC Square Sans Pro" w:eastAsia="SimSun" w:hAnsi="EC Square Sans Pro"/>
      <w:lang w:eastAsia="en-GB"/>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EEECD"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DAB07"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DAB07"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DAB07"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DAB07" w:themeFill="accent4"/>
      </w:tcPr>
    </w:tblStylePr>
    <w:tblStylePr w:type="band1Vert">
      <w:tblPr/>
      <w:tcPr>
        <w:shd w:val="clear" w:color="auto" w:fill="FEDD9B" w:themeFill="accent4" w:themeFillTint="66"/>
      </w:tcPr>
    </w:tblStylePr>
    <w:tblStylePr w:type="band1Horz">
      <w:tblPr/>
      <w:tcPr>
        <w:shd w:val="clear" w:color="auto" w:fill="FEDD9B" w:themeFill="accent4" w:themeFillTint="66"/>
      </w:tcPr>
    </w:tblStylePr>
  </w:style>
  <w:style w:type="table" w:styleId="GridTable5Dark-Accent5">
    <w:name w:val="Grid Table 5 Dark Accent 5"/>
    <w:basedOn w:val="TableNormal"/>
    <w:rsid w:val="001051DF"/>
    <w:pPr>
      <w:spacing w:after="0" w:line="240" w:lineRule="auto"/>
    </w:pPr>
    <w:rPr>
      <w:rFonts w:ascii="EC Square Sans Pro" w:eastAsia="SimSun" w:hAnsi="EC Square Sans Pro"/>
      <w:lang w:eastAsia="en-GB"/>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CEDD"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DC165D"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DC165D"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DC165D"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DC165D" w:themeFill="accent5"/>
      </w:tcPr>
    </w:tblStylePr>
    <w:tblStylePr w:type="band1Vert">
      <w:tblPr/>
      <w:tcPr>
        <w:shd w:val="clear" w:color="auto" w:fill="F59DBC" w:themeFill="accent5" w:themeFillTint="66"/>
      </w:tcPr>
    </w:tblStylePr>
    <w:tblStylePr w:type="band1Horz">
      <w:tblPr/>
      <w:tcPr>
        <w:shd w:val="clear" w:color="auto" w:fill="F59DBC" w:themeFill="accent5" w:themeFillTint="66"/>
      </w:tcPr>
    </w:tblStylePr>
  </w:style>
  <w:style w:type="table" w:styleId="GridTable5Dark-Accent6">
    <w:name w:val="Grid Table 5 Dark Accent 6"/>
    <w:basedOn w:val="TableNormal"/>
    <w:rsid w:val="001051DF"/>
    <w:pPr>
      <w:spacing w:after="0" w:line="240" w:lineRule="auto"/>
    </w:pPr>
    <w:rPr>
      <w:rFonts w:ascii="EC Square Sans Pro" w:eastAsia="SimSun" w:hAnsi="EC Square Sans Pro"/>
      <w:lang w:eastAsia="en-GB"/>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D0F1"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30A0"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30A0"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30A0"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30A0" w:themeFill="accent6"/>
      </w:tcPr>
    </w:tblStylePr>
    <w:tblStylePr w:type="band1Vert">
      <w:tblPr/>
      <w:tcPr>
        <w:shd w:val="clear" w:color="auto" w:fill="C6A1E3" w:themeFill="accent6" w:themeFillTint="66"/>
      </w:tcPr>
    </w:tblStylePr>
    <w:tblStylePr w:type="band1Horz">
      <w:tblPr/>
      <w:tcPr>
        <w:shd w:val="clear" w:color="auto" w:fill="C6A1E3" w:themeFill="accent6" w:themeFillTint="66"/>
      </w:tcPr>
    </w:tblStylePr>
  </w:style>
  <w:style w:type="table" w:styleId="GridTable6Colorful">
    <w:name w:val="Grid Table 6 Colorful"/>
    <w:basedOn w:val="TableNormal"/>
    <w:rsid w:val="001051DF"/>
    <w:pPr>
      <w:spacing w:after="0" w:line="240" w:lineRule="auto"/>
    </w:pPr>
    <w:rPr>
      <w:rFonts w:ascii="EC Square Sans Pro" w:eastAsia="SimSun" w:hAnsi="EC Square Sans Pro"/>
      <w:color w:val="000000" w:themeColor="text1"/>
      <w:lang w:eastAsia="en-GB"/>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rsid w:val="001051DF"/>
    <w:pPr>
      <w:spacing w:after="0" w:line="240" w:lineRule="auto"/>
    </w:pPr>
    <w:rPr>
      <w:rFonts w:ascii="EC Square Sans Pro" w:eastAsia="SimSun" w:hAnsi="EC Square Sans Pro"/>
      <w:color w:val="00602A" w:themeColor="accent1" w:themeShade="BF"/>
      <w:lang w:eastAsia="en-GB"/>
    </w:rPr>
    <w:tblPr>
      <w:tblStyleRowBandSize w:val="1"/>
      <w:tblStyleColBandSize w:val="1"/>
      <w:tblBorders>
        <w:top w:val="single" w:sz="4" w:space="0" w:color="1AFF7E" w:themeColor="accent1" w:themeTint="99"/>
        <w:left w:val="single" w:sz="4" w:space="0" w:color="1AFF7E" w:themeColor="accent1" w:themeTint="99"/>
        <w:bottom w:val="single" w:sz="4" w:space="0" w:color="1AFF7E" w:themeColor="accent1" w:themeTint="99"/>
        <w:right w:val="single" w:sz="4" w:space="0" w:color="1AFF7E" w:themeColor="accent1" w:themeTint="99"/>
        <w:insideH w:val="single" w:sz="4" w:space="0" w:color="1AFF7E" w:themeColor="accent1" w:themeTint="99"/>
        <w:insideV w:val="single" w:sz="4" w:space="0" w:color="1AFF7E" w:themeColor="accent1" w:themeTint="99"/>
      </w:tblBorders>
    </w:tblPr>
    <w:tblStylePr w:type="firstRow">
      <w:rPr>
        <w:b/>
        <w:bCs/>
      </w:rPr>
      <w:tblPr/>
      <w:tcPr>
        <w:tcBorders>
          <w:bottom w:val="single" w:sz="12" w:space="0" w:color="1AFF7E" w:themeColor="accent1" w:themeTint="99"/>
        </w:tcBorders>
      </w:tcPr>
    </w:tblStylePr>
    <w:tblStylePr w:type="lastRow">
      <w:rPr>
        <w:b/>
        <w:bCs/>
      </w:rPr>
      <w:tblPr/>
      <w:tcPr>
        <w:tcBorders>
          <w:top w:val="double" w:sz="4" w:space="0" w:color="1AFF7E" w:themeColor="accent1" w:themeTint="99"/>
        </w:tcBorders>
      </w:tcPr>
    </w:tblStylePr>
    <w:tblStylePr w:type="firstCol">
      <w:rPr>
        <w:b/>
        <w:bCs/>
      </w:rPr>
    </w:tblStylePr>
    <w:tblStylePr w:type="lastCol">
      <w:rPr>
        <w:b/>
        <w:bCs/>
      </w:rPr>
    </w:tblStylePr>
    <w:tblStylePr w:type="band1Vert">
      <w:tblPr/>
      <w:tcPr>
        <w:shd w:val="clear" w:color="auto" w:fill="B2FFD4" w:themeFill="accent1" w:themeFillTint="33"/>
      </w:tcPr>
    </w:tblStylePr>
    <w:tblStylePr w:type="band1Horz">
      <w:tblPr/>
      <w:tcPr>
        <w:shd w:val="clear" w:color="auto" w:fill="B2FFD4" w:themeFill="accent1" w:themeFillTint="33"/>
      </w:tcPr>
    </w:tblStylePr>
  </w:style>
  <w:style w:type="table" w:styleId="GridTable6Colorful-Accent2">
    <w:name w:val="Grid Table 6 Colorful Accent 2"/>
    <w:basedOn w:val="TableNormal"/>
    <w:rsid w:val="001051DF"/>
    <w:pPr>
      <w:spacing w:after="0" w:line="240" w:lineRule="auto"/>
    </w:pPr>
    <w:rPr>
      <w:rFonts w:ascii="EC Square Sans Pro" w:eastAsia="SimSun" w:hAnsi="EC Square Sans Pro"/>
      <w:color w:val="A64701" w:themeColor="accent2" w:themeShade="BF"/>
      <w:lang w:eastAsia="en-GB"/>
    </w:rPr>
    <w:tblPr>
      <w:tblStyleRowBandSize w:val="1"/>
      <w:tblStyleColBandSize w:val="1"/>
      <w:tblBorders>
        <w:top w:val="single" w:sz="4" w:space="0" w:color="FD9C54" w:themeColor="accent2" w:themeTint="99"/>
        <w:left w:val="single" w:sz="4" w:space="0" w:color="FD9C54" w:themeColor="accent2" w:themeTint="99"/>
        <w:bottom w:val="single" w:sz="4" w:space="0" w:color="FD9C54" w:themeColor="accent2" w:themeTint="99"/>
        <w:right w:val="single" w:sz="4" w:space="0" w:color="FD9C54" w:themeColor="accent2" w:themeTint="99"/>
        <w:insideH w:val="single" w:sz="4" w:space="0" w:color="FD9C54" w:themeColor="accent2" w:themeTint="99"/>
        <w:insideV w:val="single" w:sz="4" w:space="0" w:color="FD9C54" w:themeColor="accent2" w:themeTint="99"/>
      </w:tblBorders>
    </w:tblPr>
    <w:tblStylePr w:type="firstRow">
      <w:rPr>
        <w:b/>
        <w:bCs/>
      </w:rPr>
      <w:tblPr/>
      <w:tcPr>
        <w:tcBorders>
          <w:bottom w:val="single" w:sz="12" w:space="0" w:color="FD9C54" w:themeColor="accent2" w:themeTint="99"/>
        </w:tcBorders>
      </w:tcPr>
    </w:tblStylePr>
    <w:tblStylePr w:type="lastRow">
      <w:rPr>
        <w:b/>
        <w:bCs/>
      </w:rPr>
      <w:tblPr/>
      <w:tcPr>
        <w:tcBorders>
          <w:top w:val="double" w:sz="4" w:space="0" w:color="FD9C54" w:themeColor="accent2" w:themeTint="99"/>
        </w:tcBorders>
      </w:tcPr>
    </w:tblStylePr>
    <w:tblStylePr w:type="firstCol">
      <w:rPr>
        <w:b/>
        <w:bCs/>
      </w:rPr>
    </w:tblStylePr>
    <w:tblStylePr w:type="lastCol">
      <w:rPr>
        <w:b/>
        <w:bCs/>
      </w:rPr>
    </w:tblStylePr>
    <w:tblStylePr w:type="band1Vert">
      <w:tblPr/>
      <w:tcPr>
        <w:shd w:val="clear" w:color="auto" w:fill="FEDEC6" w:themeFill="accent2" w:themeFillTint="33"/>
      </w:tcPr>
    </w:tblStylePr>
    <w:tblStylePr w:type="band1Horz">
      <w:tblPr/>
      <w:tcPr>
        <w:shd w:val="clear" w:color="auto" w:fill="FEDEC6" w:themeFill="accent2" w:themeFillTint="33"/>
      </w:tcPr>
    </w:tblStylePr>
  </w:style>
  <w:style w:type="table" w:styleId="GridTable6Colorful-Accent3">
    <w:name w:val="Grid Table 6 Colorful Accent 3"/>
    <w:basedOn w:val="TableNormal"/>
    <w:rsid w:val="001051DF"/>
    <w:pPr>
      <w:spacing w:after="0" w:line="240" w:lineRule="auto"/>
    </w:pPr>
    <w:rPr>
      <w:rFonts w:ascii="EC Square Sans Pro" w:eastAsia="SimSun" w:hAnsi="EC Square Sans Pro"/>
      <w:color w:val="0162D9" w:themeColor="accent3" w:themeShade="BF"/>
      <w:lang w:eastAsia="en-GB"/>
    </w:rPr>
    <w:tblPr>
      <w:tblStyleRowBandSize w:val="1"/>
      <w:tblStyleColBandSize w:val="1"/>
      <w:tblBorders>
        <w:top w:val="single" w:sz="4" w:space="0" w:color="7CB7FE" w:themeColor="accent3" w:themeTint="99"/>
        <w:left w:val="single" w:sz="4" w:space="0" w:color="7CB7FE" w:themeColor="accent3" w:themeTint="99"/>
        <w:bottom w:val="single" w:sz="4" w:space="0" w:color="7CB7FE" w:themeColor="accent3" w:themeTint="99"/>
        <w:right w:val="single" w:sz="4" w:space="0" w:color="7CB7FE" w:themeColor="accent3" w:themeTint="99"/>
        <w:insideH w:val="single" w:sz="4" w:space="0" w:color="7CB7FE" w:themeColor="accent3" w:themeTint="99"/>
        <w:insideV w:val="single" w:sz="4" w:space="0" w:color="7CB7FE" w:themeColor="accent3" w:themeTint="99"/>
      </w:tblBorders>
    </w:tblPr>
    <w:tblStylePr w:type="firstRow">
      <w:rPr>
        <w:b/>
        <w:bCs/>
      </w:rPr>
      <w:tblPr/>
      <w:tcPr>
        <w:tcBorders>
          <w:bottom w:val="single" w:sz="12" w:space="0" w:color="7CB7FE" w:themeColor="accent3" w:themeTint="99"/>
        </w:tcBorders>
      </w:tcPr>
    </w:tblStylePr>
    <w:tblStylePr w:type="lastRow">
      <w:rPr>
        <w:b/>
        <w:bCs/>
      </w:rPr>
      <w:tblPr/>
      <w:tcPr>
        <w:tcBorders>
          <w:top w:val="double" w:sz="4" w:space="0" w:color="7CB7FE" w:themeColor="accent3" w:themeTint="99"/>
        </w:tcBorders>
      </w:tcPr>
    </w:tblStylePr>
    <w:tblStylePr w:type="firstCol">
      <w:rPr>
        <w:b/>
        <w:bCs/>
      </w:rPr>
    </w:tblStylePr>
    <w:tblStylePr w:type="lastCol">
      <w:rPr>
        <w:b/>
        <w:bCs/>
      </w:rPr>
    </w:tblStylePr>
    <w:tblStylePr w:type="band1Vert">
      <w:tblPr/>
      <w:tcPr>
        <w:shd w:val="clear" w:color="auto" w:fill="D3E7FE" w:themeFill="accent3" w:themeFillTint="33"/>
      </w:tcPr>
    </w:tblStylePr>
    <w:tblStylePr w:type="band1Horz">
      <w:tblPr/>
      <w:tcPr>
        <w:shd w:val="clear" w:color="auto" w:fill="D3E7FE" w:themeFill="accent3" w:themeFillTint="33"/>
      </w:tcPr>
    </w:tblStylePr>
  </w:style>
  <w:style w:type="table" w:styleId="GridTable6Colorful-Accent4">
    <w:name w:val="Grid Table 6 Colorful Accent 4"/>
    <w:basedOn w:val="TableNormal"/>
    <w:rsid w:val="001051DF"/>
    <w:pPr>
      <w:spacing w:after="0" w:line="240" w:lineRule="auto"/>
    </w:pPr>
    <w:rPr>
      <w:rFonts w:ascii="EC Square Sans Pro" w:eastAsia="SimSun" w:hAnsi="EC Square Sans Pro"/>
      <w:color w:val="C18101" w:themeColor="accent4" w:themeShade="BF"/>
      <w:lang w:eastAsia="en-GB"/>
    </w:rPr>
    <w:tblPr>
      <w:tblStyleRowBandSize w:val="1"/>
      <w:tblStyleColBandSize w:val="1"/>
      <w:tblBorders>
        <w:top w:val="single" w:sz="4" w:space="0" w:color="FDCC6A" w:themeColor="accent4" w:themeTint="99"/>
        <w:left w:val="single" w:sz="4" w:space="0" w:color="FDCC6A" w:themeColor="accent4" w:themeTint="99"/>
        <w:bottom w:val="single" w:sz="4" w:space="0" w:color="FDCC6A" w:themeColor="accent4" w:themeTint="99"/>
        <w:right w:val="single" w:sz="4" w:space="0" w:color="FDCC6A" w:themeColor="accent4" w:themeTint="99"/>
        <w:insideH w:val="single" w:sz="4" w:space="0" w:color="FDCC6A" w:themeColor="accent4" w:themeTint="99"/>
        <w:insideV w:val="single" w:sz="4" w:space="0" w:color="FDCC6A" w:themeColor="accent4" w:themeTint="99"/>
      </w:tblBorders>
    </w:tblPr>
    <w:tblStylePr w:type="firstRow">
      <w:rPr>
        <w:b/>
        <w:bCs/>
      </w:rPr>
      <w:tblPr/>
      <w:tcPr>
        <w:tcBorders>
          <w:bottom w:val="single" w:sz="12" w:space="0" w:color="FDCC6A" w:themeColor="accent4" w:themeTint="99"/>
        </w:tcBorders>
      </w:tcPr>
    </w:tblStylePr>
    <w:tblStylePr w:type="lastRow">
      <w:rPr>
        <w:b/>
        <w:bCs/>
      </w:rPr>
      <w:tblPr/>
      <w:tcPr>
        <w:tcBorders>
          <w:top w:val="double" w:sz="4" w:space="0" w:color="FDCC6A" w:themeColor="accent4" w:themeTint="99"/>
        </w:tcBorders>
      </w:tcPr>
    </w:tblStylePr>
    <w:tblStylePr w:type="firstCol">
      <w:rPr>
        <w:b/>
        <w:bCs/>
      </w:rPr>
    </w:tblStylePr>
    <w:tblStylePr w:type="lastCol">
      <w:rPr>
        <w:b/>
        <w:bCs/>
      </w:rPr>
    </w:tblStylePr>
    <w:tblStylePr w:type="band1Vert">
      <w:tblPr/>
      <w:tcPr>
        <w:shd w:val="clear" w:color="auto" w:fill="FEEECD" w:themeFill="accent4" w:themeFillTint="33"/>
      </w:tcPr>
    </w:tblStylePr>
    <w:tblStylePr w:type="band1Horz">
      <w:tblPr/>
      <w:tcPr>
        <w:shd w:val="clear" w:color="auto" w:fill="FEEECD" w:themeFill="accent4" w:themeFillTint="33"/>
      </w:tcPr>
    </w:tblStylePr>
  </w:style>
  <w:style w:type="table" w:styleId="GridTable6Colorful-Accent5">
    <w:name w:val="Grid Table 6 Colorful Accent 5"/>
    <w:basedOn w:val="TableNormal"/>
    <w:rsid w:val="001051DF"/>
    <w:pPr>
      <w:spacing w:after="0" w:line="240" w:lineRule="auto"/>
    </w:pPr>
    <w:rPr>
      <w:rFonts w:ascii="EC Square Sans Pro" w:eastAsia="SimSun" w:hAnsi="EC Square Sans Pro"/>
      <w:color w:val="A41045" w:themeColor="accent5" w:themeShade="BF"/>
      <w:lang w:eastAsia="en-GB"/>
    </w:rPr>
    <w:tblPr>
      <w:tblStyleRowBandSize w:val="1"/>
      <w:tblStyleColBandSize w:val="1"/>
      <w:tblBorders>
        <w:top w:val="single" w:sz="4" w:space="0" w:color="F06C9B" w:themeColor="accent5" w:themeTint="99"/>
        <w:left w:val="single" w:sz="4" w:space="0" w:color="F06C9B" w:themeColor="accent5" w:themeTint="99"/>
        <w:bottom w:val="single" w:sz="4" w:space="0" w:color="F06C9B" w:themeColor="accent5" w:themeTint="99"/>
        <w:right w:val="single" w:sz="4" w:space="0" w:color="F06C9B" w:themeColor="accent5" w:themeTint="99"/>
        <w:insideH w:val="single" w:sz="4" w:space="0" w:color="F06C9B" w:themeColor="accent5" w:themeTint="99"/>
        <w:insideV w:val="single" w:sz="4" w:space="0" w:color="F06C9B" w:themeColor="accent5" w:themeTint="99"/>
      </w:tblBorders>
    </w:tblPr>
    <w:tblStylePr w:type="firstRow">
      <w:rPr>
        <w:b/>
        <w:bCs/>
      </w:rPr>
      <w:tblPr/>
      <w:tcPr>
        <w:tcBorders>
          <w:bottom w:val="single" w:sz="12" w:space="0" w:color="F06C9B" w:themeColor="accent5" w:themeTint="99"/>
        </w:tcBorders>
      </w:tcPr>
    </w:tblStylePr>
    <w:tblStylePr w:type="lastRow">
      <w:rPr>
        <w:b/>
        <w:bCs/>
      </w:rPr>
      <w:tblPr/>
      <w:tcPr>
        <w:tcBorders>
          <w:top w:val="double" w:sz="4" w:space="0" w:color="F06C9B" w:themeColor="accent5" w:themeTint="99"/>
        </w:tcBorders>
      </w:tcPr>
    </w:tblStylePr>
    <w:tblStylePr w:type="firstCol">
      <w:rPr>
        <w:b/>
        <w:bCs/>
      </w:rPr>
    </w:tblStylePr>
    <w:tblStylePr w:type="lastCol">
      <w:rPr>
        <w:b/>
        <w:bCs/>
      </w:rPr>
    </w:tblStylePr>
    <w:tblStylePr w:type="band1Vert">
      <w:tblPr/>
      <w:tcPr>
        <w:shd w:val="clear" w:color="auto" w:fill="FACEDD" w:themeFill="accent5" w:themeFillTint="33"/>
      </w:tcPr>
    </w:tblStylePr>
    <w:tblStylePr w:type="band1Horz">
      <w:tblPr/>
      <w:tcPr>
        <w:shd w:val="clear" w:color="auto" w:fill="FACEDD" w:themeFill="accent5" w:themeFillTint="33"/>
      </w:tcPr>
    </w:tblStylePr>
  </w:style>
  <w:style w:type="table" w:styleId="GridTable6Colorful-Accent6">
    <w:name w:val="Grid Table 6 Colorful Accent 6"/>
    <w:basedOn w:val="TableNormal"/>
    <w:rsid w:val="001051DF"/>
    <w:pPr>
      <w:spacing w:after="0" w:line="240" w:lineRule="auto"/>
    </w:pPr>
    <w:rPr>
      <w:rFonts w:ascii="EC Square Sans Pro" w:eastAsia="SimSun" w:hAnsi="EC Square Sans Pro"/>
      <w:color w:val="532477" w:themeColor="accent6" w:themeShade="BF"/>
      <w:lang w:eastAsia="en-GB"/>
    </w:rPr>
    <w:tblPr>
      <w:tblStyleRowBandSize w:val="1"/>
      <w:tblStyleColBandSize w:val="1"/>
      <w:tblBorders>
        <w:top w:val="single" w:sz="4" w:space="0" w:color="AB73D5" w:themeColor="accent6" w:themeTint="99"/>
        <w:left w:val="single" w:sz="4" w:space="0" w:color="AB73D5" w:themeColor="accent6" w:themeTint="99"/>
        <w:bottom w:val="single" w:sz="4" w:space="0" w:color="AB73D5" w:themeColor="accent6" w:themeTint="99"/>
        <w:right w:val="single" w:sz="4" w:space="0" w:color="AB73D5" w:themeColor="accent6" w:themeTint="99"/>
        <w:insideH w:val="single" w:sz="4" w:space="0" w:color="AB73D5" w:themeColor="accent6" w:themeTint="99"/>
        <w:insideV w:val="single" w:sz="4" w:space="0" w:color="AB73D5" w:themeColor="accent6" w:themeTint="99"/>
      </w:tblBorders>
    </w:tblPr>
    <w:tblStylePr w:type="firstRow">
      <w:rPr>
        <w:b/>
        <w:bCs/>
      </w:rPr>
      <w:tblPr/>
      <w:tcPr>
        <w:tcBorders>
          <w:bottom w:val="single" w:sz="12" w:space="0" w:color="AB73D5" w:themeColor="accent6" w:themeTint="99"/>
        </w:tcBorders>
      </w:tcPr>
    </w:tblStylePr>
    <w:tblStylePr w:type="lastRow">
      <w:rPr>
        <w:b/>
        <w:bCs/>
      </w:rPr>
      <w:tblPr/>
      <w:tcPr>
        <w:tcBorders>
          <w:top w:val="double" w:sz="4" w:space="0" w:color="AB73D5" w:themeColor="accent6" w:themeTint="99"/>
        </w:tcBorders>
      </w:tcPr>
    </w:tblStylePr>
    <w:tblStylePr w:type="firstCol">
      <w:rPr>
        <w:b/>
        <w:bCs/>
      </w:rPr>
    </w:tblStylePr>
    <w:tblStylePr w:type="lastCol">
      <w:rPr>
        <w:b/>
        <w:bCs/>
      </w:rPr>
    </w:tblStylePr>
    <w:tblStylePr w:type="band1Vert">
      <w:tblPr/>
      <w:tcPr>
        <w:shd w:val="clear" w:color="auto" w:fill="E2D0F1" w:themeFill="accent6" w:themeFillTint="33"/>
      </w:tcPr>
    </w:tblStylePr>
    <w:tblStylePr w:type="band1Horz">
      <w:tblPr/>
      <w:tcPr>
        <w:shd w:val="clear" w:color="auto" w:fill="E2D0F1" w:themeFill="accent6" w:themeFillTint="33"/>
      </w:tcPr>
    </w:tblStylePr>
  </w:style>
  <w:style w:type="table" w:styleId="GridTable7Colorful">
    <w:name w:val="Grid Table 7 Colorful"/>
    <w:basedOn w:val="TableNormal"/>
    <w:rsid w:val="001051DF"/>
    <w:pPr>
      <w:spacing w:after="0" w:line="240" w:lineRule="auto"/>
    </w:pPr>
    <w:rPr>
      <w:rFonts w:ascii="EC Square Sans Pro" w:eastAsia="SimSun" w:hAnsi="EC Square Sans Pro"/>
      <w:color w:val="000000" w:themeColor="text1"/>
      <w:lang w:eastAsia="en-GB"/>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rsid w:val="001051DF"/>
    <w:pPr>
      <w:spacing w:after="0" w:line="240" w:lineRule="auto"/>
    </w:pPr>
    <w:rPr>
      <w:rFonts w:ascii="EC Square Sans Pro" w:eastAsia="SimSun" w:hAnsi="EC Square Sans Pro"/>
      <w:color w:val="00602A" w:themeColor="accent1" w:themeShade="BF"/>
      <w:lang w:eastAsia="en-GB"/>
    </w:rPr>
    <w:tblPr>
      <w:tblStyleRowBandSize w:val="1"/>
      <w:tblStyleColBandSize w:val="1"/>
      <w:tblBorders>
        <w:top w:val="single" w:sz="4" w:space="0" w:color="1AFF7E" w:themeColor="accent1" w:themeTint="99"/>
        <w:left w:val="single" w:sz="4" w:space="0" w:color="1AFF7E" w:themeColor="accent1" w:themeTint="99"/>
        <w:bottom w:val="single" w:sz="4" w:space="0" w:color="1AFF7E" w:themeColor="accent1" w:themeTint="99"/>
        <w:right w:val="single" w:sz="4" w:space="0" w:color="1AFF7E" w:themeColor="accent1" w:themeTint="99"/>
        <w:insideH w:val="single" w:sz="4" w:space="0" w:color="1AFF7E" w:themeColor="accent1" w:themeTint="99"/>
        <w:insideV w:val="single" w:sz="4" w:space="0" w:color="1AFF7E"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2FFD4" w:themeFill="accent1" w:themeFillTint="33"/>
      </w:tcPr>
    </w:tblStylePr>
    <w:tblStylePr w:type="band1Horz">
      <w:tblPr/>
      <w:tcPr>
        <w:shd w:val="clear" w:color="auto" w:fill="B2FFD4" w:themeFill="accent1" w:themeFillTint="33"/>
      </w:tcPr>
    </w:tblStylePr>
    <w:tblStylePr w:type="neCell">
      <w:tblPr/>
      <w:tcPr>
        <w:tcBorders>
          <w:bottom w:val="single" w:sz="4" w:space="0" w:color="1AFF7E" w:themeColor="accent1" w:themeTint="99"/>
        </w:tcBorders>
      </w:tcPr>
    </w:tblStylePr>
    <w:tblStylePr w:type="nwCell">
      <w:tblPr/>
      <w:tcPr>
        <w:tcBorders>
          <w:bottom w:val="single" w:sz="4" w:space="0" w:color="1AFF7E" w:themeColor="accent1" w:themeTint="99"/>
        </w:tcBorders>
      </w:tcPr>
    </w:tblStylePr>
    <w:tblStylePr w:type="seCell">
      <w:tblPr/>
      <w:tcPr>
        <w:tcBorders>
          <w:top w:val="single" w:sz="4" w:space="0" w:color="1AFF7E" w:themeColor="accent1" w:themeTint="99"/>
        </w:tcBorders>
      </w:tcPr>
    </w:tblStylePr>
    <w:tblStylePr w:type="swCell">
      <w:tblPr/>
      <w:tcPr>
        <w:tcBorders>
          <w:top w:val="single" w:sz="4" w:space="0" w:color="1AFF7E" w:themeColor="accent1" w:themeTint="99"/>
        </w:tcBorders>
      </w:tcPr>
    </w:tblStylePr>
  </w:style>
  <w:style w:type="table" w:styleId="GridTable7Colorful-Accent2">
    <w:name w:val="Grid Table 7 Colorful Accent 2"/>
    <w:basedOn w:val="TableNormal"/>
    <w:rsid w:val="001051DF"/>
    <w:pPr>
      <w:spacing w:after="0" w:line="240" w:lineRule="auto"/>
    </w:pPr>
    <w:rPr>
      <w:rFonts w:ascii="EC Square Sans Pro" w:eastAsia="SimSun" w:hAnsi="EC Square Sans Pro"/>
      <w:color w:val="A64701" w:themeColor="accent2" w:themeShade="BF"/>
      <w:lang w:eastAsia="en-GB"/>
    </w:rPr>
    <w:tblPr>
      <w:tblStyleRowBandSize w:val="1"/>
      <w:tblStyleColBandSize w:val="1"/>
      <w:tblBorders>
        <w:top w:val="single" w:sz="4" w:space="0" w:color="FD9C54" w:themeColor="accent2" w:themeTint="99"/>
        <w:left w:val="single" w:sz="4" w:space="0" w:color="FD9C54" w:themeColor="accent2" w:themeTint="99"/>
        <w:bottom w:val="single" w:sz="4" w:space="0" w:color="FD9C54" w:themeColor="accent2" w:themeTint="99"/>
        <w:right w:val="single" w:sz="4" w:space="0" w:color="FD9C54" w:themeColor="accent2" w:themeTint="99"/>
        <w:insideH w:val="single" w:sz="4" w:space="0" w:color="FD9C54" w:themeColor="accent2" w:themeTint="99"/>
        <w:insideV w:val="single" w:sz="4" w:space="0" w:color="FD9C5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EDEC6" w:themeFill="accent2" w:themeFillTint="33"/>
      </w:tcPr>
    </w:tblStylePr>
    <w:tblStylePr w:type="band1Horz">
      <w:tblPr/>
      <w:tcPr>
        <w:shd w:val="clear" w:color="auto" w:fill="FEDEC6" w:themeFill="accent2" w:themeFillTint="33"/>
      </w:tcPr>
    </w:tblStylePr>
    <w:tblStylePr w:type="neCell">
      <w:tblPr/>
      <w:tcPr>
        <w:tcBorders>
          <w:bottom w:val="single" w:sz="4" w:space="0" w:color="FD9C54" w:themeColor="accent2" w:themeTint="99"/>
        </w:tcBorders>
      </w:tcPr>
    </w:tblStylePr>
    <w:tblStylePr w:type="nwCell">
      <w:tblPr/>
      <w:tcPr>
        <w:tcBorders>
          <w:bottom w:val="single" w:sz="4" w:space="0" w:color="FD9C54" w:themeColor="accent2" w:themeTint="99"/>
        </w:tcBorders>
      </w:tcPr>
    </w:tblStylePr>
    <w:tblStylePr w:type="seCell">
      <w:tblPr/>
      <w:tcPr>
        <w:tcBorders>
          <w:top w:val="single" w:sz="4" w:space="0" w:color="FD9C54" w:themeColor="accent2" w:themeTint="99"/>
        </w:tcBorders>
      </w:tcPr>
    </w:tblStylePr>
    <w:tblStylePr w:type="swCell">
      <w:tblPr/>
      <w:tcPr>
        <w:tcBorders>
          <w:top w:val="single" w:sz="4" w:space="0" w:color="FD9C54" w:themeColor="accent2" w:themeTint="99"/>
        </w:tcBorders>
      </w:tcPr>
    </w:tblStylePr>
  </w:style>
  <w:style w:type="table" w:styleId="GridTable7Colorful-Accent3">
    <w:name w:val="Grid Table 7 Colorful Accent 3"/>
    <w:basedOn w:val="TableNormal"/>
    <w:rsid w:val="001051DF"/>
    <w:pPr>
      <w:spacing w:after="0" w:line="240" w:lineRule="auto"/>
    </w:pPr>
    <w:rPr>
      <w:rFonts w:ascii="EC Square Sans Pro" w:eastAsia="SimSun" w:hAnsi="EC Square Sans Pro"/>
      <w:color w:val="0162D9" w:themeColor="accent3" w:themeShade="BF"/>
      <w:lang w:eastAsia="en-GB"/>
    </w:rPr>
    <w:tblPr>
      <w:tblStyleRowBandSize w:val="1"/>
      <w:tblStyleColBandSize w:val="1"/>
      <w:tblBorders>
        <w:top w:val="single" w:sz="4" w:space="0" w:color="7CB7FE" w:themeColor="accent3" w:themeTint="99"/>
        <w:left w:val="single" w:sz="4" w:space="0" w:color="7CB7FE" w:themeColor="accent3" w:themeTint="99"/>
        <w:bottom w:val="single" w:sz="4" w:space="0" w:color="7CB7FE" w:themeColor="accent3" w:themeTint="99"/>
        <w:right w:val="single" w:sz="4" w:space="0" w:color="7CB7FE" w:themeColor="accent3" w:themeTint="99"/>
        <w:insideH w:val="single" w:sz="4" w:space="0" w:color="7CB7FE" w:themeColor="accent3" w:themeTint="99"/>
        <w:insideV w:val="single" w:sz="4" w:space="0" w:color="7CB7FE"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E7FE" w:themeFill="accent3" w:themeFillTint="33"/>
      </w:tcPr>
    </w:tblStylePr>
    <w:tblStylePr w:type="band1Horz">
      <w:tblPr/>
      <w:tcPr>
        <w:shd w:val="clear" w:color="auto" w:fill="D3E7FE" w:themeFill="accent3" w:themeFillTint="33"/>
      </w:tcPr>
    </w:tblStylePr>
    <w:tblStylePr w:type="neCell">
      <w:tblPr/>
      <w:tcPr>
        <w:tcBorders>
          <w:bottom w:val="single" w:sz="4" w:space="0" w:color="7CB7FE" w:themeColor="accent3" w:themeTint="99"/>
        </w:tcBorders>
      </w:tcPr>
    </w:tblStylePr>
    <w:tblStylePr w:type="nwCell">
      <w:tblPr/>
      <w:tcPr>
        <w:tcBorders>
          <w:bottom w:val="single" w:sz="4" w:space="0" w:color="7CB7FE" w:themeColor="accent3" w:themeTint="99"/>
        </w:tcBorders>
      </w:tcPr>
    </w:tblStylePr>
    <w:tblStylePr w:type="seCell">
      <w:tblPr/>
      <w:tcPr>
        <w:tcBorders>
          <w:top w:val="single" w:sz="4" w:space="0" w:color="7CB7FE" w:themeColor="accent3" w:themeTint="99"/>
        </w:tcBorders>
      </w:tcPr>
    </w:tblStylePr>
    <w:tblStylePr w:type="swCell">
      <w:tblPr/>
      <w:tcPr>
        <w:tcBorders>
          <w:top w:val="single" w:sz="4" w:space="0" w:color="7CB7FE" w:themeColor="accent3" w:themeTint="99"/>
        </w:tcBorders>
      </w:tcPr>
    </w:tblStylePr>
  </w:style>
  <w:style w:type="table" w:styleId="GridTable7Colorful-Accent4">
    <w:name w:val="Grid Table 7 Colorful Accent 4"/>
    <w:basedOn w:val="TableNormal"/>
    <w:rsid w:val="001051DF"/>
    <w:pPr>
      <w:spacing w:after="0" w:line="240" w:lineRule="auto"/>
    </w:pPr>
    <w:rPr>
      <w:rFonts w:ascii="EC Square Sans Pro" w:eastAsia="SimSun" w:hAnsi="EC Square Sans Pro"/>
      <w:color w:val="C18101" w:themeColor="accent4" w:themeShade="BF"/>
      <w:lang w:eastAsia="en-GB"/>
    </w:rPr>
    <w:tblPr>
      <w:tblStyleRowBandSize w:val="1"/>
      <w:tblStyleColBandSize w:val="1"/>
      <w:tblBorders>
        <w:top w:val="single" w:sz="4" w:space="0" w:color="FDCC6A" w:themeColor="accent4" w:themeTint="99"/>
        <w:left w:val="single" w:sz="4" w:space="0" w:color="FDCC6A" w:themeColor="accent4" w:themeTint="99"/>
        <w:bottom w:val="single" w:sz="4" w:space="0" w:color="FDCC6A" w:themeColor="accent4" w:themeTint="99"/>
        <w:right w:val="single" w:sz="4" w:space="0" w:color="FDCC6A" w:themeColor="accent4" w:themeTint="99"/>
        <w:insideH w:val="single" w:sz="4" w:space="0" w:color="FDCC6A" w:themeColor="accent4" w:themeTint="99"/>
        <w:insideV w:val="single" w:sz="4" w:space="0" w:color="FDCC6A"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EEECD" w:themeFill="accent4" w:themeFillTint="33"/>
      </w:tcPr>
    </w:tblStylePr>
    <w:tblStylePr w:type="band1Horz">
      <w:tblPr/>
      <w:tcPr>
        <w:shd w:val="clear" w:color="auto" w:fill="FEEECD" w:themeFill="accent4" w:themeFillTint="33"/>
      </w:tcPr>
    </w:tblStylePr>
    <w:tblStylePr w:type="neCell">
      <w:tblPr/>
      <w:tcPr>
        <w:tcBorders>
          <w:bottom w:val="single" w:sz="4" w:space="0" w:color="FDCC6A" w:themeColor="accent4" w:themeTint="99"/>
        </w:tcBorders>
      </w:tcPr>
    </w:tblStylePr>
    <w:tblStylePr w:type="nwCell">
      <w:tblPr/>
      <w:tcPr>
        <w:tcBorders>
          <w:bottom w:val="single" w:sz="4" w:space="0" w:color="FDCC6A" w:themeColor="accent4" w:themeTint="99"/>
        </w:tcBorders>
      </w:tcPr>
    </w:tblStylePr>
    <w:tblStylePr w:type="seCell">
      <w:tblPr/>
      <w:tcPr>
        <w:tcBorders>
          <w:top w:val="single" w:sz="4" w:space="0" w:color="FDCC6A" w:themeColor="accent4" w:themeTint="99"/>
        </w:tcBorders>
      </w:tcPr>
    </w:tblStylePr>
    <w:tblStylePr w:type="swCell">
      <w:tblPr/>
      <w:tcPr>
        <w:tcBorders>
          <w:top w:val="single" w:sz="4" w:space="0" w:color="FDCC6A" w:themeColor="accent4" w:themeTint="99"/>
        </w:tcBorders>
      </w:tcPr>
    </w:tblStylePr>
  </w:style>
  <w:style w:type="table" w:styleId="GridTable7Colorful-Accent5">
    <w:name w:val="Grid Table 7 Colorful Accent 5"/>
    <w:basedOn w:val="TableNormal"/>
    <w:rsid w:val="001051DF"/>
    <w:pPr>
      <w:spacing w:after="0" w:line="240" w:lineRule="auto"/>
    </w:pPr>
    <w:rPr>
      <w:rFonts w:ascii="EC Square Sans Pro" w:eastAsia="SimSun" w:hAnsi="EC Square Sans Pro"/>
      <w:color w:val="A41045" w:themeColor="accent5" w:themeShade="BF"/>
      <w:lang w:eastAsia="en-GB"/>
    </w:rPr>
    <w:tblPr>
      <w:tblStyleRowBandSize w:val="1"/>
      <w:tblStyleColBandSize w:val="1"/>
      <w:tblBorders>
        <w:top w:val="single" w:sz="4" w:space="0" w:color="F06C9B" w:themeColor="accent5" w:themeTint="99"/>
        <w:left w:val="single" w:sz="4" w:space="0" w:color="F06C9B" w:themeColor="accent5" w:themeTint="99"/>
        <w:bottom w:val="single" w:sz="4" w:space="0" w:color="F06C9B" w:themeColor="accent5" w:themeTint="99"/>
        <w:right w:val="single" w:sz="4" w:space="0" w:color="F06C9B" w:themeColor="accent5" w:themeTint="99"/>
        <w:insideH w:val="single" w:sz="4" w:space="0" w:color="F06C9B" w:themeColor="accent5" w:themeTint="99"/>
        <w:insideV w:val="single" w:sz="4" w:space="0" w:color="F06C9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CEDD" w:themeFill="accent5" w:themeFillTint="33"/>
      </w:tcPr>
    </w:tblStylePr>
    <w:tblStylePr w:type="band1Horz">
      <w:tblPr/>
      <w:tcPr>
        <w:shd w:val="clear" w:color="auto" w:fill="FACEDD" w:themeFill="accent5" w:themeFillTint="33"/>
      </w:tcPr>
    </w:tblStylePr>
    <w:tblStylePr w:type="neCell">
      <w:tblPr/>
      <w:tcPr>
        <w:tcBorders>
          <w:bottom w:val="single" w:sz="4" w:space="0" w:color="F06C9B" w:themeColor="accent5" w:themeTint="99"/>
        </w:tcBorders>
      </w:tcPr>
    </w:tblStylePr>
    <w:tblStylePr w:type="nwCell">
      <w:tblPr/>
      <w:tcPr>
        <w:tcBorders>
          <w:bottom w:val="single" w:sz="4" w:space="0" w:color="F06C9B" w:themeColor="accent5" w:themeTint="99"/>
        </w:tcBorders>
      </w:tcPr>
    </w:tblStylePr>
    <w:tblStylePr w:type="seCell">
      <w:tblPr/>
      <w:tcPr>
        <w:tcBorders>
          <w:top w:val="single" w:sz="4" w:space="0" w:color="F06C9B" w:themeColor="accent5" w:themeTint="99"/>
        </w:tcBorders>
      </w:tcPr>
    </w:tblStylePr>
    <w:tblStylePr w:type="swCell">
      <w:tblPr/>
      <w:tcPr>
        <w:tcBorders>
          <w:top w:val="single" w:sz="4" w:space="0" w:color="F06C9B" w:themeColor="accent5" w:themeTint="99"/>
        </w:tcBorders>
      </w:tcPr>
    </w:tblStylePr>
  </w:style>
  <w:style w:type="table" w:styleId="GridTable7Colorful-Accent6">
    <w:name w:val="Grid Table 7 Colorful Accent 6"/>
    <w:basedOn w:val="TableNormal"/>
    <w:rsid w:val="001051DF"/>
    <w:pPr>
      <w:spacing w:after="0" w:line="240" w:lineRule="auto"/>
    </w:pPr>
    <w:rPr>
      <w:rFonts w:ascii="EC Square Sans Pro" w:eastAsia="SimSun" w:hAnsi="EC Square Sans Pro"/>
      <w:color w:val="532477" w:themeColor="accent6" w:themeShade="BF"/>
      <w:lang w:eastAsia="en-GB"/>
    </w:rPr>
    <w:tblPr>
      <w:tblStyleRowBandSize w:val="1"/>
      <w:tblStyleColBandSize w:val="1"/>
      <w:tblBorders>
        <w:top w:val="single" w:sz="4" w:space="0" w:color="AB73D5" w:themeColor="accent6" w:themeTint="99"/>
        <w:left w:val="single" w:sz="4" w:space="0" w:color="AB73D5" w:themeColor="accent6" w:themeTint="99"/>
        <w:bottom w:val="single" w:sz="4" w:space="0" w:color="AB73D5" w:themeColor="accent6" w:themeTint="99"/>
        <w:right w:val="single" w:sz="4" w:space="0" w:color="AB73D5" w:themeColor="accent6" w:themeTint="99"/>
        <w:insideH w:val="single" w:sz="4" w:space="0" w:color="AB73D5" w:themeColor="accent6" w:themeTint="99"/>
        <w:insideV w:val="single" w:sz="4" w:space="0" w:color="AB73D5"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D0F1" w:themeFill="accent6" w:themeFillTint="33"/>
      </w:tcPr>
    </w:tblStylePr>
    <w:tblStylePr w:type="band1Horz">
      <w:tblPr/>
      <w:tcPr>
        <w:shd w:val="clear" w:color="auto" w:fill="E2D0F1" w:themeFill="accent6" w:themeFillTint="33"/>
      </w:tcPr>
    </w:tblStylePr>
    <w:tblStylePr w:type="neCell">
      <w:tblPr/>
      <w:tcPr>
        <w:tcBorders>
          <w:bottom w:val="single" w:sz="4" w:space="0" w:color="AB73D5" w:themeColor="accent6" w:themeTint="99"/>
        </w:tcBorders>
      </w:tcPr>
    </w:tblStylePr>
    <w:tblStylePr w:type="nwCell">
      <w:tblPr/>
      <w:tcPr>
        <w:tcBorders>
          <w:bottom w:val="single" w:sz="4" w:space="0" w:color="AB73D5" w:themeColor="accent6" w:themeTint="99"/>
        </w:tcBorders>
      </w:tcPr>
    </w:tblStylePr>
    <w:tblStylePr w:type="seCell">
      <w:tblPr/>
      <w:tcPr>
        <w:tcBorders>
          <w:top w:val="single" w:sz="4" w:space="0" w:color="AB73D5" w:themeColor="accent6" w:themeTint="99"/>
        </w:tcBorders>
      </w:tcPr>
    </w:tblStylePr>
    <w:tblStylePr w:type="swCell">
      <w:tblPr/>
      <w:tcPr>
        <w:tcBorders>
          <w:top w:val="single" w:sz="4" w:space="0" w:color="AB73D5" w:themeColor="accent6" w:themeTint="99"/>
        </w:tcBorders>
      </w:tcPr>
    </w:tblStylePr>
  </w:style>
  <w:style w:type="paragraph" w:customStyle="1" w:styleId="HNum-fromh2Heading2-1">
    <w:name w:val="H Num - from h2 | Heading 2  - 1."/>
    <w:next w:val="Normal"/>
    <w:uiPriority w:val="9"/>
    <w:qFormat/>
    <w:locked/>
    <w:rsid w:val="00F05EBF"/>
    <w:pPr>
      <w:keepNext/>
      <w:keepLines/>
      <w:pageBreakBefore/>
      <w:numPr>
        <w:numId w:val="3"/>
      </w:numPr>
      <w:suppressAutoHyphens/>
      <w:spacing w:before="0"/>
      <w:outlineLvl w:val="1"/>
    </w:pPr>
    <w:rPr>
      <w:rFonts w:asciiTheme="majorHAnsi" w:eastAsia="SimSun" w:hAnsiTheme="majorHAnsi"/>
      <w:noProof/>
      <w:color w:val="003399" w:themeColor="text2"/>
      <w:sz w:val="48"/>
      <w:lang w:eastAsia="en-GB"/>
    </w:rPr>
  </w:style>
  <w:style w:type="paragraph" w:customStyle="1" w:styleId="HNum-fromh2Heading3-11">
    <w:name w:val="H Num - from h2 | Heading 3  - 1.1."/>
    <w:basedOn w:val="Normal"/>
    <w:next w:val="Normal"/>
    <w:uiPriority w:val="9"/>
    <w:qFormat/>
    <w:locked/>
    <w:rsid w:val="00F05EBF"/>
    <w:pPr>
      <w:keepNext/>
      <w:keepLines/>
      <w:numPr>
        <w:ilvl w:val="1"/>
        <w:numId w:val="3"/>
      </w:numPr>
      <w:pBdr>
        <w:bottom w:val="single" w:sz="6" w:space="1" w:color="DE6002"/>
      </w:pBdr>
      <w:spacing w:before="480"/>
      <w:outlineLvl w:val="2"/>
    </w:pPr>
    <w:rPr>
      <w:rFonts w:eastAsia="EC Square Sans Pro"/>
      <w:b/>
      <w:color w:val="003399" w:themeColor="text2"/>
      <w:sz w:val="28"/>
      <w:szCs w:val="21"/>
      <w:lang w:eastAsia="zh-CN"/>
    </w:rPr>
  </w:style>
  <w:style w:type="paragraph" w:customStyle="1" w:styleId="HNum-fromh2Heading4-111">
    <w:name w:val="H Num - from h2 | Heading 4  - 1.1.1."/>
    <w:basedOn w:val="Normal"/>
    <w:next w:val="Normal"/>
    <w:uiPriority w:val="9"/>
    <w:qFormat/>
    <w:locked/>
    <w:rsid w:val="00F05EBF"/>
    <w:pPr>
      <w:keepNext/>
      <w:keepLines/>
      <w:numPr>
        <w:ilvl w:val="2"/>
        <w:numId w:val="3"/>
      </w:numPr>
      <w:spacing w:before="360"/>
      <w:outlineLvl w:val="3"/>
    </w:pPr>
    <w:rPr>
      <w:rFonts w:eastAsia="EC Square Sans Pro"/>
      <w:color w:val="003399" w:themeColor="text2"/>
      <w:sz w:val="28"/>
      <w:szCs w:val="21"/>
      <w:lang w:eastAsia="zh-CN"/>
    </w:rPr>
  </w:style>
  <w:style w:type="numbering" w:customStyle="1" w:styleId="HNum-fromh2LIST">
    <w:name w:val="H Num - from h2 | LIST"/>
    <w:uiPriority w:val="99"/>
    <w:rsid w:val="00EC3443"/>
    <w:pPr>
      <w:numPr>
        <w:numId w:val="3"/>
      </w:numPr>
    </w:pPr>
  </w:style>
  <w:style w:type="paragraph" w:customStyle="1" w:styleId="H1-AboutEU">
    <w:name w:val="H1 - About EU"/>
    <w:uiPriority w:val="2"/>
    <w:semiHidden/>
    <w:rsid w:val="004648BD"/>
    <w:pPr>
      <w:suppressAutoHyphens/>
      <w:spacing w:before="480"/>
      <w:outlineLvl w:val="0"/>
    </w:pPr>
    <w:rPr>
      <w:rFonts w:asciiTheme="majorHAnsi" w:hAnsiTheme="majorHAnsi"/>
      <w:b/>
      <w:color w:val="003399" w:themeColor="text2"/>
      <w:sz w:val="28"/>
      <w:lang w:eastAsia="en-GB"/>
    </w:rPr>
  </w:style>
  <w:style w:type="paragraph" w:customStyle="1" w:styleId="Heading1Sectionheadinginframe2Lines">
    <w:name w:val="Heading 1 Section heading in frame 2 Lines"/>
    <w:basedOn w:val="Normal"/>
    <w:uiPriority w:val="9"/>
    <w:rsid w:val="00601822"/>
    <w:pPr>
      <w:framePr w:w="5670" w:h="567" w:wrap="around" w:vAnchor="page" w:hAnchor="page" w:x="5388" w:y="11398" w:anchorLock="1"/>
      <w:spacing w:after="0"/>
      <w:outlineLvl w:val="0"/>
    </w:pPr>
    <w:rPr>
      <w:rFonts w:asciiTheme="majorHAnsi" w:hAnsiTheme="majorHAnsi"/>
      <w:color w:val="003399" w:themeColor="text2"/>
      <w:sz w:val="52"/>
    </w:rPr>
  </w:style>
  <w:style w:type="paragraph" w:customStyle="1" w:styleId="Heading1Sectionheadinginframe3Lines">
    <w:name w:val="Heading 1 Section heading in frame 3 Lines"/>
    <w:basedOn w:val="Normal"/>
    <w:uiPriority w:val="2"/>
    <w:qFormat/>
    <w:rsid w:val="00601822"/>
    <w:pPr>
      <w:framePr w:w="5670" w:h="567" w:wrap="around" w:vAnchor="page" w:hAnchor="page" w:x="5388" w:y="10661" w:anchorLock="1"/>
      <w:spacing w:after="0"/>
      <w:outlineLvl w:val="0"/>
    </w:pPr>
    <w:rPr>
      <w:rFonts w:asciiTheme="majorHAnsi" w:hAnsiTheme="majorHAnsi"/>
      <w:color w:val="003399" w:themeColor="text2"/>
      <w:sz w:val="52"/>
    </w:rPr>
  </w:style>
  <w:style w:type="character" w:styleId="HTMLAcronym">
    <w:name w:val="HTML Acronym"/>
    <w:basedOn w:val="DefaultParagraphFont"/>
    <w:uiPriority w:val="39"/>
    <w:semiHidden/>
    <w:rsid w:val="001051DF"/>
    <w:rPr>
      <w:noProof w:val="0"/>
      <w:lang w:val="en-GB"/>
    </w:rPr>
  </w:style>
  <w:style w:type="paragraph" w:styleId="HTMLAddress">
    <w:name w:val="HTML Address"/>
    <w:basedOn w:val="Normal"/>
    <w:link w:val="HTMLAddressChar"/>
    <w:uiPriority w:val="39"/>
    <w:semiHidden/>
    <w:rsid w:val="001051DF"/>
    <w:pPr>
      <w:spacing w:before="0" w:after="0" w:line="240" w:lineRule="auto"/>
    </w:pPr>
    <w:rPr>
      <w:i/>
      <w:iCs/>
    </w:rPr>
  </w:style>
  <w:style w:type="character" w:customStyle="1" w:styleId="HTMLAddressChar">
    <w:name w:val="HTML Address Char"/>
    <w:basedOn w:val="DefaultParagraphFont"/>
    <w:link w:val="HTMLAddress"/>
    <w:uiPriority w:val="39"/>
    <w:semiHidden/>
    <w:rsid w:val="001051DF"/>
    <w:rPr>
      <w:rFonts w:ascii="EC Square Sans Pro" w:eastAsia="SimSun" w:hAnsi="EC Square Sans Pro"/>
      <w:i/>
      <w:iCs/>
      <w:lang w:eastAsia="en-GB"/>
    </w:rPr>
  </w:style>
  <w:style w:type="character" w:styleId="HTMLCite">
    <w:name w:val="HTML Cite"/>
    <w:basedOn w:val="DefaultParagraphFont"/>
    <w:uiPriority w:val="39"/>
    <w:semiHidden/>
    <w:rsid w:val="001051DF"/>
    <w:rPr>
      <w:i/>
      <w:iCs/>
      <w:noProof w:val="0"/>
      <w:lang w:val="en-GB"/>
    </w:rPr>
  </w:style>
  <w:style w:type="character" w:styleId="HTMLCode">
    <w:name w:val="HTML Code"/>
    <w:basedOn w:val="DefaultParagraphFont"/>
    <w:uiPriority w:val="39"/>
    <w:semiHidden/>
    <w:rsid w:val="001051DF"/>
    <w:rPr>
      <w:rFonts w:ascii="Consolas" w:hAnsi="Consolas"/>
      <w:noProof w:val="0"/>
      <w:sz w:val="20"/>
      <w:szCs w:val="20"/>
      <w:lang w:val="en-GB"/>
    </w:rPr>
  </w:style>
  <w:style w:type="character" w:styleId="HTMLDefinition">
    <w:name w:val="HTML Definition"/>
    <w:basedOn w:val="DefaultParagraphFont"/>
    <w:uiPriority w:val="39"/>
    <w:semiHidden/>
    <w:rsid w:val="001051DF"/>
    <w:rPr>
      <w:i/>
      <w:iCs/>
      <w:noProof w:val="0"/>
      <w:lang w:val="en-GB"/>
    </w:rPr>
  </w:style>
  <w:style w:type="character" w:styleId="HTMLKeyboard">
    <w:name w:val="HTML Keyboard"/>
    <w:basedOn w:val="DefaultParagraphFont"/>
    <w:uiPriority w:val="39"/>
    <w:semiHidden/>
    <w:rsid w:val="001051DF"/>
    <w:rPr>
      <w:rFonts w:ascii="Consolas" w:hAnsi="Consolas"/>
      <w:noProof w:val="0"/>
      <w:sz w:val="20"/>
      <w:szCs w:val="20"/>
      <w:lang w:val="en-GB"/>
    </w:rPr>
  </w:style>
  <w:style w:type="paragraph" w:styleId="HTMLPreformatted">
    <w:name w:val="HTML Preformatted"/>
    <w:basedOn w:val="Normal"/>
    <w:link w:val="HTMLPreformattedChar"/>
    <w:uiPriority w:val="39"/>
    <w:semiHidden/>
    <w:rsid w:val="001051DF"/>
    <w:pPr>
      <w:spacing w:before="0" w:after="0" w:line="240" w:lineRule="auto"/>
    </w:pPr>
    <w:rPr>
      <w:rFonts w:ascii="Consolas" w:hAnsi="Consolas"/>
    </w:rPr>
  </w:style>
  <w:style w:type="character" w:customStyle="1" w:styleId="HTMLPreformattedChar">
    <w:name w:val="HTML Preformatted Char"/>
    <w:basedOn w:val="DefaultParagraphFont"/>
    <w:link w:val="HTMLPreformatted"/>
    <w:uiPriority w:val="39"/>
    <w:semiHidden/>
    <w:rsid w:val="001051DF"/>
    <w:rPr>
      <w:rFonts w:ascii="Consolas" w:eastAsia="SimSun" w:hAnsi="Consolas"/>
      <w:lang w:eastAsia="en-GB"/>
    </w:rPr>
  </w:style>
  <w:style w:type="character" w:styleId="HTMLSample">
    <w:name w:val="HTML Sample"/>
    <w:basedOn w:val="DefaultParagraphFont"/>
    <w:uiPriority w:val="39"/>
    <w:semiHidden/>
    <w:rsid w:val="001051DF"/>
    <w:rPr>
      <w:rFonts w:ascii="Consolas" w:hAnsi="Consolas"/>
      <w:noProof w:val="0"/>
      <w:sz w:val="24"/>
      <w:szCs w:val="24"/>
      <w:lang w:val="en-GB"/>
    </w:rPr>
  </w:style>
  <w:style w:type="character" w:styleId="HTMLTypewriter">
    <w:name w:val="HTML Typewriter"/>
    <w:basedOn w:val="DefaultParagraphFont"/>
    <w:uiPriority w:val="39"/>
    <w:semiHidden/>
    <w:rsid w:val="001051DF"/>
    <w:rPr>
      <w:rFonts w:ascii="Consolas" w:hAnsi="Consolas"/>
      <w:noProof w:val="0"/>
      <w:sz w:val="20"/>
      <w:szCs w:val="20"/>
      <w:lang w:val="en-GB"/>
    </w:rPr>
  </w:style>
  <w:style w:type="character" w:styleId="HTMLVariable">
    <w:name w:val="HTML Variable"/>
    <w:basedOn w:val="DefaultParagraphFont"/>
    <w:uiPriority w:val="39"/>
    <w:semiHidden/>
    <w:rsid w:val="001051DF"/>
    <w:rPr>
      <w:i/>
      <w:iCs/>
      <w:noProof w:val="0"/>
      <w:lang w:val="en-GB"/>
    </w:rPr>
  </w:style>
  <w:style w:type="table" w:customStyle="1" w:styleId="Infographicboxes">
    <w:name w:val="Infographic boxes"/>
    <w:basedOn w:val="TableNormal"/>
    <w:uiPriority w:val="99"/>
    <w:rsid w:val="00F74113"/>
    <w:rPr>
      <w:rFonts w:ascii="EC Square Sans Pro" w:eastAsia="SimSun" w:hAnsi="EC Square Sans Pro"/>
      <w:lang w:eastAsia="en-GB"/>
    </w:rPr>
    <w:tblPr>
      <w:tblBorders>
        <w:insideH w:val="single" w:sz="48" w:space="0" w:color="FFFFFF" w:themeColor="background1"/>
        <w:insideV w:val="single" w:sz="48" w:space="0" w:color="FFFFFF" w:themeColor="background1"/>
      </w:tblBorders>
      <w:tblCellMar>
        <w:left w:w="227" w:type="dxa"/>
        <w:right w:w="227" w:type="dxa"/>
      </w:tblCellMar>
    </w:tblPr>
    <w:tcPr>
      <w:shd w:val="clear" w:color="auto" w:fill="F3F7FF" w:themeFill="background2"/>
    </w:tcPr>
  </w:style>
  <w:style w:type="character" w:styleId="IntenseEmphasis">
    <w:name w:val="Intense Emphasis"/>
    <w:basedOn w:val="DefaultParagraphFont"/>
    <w:uiPriority w:val="39"/>
    <w:semiHidden/>
    <w:rsid w:val="001051DF"/>
    <w:rPr>
      <w:i/>
      <w:iCs/>
      <w:noProof w:val="0"/>
      <w:color w:val="008139" w:themeColor="accent1"/>
      <w:lang w:val="en-GB"/>
    </w:rPr>
  </w:style>
  <w:style w:type="paragraph" w:styleId="IntenseQuote">
    <w:name w:val="Intense Quote"/>
    <w:basedOn w:val="Normal"/>
    <w:next w:val="Normal"/>
    <w:link w:val="IntenseQuoteChar"/>
    <w:uiPriority w:val="39"/>
    <w:semiHidden/>
    <w:rsid w:val="001051DF"/>
    <w:pPr>
      <w:pBdr>
        <w:top w:val="single" w:sz="4" w:space="10" w:color="008139" w:themeColor="accent1"/>
        <w:bottom w:val="single" w:sz="4" w:space="10" w:color="008139" w:themeColor="accent1"/>
      </w:pBdr>
      <w:spacing w:before="360" w:after="360"/>
      <w:ind w:left="864" w:right="864"/>
      <w:jc w:val="center"/>
    </w:pPr>
    <w:rPr>
      <w:i/>
      <w:iCs/>
      <w:color w:val="008139" w:themeColor="accent1"/>
    </w:rPr>
  </w:style>
  <w:style w:type="character" w:customStyle="1" w:styleId="IntenseQuoteChar">
    <w:name w:val="Intense Quote Char"/>
    <w:basedOn w:val="DefaultParagraphFont"/>
    <w:link w:val="IntenseQuote"/>
    <w:uiPriority w:val="39"/>
    <w:rsid w:val="001051DF"/>
    <w:rPr>
      <w:rFonts w:ascii="EC Square Sans Pro" w:eastAsia="SimSun" w:hAnsi="EC Square Sans Pro"/>
      <w:i/>
      <w:iCs/>
      <w:color w:val="008139" w:themeColor="accent1"/>
      <w:lang w:eastAsia="en-GB"/>
    </w:rPr>
  </w:style>
  <w:style w:type="character" w:styleId="IntenseReference">
    <w:name w:val="Intense Reference"/>
    <w:basedOn w:val="DefaultParagraphFont"/>
    <w:uiPriority w:val="39"/>
    <w:semiHidden/>
    <w:rsid w:val="001051DF"/>
    <w:rPr>
      <w:b/>
      <w:bCs/>
      <w:smallCaps/>
      <w:noProof w:val="0"/>
      <w:color w:val="008139" w:themeColor="accent1"/>
      <w:spacing w:val="5"/>
      <w:lang w:val="en-GB"/>
    </w:rPr>
  </w:style>
  <w:style w:type="character" w:customStyle="1" w:styleId="Italic">
    <w:name w:val="Italic"/>
    <w:basedOn w:val="DefaultParagraphFont"/>
    <w:qFormat/>
    <w:rsid w:val="001051DF"/>
    <w:rPr>
      <w:i/>
    </w:rPr>
  </w:style>
  <w:style w:type="table" w:styleId="LightGrid">
    <w:name w:val="Light Grid"/>
    <w:basedOn w:val="TableNormal"/>
    <w:semiHidden/>
    <w:unhideWhenUsed/>
    <w:rsid w:val="001051DF"/>
    <w:pPr>
      <w:spacing w:before="0" w:after="0" w:line="240" w:lineRule="auto"/>
    </w:pPr>
    <w:rPr>
      <w:rFonts w:ascii="EC Square Sans Pro" w:eastAsia="SimSun" w:hAnsi="EC Square Sans Pro"/>
      <w:lang w:eastAsia="en-GB"/>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semiHidden/>
    <w:unhideWhenUsed/>
    <w:rsid w:val="001051DF"/>
    <w:pPr>
      <w:spacing w:before="0" w:after="0" w:line="240" w:lineRule="auto"/>
    </w:pPr>
    <w:rPr>
      <w:rFonts w:ascii="EC Square Sans Pro" w:eastAsia="SimSun" w:hAnsi="EC Square Sans Pro"/>
      <w:lang w:eastAsia="en-GB"/>
    </w:rPr>
    <w:tblPr>
      <w:tblStyleRowBandSize w:val="1"/>
      <w:tblStyleColBandSize w:val="1"/>
      <w:tblBorders>
        <w:top w:val="single" w:sz="8" w:space="0" w:color="008139" w:themeColor="accent1"/>
        <w:left w:val="single" w:sz="8" w:space="0" w:color="008139" w:themeColor="accent1"/>
        <w:bottom w:val="single" w:sz="8" w:space="0" w:color="008139" w:themeColor="accent1"/>
        <w:right w:val="single" w:sz="8" w:space="0" w:color="008139" w:themeColor="accent1"/>
        <w:insideH w:val="single" w:sz="8" w:space="0" w:color="008139" w:themeColor="accent1"/>
        <w:insideV w:val="single" w:sz="8" w:space="0" w:color="008139"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8139" w:themeColor="accent1"/>
          <w:left w:val="single" w:sz="8" w:space="0" w:color="008139" w:themeColor="accent1"/>
          <w:bottom w:val="single" w:sz="18" w:space="0" w:color="008139" w:themeColor="accent1"/>
          <w:right w:val="single" w:sz="8" w:space="0" w:color="008139" w:themeColor="accent1"/>
          <w:insideH w:val="nil"/>
          <w:insideV w:val="single" w:sz="8" w:space="0" w:color="008139"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8139" w:themeColor="accent1"/>
          <w:left w:val="single" w:sz="8" w:space="0" w:color="008139" w:themeColor="accent1"/>
          <w:bottom w:val="single" w:sz="8" w:space="0" w:color="008139" w:themeColor="accent1"/>
          <w:right w:val="single" w:sz="8" w:space="0" w:color="008139" w:themeColor="accent1"/>
          <w:insideH w:val="nil"/>
          <w:insideV w:val="single" w:sz="8" w:space="0" w:color="008139"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8139" w:themeColor="accent1"/>
          <w:left w:val="single" w:sz="8" w:space="0" w:color="008139" w:themeColor="accent1"/>
          <w:bottom w:val="single" w:sz="8" w:space="0" w:color="008139" w:themeColor="accent1"/>
          <w:right w:val="single" w:sz="8" w:space="0" w:color="008139" w:themeColor="accent1"/>
        </w:tcBorders>
      </w:tcPr>
    </w:tblStylePr>
    <w:tblStylePr w:type="band1Vert">
      <w:tblPr/>
      <w:tcPr>
        <w:tcBorders>
          <w:top w:val="single" w:sz="8" w:space="0" w:color="008139" w:themeColor="accent1"/>
          <w:left w:val="single" w:sz="8" w:space="0" w:color="008139" w:themeColor="accent1"/>
          <w:bottom w:val="single" w:sz="8" w:space="0" w:color="008139" w:themeColor="accent1"/>
          <w:right w:val="single" w:sz="8" w:space="0" w:color="008139" w:themeColor="accent1"/>
        </w:tcBorders>
        <w:shd w:val="clear" w:color="auto" w:fill="A0FFCA" w:themeFill="accent1" w:themeFillTint="3F"/>
      </w:tcPr>
    </w:tblStylePr>
    <w:tblStylePr w:type="band1Horz">
      <w:tblPr/>
      <w:tcPr>
        <w:tcBorders>
          <w:top w:val="single" w:sz="8" w:space="0" w:color="008139" w:themeColor="accent1"/>
          <w:left w:val="single" w:sz="8" w:space="0" w:color="008139" w:themeColor="accent1"/>
          <w:bottom w:val="single" w:sz="8" w:space="0" w:color="008139" w:themeColor="accent1"/>
          <w:right w:val="single" w:sz="8" w:space="0" w:color="008139" w:themeColor="accent1"/>
          <w:insideV w:val="single" w:sz="8" w:space="0" w:color="008139" w:themeColor="accent1"/>
        </w:tcBorders>
        <w:shd w:val="clear" w:color="auto" w:fill="A0FFCA" w:themeFill="accent1" w:themeFillTint="3F"/>
      </w:tcPr>
    </w:tblStylePr>
    <w:tblStylePr w:type="band2Horz">
      <w:tblPr/>
      <w:tcPr>
        <w:tcBorders>
          <w:top w:val="single" w:sz="8" w:space="0" w:color="008139" w:themeColor="accent1"/>
          <w:left w:val="single" w:sz="8" w:space="0" w:color="008139" w:themeColor="accent1"/>
          <w:bottom w:val="single" w:sz="8" w:space="0" w:color="008139" w:themeColor="accent1"/>
          <w:right w:val="single" w:sz="8" w:space="0" w:color="008139" w:themeColor="accent1"/>
          <w:insideV w:val="single" w:sz="8" w:space="0" w:color="008139" w:themeColor="accent1"/>
        </w:tcBorders>
      </w:tcPr>
    </w:tblStylePr>
  </w:style>
  <w:style w:type="table" w:styleId="LightGrid-Accent2">
    <w:name w:val="Light Grid Accent 2"/>
    <w:basedOn w:val="TableNormal"/>
    <w:semiHidden/>
    <w:unhideWhenUsed/>
    <w:rsid w:val="001051DF"/>
    <w:pPr>
      <w:spacing w:before="0" w:after="0" w:line="240" w:lineRule="auto"/>
    </w:pPr>
    <w:rPr>
      <w:rFonts w:ascii="EC Square Sans Pro" w:eastAsia="SimSun" w:hAnsi="EC Square Sans Pro"/>
      <w:lang w:eastAsia="en-GB"/>
    </w:rPr>
    <w:tblPr>
      <w:tblStyleRowBandSize w:val="1"/>
      <w:tblStyleColBandSize w:val="1"/>
      <w:tblBorders>
        <w:top w:val="single" w:sz="8" w:space="0" w:color="DE6002" w:themeColor="accent2"/>
        <w:left w:val="single" w:sz="8" w:space="0" w:color="DE6002" w:themeColor="accent2"/>
        <w:bottom w:val="single" w:sz="8" w:space="0" w:color="DE6002" w:themeColor="accent2"/>
        <w:right w:val="single" w:sz="8" w:space="0" w:color="DE6002" w:themeColor="accent2"/>
        <w:insideH w:val="single" w:sz="8" w:space="0" w:color="DE6002" w:themeColor="accent2"/>
        <w:insideV w:val="single" w:sz="8" w:space="0" w:color="DE600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DE6002" w:themeColor="accent2"/>
          <w:left w:val="single" w:sz="8" w:space="0" w:color="DE6002" w:themeColor="accent2"/>
          <w:bottom w:val="single" w:sz="18" w:space="0" w:color="DE6002" w:themeColor="accent2"/>
          <w:right w:val="single" w:sz="8" w:space="0" w:color="DE6002" w:themeColor="accent2"/>
          <w:insideH w:val="nil"/>
          <w:insideV w:val="single" w:sz="8" w:space="0" w:color="DE600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DE6002" w:themeColor="accent2"/>
          <w:left w:val="single" w:sz="8" w:space="0" w:color="DE6002" w:themeColor="accent2"/>
          <w:bottom w:val="single" w:sz="8" w:space="0" w:color="DE6002" w:themeColor="accent2"/>
          <w:right w:val="single" w:sz="8" w:space="0" w:color="DE6002" w:themeColor="accent2"/>
          <w:insideH w:val="nil"/>
          <w:insideV w:val="single" w:sz="8" w:space="0" w:color="DE600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DE6002" w:themeColor="accent2"/>
          <w:left w:val="single" w:sz="8" w:space="0" w:color="DE6002" w:themeColor="accent2"/>
          <w:bottom w:val="single" w:sz="8" w:space="0" w:color="DE6002" w:themeColor="accent2"/>
          <w:right w:val="single" w:sz="8" w:space="0" w:color="DE6002" w:themeColor="accent2"/>
        </w:tcBorders>
      </w:tcPr>
    </w:tblStylePr>
    <w:tblStylePr w:type="band1Vert">
      <w:tblPr/>
      <w:tcPr>
        <w:tcBorders>
          <w:top w:val="single" w:sz="8" w:space="0" w:color="DE6002" w:themeColor="accent2"/>
          <w:left w:val="single" w:sz="8" w:space="0" w:color="DE6002" w:themeColor="accent2"/>
          <w:bottom w:val="single" w:sz="8" w:space="0" w:color="DE6002" w:themeColor="accent2"/>
          <w:right w:val="single" w:sz="8" w:space="0" w:color="DE6002" w:themeColor="accent2"/>
        </w:tcBorders>
        <w:shd w:val="clear" w:color="auto" w:fill="FED6B8" w:themeFill="accent2" w:themeFillTint="3F"/>
      </w:tcPr>
    </w:tblStylePr>
    <w:tblStylePr w:type="band1Horz">
      <w:tblPr/>
      <w:tcPr>
        <w:tcBorders>
          <w:top w:val="single" w:sz="8" w:space="0" w:color="DE6002" w:themeColor="accent2"/>
          <w:left w:val="single" w:sz="8" w:space="0" w:color="DE6002" w:themeColor="accent2"/>
          <w:bottom w:val="single" w:sz="8" w:space="0" w:color="DE6002" w:themeColor="accent2"/>
          <w:right w:val="single" w:sz="8" w:space="0" w:color="DE6002" w:themeColor="accent2"/>
          <w:insideV w:val="single" w:sz="8" w:space="0" w:color="DE6002" w:themeColor="accent2"/>
        </w:tcBorders>
        <w:shd w:val="clear" w:color="auto" w:fill="FED6B8" w:themeFill="accent2" w:themeFillTint="3F"/>
      </w:tcPr>
    </w:tblStylePr>
    <w:tblStylePr w:type="band2Horz">
      <w:tblPr/>
      <w:tcPr>
        <w:tcBorders>
          <w:top w:val="single" w:sz="8" w:space="0" w:color="DE6002" w:themeColor="accent2"/>
          <w:left w:val="single" w:sz="8" w:space="0" w:color="DE6002" w:themeColor="accent2"/>
          <w:bottom w:val="single" w:sz="8" w:space="0" w:color="DE6002" w:themeColor="accent2"/>
          <w:right w:val="single" w:sz="8" w:space="0" w:color="DE6002" w:themeColor="accent2"/>
          <w:insideV w:val="single" w:sz="8" w:space="0" w:color="DE6002" w:themeColor="accent2"/>
        </w:tcBorders>
      </w:tcPr>
    </w:tblStylePr>
  </w:style>
  <w:style w:type="table" w:styleId="LightGrid-Accent3">
    <w:name w:val="Light Grid Accent 3"/>
    <w:basedOn w:val="TableNormal"/>
    <w:semiHidden/>
    <w:unhideWhenUsed/>
    <w:rsid w:val="001051DF"/>
    <w:pPr>
      <w:spacing w:before="0" w:after="0" w:line="240" w:lineRule="auto"/>
    </w:pPr>
    <w:rPr>
      <w:rFonts w:ascii="EC Square Sans Pro" w:eastAsia="SimSun" w:hAnsi="EC Square Sans Pro"/>
      <w:lang w:eastAsia="en-GB"/>
    </w:rPr>
    <w:tblPr>
      <w:tblStyleRowBandSize w:val="1"/>
      <w:tblStyleColBandSize w:val="1"/>
      <w:tblBorders>
        <w:top w:val="single" w:sz="8" w:space="0" w:color="2688FE" w:themeColor="accent3"/>
        <w:left w:val="single" w:sz="8" w:space="0" w:color="2688FE" w:themeColor="accent3"/>
        <w:bottom w:val="single" w:sz="8" w:space="0" w:color="2688FE" w:themeColor="accent3"/>
        <w:right w:val="single" w:sz="8" w:space="0" w:color="2688FE" w:themeColor="accent3"/>
        <w:insideH w:val="single" w:sz="8" w:space="0" w:color="2688FE" w:themeColor="accent3"/>
        <w:insideV w:val="single" w:sz="8" w:space="0" w:color="2688FE"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688FE" w:themeColor="accent3"/>
          <w:left w:val="single" w:sz="8" w:space="0" w:color="2688FE" w:themeColor="accent3"/>
          <w:bottom w:val="single" w:sz="18" w:space="0" w:color="2688FE" w:themeColor="accent3"/>
          <w:right w:val="single" w:sz="8" w:space="0" w:color="2688FE" w:themeColor="accent3"/>
          <w:insideH w:val="nil"/>
          <w:insideV w:val="single" w:sz="8" w:space="0" w:color="2688FE"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688FE" w:themeColor="accent3"/>
          <w:left w:val="single" w:sz="8" w:space="0" w:color="2688FE" w:themeColor="accent3"/>
          <w:bottom w:val="single" w:sz="8" w:space="0" w:color="2688FE" w:themeColor="accent3"/>
          <w:right w:val="single" w:sz="8" w:space="0" w:color="2688FE" w:themeColor="accent3"/>
          <w:insideH w:val="nil"/>
          <w:insideV w:val="single" w:sz="8" w:space="0" w:color="2688FE"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688FE" w:themeColor="accent3"/>
          <w:left w:val="single" w:sz="8" w:space="0" w:color="2688FE" w:themeColor="accent3"/>
          <w:bottom w:val="single" w:sz="8" w:space="0" w:color="2688FE" w:themeColor="accent3"/>
          <w:right w:val="single" w:sz="8" w:space="0" w:color="2688FE" w:themeColor="accent3"/>
        </w:tcBorders>
      </w:tcPr>
    </w:tblStylePr>
    <w:tblStylePr w:type="band1Vert">
      <w:tblPr/>
      <w:tcPr>
        <w:tcBorders>
          <w:top w:val="single" w:sz="8" w:space="0" w:color="2688FE" w:themeColor="accent3"/>
          <w:left w:val="single" w:sz="8" w:space="0" w:color="2688FE" w:themeColor="accent3"/>
          <w:bottom w:val="single" w:sz="8" w:space="0" w:color="2688FE" w:themeColor="accent3"/>
          <w:right w:val="single" w:sz="8" w:space="0" w:color="2688FE" w:themeColor="accent3"/>
        </w:tcBorders>
        <w:shd w:val="clear" w:color="auto" w:fill="C9E1FE" w:themeFill="accent3" w:themeFillTint="3F"/>
      </w:tcPr>
    </w:tblStylePr>
    <w:tblStylePr w:type="band1Horz">
      <w:tblPr/>
      <w:tcPr>
        <w:tcBorders>
          <w:top w:val="single" w:sz="8" w:space="0" w:color="2688FE" w:themeColor="accent3"/>
          <w:left w:val="single" w:sz="8" w:space="0" w:color="2688FE" w:themeColor="accent3"/>
          <w:bottom w:val="single" w:sz="8" w:space="0" w:color="2688FE" w:themeColor="accent3"/>
          <w:right w:val="single" w:sz="8" w:space="0" w:color="2688FE" w:themeColor="accent3"/>
          <w:insideV w:val="single" w:sz="8" w:space="0" w:color="2688FE" w:themeColor="accent3"/>
        </w:tcBorders>
        <w:shd w:val="clear" w:color="auto" w:fill="C9E1FE" w:themeFill="accent3" w:themeFillTint="3F"/>
      </w:tcPr>
    </w:tblStylePr>
    <w:tblStylePr w:type="band2Horz">
      <w:tblPr/>
      <w:tcPr>
        <w:tcBorders>
          <w:top w:val="single" w:sz="8" w:space="0" w:color="2688FE" w:themeColor="accent3"/>
          <w:left w:val="single" w:sz="8" w:space="0" w:color="2688FE" w:themeColor="accent3"/>
          <w:bottom w:val="single" w:sz="8" w:space="0" w:color="2688FE" w:themeColor="accent3"/>
          <w:right w:val="single" w:sz="8" w:space="0" w:color="2688FE" w:themeColor="accent3"/>
          <w:insideV w:val="single" w:sz="8" w:space="0" w:color="2688FE" w:themeColor="accent3"/>
        </w:tcBorders>
      </w:tcPr>
    </w:tblStylePr>
  </w:style>
  <w:style w:type="table" w:styleId="LightGrid-Accent4">
    <w:name w:val="Light Grid Accent 4"/>
    <w:basedOn w:val="TableNormal"/>
    <w:semiHidden/>
    <w:unhideWhenUsed/>
    <w:rsid w:val="001051DF"/>
    <w:pPr>
      <w:spacing w:before="0" w:after="0" w:line="240" w:lineRule="auto"/>
    </w:pPr>
    <w:rPr>
      <w:rFonts w:ascii="EC Square Sans Pro" w:eastAsia="SimSun" w:hAnsi="EC Square Sans Pro"/>
      <w:lang w:eastAsia="en-GB"/>
    </w:rPr>
    <w:tblPr>
      <w:tblStyleRowBandSize w:val="1"/>
      <w:tblStyleColBandSize w:val="1"/>
      <w:tblBorders>
        <w:top w:val="single" w:sz="8" w:space="0" w:color="FDAB07" w:themeColor="accent4"/>
        <w:left w:val="single" w:sz="8" w:space="0" w:color="FDAB07" w:themeColor="accent4"/>
        <w:bottom w:val="single" w:sz="8" w:space="0" w:color="FDAB07" w:themeColor="accent4"/>
        <w:right w:val="single" w:sz="8" w:space="0" w:color="FDAB07" w:themeColor="accent4"/>
        <w:insideH w:val="single" w:sz="8" w:space="0" w:color="FDAB07" w:themeColor="accent4"/>
        <w:insideV w:val="single" w:sz="8" w:space="0" w:color="FDAB07"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DAB07" w:themeColor="accent4"/>
          <w:left w:val="single" w:sz="8" w:space="0" w:color="FDAB07" w:themeColor="accent4"/>
          <w:bottom w:val="single" w:sz="18" w:space="0" w:color="FDAB07" w:themeColor="accent4"/>
          <w:right w:val="single" w:sz="8" w:space="0" w:color="FDAB07" w:themeColor="accent4"/>
          <w:insideH w:val="nil"/>
          <w:insideV w:val="single" w:sz="8" w:space="0" w:color="FDAB07"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DAB07" w:themeColor="accent4"/>
          <w:left w:val="single" w:sz="8" w:space="0" w:color="FDAB07" w:themeColor="accent4"/>
          <w:bottom w:val="single" w:sz="8" w:space="0" w:color="FDAB07" w:themeColor="accent4"/>
          <w:right w:val="single" w:sz="8" w:space="0" w:color="FDAB07" w:themeColor="accent4"/>
          <w:insideH w:val="nil"/>
          <w:insideV w:val="single" w:sz="8" w:space="0" w:color="FDAB07"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DAB07" w:themeColor="accent4"/>
          <w:left w:val="single" w:sz="8" w:space="0" w:color="FDAB07" w:themeColor="accent4"/>
          <w:bottom w:val="single" w:sz="8" w:space="0" w:color="FDAB07" w:themeColor="accent4"/>
          <w:right w:val="single" w:sz="8" w:space="0" w:color="FDAB07" w:themeColor="accent4"/>
        </w:tcBorders>
      </w:tcPr>
    </w:tblStylePr>
    <w:tblStylePr w:type="band1Vert">
      <w:tblPr/>
      <w:tcPr>
        <w:tcBorders>
          <w:top w:val="single" w:sz="8" w:space="0" w:color="FDAB07" w:themeColor="accent4"/>
          <w:left w:val="single" w:sz="8" w:space="0" w:color="FDAB07" w:themeColor="accent4"/>
          <w:bottom w:val="single" w:sz="8" w:space="0" w:color="FDAB07" w:themeColor="accent4"/>
          <w:right w:val="single" w:sz="8" w:space="0" w:color="FDAB07" w:themeColor="accent4"/>
        </w:tcBorders>
        <w:shd w:val="clear" w:color="auto" w:fill="FEEAC1" w:themeFill="accent4" w:themeFillTint="3F"/>
      </w:tcPr>
    </w:tblStylePr>
    <w:tblStylePr w:type="band1Horz">
      <w:tblPr/>
      <w:tcPr>
        <w:tcBorders>
          <w:top w:val="single" w:sz="8" w:space="0" w:color="FDAB07" w:themeColor="accent4"/>
          <w:left w:val="single" w:sz="8" w:space="0" w:color="FDAB07" w:themeColor="accent4"/>
          <w:bottom w:val="single" w:sz="8" w:space="0" w:color="FDAB07" w:themeColor="accent4"/>
          <w:right w:val="single" w:sz="8" w:space="0" w:color="FDAB07" w:themeColor="accent4"/>
          <w:insideV w:val="single" w:sz="8" w:space="0" w:color="FDAB07" w:themeColor="accent4"/>
        </w:tcBorders>
        <w:shd w:val="clear" w:color="auto" w:fill="FEEAC1" w:themeFill="accent4" w:themeFillTint="3F"/>
      </w:tcPr>
    </w:tblStylePr>
    <w:tblStylePr w:type="band2Horz">
      <w:tblPr/>
      <w:tcPr>
        <w:tcBorders>
          <w:top w:val="single" w:sz="8" w:space="0" w:color="FDAB07" w:themeColor="accent4"/>
          <w:left w:val="single" w:sz="8" w:space="0" w:color="FDAB07" w:themeColor="accent4"/>
          <w:bottom w:val="single" w:sz="8" w:space="0" w:color="FDAB07" w:themeColor="accent4"/>
          <w:right w:val="single" w:sz="8" w:space="0" w:color="FDAB07" w:themeColor="accent4"/>
          <w:insideV w:val="single" w:sz="8" w:space="0" w:color="FDAB07" w:themeColor="accent4"/>
        </w:tcBorders>
      </w:tcPr>
    </w:tblStylePr>
  </w:style>
  <w:style w:type="table" w:styleId="LightGrid-Accent5">
    <w:name w:val="Light Grid Accent 5"/>
    <w:basedOn w:val="TableNormal"/>
    <w:semiHidden/>
    <w:unhideWhenUsed/>
    <w:rsid w:val="001051DF"/>
    <w:pPr>
      <w:spacing w:before="0" w:after="0" w:line="240" w:lineRule="auto"/>
    </w:pPr>
    <w:rPr>
      <w:rFonts w:ascii="EC Square Sans Pro" w:eastAsia="SimSun" w:hAnsi="EC Square Sans Pro"/>
      <w:lang w:eastAsia="en-GB"/>
    </w:rPr>
    <w:tblPr>
      <w:tblStyleRowBandSize w:val="1"/>
      <w:tblStyleColBandSize w:val="1"/>
      <w:tblBorders>
        <w:top w:val="single" w:sz="8" w:space="0" w:color="DC165D" w:themeColor="accent5"/>
        <w:left w:val="single" w:sz="8" w:space="0" w:color="DC165D" w:themeColor="accent5"/>
        <w:bottom w:val="single" w:sz="8" w:space="0" w:color="DC165D" w:themeColor="accent5"/>
        <w:right w:val="single" w:sz="8" w:space="0" w:color="DC165D" w:themeColor="accent5"/>
        <w:insideH w:val="single" w:sz="8" w:space="0" w:color="DC165D" w:themeColor="accent5"/>
        <w:insideV w:val="single" w:sz="8" w:space="0" w:color="DC165D"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DC165D" w:themeColor="accent5"/>
          <w:left w:val="single" w:sz="8" w:space="0" w:color="DC165D" w:themeColor="accent5"/>
          <w:bottom w:val="single" w:sz="18" w:space="0" w:color="DC165D" w:themeColor="accent5"/>
          <w:right w:val="single" w:sz="8" w:space="0" w:color="DC165D" w:themeColor="accent5"/>
          <w:insideH w:val="nil"/>
          <w:insideV w:val="single" w:sz="8" w:space="0" w:color="DC165D"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DC165D" w:themeColor="accent5"/>
          <w:left w:val="single" w:sz="8" w:space="0" w:color="DC165D" w:themeColor="accent5"/>
          <w:bottom w:val="single" w:sz="8" w:space="0" w:color="DC165D" w:themeColor="accent5"/>
          <w:right w:val="single" w:sz="8" w:space="0" w:color="DC165D" w:themeColor="accent5"/>
          <w:insideH w:val="nil"/>
          <w:insideV w:val="single" w:sz="8" w:space="0" w:color="DC165D"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DC165D" w:themeColor="accent5"/>
          <w:left w:val="single" w:sz="8" w:space="0" w:color="DC165D" w:themeColor="accent5"/>
          <w:bottom w:val="single" w:sz="8" w:space="0" w:color="DC165D" w:themeColor="accent5"/>
          <w:right w:val="single" w:sz="8" w:space="0" w:color="DC165D" w:themeColor="accent5"/>
        </w:tcBorders>
      </w:tcPr>
    </w:tblStylePr>
    <w:tblStylePr w:type="band1Vert">
      <w:tblPr/>
      <w:tcPr>
        <w:tcBorders>
          <w:top w:val="single" w:sz="8" w:space="0" w:color="DC165D" w:themeColor="accent5"/>
          <w:left w:val="single" w:sz="8" w:space="0" w:color="DC165D" w:themeColor="accent5"/>
          <w:bottom w:val="single" w:sz="8" w:space="0" w:color="DC165D" w:themeColor="accent5"/>
          <w:right w:val="single" w:sz="8" w:space="0" w:color="DC165D" w:themeColor="accent5"/>
        </w:tcBorders>
        <w:shd w:val="clear" w:color="auto" w:fill="F9C2D6" w:themeFill="accent5" w:themeFillTint="3F"/>
      </w:tcPr>
    </w:tblStylePr>
    <w:tblStylePr w:type="band1Horz">
      <w:tblPr/>
      <w:tcPr>
        <w:tcBorders>
          <w:top w:val="single" w:sz="8" w:space="0" w:color="DC165D" w:themeColor="accent5"/>
          <w:left w:val="single" w:sz="8" w:space="0" w:color="DC165D" w:themeColor="accent5"/>
          <w:bottom w:val="single" w:sz="8" w:space="0" w:color="DC165D" w:themeColor="accent5"/>
          <w:right w:val="single" w:sz="8" w:space="0" w:color="DC165D" w:themeColor="accent5"/>
          <w:insideV w:val="single" w:sz="8" w:space="0" w:color="DC165D" w:themeColor="accent5"/>
        </w:tcBorders>
        <w:shd w:val="clear" w:color="auto" w:fill="F9C2D6" w:themeFill="accent5" w:themeFillTint="3F"/>
      </w:tcPr>
    </w:tblStylePr>
    <w:tblStylePr w:type="band2Horz">
      <w:tblPr/>
      <w:tcPr>
        <w:tcBorders>
          <w:top w:val="single" w:sz="8" w:space="0" w:color="DC165D" w:themeColor="accent5"/>
          <w:left w:val="single" w:sz="8" w:space="0" w:color="DC165D" w:themeColor="accent5"/>
          <w:bottom w:val="single" w:sz="8" w:space="0" w:color="DC165D" w:themeColor="accent5"/>
          <w:right w:val="single" w:sz="8" w:space="0" w:color="DC165D" w:themeColor="accent5"/>
          <w:insideV w:val="single" w:sz="8" w:space="0" w:color="DC165D" w:themeColor="accent5"/>
        </w:tcBorders>
      </w:tcPr>
    </w:tblStylePr>
  </w:style>
  <w:style w:type="table" w:styleId="LightGrid-Accent6">
    <w:name w:val="Light Grid Accent 6"/>
    <w:basedOn w:val="TableNormal"/>
    <w:semiHidden/>
    <w:unhideWhenUsed/>
    <w:rsid w:val="001051DF"/>
    <w:pPr>
      <w:spacing w:before="0" w:after="0" w:line="240" w:lineRule="auto"/>
    </w:pPr>
    <w:rPr>
      <w:rFonts w:ascii="EC Square Sans Pro" w:eastAsia="SimSun" w:hAnsi="EC Square Sans Pro"/>
      <w:lang w:eastAsia="en-GB"/>
    </w:rPr>
    <w:tblPr>
      <w:tblStyleRowBandSize w:val="1"/>
      <w:tblStyleColBandSize w:val="1"/>
      <w:tblBorders>
        <w:top w:val="single" w:sz="8" w:space="0" w:color="7030A0" w:themeColor="accent6"/>
        <w:left w:val="single" w:sz="8" w:space="0" w:color="7030A0" w:themeColor="accent6"/>
        <w:bottom w:val="single" w:sz="8" w:space="0" w:color="7030A0" w:themeColor="accent6"/>
        <w:right w:val="single" w:sz="8" w:space="0" w:color="7030A0" w:themeColor="accent6"/>
        <w:insideH w:val="single" w:sz="8" w:space="0" w:color="7030A0" w:themeColor="accent6"/>
        <w:insideV w:val="single" w:sz="8" w:space="0" w:color="7030A0"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30A0" w:themeColor="accent6"/>
          <w:left w:val="single" w:sz="8" w:space="0" w:color="7030A0" w:themeColor="accent6"/>
          <w:bottom w:val="single" w:sz="18" w:space="0" w:color="7030A0" w:themeColor="accent6"/>
          <w:right w:val="single" w:sz="8" w:space="0" w:color="7030A0" w:themeColor="accent6"/>
          <w:insideH w:val="nil"/>
          <w:insideV w:val="single" w:sz="8" w:space="0" w:color="7030A0"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30A0" w:themeColor="accent6"/>
          <w:left w:val="single" w:sz="8" w:space="0" w:color="7030A0" w:themeColor="accent6"/>
          <w:bottom w:val="single" w:sz="8" w:space="0" w:color="7030A0" w:themeColor="accent6"/>
          <w:right w:val="single" w:sz="8" w:space="0" w:color="7030A0" w:themeColor="accent6"/>
          <w:insideH w:val="nil"/>
          <w:insideV w:val="single" w:sz="8" w:space="0" w:color="7030A0"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30A0" w:themeColor="accent6"/>
          <w:left w:val="single" w:sz="8" w:space="0" w:color="7030A0" w:themeColor="accent6"/>
          <w:bottom w:val="single" w:sz="8" w:space="0" w:color="7030A0" w:themeColor="accent6"/>
          <w:right w:val="single" w:sz="8" w:space="0" w:color="7030A0" w:themeColor="accent6"/>
        </w:tcBorders>
      </w:tcPr>
    </w:tblStylePr>
    <w:tblStylePr w:type="band1Vert">
      <w:tblPr/>
      <w:tcPr>
        <w:tcBorders>
          <w:top w:val="single" w:sz="8" w:space="0" w:color="7030A0" w:themeColor="accent6"/>
          <w:left w:val="single" w:sz="8" w:space="0" w:color="7030A0" w:themeColor="accent6"/>
          <w:bottom w:val="single" w:sz="8" w:space="0" w:color="7030A0" w:themeColor="accent6"/>
          <w:right w:val="single" w:sz="8" w:space="0" w:color="7030A0" w:themeColor="accent6"/>
        </w:tcBorders>
        <w:shd w:val="clear" w:color="auto" w:fill="DCC5ED" w:themeFill="accent6" w:themeFillTint="3F"/>
      </w:tcPr>
    </w:tblStylePr>
    <w:tblStylePr w:type="band1Horz">
      <w:tblPr/>
      <w:tcPr>
        <w:tcBorders>
          <w:top w:val="single" w:sz="8" w:space="0" w:color="7030A0" w:themeColor="accent6"/>
          <w:left w:val="single" w:sz="8" w:space="0" w:color="7030A0" w:themeColor="accent6"/>
          <w:bottom w:val="single" w:sz="8" w:space="0" w:color="7030A0" w:themeColor="accent6"/>
          <w:right w:val="single" w:sz="8" w:space="0" w:color="7030A0" w:themeColor="accent6"/>
          <w:insideV w:val="single" w:sz="8" w:space="0" w:color="7030A0" w:themeColor="accent6"/>
        </w:tcBorders>
        <w:shd w:val="clear" w:color="auto" w:fill="DCC5ED" w:themeFill="accent6" w:themeFillTint="3F"/>
      </w:tcPr>
    </w:tblStylePr>
    <w:tblStylePr w:type="band2Horz">
      <w:tblPr/>
      <w:tcPr>
        <w:tcBorders>
          <w:top w:val="single" w:sz="8" w:space="0" w:color="7030A0" w:themeColor="accent6"/>
          <w:left w:val="single" w:sz="8" w:space="0" w:color="7030A0" w:themeColor="accent6"/>
          <w:bottom w:val="single" w:sz="8" w:space="0" w:color="7030A0" w:themeColor="accent6"/>
          <w:right w:val="single" w:sz="8" w:space="0" w:color="7030A0" w:themeColor="accent6"/>
          <w:insideV w:val="single" w:sz="8" w:space="0" w:color="7030A0" w:themeColor="accent6"/>
        </w:tcBorders>
      </w:tcPr>
    </w:tblStylePr>
  </w:style>
  <w:style w:type="table" w:styleId="LightList">
    <w:name w:val="Light List"/>
    <w:basedOn w:val="TableNormal"/>
    <w:semiHidden/>
    <w:unhideWhenUsed/>
    <w:rsid w:val="001051DF"/>
    <w:pPr>
      <w:spacing w:before="0" w:after="0" w:line="240" w:lineRule="auto"/>
    </w:pPr>
    <w:rPr>
      <w:rFonts w:ascii="EC Square Sans Pro" w:eastAsia="SimSun" w:hAnsi="EC Square Sans Pro"/>
      <w:lang w:eastAsia="en-GB"/>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semiHidden/>
    <w:unhideWhenUsed/>
    <w:rsid w:val="001051DF"/>
    <w:pPr>
      <w:spacing w:before="0" w:after="0" w:line="240" w:lineRule="auto"/>
    </w:pPr>
    <w:rPr>
      <w:rFonts w:ascii="EC Square Sans Pro" w:eastAsia="SimSun" w:hAnsi="EC Square Sans Pro"/>
      <w:lang w:eastAsia="en-GB"/>
    </w:rPr>
    <w:tblPr>
      <w:tblStyleRowBandSize w:val="1"/>
      <w:tblStyleColBandSize w:val="1"/>
      <w:tblBorders>
        <w:top w:val="single" w:sz="8" w:space="0" w:color="008139" w:themeColor="accent1"/>
        <w:left w:val="single" w:sz="8" w:space="0" w:color="008139" w:themeColor="accent1"/>
        <w:bottom w:val="single" w:sz="8" w:space="0" w:color="008139" w:themeColor="accent1"/>
        <w:right w:val="single" w:sz="8" w:space="0" w:color="008139" w:themeColor="accent1"/>
      </w:tblBorders>
    </w:tblPr>
    <w:tblStylePr w:type="firstRow">
      <w:pPr>
        <w:spacing w:before="0" w:after="0" w:line="240" w:lineRule="auto"/>
      </w:pPr>
      <w:rPr>
        <w:b/>
        <w:bCs/>
        <w:color w:val="FFFFFF" w:themeColor="background1"/>
      </w:rPr>
      <w:tblPr/>
      <w:tcPr>
        <w:shd w:val="clear" w:color="auto" w:fill="008139" w:themeFill="accent1"/>
      </w:tcPr>
    </w:tblStylePr>
    <w:tblStylePr w:type="lastRow">
      <w:pPr>
        <w:spacing w:before="0" w:after="0" w:line="240" w:lineRule="auto"/>
      </w:pPr>
      <w:rPr>
        <w:b/>
        <w:bCs/>
      </w:rPr>
      <w:tblPr/>
      <w:tcPr>
        <w:tcBorders>
          <w:top w:val="double" w:sz="6" w:space="0" w:color="008139" w:themeColor="accent1"/>
          <w:left w:val="single" w:sz="8" w:space="0" w:color="008139" w:themeColor="accent1"/>
          <w:bottom w:val="single" w:sz="8" w:space="0" w:color="008139" w:themeColor="accent1"/>
          <w:right w:val="single" w:sz="8" w:space="0" w:color="008139" w:themeColor="accent1"/>
        </w:tcBorders>
      </w:tcPr>
    </w:tblStylePr>
    <w:tblStylePr w:type="firstCol">
      <w:rPr>
        <w:b/>
        <w:bCs/>
      </w:rPr>
    </w:tblStylePr>
    <w:tblStylePr w:type="lastCol">
      <w:rPr>
        <w:b/>
        <w:bCs/>
      </w:rPr>
    </w:tblStylePr>
    <w:tblStylePr w:type="band1Vert">
      <w:tblPr/>
      <w:tcPr>
        <w:tcBorders>
          <w:top w:val="single" w:sz="8" w:space="0" w:color="008139" w:themeColor="accent1"/>
          <w:left w:val="single" w:sz="8" w:space="0" w:color="008139" w:themeColor="accent1"/>
          <w:bottom w:val="single" w:sz="8" w:space="0" w:color="008139" w:themeColor="accent1"/>
          <w:right w:val="single" w:sz="8" w:space="0" w:color="008139" w:themeColor="accent1"/>
        </w:tcBorders>
      </w:tcPr>
    </w:tblStylePr>
    <w:tblStylePr w:type="band1Horz">
      <w:tblPr/>
      <w:tcPr>
        <w:tcBorders>
          <w:top w:val="single" w:sz="8" w:space="0" w:color="008139" w:themeColor="accent1"/>
          <w:left w:val="single" w:sz="8" w:space="0" w:color="008139" w:themeColor="accent1"/>
          <w:bottom w:val="single" w:sz="8" w:space="0" w:color="008139" w:themeColor="accent1"/>
          <w:right w:val="single" w:sz="8" w:space="0" w:color="008139" w:themeColor="accent1"/>
        </w:tcBorders>
      </w:tcPr>
    </w:tblStylePr>
  </w:style>
  <w:style w:type="table" w:styleId="LightList-Accent2">
    <w:name w:val="Light List Accent 2"/>
    <w:basedOn w:val="TableNormal"/>
    <w:semiHidden/>
    <w:unhideWhenUsed/>
    <w:rsid w:val="001051DF"/>
    <w:pPr>
      <w:spacing w:before="0" w:after="0" w:line="240" w:lineRule="auto"/>
    </w:pPr>
    <w:rPr>
      <w:rFonts w:ascii="EC Square Sans Pro" w:eastAsia="SimSun" w:hAnsi="EC Square Sans Pro"/>
      <w:lang w:eastAsia="en-GB"/>
    </w:rPr>
    <w:tblPr>
      <w:tblStyleRowBandSize w:val="1"/>
      <w:tblStyleColBandSize w:val="1"/>
      <w:tblBorders>
        <w:top w:val="single" w:sz="8" w:space="0" w:color="DE6002" w:themeColor="accent2"/>
        <w:left w:val="single" w:sz="8" w:space="0" w:color="DE6002" w:themeColor="accent2"/>
        <w:bottom w:val="single" w:sz="8" w:space="0" w:color="DE6002" w:themeColor="accent2"/>
        <w:right w:val="single" w:sz="8" w:space="0" w:color="DE6002" w:themeColor="accent2"/>
      </w:tblBorders>
    </w:tblPr>
    <w:tblStylePr w:type="firstRow">
      <w:pPr>
        <w:spacing w:before="0" w:after="0" w:line="240" w:lineRule="auto"/>
      </w:pPr>
      <w:rPr>
        <w:b/>
        <w:bCs/>
        <w:color w:val="FFFFFF" w:themeColor="background1"/>
      </w:rPr>
      <w:tblPr/>
      <w:tcPr>
        <w:shd w:val="clear" w:color="auto" w:fill="DE6002" w:themeFill="accent2"/>
      </w:tcPr>
    </w:tblStylePr>
    <w:tblStylePr w:type="lastRow">
      <w:pPr>
        <w:spacing w:before="0" w:after="0" w:line="240" w:lineRule="auto"/>
      </w:pPr>
      <w:rPr>
        <w:b/>
        <w:bCs/>
      </w:rPr>
      <w:tblPr/>
      <w:tcPr>
        <w:tcBorders>
          <w:top w:val="double" w:sz="6" w:space="0" w:color="DE6002" w:themeColor="accent2"/>
          <w:left w:val="single" w:sz="8" w:space="0" w:color="DE6002" w:themeColor="accent2"/>
          <w:bottom w:val="single" w:sz="8" w:space="0" w:color="DE6002" w:themeColor="accent2"/>
          <w:right w:val="single" w:sz="8" w:space="0" w:color="DE6002" w:themeColor="accent2"/>
        </w:tcBorders>
      </w:tcPr>
    </w:tblStylePr>
    <w:tblStylePr w:type="firstCol">
      <w:rPr>
        <w:b/>
        <w:bCs/>
      </w:rPr>
    </w:tblStylePr>
    <w:tblStylePr w:type="lastCol">
      <w:rPr>
        <w:b/>
        <w:bCs/>
      </w:rPr>
    </w:tblStylePr>
    <w:tblStylePr w:type="band1Vert">
      <w:tblPr/>
      <w:tcPr>
        <w:tcBorders>
          <w:top w:val="single" w:sz="8" w:space="0" w:color="DE6002" w:themeColor="accent2"/>
          <w:left w:val="single" w:sz="8" w:space="0" w:color="DE6002" w:themeColor="accent2"/>
          <w:bottom w:val="single" w:sz="8" w:space="0" w:color="DE6002" w:themeColor="accent2"/>
          <w:right w:val="single" w:sz="8" w:space="0" w:color="DE6002" w:themeColor="accent2"/>
        </w:tcBorders>
      </w:tcPr>
    </w:tblStylePr>
    <w:tblStylePr w:type="band1Horz">
      <w:tblPr/>
      <w:tcPr>
        <w:tcBorders>
          <w:top w:val="single" w:sz="8" w:space="0" w:color="DE6002" w:themeColor="accent2"/>
          <w:left w:val="single" w:sz="8" w:space="0" w:color="DE6002" w:themeColor="accent2"/>
          <w:bottom w:val="single" w:sz="8" w:space="0" w:color="DE6002" w:themeColor="accent2"/>
          <w:right w:val="single" w:sz="8" w:space="0" w:color="DE6002" w:themeColor="accent2"/>
        </w:tcBorders>
      </w:tcPr>
    </w:tblStylePr>
  </w:style>
  <w:style w:type="table" w:styleId="LightList-Accent3">
    <w:name w:val="Light List Accent 3"/>
    <w:basedOn w:val="TableNormal"/>
    <w:semiHidden/>
    <w:unhideWhenUsed/>
    <w:rsid w:val="001051DF"/>
    <w:pPr>
      <w:spacing w:before="0" w:after="0" w:line="240" w:lineRule="auto"/>
    </w:pPr>
    <w:rPr>
      <w:rFonts w:ascii="EC Square Sans Pro" w:eastAsia="SimSun" w:hAnsi="EC Square Sans Pro"/>
      <w:lang w:eastAsia="en-GB"/>
    </w:rPr>
    <w:tblPr>
      <w:tblStyleRowBandSize w:val="1"/>
      <w:tblStyleColBandSize w:val="1"/>
      <w:tblBorders>
        <w:top w:val="single" w:sz="8" w:space="0" w:color="2688FE" w:themeColor="accent3"/>
        <w:left w:val="single" w:sz="8" w:space="0" w:color="2688FE" w:themeColor="accent3"/>
        <w:bottom w:val="single" w:sz="8" w:space="0" w:color="2688FE" w:themeColor="accent3"/>
        <w:right w:val="single" w:sz="8" w:space="0" w:color="2688FE" w:themeColor="accent3"/>
      </w:tblBorders>
    </w:tblPr>
    <w:tblStylePr w:type="firstRow">
      <w:pPr>
        <w:spacing w:before="0" w:after="0" w:line="240" w:lineRule="auto"/>
      </w:pPr>
      <w:rPr>
        <w:b/>
        <w:bCs/>
        <w:color w:val="FFFFFF" w:themeColor="background1"/>
      </w:rPr>
      <w:tblPr/>
      <w:tcPr>
        <w:shd w:val="clear" w:color="auto" w:fill="2688FE" w:themeFill="accent3"/>
      </w:tcPr>
    </w:tblStylePr>
    <w:tblStylePr w:type="lastRow">
      <w:pPr>
        <w:spacing w:before="0" w:after="0" w:line="240" w:lineRule="auto"/>
      </w:pPr>
      <w:rPr>
        <w:b/>
        <w:bCs/>
      </w:rPr>
      <w:tblPr/>
      <w:tcPr>
        <w:tcBorders>
          <w:top w:val="double" w:sz="6" w:space="0" w:color="2688FE" w:themeColor="accent3"/>
          <w:left w:val="single" w:sz="8" w:space="0" w:color="2688FE" w:themeColor="accent3"/>
          <w:bottom w:val="single" w:sz="8" w:space="0" w:color="2688FE" w:themeColor="accent3"/>
          <w:right w:val="single" w:sz="8" w:space="0" w:color="2688FE" w:themeColor="accent3"/>
        </w:tcBorders>
      </w:tcPr>
    </w:tblStylePr>
    <w:tblStylePr w:type="firstCol">
      <w:rPr>
        <w:b/>
        <w:bCs/>
      </w:rPr>
    </w:tblStylePr>
    <w:tblStylePr w:type="lastCol">
      <w:rPr>
        <w:b/>
        <w:bCs/>
      </w:rPr>
    </w:tblStylePr>
    <w:tblStylePr w:type="band1Vert">
      <w:tblPr/>
      <w:tcPr>
        <w:tcBorders>
          <w:top w:val="single" w:sz="8" w:space="0" w:color="2688FE" w:themeColor="accent3"/>
          <w:left w:val="single" w:sz="8" w:space="0" w:color="2688FE" w:themeColor="accent3"/>
          <w:bottom w:val="single" w:sz="8" w:space="0" w:color="2688FE" w:themeColor="accent3"/>
          <w:right w:val="single" w:sz="8" w:space="0" w:color="2688FE" w:themeColor="accent3"/>
        </w:tcBorders>
      </w:tcPr>
    </w:tblStylePr>
    <w:tblStylePr w:type="band1Horz">
      <w:tblPr/>
      <w:tcPr>
        <w:tcBorders>
          <w:top w:val="single" w:sz="8" w:space="0" w:color="2688FE" w:themeColor="accent3"/>
          <w:left w:val="single" w:sz="8" w:space="0" w:color="2688FE" w:themeColor="accent3"/>
          <w:bottom w:val="single" w:sz="8" w:space="0" w:color="2688FE" w:themeColor="accent3"/>
          <w:right w:val="single" w:sz="8" w:space="0" w:color="2688FE" w:themeColor="accent3"/>
        </w:tcBorders>
      </w:tcPr>
    </w:tblStylePr>
  </w:style>
  <w:style w:type="table" w:styleId="LightList-Accent4">
    <w:name w:val="Light List Accent 4"/>
    <w:basedOn w:val="TableNormal"/>
    <w:semiHidden/>
    <w:unhideWhenUsed/>
    <w:rsid w:val="001051DF"/>
    <w:pPr>
      <w:spacing w:before="0" w:after="0" w:line="240" w:lineRule="auto"/>
    </w:pPr>
    <w:rPr>
      <w:rFonts w:ascii="EC Square Sans Pro" w:eastAsia="SimSun" w:hAnsi="EC Square Sans Pro"/>
      <w:lang w:eastAsia="en-GB"/>
    </w:rPr>
    <w:tblPr>
      <w:tblStyleRowBandSize w:val="1"/>
      <w:tblStyleColBandSize w:val="1"/>
      <w:tblBorders>
        <w:top w:val="single" w:sz="8" w:space="0" w:color="FDAB07" w:themeColor="accent4"/>
        <w:left w:val="single" w:sz="8" w:space="0" w:color="FDAB07" w:themeColor="accent4"/>
        <w:bottom w:val="single" w:sz="8" w:space="0" w:color="FDAB07" w:themeColor="accent4"/>
        <w:right w:val="single" w:sz="8" w:space="0" w:color="FDAB07" w:themeColor="accent4"/>
      </w:tblBorders>
    </w:tblPr>
    <w:tblStylePr w:type="firstRow">
      <w:pPr>
        <w:spacing w:before="0" w:after="0" w:line="240" w:lineRule="auto"/>
      </w:pPr>
      <w:rPr>
        <w:b/>
        <w:bCs/>
        <w:color w:val="FFFFFF" w:themeColor="background1"/>
      </w:rPr>
      <w:tblPr/>
      <w:tcPr>
        <w:shd w:val="clear" w:color="auto" w:fill="FDAB07" w:themeFill="accent4"/>
      </w:tcPr>
    </w:tblStylePr>
    <w:tblStylePr w:type="lastRow">
      <w:pPr>
        <w:spacing w:before="0" w:after="0" w:line="240" w:lineRule="auto"/>
      </w:pPr>
      <w:rPr>
        <w:b/>
        <w:bCs/>
      </w:rPr>
      <w:tblPr/>
      <w:tcPr>
        <w:tcBorders>
          <w:top w:val="double" w:sz="6" w:space="0" w:color="FDAB07" w:themeColor="accent4"/>
          <w:left w:val="single" w:sz="8" w:space="0" w:color="FDAB07" w:themeColor="accent4"/>
          <w:bottom w:val="single" w:sz="8" w:space="0" w:color="FDAB07" w:themeColor="accent4"/>
          <w:right w:val="single" w:sz="8" w:space="0" w:color="FDAB07" w:themeColor="accent4"/>
        </w:tcBorders>
      </w:tcPr>
    </w:tblStylePr>
    <w:tblStylePr w:type="firstCol">
      <w:rPr>
        <w:b/>
        <w:bCs/>
      </w:rPr>
    </w:tblStylePr>
    <w:tblStylePr w:type="lastCol">
      <w:rPr>
        <w:b/>
        <w:bCs/>
      </w:rPr>
    </w:tblStylePr>
    <w:tblStylePr w:type="band1Vert">
      <w:tblPr/>
      <w:tcPr>
        <w:tcBorders>
          <w:top w:val="single" w:sz="8" w:space="0" w:color="FDAB07" w:themeColor="accent4"/>
          <w:left w:val="single" w:sz="8" w:space="0" w:color="FDAB07" w:themeColor="accent4"/>
          <w:bottom w:val="single" w:sz="8" w:space="0" w:color="FDAB07" w:themeColor="accent4"/>
          <w:right w:val="single" w:sz="8" w:space="0" w:color="FDAB07" w:themeColor="accent4"/>
        </w:tcBorders>
      </w:tcPr>
    </w:tblStylePr>
    <w:tblStylePr w:type="band1Horz">
      <w:tblPr/>
      <w:tcPr>
        <w:tcBorders>
          <w:top w:val="single" w:sz="8" w:space="0" w:color="FDAB07" w:themeColor="accent4"/>
          <w:left w:val="single" w:sz="8" w:space="0" w:color="FDAB07" w:themeColor="accent4"/>
          <w:bottom w:val="single" w:sz="8" w:space="0" w:color="FDAB07" w:themeColor="accent4"/>
          <w:right w:val="single" w:sz="8" w:space="0" w:color="FDAB07" w:themeColor="accent4"/>
        </w:tcBorders>
      </w:tcPr>
    </w:tblStylePr>
  </w:style>
  <w:style w:type="table" w:styleId="LightList-Accent5">
    <w:name w:val="Light List Accent 5"/>
    <w:basedOn w:val="TableNormal"/>
    <w:semiHidden/>
    <w:unhideWhenUsed/>
    <w:rsid w:val="001051DF"/>
    <w:pPr>
      <w:spacing w:before="0" w:after="0" w:line="240" w:lineRule="auto"/>
    </w:pPr>
    <w:rPr>
      <w:rFonts w:ascii="EC Square Sans Pro" w:eastAsia="SimSun" w:hAnsi="EC Square Sans Pro"/>
      <w:lang w:eastAsia="en-GB"/>
    </w:rPr>
    <w:tblPr>
      <w:tblStyleRowBandSize w:val="1"/>
      <w:tblStyleColBandSize w:val="1"/>
      <w:tblBorders>
        <w:top w:val="single" w:sz="8" w:space="0" w:color="DC165D" w:themeColor="accent5"/>
        <w:left w:val="single" w:sz="8" w:space="0" w:color="DC165D" w:themeColor="accent5"/>
        <w:bottom w:val="single" w:sz="8" w:space="0" w:color="DC165D" w:themeColor="accent5"/>
        <w:right w:val="single" w:sz="8" w:space="0" w:color="DC165D" w:themeColor="accent5"/>
      </w:tblBorders>
    </w:tblPr>
    <w:tblStylePr w:type="firstRow">
      <w:pPr>
        <w:spacing w:before="0" w:after="0" w:line="240" w:lineRule="auto"/>
      </w:pPr>
      <w:rPr>
        <w:b/>
        <w:bCs/>
        <w:color w:val="FFFFFF" w:themeColor="background1"/>
      </w:rPr>
      <w:tblPr/>
      <w:tcPr>
        <w:shd w:val="clear" w:color="auto" w:fill="DC165D" w:themeFill="accent5"/>
      </w:tcPr>
    </w:tblStylePr>
    <w:tblStylePr w:type="lastRow">
      <w:pPr>
        <w:spacing w:before="0" w:after="0" w:line="240" w:lineRule="auto"/>
      </w:pPr>
      <w:rPr>
        <w:b/>
        <w:bCs/>
      </w:rPr>
      <w:tblPr/>
      <w:tcPr>
        <w:tcBorders>
          <w:top w:val="double" w:sz="6" w:space="0" w:color="DC165D" w:themeColor="accent5"/>
          <w:left w:val="single" w:sz="8" w:space="0" w:color="DC165D" w:themeColor="accent5"/>
          <w:bottom w:val="single" w:sz="8" w:space="0" w:color="DC165D" w:themeColor="accent5"/>
          <w:right w:val="single" w:sz="8" w:space="0" w:color="DC165D" w:themeColor="accent5"/>
        </w:tcBorders>
      </w:tcPr>
    </w:tblStylePr>
    <w:tblStylePr w:type="firstCol">
      <w:rPr>
        <w:b/>
        <w:bCs/>
      </w:rPr>
    </w:tblStylePr>
    <w:tblStylePr w:type="lastCol">
      <w:rPr>
        <w:b/>
        <w:bCs/>
      </w:rPr>
    </w:tblStylePr>
    <w:tblStylePr w:type="band1Vert">
      <w:tblPr/>
      <w:tcPr>
        <w:tcBorders>
          <w:top w:val="single" w:sz="8" w:space="0" w:color="DC165D" w:themeColor="accent5"/>
          <w:left w:val="single" w:sz="8" w:space="0" w:color="DC165D" w:themeColor="accent5"/>
          <w:bottom w:val="single" w:sz="8" w:space="0" w:color="DC165D" w:themeColor="accent5"/>
          <w:right w:val="single" w:sz="8" w:space="0" w:color="DC165D" w:themeColor="accent5"/>
        </w:tcBorders>
      </w:tcPr>
    </w:tblStylePr>
    <w:tblStylePr w:type="band1Horz">
      <w:tblPr/>
      <w:tcPr>
        <w:tcBorders>
          <w:top w:val="single" w:sz="8" w:space="0" w:color="DC165D" w:themeColor="accent5"/>
          <w:left w:val="single" w:sz="8" w:space="0" w:color="DC165D" w:themeColor="accent5"/>
          <w:bottom w:val="single" w:sz="8" w:space="0" w:color="DC165D" w:themeColor="accent5"/>
          <w:right w:val="single" w:sz="8" w:space="0" w:color="DC165D" w:themeColor="accent5"/>
        </w:tcBorders>
      </w:tcPr>
    </w:tblStylePr>
  </w:style>
  <w:style w:type="table" w:styleId="LightList-Accent6">
    <w:name w:val="Light List Accent 6"/>
    <w:basedOn w:val="TableNormal"/>
    <w:semiHidden/>
    <w:unhideWhenUsed/>
    <w:rsid w:val="001051DF"/>
    <w:pPr>
      <w:spacing w:before="0" w:after="0" w:line="240" w:lineRule="auto"/>
    </w:pPr>
    <w:rPr>
      <w:rFonts w:ascii="EC Square Sans Pro" w:eastAsia="SimSun" w:hAnsi="EC Square Sans Pro"/>
      <w:lang w:eastAsia="en-GB"/>
    </w:rPr>
    <w:tblPr>
      <w:tblStyleRowBandSize w:val="1"/>
      <w:tblStyleColBandSize w:val="1"/>
      <w:tblBorders>
        <w:top w:val="single" w:sz="8" w:space="0" w:color="7030A0" w:themeColor="accent6"/>
        <w:left w:val="single" w:sz="8" w:space="0" w:color="7030A0" w:themeColor="accent6"/>
        <w:bottom w:val="single" w:sz="8" w:space="0" w:color="7030A0" w:themeColor="accent6"/>
        <w:right w:val="single" w:sz="8" w:space="0" w:color="7030A0" w:themeColor="accent6"/>
      </w:tblBorders>
    </w:tblPr>
    <w:tblStylePr w:type="firstRow">
      <w:pPr>
        <w:spacing w:before="0" w:after="0" w:line="240" w:lineRule="auto"/>
      </w:pPr>
      <w:rPr>
        <w:b/>
        <w:bCs/>
        <w:color w:val="FFFFFF" w:themeColor="background1"/>
      </w:rPr>
      <w:tblPr/>
      <w:tcPr>
        <w:shd w:val="clear" w:color="auto" w:fill="7030A0" w:themeFill="accent6"/>
      </w:tcPr>
    </w:tblStylePr>
    <w:tblStylePr w:type="lastRow">
      <w:pPr>
        <w:spacing w:before="0" w:after="0" w:line="240" w:lineRule="auto"/>
      </w:pPr>
      <w:rPr>
        <w:b/>
        <w:bCs/>
      </w:rPr>
      <w:tblPr/>
      <w:tcPr>
        <w:tcBorders>
          <w:top w:val="double" w:sz="6" w:space="0" w:color="7030A0" w:themeColor="accent6"/>
          <w:left w:val="single" w:sz="8" w:space="0" w:color="7030A0" w:themeColor="accent6"/>
          <w:bottom w:val="single" w:sz="8" w:space="0" w:color="7030A0" w:themeColor="accent6"/>
          <w:right w:val="single" w:sz="8" w:space="0" w:color="7030A0" w:themeColor="accent6"/>
        </w:tcBorders>
      </w:tcPr>
    </w:tblStylePr>
    <w:tblStylePr w:type="firstCol">
      <w:rPr>
        <w:b/>
        <w:bCs/>
      </w:rPr>
    </w:tblStylePr>
    <w:tblStylePr w:type="lastCol">
      <w:rPr>
        <w:b/>
        <w:bCs/>
      </w:rPr>
    </w:tblStylePr>
    <w:tblStylePr w:type="band1Vert">
      <w:tblPr/>
      <w:tcPr>
        <w:tcBorders>
          <w:top w:val="single" w:sz="8" w:space="0" w:color="7030A0" w:themeColor="accent6"/>
          <w:left w:val="single" w:sz="8" w:space="0" w:color="7030A0" w:themeColor="accent6"/>
          <w:bottom w:val="single" w:sz="8" w:space="0" w:color="7030A0" w:themeColor="accent6"/>
          <w:right w:val="single" w:sz="8" w:space="0" w:color="7030A0" w:themeColor="accent6"/>
        </w:tcBorders>
      </w:tcPr>
    </w:tblStylePr>
    <w:tblStylePr w:type="band1Horz">
      <w:tblPr/>
      <w:tcPr>
        <w:tcBorders>
          <w:top w:val="single" w:sz="8" w:space="0" w:color="7030A0" w:themeColor="accent6"/>
          <w:left w:val="single" w:sz="8" w:space="0" w:color="7030A0" w:themeColor="accent6"/>
          <w:bottom w:val="single" w:sz="8" w:space="0" w:color="7030A0" w:themeColor="accent6"/>
          <w:right w:val="single" w:sz="8" w:space="0" w:color="7030A0" w:themeColor="accent6"/>
        </w:tcBorders>
      </w:tcPr>
    </w:tblStylePr>
  </w:style>
  <w:style w:type="table" w:styleId="LightShading">
    <w:name w:val="Light Shading"/>
    <w:basedOn w:val="TableNormal"/>
    <w:semiHidden/>
    <w:unhideWhenUsed/>
    <w:rsid w:val="001051DF"/>
    <w:pPr>
      <w:spacing w:before="0" w:after="0" w:line="240" w:lineRule="auto"/>
    </w:pPr>
    <w:rPr>
      <w:rFonts w:ascii="EC Square Sans Pro" w:eastAsia="SimSun" w:hAnsi="EC Square Sans Pro"/>
      <w:color w:val="000000" w:themeColor="text1" w:themeShade="BF"/>
      <w:lang w:eastAsia="en-GB"/>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semiHidden/>
    <w:unhideWhenUsed/>
    <w:rsid w:val="001051DF"/>
    <w:pPr>
      <w:spacing w:before="0" w:after="0" w:line="240" w:lineRule="auto"/>
    </w:pPr>
    <w:rPr>
      <w:rFonts w:ascii="EC Square Sans Pro" w:eastAsia="SimSun" w:hAnsi="EC Square Sans Pro"/>
      <w:color w:val="00602A" w:themeColor="accent1" w:themeShade="BF"/>
      <w:lang w:eastAsia="en-GB"/>
    </w:rPr>
    <w:tblPr>
      <w:tblStyleRowBandSize w:val="1"/>
      <w:tblStyleColBandSize w:val="1"/>
      <w:tblBorders>
        <w:top w:val="single" w:sz="8" w:space="0" w:color="008139" w:themeColor="accent1"/>
        <w:bottom w:val="single" w:sz="8" w:space="0" w:color="008139" w:themeColor="accent1"/>
      </w:tblBorders>
    </w:tblPr>
    <w:tblStylePr w:type="firstRow">
      <w:pPr>
        <w:spacing w:before="0" w:after="0" w:line="240" w:lineRule="auto"/>
      </w:pPr>
      <w:rPr>
        <w:b/>
        <w:bCs/>
      </w:rPr>
      <w:tblPr/>
      <w:tcPr>
        <w:tcBorders>
          <w:top w:val="single" w:sz="8" w:space="0" w:color="008139" w:themeColor="accent1"/>
          <w:left w:val="nil"/>
          <w:bottom w:val="single" w:sz="8" w:space="0" w:color="008139" w:themeColor="accent1"/>
          <w:right w:val="nil"/>
          <w:insideH w:val="nil"/>
          <w:insideV w:val="nil"/>
        </w:tcBorders>
      </w:tcPr>
    </w:tblStylePr>
    <w:tblStylePr w:type="lastRow">
      <w:pPr>
        <w:spacing w:before="0" w:after="0" w:line="240" w:lineRule="auto"/>
      </w:pPr>
      <w:rPr>
        <w:b/>
        <w:bCs/>
      </w:rPr>
      <w:tblPr/>
      <w:tcPr>
        <w:tcBorders>
          <w:top w:val="single" w:sz="8" w:space="0" w:color="008139" w:themeColor="accent1"/>
          <w:left w:val="nil"/>
          <w:bottom w:val="single" w:sz="8" w:space="0" w:color="008139"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0FFCA" w:themeFill="accent1" w:themeFillTint="3F"/>
      </w:tcPr>
    </w:tblStylePr>
    <w:tblStylePr w:type="band1Horz">
      <w:tblPr/>
      <w:tcPr>
        <w:tcBorders>
          <w:left w:val="nil"/>
          <w:right w:val="nil"/>
          <w:insideH w:val="nil"/>
          <w:insideV w:val="nil"/>
        </w:tcBorders>
        <w:shd w:val="clear" w:color="auto" w:fill="A0FFCA" w:themeFill="accent1" w:themeFillTint="3F"/>
      </w:tcPr>
    </w:tblStylePr>
  </w:style>
  <w:style w:type="table" w:styleId="LightShading-Accent2">
    <w:name w:val="Light Shading Accent 2"/>
    <w:basedOn w:val="TableNormal"/>
    <w:semiHidden/>
    <w:unhideWhenUsed/>
    <w:rsid w:val="001051DF"/>
    <w:pPr>
      <w:spacing w:before="0" w:after="0" w:line="240" w:lineRule="auto"/>
    </w:pPr>
    <w:rPr>
      <w:rFonts w:ascii="EC Square Sans Pro" w:eastAsia="SimSun" w:hAnsi="EC Square Sans Pro"/>
      <w:color w:val="A64701" w:themeColor="accent2" w:themeShade="BF"/>
      <w:lang w:eastAsia="en-GB"/>
    </w:rPr>
    <w:tblPr>
      <w:tblStyleRowBandSize w:val="1"/>
      <w:tblStyleColBandSize w:val="1"/>
      <w:tblBorders>
        <w:top w:val="single" w:sz="8" w:space="0" w:color="DE6002" w:themeColor="accent2"/>
        <w:bottom w:val="single" w:sz="8" w:space="0" w:color="DE6002" w:themeColor="accent2"/>
      </w:tblBorders>
    </w:tblPr>
    <w:tblStylePr w:type="firstRow">
      <w:pPr>
        <w:spacing w:before="0" w:after="0" w:line="240" w:lineRule="auto"/>
      </w:pPr>
      <w:rPr>
        <w:b/>
        <w:bCs/>
      </w:rPr>
      <w:tblPr/>
      <w:tcPr>
        <w:tcBorders>
          <w:top w:val="single" w:sz="8" w:space="0" w:color="DE6002" w:themeColor="accent2"/>
          <w:left w:val="nil"/>
          <w:bottom w:val="single" w:sz="8" w:space="0" w:color="DE6002" w:themeColor="accent2"/>
          <w:right w:val="nil"/>
          <w:insideH w:val="nil"/>
          <w:insideV w:val="nil"/>
        </w:tcBorders>
      </w:tcPr>
    </w:tblStylePr>
    <w:tblStylePr w:type="lastRow">
      <w:pPr>
        <w:spacing w:before="0" w:after="0" w:line="240" w:lineRule="auto"/>
      </w:pPr>
      <w:rPr>
        <w:b/>
        <w:bCs/>
      </w:rPr>
      <w:tblPr/>
      <w:tcPr>
        <w:tcBorders>
          <w:top w:val="single" w:sz="8" w:space="0" w:color="DE6002" w:themeColor="accent2"/>
          <w:left w:val="nil"/>
          <w:bottom w:val="single" w:sz="8" w:space="0" w:color="DE600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ED6B8" w:themeFill="accent2" w:themeFillTint="3F"/>
      </w:tcPr>
    </w:tblStylePr>
    <w:tblStylePr w:type="band1Horz">
      <w:tblPr/>
      <w:tcPr>
        <w:tcBorders>
          <w:left w:val="nil"/>
          <w:right w:val="nil"/>
          <w:insideH w:val="nil"/>
          <w:insideV w:val="nil"/>
        </w:tcBorders>
        <w:shd w:val="clear" w:color="auto" w:fill="FED6B8" w:themeFill="accent2" w:themeFillTint="3F"/>
      </w:tcPr>
    </w:tblStylePr>
  </w:style>
  <w:style w:type="table" w:styleId="LightShading-Accent3">
    <w:name w:val="Light Shading Accent 3"/>
    <w:basedOn w:val="TableNormal"/>
    <w:semiHidden/>
    <w:unhideWhenUsed/>
    <w:rsid w:val="001051DF"/>
    <w:pPr>
      <w:spacing w:before="0" w:after="0" w:line="240" w:lineRule="auto"/>
    </w:pPr>
    <w:rPr>
      <w:rFonts w:ascii="EC Square Sans Pro" w:eastAsia="SimSun" w:hAnsi="EC Square Sans Pro"/>
      <w:color w:val="0162D9" w:themeColor="accent3" w:themeShade="BF"/>
      <w:lang w:eastAsia="en-GB"/>
    </w:rPr>
    <w:tblPr>
      <w:tblStyleRowBandSize w:val="1"/>
      <w:tblStyleColBandSize w:val="1"/>
      <w:tblBorders>
        <w:top w:val="single" w:sz="8" w:space="0" w:color="2688FE" w:themeColor="accent3"/>
        <w:bottom w:val="single" w:sz="8" w:space="0" w:color="2688FE" w:themeColor="accent3"/>
      </w:tblBorders>
    </w:tblPr>
    <w:tblStylePr w:type="firstRow">
      <w:pPr>
        <w:spacing w:before="0" w:after="0" w:line="240" w:lineRule="auto"/>
      </w:pPr>
      <w:rPr>
        <w:b/>
        <w:bCs/>
      </w:rPr>
      <w:tblPr/>
      <w:tcPr>
        <w:tcBorders>
          <w:top w:val="single" w:sz="8" w:space="0" w:color="2688FE" w:themeColor="accent3"/>
          <w:left w:val="nil"/>
          <w:bottom w:val="single" w:sz="8" w:space="0" w:color="2688FE" w:themeColor="accent3"/>
          <w:right w:val="nil"/>
          <w:insideH w:val="nil"/>
          <w:insideV w:val="nil"/>
        </w:tcBorders>
      </w:tcPr>
    </w:tblStylePr>
    <w:tblStylePr w:type="lastRow">
      <w:pPr>
        <w:spacing w:before="0" w:after="0" w:line="240" w:lineRule="auto"/>
      </w:pPr>
      <w:rPr>
        <w:b/>
        <w:bCs/>
      </w:rPr>
      <w:tblPr/>
      <w:tcPr>
        <w:tcBorders>
          <w:top w:val="single" w:sz="8" w:space="0" w:color="2688FE" w:themeColor="accent3"/>
          <w:left w:val="nil"/>
          <w:bottom w:val="single" w:sz="8" w:space="0" w:color="2688FE"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E1FE" w:themeFill="accent3" w:themeFillTint="3F"/>
      </w:tcPr>
    </w:tblStylePr>
    <w:tblStylePr w:type="band1Horz">
      <w:tblPr/>
      <w:tcPr>
        <w:tcBorders>
          <w:left w:val="nil"/>
          <w:right w:val="nil"/>
          <w:insideH w:val="nil"/>
          <w:insideV w:val="nil"/>
        </w:tcBorders>
        <w:shd w:val="clear" w:color="auto" w:fill="C9E1FE" w:themeFill="accent3" w:themeFillTint="3F"/>
      </w:tcPr>
    </w:tblStylePr>
  </w:style>
  <w:style w:type="table" w:styleId="LightShading-Accent4">
    <w:name w:val="Light Shading Accent 4"/>
    <w:basedOn w:val="TableNormal"/>
    <w:semiHidden/>
    <w:unhideWhenUsed/>
    <w:rsid w:val="001051DF"/>
    <w:pPr>
      <w:spacing w:before="0" w:after="0" w:line="240" w:lineRule="auto"/>
    </w:pPr>
    <w:rPr>
      <w:rFonts w:ascii="EC Square Sans Pro" w:eastAsia="SimSun" w:hAnsi="EC Square Sans Pro"/>
      <w:color w:val="C18101" w:themeColor="accent4" w:themeShade="BF"/>
      <w:lang w:eastAsia="en-GB"/>
    </w:rPr>
    <w:tblPr>
      <w:tblStyleRowBandSize w:val="1"/>
      <w:tblStyleColBandSize w:val="1"/>
      <w:tblBorders>
        <w:top w:val="single" w:sz="8" w:space="0" w:color="FDAB07" w:themeColor="accent4"/>
        <w:bottom w:val="single" w:sz="8" w:space="0" w:color="FDAB07" w:themeColor="accent4"/>
      </w:tblBorders>
    </w:tblPr>
    <w:tblStylePr w:type="firstRow">
      <w:pPr>
        <w:spacing w:before="0" w:after="0" w:line="240" w:lineRule="auto"/>
      </w:pPr>
      <w:rPr>
        <w:b/>
        <w:bCs/>
      </w:rPr>
      <w:tblPr/>
      <w:tcPr>
        <w:tcBorders>
          <w:top w:val="single" w:sz="8" w:space="0" w:color="FDAB07" w:themeColor="accent4"/>
          <w:left w:val="nil"/>
          <w:bottom w:val="single" w:sz="8" w:space="0" w:color="FDAB07" w:themeColor="accent4"/>
          <w:right w:val="nil"/>
          <w:insideH w:val="nil"/>
          <w:insideV w:val="nil"/>
        </w:tcBorders>
      </w:tcPr>
    </w:tblStylePr>
    <w:tblStylePr w:type="lastRow">
      <w:pPr>
        <w:spacing w:before="0" w:after="0" w:line="240" w:lineRule="auto"/>
      </w:pPr>
      <w:rPr>
        <w:b/>
        <w:bCs/>
      </w:rPr>
      <w:tblPr/>
      <w:tcPr>
        <w:tcBorders>
          <w:top w:val="single" w:sz="8" w:space="0" w:color="FDAB07" w:themeColor="accent4"/>
          <w:left w:val="nil"/>
          <w:bottom w:val="single" w:sz="8" w:space="0" w:color="FDAB07"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EEAC1" w:themeFill="accent4" w:themeFillTint="3F"/>
      </w:tcPr>
    </w:tblStylePr>
    <w:tblStylePr w:type="band1Horz">
      <w:tblPr/>
      <w:tcPr>
        <w:tcBorders>
          <w:left w:val="nil"/>
          <w:right w:val="nil"/>
          <w:insideH w:val="nil"/>
          <w:insideV w:val="nil"/>
        </w:tcBorders>
        <w:shd w:val="clear" w:color="auto" w:fill="FEEAC1" w:themeFill="accent4" w:themeFillTint="3F"/>
      </w:tcPr>
    </w:tblStylePr>
  </w:style>
  <w:style w:type="table" w:styleId="LightShading-Accent5">
    <w:name w:val="Light Shading Accent 5"/>
    <w:basedOn w:val="TableNormal"/>
    <w:semiHidden/>
    <w:unhideWhenUsed/>
    <w:rsid w:val="001051DF"/>
    <w:pPr>
      <w:spacing w:before="0" w:after="0" w:line="240" w:lineRule="auto"/>
    </w:pPr>
    <w:rPr>
      <w:rFonts w:ascii="EC Square Sans Pro" w:eastAsia="SimSun" w:hAnsi="EC Square Sans Pro"/>
      <w:color w:val="A41045" w:themeColor="accent5" w:themeShade="BF"/>
      <w:lang w:eastAsia="en-GB"/>
    </w:rPr>
    <w:tblPr>
      <w:tblStyleRowBandSize w:val="1"/>
      <w:tblStyleColBandSize w:val="1"/>
      <w:tblBorders>
        <w:top w:val="single" w:sz="8" w:space="0" w:color="DC165D" w:themeColor="accent5"/>
        <w:bottom w:val="single" w:sz="8" w:space="0" w:color="DC165D" w:themeColor="accent5"/>
      </w:tblBorders>
    </w:tblPr>
    <w:tblStylePr w:type="firstRow">
      <w:pPr>
        <w:spacing w:before="0" w:after="0" w:line="240" w:lineRule="auto"/>
      </w:pPr>
      <w:rPr>
        <w:b/>
        <w:bCs/>
      </w:rPr>
      <w:tblPr/>
      <w:tcPr>
        <w:tcBorders>
          <w:top w:val="single" w:sz="8" w:space="0" w:color="DC165D" w:themeColor="accent5"/>
          <w:left w:val="nil"/>
          <w:bottom w:val="single" w:sz="8" w:space="0" w:color="DC165D" w:themeColor="accent5"/>
          <w:right w:val="nil"/>
          <w:insideH w:val="nil"/>
          <w:insideV w:val="nil"/>
        </w:tcBorders>
      </w:tcPr>
    </w:tblStylePr>
    <w:tblStylePr w:type="lastRow">
      <w:pPr>
        <w:spacing w:before="0" w:after="0" w:line="240" w:lineRule="auto"/>
      </w:pPr>
      <w:rPr>
        <w:b/>
        <w:bCs/>
      </w:rPr>
      <w:tblPr/>
      <w:tcPr>
        <w:tcBorders>
          <w:top w:val="single" w:sz="8" w:space="0" w:color="DC165D" w:themeColor="accent5"/>
          <w:left w:val="nil"/>
          <w:bottom w:val="single" w:sz="8" w:space="0" w:color="DC165D"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C2D6" w:themeFill="accent5" w:themeFillTint="3F"/>
      </w:tcPr>
    </w:tblStylePr>
    <w:tblStylePr w:type="band1Horz">
      <w:tblPr/>
      <w:tcPr>
        <w:tcBorders>
          <w:left w:val="nil"/>
          <w:right w:val="nil"/>
          <w:insideH w:val="nil"/>
          <w:insideV w:val="nil"/>
        </w:tcBorders>
        <w:shd w:val="clear" w:color="auto" w:fill="F9C2D6" w:themeFill="accent5" w:themeFillTint="3F"/>
      </w:tcPr>
    </w:tblStylePr>
  </w:style>
  <w:style w:type="table" w:styleId="LightShading-Accent6">
    <w:name w:val="Light Shading Accent 6"/>
    <w:basedOn w:val="TableNormal"/>
    <w:semiHidden/>
    <w:unhideWhenUsed/>
    <w:rsid w:val="001051DF"/>
    <w:pPr>
      <w:spacing w:before="0" w:after="0" w:line="240" w:lineRule="auto"/>
    </w:pPr>
    <w:rPr>
      <w:rFonts w:ascii="EC Square Sans Pro" w:eastAsia="SimSun" w:hAnsi="EC Square Sans Pro"/>
      <w:color w:val="532477" w:themeColor="accent6" w:themeShade="BF"/>
      <w:lang w:eastAsia="en-GB"/>
    </w:rPr>
    <w:tblPr>
      <w:tblStyleRowBandSize w:val="1"/>
      <w:tblStyleColBandSize w:val="1"/>
      <w:tblBorders>
        <w:top w:val="single" w:sz="8" w:space="0" w:color="7030A0" w:themeColor="accent6"/>
        <w:bottom w:val="single" w:sz="8" w:space="0" w:color="7030A0" w:themeColor="accent6"/>
      </w:tblBorders>
    </w:tblPr>
    <w:tblStylePr w:type="firstRow">
      <w:pPr>
        <w:spacing w:before="0" w:after="0" w:line="240" w:lineRule="auto"/>
      </w:pPr>
      <w:rPr>
        <w:b/>
        <w:bCs/>
      </w:rPr>
      <w:tblPr/>
      <w:tcPr>
        <w:tcBorders>
          <w:top w:val="single" w:sz="8" w:space="0" w:color="7030A0" w:themeColor="accent6"/>
          <w:left w:val="nil"/>
          <w:bottom w:val="single" w:sz="8" w:space="0" w:color="7030A0" w:themeColor="accent6"/>
          <w:right w:val="nil"/>
          <w:insideH w:val="nil"/>
          <w:insideV w:val="nil"/>
        </w:tcBorders>
      </w:tcPr>
    </w:tblStylePr>
    <w:tblStylePr w:type="lastRow">
      <w:pPr>
        <w:spacing w:before="0" w:after="0" w:line="240" w:lineRule="auto"/>
      </w:pPr>
      <w:rPr>
        <w:b/>
        <w:bCs/>
      </w:rPr>
      <w:tblPr/>
      <w:tcPr>
        <w:tcBorders>
          <w:top w:val="single" w:sz="8" w:space="0" w:color="7030A0" w:themeColor="accent6"/>
          <w:left w:val="nil"/>
          <w:bottom w:val="single" w:sz="8" w:space="0" w:color="7030A0"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CC5ED" w:themeFill="accent6" w:themeFillTint="3F"/>
      </w:tcPr>
    </w:tblStylePr>
    <w:tblStylePr w:type="band1Horz">
      <w:tblPr/>
      <w:tcPr>
        <w:tcBorders>
          <w:left w:val="nil"/>
          <w:right w:val="nil"/>
          <w:insideH w:val="nil"/>
          <w:insideV w:val="nil"/>
        </w:tcBorders>
        <w:shd w:val="clear" w:color="auto" w:fill="DCC5ED" w:themeFill="accent6" w:themeFillTint="3F"/>
      </w:tcPr>
    </w:tblStylePr>
  </w:style>
  <w:style w:type="character" w:styleId="LineNumber">
    <w:name w:val="line number"/>
    <w:basedOn w:val="DefaultParagraphFont"/>
    <w:semiHidden/>
    <w:rsid w:val="001051DF"/>
    <w:rPr>
      <w:noProof w:val="0"/>
      <w:lang w:val="en-GB"/>
    </w:rPr>
  </w:style>
  <w:style w:type="paragraph" w:styleId="List">
    <w:name w:val="List"/>
    <w:basedOn w:val="Normal"/>
    <w:uiPriority w:val="3"/>
    <w:semiHidden/>
    <w:rsid w:val="001051DF"/>
    <w:pPr>
      <w:ind w:left="283" w:hanging="283"/>
      <w:contextualSpacing/>
    </w:pPr>
  </w:style>
  <w:style w:type="numbering" w:customStyle="1" w:styleId="LISTAboutEUpage">
    <w:name w:val="LIST (About EU page)"/>
    <w:uiPriority w:val="99"/>
    <w:rsid w:val="00EC3443"/>
    <w:pPr>
      <w:numPr>
        <w:numId w:val="7"/>
      </w:numPr>
    </w:pPr>
  </w:style>
  <w:style w:type="paragraph" w:styleId="List2">
    <w:name w:val="List 2"/>
    <w:basedOn w:val="Normal"/>
    <w:uiPriority w:val="3"/>
    <w:semiHidden/>
    <w:rsid w:val="001051DF"/>
    <w:pPr>
      <w:ind w:left="566" w:hanging="283"/>
      <w:contextualSpacing/>
    </w:pPr>
  </w:style>
  <w:style w:type="paragraph" w:styleId="List3">
    <w:name w:val="List 3"/>
    <w:basedOn w:val="Normal"/>
    <w:uiPriority w:val="3"/>
    <w:semiHidden/>
    <w:rsid w:val="001051DF"/>
    <w:pPr>
      <w:ind w:left="849" w:hanging="283"/>
      <w:contextualSpacing/>
    </w:pPr>
  </w:style>
  <w:style w:type="paragraph" w:styleId="List4">
    <w:name w:val="List 4"/>
    <w:basedOn w:val="Normal"/>
    <w:uiPriority w:val="3"/>
    <w:semiHidden/>
    <w:rsid w:val="001051DF"/>
    <w:pPr>
      <w:ind w:left="1132" w:hanging="283"/>
      <w:contextualSpacing/>
    </w:pPr>
  </w:style>
  <w:style w:type="paragraph" w:styleId="List5">
    <w:name w:val="List 5"/>
    <w:basedOn w:val="Normal"/>
    <w:uiPriority w:val="3"/>
    <w:semiHidden/>
    <w:rsid w:val="001051DF"/>
    <w:pPr>
      <w:ind w:left="1415" w:hanging="283"/>
      <w:contextualSpacing/>
    </w:pPr>
  </w:style>
  <w:style w:type="paragraph" w:styleId="ListBullet2">
    <w:name w:val="List Bullet 2"/>
    <w:basedOn w:val="Normal"/>
    <w:uiPriority w:val="3"/>
    <w:semiHidden/>
    <w:rsid w:val="001051DF"/>
    <w:pPr>
      <w:numPr>
        <w:numId w:val="6"/>
      </w:numPr>
      <w:tabs>
        <w:tab w:val="num" w:pos="1209"/>
      </w:tabs>
      <w:contextualSpacing/>
    </w:pPr>
  </w:style>
  <w:style w:type="paragraph" w:styleId="ListBullet3">
    <w:name w:val="List Bullet 3"/>
    <w:basedOn w:val="Normal"/>
    <w:uiPriority w:val="3"/>
    <w:semiHidden/>
    <w:rsid w:val="00EC3443"/>
    <w:pPr>
      <w:numPr>
        <w:numId w:val="7"/>
      </w:numPr>
      <w:contextualSpacing/>
    </w:pPr>
  </w:style>
  <w:style w:type="paragraph" w:styleId="ListBullet4">
    <w:name w:val="List Bullet 4"/>
    <w:basedOn w:val="Normal"/>
    <w:uiPriority w:val="3"/>
    <w:semiHidden/>
    <w:rsid w:val="00EC3443"/>
    <w:pPr>
      <w:numPr>
        <w:numId w:val="8"/>
      </w:numPr>
      <w:tabs>
        <w:tab w:val="num" w:pos="1209"/>
      </w:tabs>
      <w:contextualSpacing/>
    </w:pPr>
  </w:style>
  <w:style w:type="paragraph" w:styleId="ListBullet5">
    <w:name w:val="List Bullet 5"/>
    <w:basedOn w:val="Normal"/>
    <w:uiPriority w:val="3"/>
    <w:semiHidden/>
    <w:rsid w:val="001051DF"/>
    <w:pPr>
      <w:numPr>
        <w:numId w:val="9"/>
      </w:numPr>
      <w:tabs>
        <w:tab w:val="num" w:pos="643"/>
      </w:tabs>
      <w:contextualSpacing/>
    </w:pPr>
  </w:style>
  <w:style w:type="numbering" w:customStyle="1" w:styleId="ListBulletLIST">
    <w:name w:val="List Bullet LIST"/>
    <w:uiPriority w:val="99"/>
    <w:rsid w:val="00EC3443"/>
    <w:pPr>
      <w:numPr>
        <w:numId w:val="23"/>
      </w:numPr>
    </w:pPr>
  </w:style>
  <w:style w:type="numbering" w:customStyle="1" w:styleId="ListBulletblueLIST">
    <w:name w:val="List Bullet_blue LIST"/>
    <w:uiPriority w:val="99"/>
    <w:rsid w:val="00771240"/>
    <w:pPr>
      <w:numPr>
        <w:numId w:val="38"/>
      </w:numPr>
    </w:pPr>
  </w:style>
  <w:style w:type="paragraph" w:styleId="ListContinue">
    <w:name w:val="List Continue"/>
    <w:basedOn w:val="Normal"/>
    <w:uiPriority w:val="3"/>
    <w:semiHidden/>
    <w:rsid w:val="001051DF"/>
    <w:pPr>
      <w:spacing w:after="120"/>
      <w:ind w:left="283"/>
      <w:contextualSpacing/>
    </w:pPr>
    <w:rPr>
      <w:rFonts w:eastAsia="Times New Roman"/>
    </w:rPr>
  </w:style>
  <w:style w:type="paragraph" w:styleId="ListContinue2">
    <w:name w:val="List Continue 2"/>
    <w:basedOn w:val="Normal"/>
    <w:uiPriority w:val="3"/>
    <w:semiHidden/>
    <w:rsid w:val="001051DF"/>
    <w:pPr>
      <w:spacing w:after="120"/>
      <w:ind w:left="566"/>
      <w:contextualSpacing/>
    </w:pPr>
    <w:rPr>
      <w:rFonts w:eastAsia="Times New Roman"/>
    </w:rPr>
  </w:style>
  <w:style w:type="paragraph" w:styleId="ListContinue3">
    <w:name w:val="List Continue 3"/>
    <w:basedOn w:val="Normal"/>
    <w:uiPriority w:val="3"/>
    <w:semiHidden/>
    <w:rsid w:val="001051DF"/>
    <w:pPr>
      <w:spacing w:after="120"/>
      <w:ind w:left="849"/>
      <w:contextualSpacing/>
    </w:pPr>
    <w:rPr>
      <w:rFonts w:eastAsia="Times New Roman"/>
    </w:rPr>
  </w:style>
  <w:style w:type="paragraph" w:styleId="ListContinue4">
    <w:name w:val="List Continue 4"/>
    <w:basedOn w:val="Normal"/>
    <w:uiPriority w:val="3"/>
    <w:semiHidden/>
    <w:rsid w:val="001051DF"/>
    <w:pPr>
      <w:spacing w:after="120"/>
      <w:ind w:left="1132"/>
      <w:contextualSpacing/>
    </w:pPr>
    <w:rPr>
      <w:rFonts w:eastAsia="Times New Roman"/>
    </w:rPr>
  </w:style>
  <w:style w:type="paragraph" w:styleId="ListContinue5">
    <w:name w:val="List Continue 5"/>
    <w:basedOn w:val="Normal"/>
    <w:uiPriority w:val="3"/>
    <w:semiHidden/>
    <w:rsid w:val="001051DF"/>
    <w:pPr>
      <w:spacing w:after="120"/>
      <w:ind w:left="1415"/>
      <w:contextualSpacing/>
    </w:pPr>
    <w:rPr>
      <w:rFonts w:eastAsia="Times New Roman"/>
    </w:rPr>
  </w:style>
  <w:style w:type="paragraph" w:styleId="ListNumber2">
    <w:name w:val="List Number 2"/>
    <w:basedOn w:val="Normal"/>
    <w:semiHidden/>
    <w:rsid w:val="001051DF"/>
    <w:pPr>
      <w:numPr>
        <w:numId w:val="11"/>
      </w:numPr>
      <w:tabs>
        <w:tab w:val="num" w:pos="1492"/>
      </w:tabs>
      <w:contextualSpacing/>
    </w:pPr>
  </w:style>
  <w:style w:type="paragraph" w:styleId="ListNumber3">
    <w:name w:val="List Number 3"/>
    <w:basedOn w:val="Normal"/>
    <w:uiPriority w:val="3"/>
    <w:semiHidden/>
    <w:rsid w:val="001051DF"/>
    <w:pPr>
      <w:numPr>
        <w:numId w:val="12"/>
      </w:numPr>
      <w:contextualSpacing/>
    </w:pPr>
  </w:style>
  <w:style w:type="paragraph" w:styleId="ListNumber4">
    <w:name w:val="List Number 4"/>
    <w:basedOn w:val="Normal"/>
    <w:uiPriority w:val="3"/>
    <w:semiHidden/>
    <w:rsid w:val="00EC3443"/>
    <w:pPr>
      <w:numPr>
        <w:numId w:val="13"/>
      </w:numPr>
      <w:contextualSpacing/>
    </w:pPr>
  </w:style>
  <w:style w:type="paragraph" w:styleId="ListNumber5">
    <w:name w:val="List Number 5"/>
    <w:basedOn w:val="Normal"/>
    <w:uiPriority w:val="3"/>
    <w:semiHidden/>
    <w:rsid w:val="00EC3443"/>
    <w:pPr>
      <w:numPr>
        <w:numId w:val="14"/>
      </w:numPr>
      <w:contextualSpacing/>
    </w:pPr>
  </w:style>
  <w:style w:type="paragraph" w:styleId="ListParagraph">
    <w:name w:val="List Paragraph"/>
    <w:basedOn w:val="ListBullet"/>
    <w:link w:val="ListParagraphChar"/>
    <w:uiPriority w:val="34"/>
    <w:semiHidden/>
    <w:rsid w:val="00EC3443"/>
  </w:style>
  <w:style w:type="character" w:customStyle="1" w:styleId="ListParagraphChar">
    <w:name w:val="List Paragraph Char"/>
    <w:link w:val="ListParagraph"/>
    <w:uiPriority w:val="34"/>
    <w:semiHidden/>
    <w:qFormat/>
    <w:rsid w:val="001051DF"/>
    <w:rPr>
      <w:rFonts w:ascii="EC Square Sans Pro" w:hAnsi="EC Square Sans Pro"/>
      <w:lang w:eastAsia="en-GB"/>
    </w:rPr>
  </w:style>
  <w:style w:type="table" w:styleId="ListTable1Light">
    <w:name w:val="List Table 1 Light"/>
    <w:basedOn w:val="TableNormal"/>
    <w:rsid w:val="001051DF"/>
    <w:pPr>
      <w:spacing w:after="0" w:line="240" w:lineRule="auto"/>
    </w:pPr>
    <w:rPr>
      <w:rFonts w:ascii="EC Square Sans Pro" w:eastAsia="SimSun" w:hAnsi="EC Square Sans Pro"/>
      <w:lang w:eastAsia="en-GB"/>
    </w:r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rsid w:val="001051DF"/>
    <w:pPr>
      <w:spacing w:after="0" w:line="240" w:lineRule="auto"/>
    </w:pPr>
    <w:rPr>
      <w:rFonts w:ascii="EC Square Sans Pro" w:eastAsia="SimSun" w:hAnsi="EC Square Sans Pro"/>
      <w:lang w:eastAsia="en-GB"/>
    </w:rPr>
    <w:tblPr>
      <w:tblStyleRowBandSize w:val="1"/>
      <w:tblStyleColBandSize w:val="1"/>
    </w:tblPr>
    <w:tblStylePr w:type="firstRow">
      <w:rPr>
        <w:b/>
        <w:bCs/>
      </w:rPr>
      <w:tblPr/>
      <w:tcPr>
        <w:tcBorders>
          <w:bottom w:val="single" w:sz="4" w:space="0" w:color="1AFF7E" w:themeColor="accent1" w:themeTint="99"/>
        </w:tcBorders>
      </w:tcPr>
    </w:tblStylePr>
    <w:tblStylePr w:type="lastRow">
      <w:rPr>
        <w:b/>
        <w:bCs/>
      </w:rPr>
      <w:tblPr/>
      <w:tcPr>
        <w:tcBorders>
          <w:top w:val="single" w:sz="4" w:space="0" w:color="1AFF7E" w:themeColor="accent1" w:themeTint="99"/>
        </w:tcBorders>
      </w:tcPr>
    </w:tblStylePr>
    <w:tblStylePr w:type="firstCol">
      <w:rPr>
        <w:b/>
        <w:bCs/>
      </w:rPr>
    </w:tblStylePr>
    <w:tblStylePr w:type="lastCol">
      <w:rPr>
        <w:b/>
        <w:bCs/>
      </w:rPr>
    </w:tblStylePr>
    <w:tblStylePr w:type="band1Vert">
      <w:tblPr/>
      <w:tcPr>
        <w:shd w:val="clear" w:color="auto" w:fill="B2FFD4" w:themeFill="accent1" w:themeFillTint="33"/>
      </w:tcPr>
    </w:tblStylePr>
    <w:tblStylePr w:type="band1Horz">
      <w:tblPr/>
      <w:tcPr>
        <w:shd w:val="clear" w:color="auto" w:fill="B2FFD4" w:themeFill="accent1" w:themeFillTint="33"/>
      </w:tcPr>
    </w:tblStylePr>
  </w:style>
  <w:style w:type="table" w:styleId="ListTable1Light-Accent2">
    <w:name w:val="List Table 1 Light Accent 2"/>
    <w:basedOn w:val="TableNormal"/>
    <w:rsid w:val="001051DF"/>
    <w:pPr>
      <w:spacing w:after="0" w:line="240" w:lineRule="auto"/>
    </w:pPr>
    <w:rPr>
      <w:rFonts w:ascii="EC Square Sans Pro" w:eastAsia="SimSun" w:hAnsi="EC Square Sans Pro"/>
      <w:lang w:eastAsia="en-GB"/>
    </w:rPr>
    <w:tblPr>
      <w:tblStyleRowBandSize w:val="1"/>
      <w:tblStyleColBandSize w:val="1"/>
    </w:tblPr>
    <w:tblStylePr w:type="firstRow">
      <w:rPr>
        <w:b/>
        <w:bCs/>
      </w:rPr>
      <w:tblPr/>
      <w:tcPr>
        <w:tcBorders>
          <w:bottom w:val="single" w:sz="4" w:space="0" w:color="FD9C54" w:themeColor="accent2" w:themeTint="99"/>
        </w:tcBorders>
      </w:tcPr>
    </w:tblStylePr>
    <w:tblStylePr w:type="lastRow">
      <w:rPr>
        <w:b/>
        <w:bCs/>
      </w:rPr>
      <w:tblPr/>
      <w:tcPr>
        <w:tcBorders>
          <w:top w:val="single" w:sz="4" w:space="0" w:color="FD9C54" w:themeColor="accent2" w:themeTint="99"/>
        </w:tcBorders>
      </w:tcPr>
    </w:tblStylePr>
    <w:tblStylePr w:type="firstCol">
      <w:rPr>
        <w:b/>
        <w:bCs/>
      </w:rPr>
    </w:tblStylePr>
    <w:tblStylePr w:type="lastCol">
      <w:rPr>
        <w:b/>
        <w:bCs/>
      </w:rPr>
    </w:tblStylePr>
    <w:tblStylePr w:type="band1Vert">
      <w:tblPr/>
      <w:tcPr>
        <w:shd w:val="clear" w:color="auto" w:fill="FEDEC6" w:themeFill="accent2" w:themeFillTint="33"/>
      </w:tcPr>
    </w:tblStylePr>
    <w:tblStylePr w:type="band1Horz">
      <w:tblPr/>
      <w:tcPr>
        <w:shd w:val="clear" w:color="auto" w:fill="FEDEC6" w:themeFill="accent2" w:themeFillTint="33"/>
      </w:tcPr>
    </w:tblStylePr>
  </w:style>
  <w:style w:type="table" w:styleId="ListTable1Light-Accent3">
    <w:name w:val="List Table 1 Light Accent 3"/>
    <w:basedOn w:val="TableNormal"/>
    <w:rsid w:val="001051DF"/>
    <w:pPr>
      <w:spacing w:after="0" w:line="240" w:lineRule="auto"/>
    </w:pPr>
    <w:rPr>
      <w:rFonts w:ascii="EC Square Sans Pro" w:eastAsia="SimSun" w:hAnsi="EC Square Sans Pro"/>
      <w:lang w:eastAsia="en-GB"/>
    </w:rPr>
    <w:tblPr>
      <w:tblStyleRowBandSize w:val="1"/>
      <w:tblStyleColBandSize w:val="1"/>
    </w:tblPr>
    <w:tblStylePr w:type="firstRow">
      <w:rPr>
        <w:b/>
        <w:bCs/>
      </w:rPr>
      <w:tblPr/>
      <w:tcPr>
        <w:tcBorders>
          <w:bottom w:val="single" w:sz="4" w:space="0" w:color="7CB7FE" w:themeColor="accent3" w:themeTint="99"/>
        </w:tcBorders>
      </w:tcPr>
    </w:tblStylePr>
    <w:tblStylePr w:type="lastRow">
      <w:rPr>
        <w:b/>
        <w:bCs/>
      </w:rPr>
      <w:tblPr/>
      <w:tcPr>
        <w:tcBorders>
          <w:top w:val="single" w:sz="4" w:space="0" w:color="7CB7FE" w:themeColor="accent3" w:themeTint="99"/>
        </w:tcBorders>
      </w:tcPr>
    </w:tblStylePr>
    <w:tblStylePr w:type="firstCol">
      <w:rPr>
        <w:b/>
        <w:bCs/>
      </w:rPr>
    </w:tblStylePr>
    <w:tblStylePr w:type="lastCol">
      <w:rPr>
        <w:b/>
        <w:bCs/>
      </w:rPr>
    </w:tblStylePr>
    <w:tblStylePr w:type="band1Vert">
      <w:tblPr/>
      <w:tcPr>
        <w:shd w:val="clear" w:color="auto" w:fill="D3E7FE" w:themeFill="accent3" w:themeFillTint="33"/>
      </w:tcPr>
    </w:tblStylePr>
    <w:tblStylePr w:type="band1Horz">
      <w:tblPr/>
      <w:tcPr>
        <w:shd w:val="clear" w:color="auto" w:fill="D3E7FE" w:themeFill="accent3" w:themeFillTint="33"/>
      </w:tcPr>
    </w:tblStylePr>
  </w:style>
  <w:style w:type="table" w:styleId="ListTable1Light-Accent4">
    <w:name w:val="List Table 1 Light Accent 4"/>
    <w:basedOn w:val="TableNormal"/>
    <w:rsid w:val="001051DF"/>
    <w:pPr>
      <w:spacing w:after="0" w:line="240" w:lineRule="auto"/>
    </w:pPr>
    <w:rPr>
      <w:rFonts w:ascii="EC Square Sans Pro" w:eastAsia="SimSun" w:hAnsi="EC Square Sans Pro"/>
      <w:lang w:eastAsia="en-GB"/>
    </w:rPr>
    <w:tblPr>
      <w:tblStyleRowBandSize w:val="1"/>
      <w:tblStyleColBandSize w:val="1"/>
    </w:tblPr>
    <w:tblStylePr w:type="firstRow">
      <w:rPr>
        <w:b/>
        <w:bCs/>
      </w:rPr>
      <w:tblPr/>
      <w:tcPr>
        <w:tcBorders>
          <w:bottom w:val="single" w:sz="4" w:space="0" w:color="FDCC6A" w:themeColor="accent4" w:themeTint="99"/>
        </w:tcBorders>
      </w:tcPr>
    </w:tblStylePr>
    <w:tblStylePr w:type="lastRow">
      <w:rPr>
        <w:b/>
        <w:bCs/>
      </w:rPr>
      <w:tblPr/>
      <w:tcPr>
        <w:tcBorders>
          <w:top w:val="single" w:sz="4" w:space="0" w:color="FDCC6A" w:themeColor="accent4" w:themeTint="99"/>
        </w:tcBorders>
      </w:tcPr>
    </w:tblStylePr>
    <w:tblStylePr w:type="firstCol">
      <w:rPr>
        <w:b/>
        <w:bCs/>
      </w:rPr>
    </w:tblStylePr>
    <w:tblStylePr w:type="lastCol">
      <w:rPr>
        <w:b/>
        <w:bCs/>
      </w:rPr>
    </w:tblStylePr>
    <w:tblStylePr w:type="band1Vert">
      <w:tblPr/>
      <w:tcPr>
        <w:shd w:val="clear" w:color="auto" w:fill="FEEECD" w:themeFill="accent4" w:themeFillTint="33"/>
      </w:tcPr>
    </w:tblStylePr>
    <w:tblStylePr w:type="band1Horz">
      <w:tblPr/>
      <w:tcPr>
        <w:shd w:val="clear" w:color="auto" w:fill="FEEECD" w:themeFill="accent4" w:themeFillTint="33"/>
      </w:tcPr>
    </w:tblStylePr>
  </w:style>
  <w:style w:type="table" w:styleId="ListTable1Light-Accent5">
    <w:name w:val="List Table 1 Light Accent 5"/>
    <w:basedOn w:val="TableNormal"/>
    <w:rsid w:val="001051DF"/>
    <w:pPr>
      <w:spacing w:after="0" w:line="240" w:lineRule="auto"/>
    </w:pPr>
    <w:rPr>
      <w:rFonts w:ascii="EC Square Sans Pro" w:eastAsia="SimSun" w:hAnsi="EC Square Sans Pro"/>
      <w:lang w:eastAsia="en-GB"/>
    </w:rPr>
    <w:tblPr>
      <w:tblStyleRowBandSize w:val="1"/>
      <w:tblStyleColBandSize w:val="1"/>
    </w:tblPr>
    <w:tblStylePr w:type="firstRow">
      <w:rPr>
        <w:b/>
        <w:bCs/>
      </w:rPr>
      <w:tblPr/>
      <w:tcPr>
        <w:tcBorders>
          <w:bottom w:val="single" w:sz="4" w:space="0" w:color="F06C9B" w:themeColor="accent5" w:themeTint="99"/>
        </w:tcBorders>
      </w:tcPr>
    </w:tblStylePr>
    <w:tblStylePr w:type="lastRow">
      <w:rPr>
        <w:b/>
        <w:bCs/>
      </w:rPr>
      <w:tblPr/>
      <w:tcPr>
        <w:tcBorders>
          <w:top w:val="single" w:sz="4" w:space="0" w:color="F06C9B" w:themeColor="accent5" w:themeTint="99"/>
        </w:tcBorders>
      </w:tcPr>
    </w:tblStylePr>
    <w:tblStylePr w:type="firstCol">
      <w:rPr>
        <w:b/>
        <w:bCs/>
      </w:rPr>
    </w:tblStylePr>
    <w:tblStylePr w:type="lastCol">
      <w:rPr>
        <w:b/>
        <w:bCs/>
      </w:rPr>
    </w:tblStylePr>
    <w:tblStylePr w:type="band1Vert">
      <w:tblPr/>
      <w:tcPr>
        <w:shd w:val="clear" w:color="auto" w:fill="FACEDD" w:themeFill="accent5" w:themeFillTint="33"/>
      </w:tcPr>
    </w:tblStylePr>
    <w:tblStylePr w:type="band1Horz">
      <w:tblPr/>
      <w:tcPr>
        <w:shd w:val="clear" w:color="auto" w:fill="FACEDD" w:themeFill="accent5" w:themeFillTint="33"/>
      </w:tcPr>
    </w:tblStylePr>
  </w:style>
  <w:style w:type="table" w:styleId="ListTable1Light-Accent6">
    <w:name w:val="List Table 1 Light Accent 6"/>
    <w:basedOn w:val="TableNormal"/>
    <w:rsid w:val="001051DF"/>
    <w:pPr>
      <w:spacing w:after="0" w:line="240" w:lineRule="auto"/>
    </w:pPr>
    <w:rPr>
      <w:rFonts w:ascii="EC Square Sans Pro" w:eastAsia="SimSun" w:hAnsi="EC Square Sans Pro"/>
      <w:lang w:eastAsia="en-GB"/>
    </w:rPr>
    <w:tblPr>
      <w:tblStyleRowBandSize w:val="1"/>
      <w:tblStyleColBandSize w:val="1"/>
    </w:tblPr>
    <w:tblStylePr w:type="firstRow">
      <w:rPr>
        <w:b/>
        <w:bCs/>
      </w:rPr>
      <w:tblPr/>
      <w:tcPr>
        <w:tcBorders>
          <w:bottom w:val="single" w:sz="4" w:space="0" w:color="AB73D5" w:themeColor="accent6" w:themeTint="99"/>
        </w:tcBorders>
      </w:tcPr>
    </w:tblStylePr>
    <w:tblStylePr w:type="lastRow">
      <w:rPr>
        <w:b/>
        <w:bCs/>
      </w:rPr>
      <w:tblPr/>
      <w:tcPr>
        <w:tcBorders>
          <w:top w:val="single" w:sz="4" w:space="0" w:color="AB73D5" w:themeColor="accent6" w:themeTint="99"/>
        </w:tcBorders>
      </w:tcPr>
    </w:tblStylePr>
    <w:tblStylePr w:type="firstCol">
      <w:rPr>
        <w:b/>
        <w:bCs/>
      </w:rPr>
    </w:tblStylePr>
    <w:tblStylePr w:type="lastCol">
      <w:rPr>
        <w:b/>
        <w:bCs/>
      </w:rPr>
    </w:tblStylePr>
    <w:tblStylePr w:type="band1Vert">
      <w:tblPr/>
      <w:tcPr>
        <w:shd w:val="clear" w:color="auto" w:fill="E2D0F1" w:themeFill="accent6" w:themeFillTint="33"/>
      </w:tcPr>
    </w:tblStylePr>
    <w:tblStylePr w:type="band1Horz">
      <w:tblPr/>
      <w:tcPr>
        <w:shd w:val="clear" w:color="auto" w:fill="E2D0F1" w:themeFill="accent6" w:themeFillTint="33"/>
      </w:tcPr>
    </w:tblStylePr>
  </w:style>
  <w:style w:type="table" w:styleId="ListTable2">
    <w:name w:val="List Table 2"/>
    <w:basedOn w:val="TableNormal"/>
    <w:rsid w:val="001051DF"/>
    <w:pPr>
      <w:spacing w:after="0" w:line="240" w:lineRule="auto"/>
    </w:pPr>
    <w:rPr>
      <w:rFonts w:ascii="EC Square Sans Pro" w:eastAsia="SimSun" w:hAnsi="EC Square Sans Pro"/>
      <w:lang w:eastAsia="en-GB"/>
    </w:r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rsid w:val="001051DF"/>
    <w:pPr>
      <w:spacing w:after="0" w:line="240" w:lineRule="auto"/>
    </w:pPr>
    <w:rPr>
      <w:rFonts w:ascii="EC Square Sans Pro" w:eastAsia="SimSun" w:hAnsi="EC Square Sans Pro"/>
      <w:lang w:eastAsia="en-GB"/>
    </w:rPr>
    <w:tblPr>
      <w:tblStyleRowBandSize w:val="1"/>
      <w:tblStyleColBandSize w:val="1"/>
      <w:tblBorders>
        <w:top w:val="single" w:sz="4" w:space="0" w:color="1AFF7E" w:themeColor="accent1" w:themeTint="99"/>
        <w:bottom w:val="single" w:sz="4" w:space="0" w:color="1AFF7E" w:themeColor="accent1" w:themeTint="99"/>
        <w:insideH w:val="single" w:sz="4" w:space="0" w:color="1AFF7E"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2FFD4" w:themeFill="accent1" w:themeFillTint="33"/>
      </w:tcPr>
    </w:tblStylePr>
    <w:tblStylePr w:type="band1Horz">
      <w:tblPr/>
      <w:tcPr>
        <w:shd w:val="clear" w:color="auto" w:fill="B2FFD4" w:themeFill="accent1" w:themeFillTint="33"/>
      </w:tcPr>
    </w:tblStylePr>
  </w:style>
  <w:style w:type="table" w:styleId="ListTable2-Accent2">
    <w:name w:val="List Table 2 Accent 2"/>
    <w:basedOn w:val="TableNormal"/>
    <w:rsid w:val="001051DF"/>
    <w:pPr>
      <w:spacing w:after="0" w:line="240" w:lineRule="auto"/>
    </w:pPr>
    <w:rPr>
      <w:rFonts w:ascii="EC Square Sans Pro" w:eastAsia="SimSun" w:hAnsi="EC Square Sans Pro"/>
      <w:lang w:eastAsia="en-GB"/>
    </w:rPr>
    <w:tblPr>
      <w:tblStyleRowBandSize w:val="1"/>
      <w:tblStyleColBandSize w:val="1"/>
      <w:tblBorders>
        <w:top w:val="single" w:sz="4" w:space="0" w:color="FD9C54" w:themeColor="accent2" w:themeTint="99"/>
        <w:bottom w:val="single" w:sz="4" w:space="0" w:color="FD9C54" w:themeColor="accent2" w:themeTint="99"/>
        <w:insideH w:val="single" w:sz="4" w:space="0" w:color="FD9C5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EDEC6" w:themeFill="accent2" w:themeFillTint="33"/>
      </w:tcPr>
    </w:tblStylePr>
    <w:tblStylePr w:type="band1Horz">
      <w:tblPr/>
      <w:tcPr>
        <w:shd w:val="clear" w:color="auto" w:fill="FEDEC6" w:themeFill="accent2" w:themeFillTint="33"/>
      </w:tcPr>
    </w:tblStylePr>
  </w:style>
  <w:style w:type="table" w:styleId="ListTable2-Accent3">
    <w:name w:val="List Table 2 Accent 3"/>
    <w:basedOn w:val="TableNormal"/>
    <w:rsid w:val="001051DF"/>
    <w:pPr>
      <w:spacing w:after="0" w:line="240" w:lineRule="auto"/>
    </w:pPr>
    <w:rPr>
      <w:rFonts w:ascii="EC Square Sans Pro" w:eastAsia="SimSun" w:hAnsi="EC Square Sans Pro"/>
      <w:lang w:eastAsia="en-GB"/>
    </w:rPr>
    <w:tblPr>
      <w:tblStyleRowBandSize w:val="1"/>
      <w:tblStyleColBandSize w:val="1"/>
      <w:tblBorders>
        <w:top w:val="single" w:sz="4" w:space="0" w:color="7CB7FE" w:themeColor="accent3" w:themeTint="99"/>
        <w:bottom w:val="single" w:sz="4" w:space="0" w:color="7CB7FE" w:themeColor="accent3" w:themeTint="99"/>
        <w:insideH w:val="single" w:sz="4" w:space="0" w:color="7CB7FE"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3E7FE" w:themeFill="accent3" w:themeFillTint="33"/>
      </w:tcPr>
    </w:tblStylePr>
    <w:tblStylePr w:type="band1Horz">
      <w:tblPr/>
      <w:tcPr>
        <w:shd w:val="clear" w:color="auto" w:fill="D3E7FE" w:themeFill="accent3" w:themeFillTint="33"/>
      </w:tcPr>
    </w:tblStylePr>
  </w:style>
  <w:style w:type="table" w:styleId="ListTable2-Accent4">
    <w:name w:val="List Table 2 Accent 4"/>
    <w:basedOn w:val="TableNormal"/>
    <w:rsid w:val="001051DF"/>
    <w:pPr>
      <w:spacing w:after="0" w:line="240" w:lineRule="auto"/>
    </w:pPr>
    <w:rPr>
      <w:rFonts w:ascii="EC Square Sans Pro" w:eastAsia="SimSun" w:hAnsi="EC Square Sans Pro"/>
      <w:lang w:eastAsia="en-GB"/>
    </w:rPr>
    <w:tblPr>
      <w:tblStyleRowBandSize w:val="1"/>
      <w:tblStyleColBandSize w:val="1"/>
      <w:tblBorders>
        <w:top w:val="single" w:sz="4" w:space="0" w:color="FDCC6A" w:themeColor="accent4" w:themeTint="99"/>
        <w:bottom w:val="single" w:sz="4" w:space="0" w:color="FDCC6A" w:themeColor="accent4" w:themeTint="99"/>
        <w:insideH w:val="single" w:sz="4" w:space="0" w:color="FDCC6A"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EEECD" w:themeFill="accent4" w:themeFillTint="33"/>
      </w:tcPr>
    </w:tblStylePr>
    <w:tblStylePr w:type="band1Horz">
      <w:tblPr/>
      <w:tcPr>
        <w:shd w:val="clear" w:color="auto" w:fill="FEEECD" w:themeFill="accent4" w:themeFillTint="33"/>
      </w:tcPr>
    </w:tblStylePr>
  </w:style>
  <w:style w:type="table" w:styleId="ListTable2-Accent5">
    <w:name w:val="List Table 2 Accent 5"/>
    <w:basedOn w:val="TableNormal"/>
    <w:rsid w:val="001051DF"/>
    <w:pPr>
      <w:spacing w:after="0" w:line="240" w:lineRule="auto"/>
    </w:pPr>
    <w:rPr>
      <w:rFonts w:ascii="EC Square Sans Pro" w:eastAsia="SimSun" w:hAnsi="EC Square Sans Pro"/>
      <w:lang w:eastAsia="en-GB"/>
    </w:rPr>
    <w:tblPr>
      <w:tblStyleRowBandSize w:val="1"/>
      <w:tblStyleColBandSize w:val="1"/>
      <w:tblBorders>
        <w:top w:val="single" w:sz="4" w:space="0" w:color="F06C9B" w:themeColor="accent5" w:themeTint="99"/>
        <w:bottom w:val="single" w:sz="4" w:space="0" w:color="F06C9B" w:themeColor="accent5" w:themeTint="99"/>
        <w:insideH w:val="single" w:sz="4" w:space="0" w:color="F06C9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CEDD" w:themeFill="accent5" w:themeFillTint="33"/>
      </w:tcPr>
    </w:tblStylePr>
    <w:tblStylePr w:type="band1Horz">
      <w:tblPr/>
      <w:tcPr>
        <w:shd w:val="clear" w:color="auto" w:fill="FACEDD" w:themeFill="accent5" w:themeFillTint="33"/>
      </w:tcPr>
    </w:tblStylePr>
  </w:style>
  <w:style w:type="table" w:styleId="ListTable2-Accent6">
    <w:name w:val="List Table 2 Accent 6"/>
    <w:basedOn w:val="TableNormal"/>
    <w:rsid w:val="001051DF"/>
    <w:pPr>
      <w:spacing w:after="0" w:line="240" w:lineRule="auto"/>
    </w:pPr>
    <w:rPr>
      <w:rFonts w:ascii="EC Square Sans Pro" w:eastAsia="SimSun" w:hAnsi="EC Square Sans Pro"/>
      <w:lang w:eastAsia="en-GB"/>
    </w:rPr>
    <w:tblPr>
      <w:tblStyleRowBandSize w:val="1"/>
      <w:tblStyleColBandSize w:val="1"/>
      <w:tblBorders>
        <w:top w:val="single" w:sz="4" w:space="0" w:color="AB73D5" w:themeColor="accent6" w:themeTint="99"/>
        <w:bottom w:val="single" w:sz="4" w:space="0" w:color="AB73D5" w:themeColor="accent6" w:themeTint="99"/>
        <w:insideH w:val="single" w:sz="4" w:space="0" w:color="AB73D5"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D0F1" w:themeFill="accent6" w:themeFillTint="33"/>
      </w:tcPr>
    </w:tblStylePr>
    <w:tblStylePr w:type="band1Horz">
      <w:tblPr/>
      <w:tcPr>
        <w:shd w:val="clear" w:color="auto" w:fill="E2D0F1" w:themeFill="accent6" w:themeFillTint="33"/>
      </w:tcPr>
    </w:tblStylePr>
  </w:style>
  <w:style w:type="table" w:styleId="ListTable3">
    <w:name w:val="List Table 3"/>
    <w:basedOn w:val="TableNormal"/>
    <w:rsid w:val="001051DF"/>
    <w:pPr>
      <w:spacing w:after="0" w:line="240" w:lineRule="auto"/>
    </w:pPr>
    <w:rPr>
      <w:rFonts w:ascii="EC Square Sans Pro" w:eastAsia="SimSun" w:hAnsi="EC Square Sans Pro"/>
      <w:lang w:eastAsia="en-GB"/>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rsid w:val="001051DF"/>
    <w:pPr>
      <w:spacing w:after="0" w:line="240" w:lineRule="auto"/>
    </w:pPr>
    <w:rPr>
      <w:rFonts w:ascii="EC Square Sans Pro" w:eastAsia="SimSun" w:hAnsi="EC Square Sans Pro"/>
      <w:lang w:eastAsia="en-GB"/>
    </w:rPr>
    <w:tblPr>
      <w:tblStyleRowBandSize w:val="1"/>
      <w:tblStyleColBandSize w:val="1"/>
      <w:tblBorders>
        <w:top w:val="single" w:sz="4" w:space="0" w:color="008139" w:themeColor="accent1"/>
        <w:left w:val="single" w:sz="4" w:space="0" w:color="008139" w:themeColor="accent1"/>
        <w:bottom w:val="single" w:sz="4" w:space="0" w:color="008139" w:themeColor="accent1"/>
        <w:right w:val="single" w:sz="4" w:space="0" w:color="008139" w:themeColor="accent1"/>
      </w:tblBorders>
    </w:tblPr>
    <w:tblStylePr w:type="firstRow">
      <w:rPr>
        <w:b/>
        <w:bCs/>
        <w:color w:val="FFFFFF" w:themeColor="background1"/>
      </w:rPr>
      <w:tblPr/>
      <w:tcPr>
        <w:shd w:val="clear" w:color="auto" w:fill="008139" w:themeFill="accent1"/>
      </w:tcPr>
    </w:tblStylePr>
    <w:tblStylePr w:type="lastRow">
      <w:rPr>
        <w:b/>
        <w:bCs/>
      </w:rPr>
      <w:tblPr/>
      <w:tcPr>
        <w:tcBorders>
          <w:top w:val="double" w:sz="4" w:space="0" w:color="008139"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8139" w:themeColor="accent1"/>
          <w:right w:val="single" w:sz="4" w:space="0" w:color="008139" w:themeColor="accent1"/>
        </w:tcBorders>
      </w:tcPr>
    </w:tblStylePr>
    <w:tblStylePr w:type="band1Horz">
      <w:tblPr/>
      <w:tcPr>
        <w:tcBorders>
          <w:top w:val="single" w:sz="4" w:space="0" w:color="008139" w:themeColor="accent1"/>
          <w:bottom w:val="single" w:sz="4" w:space="0" w:color="008139"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8139" w:themeColor="accent1"/>
          <w:left w:val="nil"/>
        </w:tcBorders>
      </w:tcPr>
    </w:tblStylePr>
    <w:tblStylePr w:type="swCell">
      <w:tblPr/>
      <w:tcPr>
        <w:tcBorders>
          <w:top w:val="double" w:sz="4" w:space="0" w:color="008139" w:themeColor="accent1"/>
          <w:right w:val="nil"/>
        </w:tcBorders>
      </w:tcPr>
    </w:tblStylePr>
  </w:style>
  <w:style w:type="table" w:styleId="ListTable3-Accent2">
    <w:name w:val="List Table 3 Accent 2"/>
    <w:basedOn w:val="TableNormal"/>
    <w:rsid w:val="001051DF"/>
    <w:pPr>
      <w:spacing w:after="0" w:line="240" w:lineRule="auto"/>
    </w:pPr>
    <w:rPr>
      <w:rFonts w:ascii="EC Square Sans Pro" w:eastAsia="SimSun" w:hAnsi="EC Square Sans Pro"/>
      <w:lang w:eastAsia="en-GB"/>
    </w:rPr>
    <w:tblPr>
      <w:tblStyleRowBandSize w:val="1"/>
      <w:tblStyleColBandSize w:val="1"/>
      <w:tblBorders>
        <w:top w:val="single" w:sz="4" w:space="0" w:color="DE6002" w:themeColor="accent2"/>
        <w:left w:val="single" w:sz="4" w:space="0" w:color="DE6002" w:themeColor="accent2"/>
        <w:bottom w:val="single" w:sz="4" w:space="0" w:color="DE6002" w:themeColor="accent2"/>
        <w:right w:val="single" w:sz="4" w:space="0" w:color="DE6002" w:themeColor="accent2"/>
      </w:tblBorders>
    </w:tblPr>
    <w:tblStylePr w:type="firstRow">
      <w:rPr>
        <w:b/>
        <w:bCs/>
        <w:color w:val="FFFFFF" w:themeColor="background1"/>
      </w:rPr>
      <w:tblPr/>
      <w:tcPr>
        <w:shd w:val="clear" w:color="auto" w:fill="DE6002" w:themeFill="accent2"/>
      </w:tcPr>
    </w:tblStylePr>
    <w:tblStylePr w:type="lastRow">
      <w:rPr>
        <w:b/>
        <w:bCs/>
      </w:rPr>
      <w:tblPr/>
      <w:tcPr>
        <w:tcBorders>
          <w:top w:val="double" w:sz="4" w:space="0" w:color="DE6002"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DE6002" w:themeColor="accent2"/>
          <w:right w:val="single" w:sz="4" w:space="0" w:color="DE6002" w:themeColor="accent2"/>
        </w:tcBorders>
      </w:tcPr>
    </w:tblStylePr>
    <w:tblStylePr w:type="band1Horz">
      <w:tblPr/>
      <w:tcPr>
        <w:tcBorders>
          <w:top w:val="single" w:sz="4" w:space="0" w:color="DE6002" w:themeColor="accent2"/>
          <w:bottom w:val="single" w:sz="4" w:space="0" w:color="DE6002"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DE6002" w:themeColor="accent2"/>
          <w:left w:val="nil"/>
        </w:tcBorders>
      </w:tcPr>
    </w:tblStylePr>
    <w:tblStylePr w:type="swCell">
      <w:tblPr/>
      <w:tcPr>
        <w:tcBorders>
          <w:top w:val="double" w:sz="4" w:space="0" w:color="DE6002" w:themeColor="accent2"/>
          <w:right w:val="nil"/>
        </w:tcBorders>
      </w:tcPr>
    </w:tblStylePr>
  </w:style>
  <w:style w:type="table" w:styleId="ListTable3-Accent3">
    <w:name w:val="List Table 3 Accent 3"/>
    <w:basedOn w:val="TableNormal"/>
    <w:rsid w:val="001051DF"/>
    <w:pPr>
      <w:spacing w:after="0" w:line="240" w:lineRule="auto"/>
    </w:pPr>
    <w:rPr>
      <w:rFonts w:ascii="EC Square Sans Pro" w:eastAsia="SimSun" w:hAnsi="EC Square Sans Pro"/>
      <w:lang w:eastAsia="en-GB"/>
    </w:rPr>
    <w:tblPr>
      <w:tblStyleRowBandSize w:val="1"/>
      <w:tblStyleColBandSize w:val="1"/>
      <w:tblBorders>
        <w:top w:val="single" w:sz="4" w:space="0" w:color="2688FE" w:themeColor="accent3"/>
        <w:left w:val="single" w:sz="4" w:space="0" w:color="2688FE" w:themeColor="accent3"/>
        <w:bottom w:val="single" w:sz="4" w:space="0" w:color="2688FE" w:themeColor="accent3"/>
        <w:right w:val="single" w:sz="4" w:space="0" w:color="2688FE" w:themeColor="accent3"/>
      </w:tblBorders>
    </w:tblPr>
    <w:tblStylePr w:type="firstRow">
      <w:rPr>
        <w:b/>
        <w:bCs/>
        <w:color w:val="FFFFFF" w:themeColor="background1"/>
      </w:rPr>
      <w:tblPr/>
      <w:tcPr>
        <w:shd w:val="clear" w:color="auto" w:fill="2688FE" w:themeFill="accent3"/>
      </w:tcPr>
    </w:tblStylePr>
    <w:tblStylePr w:type="lastRow">
      <w:rPr>
        <w:b/>
        <w:bCs/>
      </w:rPr>
      <w:tblPr/>
      <w:tcPr>
        <w:tcBorders>
          <w:top w:val="double" w:sz="4" w:space="0" w:color="2688FE"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688FE" w:themeColor="accent3"/>
          <w:right w:val="single" w:sz="4" w:space="0" w:color="2688FE" w:themeColor="accent3"/>
        </w:tcBorders>
      </w:tcPr>
    </w:tblStylePr>
    <w:tblStylePr w:type="band1Horz">
      <w:tblPr/>
      <w:tcPr>
        <w:tcBorders>
          <w:top w:val="single" w:sz="4" w:space="0" w:color="2688FE" w:themeColor="accent3"/>
          <w:bottom w:val="single" w:sz="4" w:space="0" w:color="2688FE"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688FE" w:themeColor="accent3"/>
          <w:left w:val="nil"/>
        </w:tcBorders>
      </w:tcPr>
    </w:tblStylePr>
    <w:tblStylePr w:type="swCell">
      <w:tblPr/>
      <w:tcPr>
        <w:tcBorders>
          <w:top w:val="double" w:sz="4" w:space="0" w:color="2688FE" w:themeColor="accent3"/>
          <w:right w:val="nil"/>
        </w:tcBorders>
      </w:tcPr>
    </w:tblStylePr>
  </w:style>
  <w:style w:type="table" w:styleId="ListTable3-Accent4">
    <w:name w:val="List Table 3 Accent 4"/>
    <w:basedOn w:val="TableNormal"/>
    <w:rsid w:val="001051DF"/>
    <w:pPr>
      <w:spacing w:after="0" w:line="240" w:lineRule="auto"/>
    </w:pPr>
    <w:rPr>
      <w:rFonts w:ascii="EC Square Sans Pro" w:eastAsia="SimSun" w:hAnsi="EC Square Sans Pro"/>
      <w:lang w:eastAsia="en-GB"/>
    </w:rPr>
    <w:tblPr>
      <w:tblStyleRowBandSize w:val="1"/>
      <w:tblStyleColBandSize w:val="1"/>
      <w:tblBorders>
        <w:top w:val="single" w:sz="4" w:space="0" w:color="FDAB07" w:themeColor="accent4"/>
        <w:left w:val="single" w:sz="4" w:space="0" w:color="FDAB07" w:themeColor="accent4"/>
        <w:bottom w:val="single" w:sz="4" w:space="0" w:color="FDAB07" w:themeColor="accent4"/>
        <w:right w:val="single" w:sz="4" w:space="0" w:color="FDAB07" w:themeColor="accent4"/>
      </w:tblBorders>
    </w:tblPr>
    <w:tblStylePr w:type="firstRow">
      <w:rPr>
        <w:b/>
        <w:bCs/>
        <w:color w:val="FFFFFF" w:themeColor="background1"/>
      </w:rPr>
      <w:tblPr/>
      <w:tcPr>
        <w:shd w:val="clear" w:color="auto" w:fill="FDAB07" w:themeFill="accent4"/>
      </w:tcPr>
    </w:tblStylePr>
    <w:tblStylePr w:type="lastRow">
      <w:rPr>
        <w:b/>
        <w:bCs/>
      </w:rPr>
      <w:tblPr/>
      <w:tcPr>
        <w:tcBorders>
          <w:top w:val="double" w:sz="4" w:space="0" w:color="FDAB07"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DAB07" w:themeColor="accent4"/>
          <w:right w:val="single" w:sz="4" w:space="0" w:color="FDAB07" w:themeColor="accent4"/>
        </w:tcBorders>
      </w:tcPr>
    </w:tblStylePr>
    <w:tblStylePr w:type="band1Horz">
      <w:tblPr/>
      <w:tcPr>
        <w:tcBorders>
          <w:top w:val="single" w:sz="4" w:space="0" w:color="FDAB07" w:themeColor="accent4"/>
          <w:bottom w:val="single" w:sz="4" w:space="0" w:color="FDAB07"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DAB07" w:themeColor="accent4"/>
          <w:left w:val="nil"/>
        </w:tcBorders>
      </w:tcPr>
    </w:tblStylePr>
    <w:tblStylePr w:type="swCell">
      <w:tblPr/>
      <w:tcPr>
        <w:tcBorders>
          <w:top w:val="double" w:sz="4" w:space="0" w:color="FDAB07" w:themeColor="accent4"/>
          <w:right w:val="nil"/>
        </w:tcBorders>
      </w:tcPr>
    </w:tblStylePr>
  </w:style>
  <w:style w:type="table" w:styleId="ListTable3-Accent5">
    <w:name w:val="List Table 3 Accent 5"/>
    <w:basedOn w:val="TableNormal"/>
    <w:rsid w:val="001051DF"/>
    <w:pPr>
      <w:spacing w:after="0" w:line="240" w:lineRule="auto"/>
    </w:pPr>
    <w:rPr>
      <w:rFonts w:ascii="EC Square Sans Pro" w:eastAsia="SimSun" w:hAnsi="EC Square Sans Pro"/>
      <w:lang w:eastAsia="en-GB"/>
    </w:rPr>
    <w:tblPr>
      <w:tblStyleRowBandSize w:val="1"/>
      <w:tblStyleColBandSize w:val="1"/>
      <w:tblBorders>
        <w:top w:val="single" w:sz="4" w:space="0" w:color="DC165D" w:themeColor="accent5"/>
        <w:left w:val="single" w:sz="4" w:space="0" w:color="DC165D" w:themeColor="accent5"/>
        <w:bottom w:val="single" w:sz="4" w:space="0" w:color="DC165D" w:themeColor="accent5"/>
        <w:right w:val="single" w:sz="4" w:space="0" w:color="DC165D" w:themeColor="accent5"/>
      </w:tblBorders>
    </w:tblPr>
    <w:tblStylePr w:type="firstRow">
      <w:rPr>
        <w:b/>
        <w:bCs/>
        <w:color w:val="FFFFFF" w:themeColor="background1"/>
      </w:rPr>
      <w:tblPr/>
      <w:tcPr>
        <w:shd w:val="clear" w:color="auto" w:fill="DC165D" w:themeFill="accent5"/>
      </w:tcPr>
    </w:tblStylePr>
    <w:tblStylePr w:type="lastRow">
      <w:rPr>
        <w:b/>
        <w:bCs/>
      </w:rPr>
      <w:tblPr/>
      <w:tcPr>
        <w:tcBorders>
          <w:top w:val="double" w:sz="4" w:space="0" w:color="DC165D"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DC165D" w:themeColor="accent5"/>
          <w:right w:val="single" w:sz="4" w:space="0" w:color="DC165D" w:themeColor="accent5"/>
        </w:tcBorders>
      </w:tcPr>
    </w:tblStylePr>
    <w:tblStylePr w:type="band1Horz">
      <w:tblPr/>
      <w:tcPr>
        <w:tcBorders>
          <w:top w:val="single" w:sz="4" w:space="0" w:color="DC165D" w:themeColor="accent5"/>
          <w:bottom w:val="single" w:sz="4" w:space="0" w:color="DC165D"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DC165D" w:themeColor="accent5"/>
          <w:left w:val="nil"/>
        </w:tcBorders>
      </w:tcPr>
    </w:tblStylePr>
    <w:tblStylePr w:type="swCell">
      <w:tblPr/>
      <w:tcPr>
        <w:tcBorders>
          <w:top w:val="double" w:sz="4" w:space="0" w:color="DC165D" w:themeColor="accent5"/>
          <w:right w:val="nil"/>
        </w:tcBorders>
      </w:tcPr>
    </w:tblStylePr>
  </w:style>
  <w:style w:type="table" w:styleId="ListTable3-Accent6">
    <w:name w:val="List Table 3 Accent 6"/>
    <w:basedOn w:val="TableNormal"/>
    <w:rsid w:val="001051DF"/>
    <w:pPr>
      <w:spacing w:after="0" w:line="240" w:lineRule="auto"/>
    </w:pPr>
    <w:rPr>
      <w:rFonts w:ascii="EC Square Sans Pro" w:eastAsia="SimSun" w:hAnsi="EC Square Sans Pro"/>
      <w:lang w:eastAsia="en-GB"/>
    </w:rPr>
    <w:tblPr>
      <w:tblStyleRowBandSize w:val="1"/>
      <w:tblStyleColBandSize w:val="1"/>
      <w:tblBorders>
        <w:top w:val="single" w:sz="4" w:space="0" w:color="7030A0" w:themeColor="accent6"/>
        <w:left w:val="single" w:sz="4" w:space="0" w:color="7030A0" w:themeColor="accent6"/>
        <w:bottom w:val="single" w:sz="4" w:space="0" w:color="7030A0" w:themeColor="accent6"/>
        <w:right w:val="single" w:sz="4" w:space="0" w:color="7030A0" w:themeColor="accent6"/>
      </w:tblBorders>
    </w:tblPr>
    <w:tblStylePr w:type="firstRow">
      <w:rPr>
        <w:b/>
        <w:bCs/>
        <w:color w:val="FFFFFF" w:themeColor="background1"/>
      </w:rPr>
      <w:tblPr/>
      <w:tcPr>
        <w:shd w:val="clear" w:color="auto" w:fill="7030A0" w:themeFill="accent6"/>
      </w:tcPr>
    </w:tblStylePr>
    <w:tblStylePr w:type="lastRow">
      <w:rPr>
        <w:b/>
        <w:bCs/>
      </w:rPr>
      <w:tblPr/>
      <w:tcPr>
        <w:tcBorders>
          <w:top w:val="double" w:sz="4" w:space="0" w:color="7030A0"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30A0" w:themeColor="accent6"/>
          <w:right w:val="single" w:sz="4" w:space="0" w:color="7030A0" w:themeColor="accent6"/>
        </w:tcBorders>
      </w:tcPr>
    </w:tblStylePr>
    <w:tblStylePr w:type="band1Horz">
      <w:tblPr/>
      <w:tcPr>
        <w:tcBorders>
          <w:top w:val="single" w:sz="4" w:space="0" w:color="7030A0" w:themeColor="accent6"/>
          <w:bottom w:val="single" w:sz="4" w:space="0" w:color="7030A0"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30A0" w:themeColor="accent6"/>
          <w:left w:val="nil"/>
        </w:tcBorders>
      </w:tcPr>
    </w:tblStylePr>
    <w:tblStylePr w:type="swCell">
      <w:tblPr/>
      <w:tcPr>
        <w:tcBorders>
          <w:top w:val="double" w:sz="4" w:space="0" w:color="7030A0" w:themeColor="accent6"/>
          <w:right w:val="nil"/>
        </w:tcBorders>
      </w:tcPr>
    </w:tblStylePr>
  </w:style>
  <w:style w:type="table" w:styleId="ListTable4">
    <w:name w:val="List Table 4"/>
    <w:basedOn w:val="TableNormal"/>
    <w:rsid w:val="001051DF"/>
    <w:pPr>
      <w:spacing w:after="0" w:line="240" w:lineRule="auto"/>
    </w:pPr>
    <w:rPr>
      <w:rFonts w:ascii="EC Square Sans Pro" w:eastAsia="SimSun" w:hAnsi="EC Square Sans Pro"/>
      <w:lang w:eastAsia="en-GB"/>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rsid w:val="001051DF"/>
    <w:pPr>
      <w:spacing w:after="0" w:line="240" w:lineRule="auto"/>
    </w:pPr>
    <w:rPr>
      <w:rFonts w:ascii="EC Square Sans Pro" w:eastAsia="SimSun" w:hAnsi="EC Square Sans Pro"/>
      <w:lang w:eastAsia="en-GB"/>
    </w:rPr>
    <w:tblPr>
      <w:tblStyleRowBandSize w:val="1"/>
      <w:tblStyleColBandSize w:val="1"/>
      <w:tblBorders>
        <w:top w:val="single" w:sz="4" w:space="0" w:color="1AFF7E" w:themeColor="accent1" w:themeTint="99"/>
        <w:left w:val="single" w:sz="4" w:space="0" w:color="1AFF7E" w:themeColor="accent1" w:themeTint="99"/>
        <w:bottom w:val="single" w:sz="4" w:space="0" w:color="1AFF7E" w:themeColor="accent1" w:themeTint="99"/>
        <w:right w:val="single" w:sz="4" w:space="0" w:color="1AFF7E" w:themeColor="accent1" w:themeTint="99"/>
        <w:insideH w:val="single" w:sz="4" w:space="0" w:color="1AFF7E" w:themeColor="accent1" w:themeTint="99"/>
      </w:tblBorders>
    </w:tblPr>
    <w:tblStylePr w:type="firstRow">
      <w:rPr>
        <w:b/>
        <w:bCs/>
        <w:color w:val="FFFFFF" w:themeColor="background1"/>
      </w:rPr>
      <w:tblPr/>
      <w:tcPr>
        <w:tcBorders>
          <w:top w:val="single" w:sz="4" w:space="0" w:color="008139" w:themeColor="accent1"/>
          <w:left w:val="single" w:sz="4" w:space="0" w:color="008139" w:themeColor="accent1"/>
          <w:bottom w:val="single" w:sz="4" w:space="0" w:color="008139" w:themeColor="accent1"/>
          <w:right w:val="single" w:sz="4" w:space="0" w:color="008139" w:themeColor="accent1"/>
          <w:insideH w:val="nil"/>
        </w:tcBorders>
        <w:shd w:val="clear" w:color="auto" w:fill="008139" w:themeFill="accent1"/>
      </w:tcPr>
    </w:tblStylePr>
    <w:tblStylePr w:type="lastRow">
      <w:rPr>
        <w:b/>
        <w:bCs/>
      </w:rPr>
      <w:tblPr/>
      <w:tcPr>
        <w:tcBorders>
          <w:top w:val="double" w:sz="4" w:space="0" w:color="1AFF7E" w:themeColor="accent1" w:themeTint="99"/>
        </w:tcBorders>
      </w:tcPr>
    </w:tblStylePr>
    <w:tblStylePr w:type="firstCol">
      <w:rPr>
        <w:b/>
        <w:bCs/>
      </w:rPr>
    </w:tblStylePr>
    <w:tblStylePr w:type="lastCol">
      <w:rPr>
        <w:b/>
        <w:bCs/>
      </w:rPr>
    </w:tblStylePr>
    <w:tblStylePr w:type="band1Vert">
      <w:tblPr/>
      <w:tcPr>
        <w:shd w:val="clear" w:color="auto" w:fill="B2FFD4" w:themeFill="accent1" w:themeFillTint="33"/>
      </w:tcPr>
    </w:tblStylePr>
    <w:tblStylePr w:type="band1Horz">
      <w:tblPr/>
      <w:tcPr>
        <w:shd w:val="clear" w:color="auto" w:fill="B2FFD4" w:themeFill="accent1" w:themeFillTint="33"/>
      </w:tcPr>
    </w:tblStylePr>
  </w:style>
  <w:style w:type="table" w:styleId="ListTable4-Accent2">
    <w:name w:val="List Table 4 Accent 2"/>
    <w:basedOn w:val="TableNormal"/>
    <w:rsid w:val="001051DF"/>
    <w:pPr>
      <w:spacing w:after="0" w:line="240" w:lineRule="auto"/>
    </w:pPr>
    <w:rPr>
      <w:rFonts w:ascii="EC Square Sans Pro" w:eastAsia="SimSun" w:hAnsi="EC Square Sans Pro"/>
      <w:lang w:eastAsia="en-GB"/>
    </w:rPr>
    <w:tblPr>
      <w:tblStyleRowBandSize w:val="1"/>
      <w:tblStyleColBandSize w:val="1"/>
      <w:tblBorders>
        <w:top w:val="single" w:sz="4" w:space="0" w:color="FD9C54" w:themeColor="accent2" w:themeTint="99"/>
        <w:left w:val="single" w:sz="4" w:space="0" w:color="FD9C54" w:themeColor="accent2" w:themeTint="99"/>
        <w:bottom w:val="single" w:sz="4" w:space="0" w:color="FD9C54" w:themeColor="accent2" w:themeTint="99"/>
        <w:right w:val="single" w:sz="4" w:space="0" w:color="FD9C54" w:themeColor="accent2" w:themeTint="99"/>
        <w:insideH w:val="single" w:sz="4" w:space="0" w:color="FD9C54" w:themeColor="accent2" w:themeTint="99"/>
      </w:tblBorders>
    </w:tblPr>
    <w:tblStylePr w:type="firstRow">
      <w:rPr>
        <w:b/>
        <w:bCs/>
        <w:color w:val="FFFFFF" w:themeColor="background1"/>
      </w:rPr>
      <w:tblPr/>
      <w:tcPr>
        <w:tcBorders>
          <w:top w:val="single" w:sz="4" w:space="0" w:color="DE6002" w:themeColor="accent2"/>
          <w:left w:val="single" w:sz="4" w:space="0" w:color="DE6002" w:themeColor="accent2"/>
          <w:bottom w:val="single" w:sz="4" w:space="0" w:color="DE6002" w:themeColor="accent2"/>
          <w:right w:val="single" w:sz="4" w:space="0" w:color="DE6002" w:themeColor="accent2"/>
          <w:insideH w:val="nil"/>
        </w:tcBorders>
        <w:shd w:val="clear" w:color="auto" w:fill="DE6002" w:themeFill="accent2"/>
      </w:tcPr>
    </w:tblStylePr>
    <w:tblStylePr w:type="lastRow">
      <w:rPr>
        <w:b/>
        <w:bCs/>
      </w:rPr>
      <w:tblPr/>
      <w:tcPr>
        <w:tcBorders>
          <w:top w:val="double" w:sz="4" w:space="0" w:color="FD9C54" w:themeColor="accent2" w:themeTint="99"/>
        </w:tcBorders>
      </w:tcPr>
    </w:tblStylePr>
    <w:tblStylePr w:type="firstCol">
      <w:rPr>
        <w:b/>
        <w:bCs/>
      </w:rPr>
    </w:tblStylePr>
    <w:tblStylePr w:type="lastCol">
      <w:rPr>
        <w:b/>
        <w:bCs/>
      </w:rPr>
    </w:tblStylePr>
    <w:tblStylePr w:type="band1Vert">
      <w:tblPr/>
      <w:tcPr>
        <w:shd w:val="clear" w:color="auto" w:fill="FEDEC6" w:themeFill="accent2" w:themeFillTint="33"/>
      </w:tcPr>
    </w:tblStylePr>
    <w:tblStylePr w:type="band1Horz">
      <w:tblPr/>
      <w:tcPr>
        <w:shd w:val="clear" w:color="auto" w:fill="FEDEC6" w:themeFill="accent2" w:themeFillTint="33"/>
      </w:tcPr>
    </w:tblStylePr>
  </w:style>
  <w:style w:type="table" w:styleId="ListTable4-Accent3">
    <w:name w:val="List Table 4 Accent 3"/>
    <w:basedOn w:val="TableNormal"/>
    <w:rsid w:val="001051DF"/>
    <w:pPr>
      <w:spacing w:after="0" w:line="240" w:lineRule="auto"/>
    </w:pPr>
    <w:rPr>
      <w:rFonts w:ascii="EC Square Sans Pro" w:eastAsia="SimSun" w:hAnsi="EC Square Sans Pro"/>
      <w:lang w:eastAsia="en-GB"/>
    </w:rPr>
    <w:tblPr>
      <w:tblStyleRowBandSize w:val="1"/>
      <w:tblStyleColBandSize w:val="1"/>
      <w:tblBorders>
        <w:top w:val="single" w:sz="4" w:space="0" w:color="7CB7FE" w:themeColor="accent3" w:themeTint="99"/>
        <w:left w:val="single" w:sz="4" w:space="0" w:color="7CB7FE" w:themeColor="accent3" w:themeTint="99"/>
        <w:bottom w:val="single" w:sz="4" w:space="0" w:color="7CB7FE" w:themeColor="accent3" w:themeTint="99"/>
        <w:right w:val="single" w:sz="4" w:space="0" w:color="7CB7FE" w:themeColor="accent3" w:themeTint="99"/>
        <w:insideH w:val="single" w:sz="4" w:space="0" w:color="7CB7FE" w:themeColor="accent3" w:themeTint="99"/>
      </w:tblBorders>
    </w:tblPr>
    <w:tblStylePr w:type="firstRow">
      <w:rPr>
        <w:b/>
        <w:bCs/>
        <w:color w:val="FFFFFF" w:themeColor="background1"/>
      </w:rPr>
      <w:tblPr/>
      <w:tcPr>
        <w:tcBorders>
          <w:top w:val="single" w:sz="4" w:space="0" w:color="2688FE" w:themeColor="accent3"/>
          <w:left w:val="single" w:sz="4" w:space="0" w:color="2688FE" w:themeColor="accent3"/>
          <w:bottom w:val="single" w:sz="4" w:space="0" w:color="2688FE" w:themeColor="accent3"/>
          <w:right w:val="single" w:sz="4" w:space="0" w:color="2688FE" w:themeColor="accent3"/>
          <w:insideH w:val="nil"/>
        </w:tcBorders>
        <w:shd w:val="clear" w:color="auto" w:fill="2688FE" w:themeFill="accent3"/>
      </w:tcPr>
    </w:tblStylePr>
    <w:tblStylePr w:type="lastRow">
      <w:rPr>
        <w:b/>
        <w:bCs/>
      </w:rPr>
      <w:tblPr/>
      <w:tcPr>
        <w:tcBorders>
          <w:top w:val="double" w:sz="4" w:space="0" w:color="7CB7FE" w:themeColor="accent3" w:themeTint="99"/>
        </w:tcBorders>
      </w:tcPr>
    </w:tblStylePr>
    <w:tblStylePr w:type="firstCol">
      <w:rPr>
        <w:b/>
        <w:bCs/>
      </w:rPr>
    </w:tblStylePr>
    <w:tblStylePr w:type="lastCol">
      <w:rPr>
        <w:b/>
        <w:bCs/>
      </w:rPr>
    </w:tblStylePr>
    <w:tblStylePr w:type="band1Vert">
      <w:tblPr/>
      <w:tcPr>
        <w:shd w:val="clear" w:color="auto" w:fill="D3E7FE" w:themeFill="accent3" w:themeFillTint="33"/>
      </w:tcPr>
    </w:tblStylePr>
    <w:tblStylePr w:type="band1Horz">
      <w:tblPr/>
      <w:tcPr>
        <w:shd w:val="clear" w:color="auto" w:fill="D3E7FE" w:themeFill="accent3" w:themeFillTint="33"/>
      </w:tcPr>
    </w:tblStylePr>
  </w:style>
  <w:style w:type="table" w:styleId="ListTable4-Accent4">
    <w:name w:val="List Table 4 Accent 4"/>
    <w:basedOn w:val="TableNormal"/>
    <w:rsid w:val="001051DF"/>
    <w:pPr>
      <w:spacing w:after="0" w:line="240" w:lineRule="auto"/>
    </w:pPr>
    <w:rPr>
      <w:rFonts w:ascii="EC Square Sans Pro" w:eastAsia="SimSun" w:hAnsi="EC Square Sans Pro"/>
      <w:lang w:eastAsia="en-GB"/>
    </w:rPr>
    <w:tblPr>
      <w:tblStyleRowBandSize w:val="1"/>
      <w:tblStyleColBandSize w:val="1"/>
      <w:tblBorders>
        <w:top w:val="single" w:sz="4" w:space="0" w:color="FDCC6A" w:themeColor="accent4" w:themeTint="99"/>
        <w:left w:val="single" w:sz="4" w:space="0" w:color="FDCC6A" w:themeColor="accent4" w:themeTint="99"/>
        <w:bottom w:val="single" w:sz="4" w:space="0" w:color="FDCC6A" w:themeColor="accent4" w:themeTint="99"/>
        <w:right w:val="single" w:sz="4" w:space="0" w:color="FDCC6A" w:themeColor="accent4" w:themeTint="99"/>
        <w:insideH w:val="single" w:sz="4" w:space="0" w:color="FDCC6A" w:themeColor="accent4" w:themeTint="99"/>
      </w:tblBorders>
    </w:tblPr>
    <w:tblStylePr w:type="firstRow">
      <w:rPr>
        <w:b/>
        <w:bCs/>
        <w:color w:val="FFFFFF" w:themeColor="background1"/>
      </w:rPr>
      <w:tblPr/>
      <w:tcPr>
        <w:tcBorders>
          <w:top w:val="single" w:sz="4" w:space="0" w:color="FDAB07" w:themeColor="accent4"/>
          <w:left w:val="single" w:sz="4" w:space="0" w:color="FDAB07" w:themeColor="accent4"/>
          <w:bottom w:val="single" w:sz="4" w:space="0" w:color="FDAB07" w:themeColor="accent4"/>
          <w:right w:val="single" w:sz="4" w:space="0" w:color="FDAB07" w:themeColor="accent4"/>
          <w:insideH w:val="nil"/>
        </w:tcBorders>
        <w:shd w:val="clear" w:color="auto" w:fill="FDAB07" w:themeFill="accent4"/>
      </w:tcPr>
    </w:tblStylePr>
    <w:tblStylePr w:type="lastRow">
      <w:rPr>
        <w:b/>
        <w:bCs/>
      </w:rPr>
      <w:tblPr/>
      <w:tcPr>
        <w:tcBorders>
          <w:top w:val="double" w:sz="4" w:space="0" w:color="FDCC6A" w:themeColor="accent4" w:themeTint="99"/>
        </w:tcBorders>
      </w:tcPr>
    </w:tblStylePr>
    <w:tblStylePr w:type="firstCol">
      <w:rPr>
        <w:b/>
        <w:bCs/>
      </w:rPr>
    </w:tblStylePr>
    <w:tblStylePr w:type="lastCol">
      <w:rPr>
        <w:b/>
        <w:bCs/>
      </w:rPr>
    </w:tblStylePr>
    <w:tblStylePr w:type="band1Vert">
      <w:tblPr/>
      <w:tcPr>
        <w:shd w:val="clear" w:color="auto" w:fill="FEEECD" w:themeFill="accent4" w:themeFillTint="33"/>
      </w:tcPr>
    </w:tblStylePr>
    <w:tblStylePr w:type="band1Horz">
      <w:tblPr/>
      <w:tcPr>
        <w:shd w:val="clear" w:color="auto" w:fill="FEEECD" w:themeFill="accent4" w:themeFillTint="33"/>
      </w:tcPr>
    </w:tblStylePr>
  </w:style>
  <w:style w:type="table" w:styleId="ListTable4-Accent5">
    <w:name w:val="List Table 4 Accent 5"/>
    <w:basedOn w:val="TableNormal"/>
    <w:rsid w:val="001051DF"/>
    <w:pPr>
      <w:spacing w:after="0" w:line="240" w:lineRule="auto"/>
    </w:pPr>
    <w:rPr>
      <w:rFonts w:ascii="EC Square Sans Pro" w:eastAsia="SimSun" w:hAnsi="EC Square Sans Pro"/>
      <w:lang w:eastAsia="en-GB"/>
    </w:rPr>
    <w:tblPr>
      <w:tblStyleRowBandSize w:val="1"/>
      <w:tblStyleColBandSize w:val="1"/>
      <w:tblBorders>
        <w:top w:val="single" w:sz="4" w:space="0" w:color="F06C9B" w:themeColor="accent5" w:themeTint="99"/>
        <w:left w:val="single" w:sz="4" w:space="0" w:color="F06C9B" w:themeColor="accent5" w:themeTint="99"/>
        <w:bottom w:val="single" w:sz="4" w:space="0" w:color="F06C9B" w:themeColor="accent5" w:themeTint="99"/>
        <w:right w:val="single" w:sz="4" w:space="0" w:color="F06C9B" w:themeColor="accent5" w:themeTint="99"/>
        <w:insideH w:val="single" w:sz="4" w:space="0" w:color="F06C9B" w:themeColor="accent5" w:themeTint="99"/>
      </w:tblBorders>
    </w:tblPr>
    <w:tblStylePr w:type="firstRow">
      <w:rPr>
        <w:b/>
        <w:bCs/>
        <w:color w:val="FFFFFF" w:themeColor="background1"/>
      </w:rPr>
      <w:tblPr/>
      <w:tcPr>
        <w:tcBorders>
          <w:top w:val="single" w:sz="4" w:space="0" w:color="DC165D" w:themeColor="accent5"/>
          <w:left w:val="single" w:sz="4" w:space="0" w:color="DC165D" w:themeColor="accent5"/>
          <w:bottom w:val="single" w:sz="4" w:space="0" w:color="DC165D" w:themeColor="accent5"/>
          <w:right w:val="single" w:sz="4" w:space="0" w:color="DC165D" w:themeColor="accent5"/>
          <w:insideH w:val="nil"/>
        </w:tcBorders>
        <w:shd w:val="clear" w:color="auto" w:fill="DC165D" w:themeFill="accent5"/>
      </w:tcPr>
    </w:tblStylePr>
    <w:tblStylePr w:type="lastRow">
      <w:rPr>
        <w:b/>
        <w:bCs/>
      </w:rPr>
      <w:tblPr/>
      <w:tcPr>
        <w:tcBorders>
          <w:top w:val="double" w:sz="4" w:space="0" w:color="F06C9B" w:themeColor="accent5" w:themeTint="99"/>
        </w:tcBorders>
      </w:tcPr>
    </w:tblStylePr>
    <w:tblStylePr w:type="firstCol">
      <w:rPr>
        <w:b/>
        <w:bCs/>
      </w:rPr>
    </w:tblStylePr>
    <w:tblStylePr w:type="lastCol">
      <w:rPr>
        <w:b/>
        <w:bCs/>
      </w:rPr>
    </w:tblStylePr>
    <w:tblStylePr w:type="band1Vert">
      <w:tblPr/>
      <w:tcPr>
        <w:shd w:val="clear" w:color="auto" w:fill="FACEDD" w:themeFill="accent5" w:themeFillTint="33"/>
      </w:tcPr>
    </w:tblStylePr>
    <w:tblStylePr w:type="band1Horz">
      <w:tblPr/>
      <w:tcPr>
        <w:shd w:val="clear" w:color="auto" w:fill="FACEDD" w:themeFill="accent5" w:themeFillTint="33"/>
      </w:tcPr>
    </w:tblStylePr>
  </w:style>
  <w:style w:type="table" w:styleId="ListTable4-Accent6">
    <w:name w:val="List Table 4 Accent 6"/>
    <w:basedOn w:val="TableNormal"/>
    <w:rsid w:val="001051DF"/>
    <w:pPr>
      <w:spacing w:after="0" w:line="240" w:lineRule="auto"/>
    </w:pPr>
    <w:rPr>
      <w:rFonts w:ascii="EC Square Sans Pro" w:eastAsia="SimSun" w:hAnsi="EC Square Sans Pro"/>
      <w:lang w:eastAsia="en-GB"/>
    </w:rPr>
    <w:tblPr>
      <w:tblStyleRowBandSize w:val="1"/>
      <w:tblStyleColBandSize w:val="1"/>
      <w:tblBorders>
        <w:top w:val="single" w:sz="4" w:space="0" w:color="AB73D5" w:themeColor="accent6" w:themeTint="99"/>
        <w:left w:val="single" w:sz="4" w:space="0" w:color="AB73D5" w:themeColor="accent6" w:themeTint="99"/>
        <w:bottom w:val="single" w:sz="4" w:space="0" w:color="AB73D5" w:themeColor="accent6" w:themeTint="99"/>
        <w:right w:val="single" w:sz="4" w:space="0" w:color="AB73D5" w:themeColor="accent6" w:themeTint="99"/>
        <w:insideH w:val="single" w:sz="4" w:space="0" w:color="AB73D5" w:themeColor="accent6" w:themeTint="99"/>
      </w:tblBorders>
    </w:tblPr>
    <w:tblStylePr w:type="firstRow">
      <w:rPr>
        <w:b/>
        <w:bCs/>
        <w:color w:val="FFFFFF" w:themeColor="background1"/>
      </w:rPr>
      <w:tblPr/>
      <w:tcPr>
        <w:tcBorders>
          <w:top w:val="single" w:sz="4" w:space="0" w:color="7030A0" w:themeColor="accent6"/>
          <w:left w:val="single" w:sz="4" w:space="0" w:color="7030A0" w:themeColor="accent6"/>
          <w:bottom w:val="single" w:sz="4" w:space="0" w:color="7030A0" w:themeColor="accent6"/>
          <w:right w:val="single" w:sz="4" w:space="0" w:color="7030A0" w:themeColor="accent6"/>
          <w:insideH w:val="nil"/>
        </w:tcBorders>
        <w:shd w:val="clear" w:color="auto" w:fill="7030A0" w:themeFill="accent6"/>
      </w:tcPr>
    </w:tblStylePr>
    <w:tblStylePr w:type="lastRow">
      <w:rPr>
        <w:b/>
        <w:bCs/>
      </w:rPr>
      <w:tblPr/>
      <w:tcPr>
        <w:tcBorders>
          <w:top w:val="double" w:sz="4" w:space="0" w:color="AB73D5" w:themeColor="accent6" w:themeTint="99"/>
        </w:tcBorders>
      </w:tcPr>
    </w:tblStylePr>
    <w:tblStylePr w:type="firstCol">
      <w:rPr>
        <w:b/>
        <w:bCs/>
      </w:rPr>
    </w:tblStylePr>
    <w:tblStylePr w:type="lastCol">
      <w:rPr>
        <w:b/>
        <w:bCs/>
      </w:rPr>
    </w:tblStylePr>
    <w:tblStylePr w:type="band1Vert">
      <w:tblPr/>
      <w:tcPr>
        <w:shd w:val="clear" w:color="auto" w:fill="E2D0F1" w:themeFill="accent6" w:themeFillTint="33"/>
      </w:tcPr>
    </w:tblStylePr>
    <w:tblStylePr w:type="band1Horz">
      <w:tblPr/>
      <w:tcPr>
        <w:shd w:val="clear" w:color="auto" w:fill="E2D0F1" w:themeFill="accent6" w:themeFillTint="33"/>
      </w:tcPr>
    </w:tblStylePr>
  </w:style>
  <w:style w:type="table" w:styleId="ListTable5Dark">
    <w:name w:val="List Table 5 Dark"/>
    <w:basedOn w:val="TableNormal"/>
    <w:rsid w:val="001051DF"/>
    <w:pPr>
      <w:spacing w:after="0" w:line="240" w:lineRule="auto"/>
    </w:pPr>
    <w:rPr>
      <w:rFonts w:ascii="EC Square Sans Pro" w:eastAsia="SimSun" w:hAnsi="EC Square Sans Pro"/>
      <w:color w:val="FFFFFF" w:themeColor="background1"/>
      <w:lang w:eastAsia="en-GB"/>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rsid w:val="001051DF"/>
    <w:pPr>
      <w:spacing w:after="0" w:line="240" w:lineRule="auto"/>
    </w:pPr>
    <w:rPr>
      <w:rFonts w:ascii="EC Square Sans Pro" w:eastAsia="SimSun" w:hAnsi="EC Square Sans Pro"/>
      <w:color w:val="FFFFFF" w:themeColor="background1"/>
      <w:lang w:eastAsia="en-GB"/>
    </w:rPr>
    <w:tblPr>
      <w:tblStyleRowBandSize w:val="1"/>
      <w:tblStyleColBandSize w:val="1"/>
      <w:tblBorders>
        <w:top w:val="single" w:sz="24" w:space="0" w:color="008139" w:themeColor="accent1"/>
        <w:left w:val="single" w:sz="24" w:space="0" w:color="008139" w:themeColor="accent1"/>
        <w:bottom w:val="single" w:sz="24" w:space="0" w:color="008139" w:themeColor="accent1"/>
        <w:right w:val="single" w:sz="24" w:space="0" w:color="008139" w:themeColor="accent1"/>
      </w:tblBorders>
    </w:tblPr>
    <w:tcPr>
      <w:shd w:val="clear" w:color="auto" w:fill="008139"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rsid w:val="001051DF"/>
    <w:pPr>
      <w:spacing w:after="0" w:line="240" w:lineRule="auto"/>
    </w:pPr>
    <w:rPr>
      <w:rFonts w:ascii="EC Square Sans Pro" w:eastAsia="SimSun" w:hAnsi="EC Square Sans Pro"/>
      <w:color w:val="FFFFFF" w:themeColor="background1"/>
      <w:lang w:eastAsia="en-GB"/>
    </w:rPr>
    <w:tblPr>
      <w:tblStyleRowBandSize w:val="1"/>
      <w:tblStyleColBandSize w:val="1"/>
      <w:tblBorders>
        <w:top w:val="single" w:sz="24" w:space="0" w:color="DE6002" w:themeColor="accent2"/>
        <w:left w:val="single" w:sz="24" w:space="0" w:color="DE6002" w:themeColor="accent2"/>
        <w:bottom w:val="single" w:sz="24" w:space="0" w:color="DE6002" w:themeColor="accent2"/>
        <w:right w:val="single" w:sz="24" w:space="0" w:color="DE6002" w:themeColor="accent2"/>
      </w:tblBorders>
    </w:tblPr>
    <w:tcPr>
      <w:shd w:val="clear" w:color="auto" w:fill="DE6002"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rsid w:val="001051DF"/>
    <w:pPr>
      <w:spacing w:after="0" w:line="240" w:lineRule="auto"/>
    </w:pPr>
    <w:rPr>
      <w:rFonts w:ascii="EC Square Sans Pro" w:eastAsia="SimSun" w:hAnsi="EC Square Sans Pro"/>
      <w:color w:val="FFFFFF" w:themeColor="background1"/>
      <w:lang w:eastAsia="en-GB"/>
    </w:rPr>
    <w:tblPr>
      <w:tblStyleRowBandSize w:val="1"/>
      <w:tblStyleColBandSize w:val="1"/>
      <w:tblBorders>
        <w:top w:val="single" w:sz="24" w:space="0" w:color="2688FE" w:themeColor="accent3"/>
        <w:left w:val="single" w:sz="24" w:space="0" w:color="2688FE" w:themeColor="accent3"/>
        <w:bottom w:val="single" w:sz="24" w:space="0" w:color="2688FE" w:themeColor="accent3"/>
        <w:right w:val="single" w:sz="24" w:space="0" w:color="2688FE" w:themeColor="accent3"/>
      </w:tblBorders>
    </w:tblPr>
    <w:tcPr>
      <w:shd w:val="clear" w:color="auto" w:fill="2688FE"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rsid w:val="001051DF"/>
    <w:pPr>
      <w:spacing w:after="0" w:line="240" w:lineRule="auto"/>
    </w:pPr>
    <w:rPr>
      <w:rFonts w:ascii="EC Square Sans Pro" w:eastAsia="SimSun" w:hAnsi="EC Square Sans Pro"/>
      <w:color w:val="FFFFFF" w:themeColor="background1"/>
      <w:lang w:eastAsia="en-GB"/>
    </w:rPr>
    <w:tblPr>
      <w:tblStyleRowBandSize w:val="1"/>
      <w:tblStyleColBandSize w:val="1"/>
      <w:tblBorders>
        <w:top w:val="single" w:sz="24" w:space="0" w:color="FDAB07" w:themeColor="accent4"/>
        <w:left w:val="single" w:sz="24" w:space="0" w:color="FDAB07" w:themeColor="accent4"/>
        <w:bottom w:val="single" w:sz="24" w:space="0" w:color="FDAB07" w:themeColor="accent4"/>
        <w:right w:val="single" w:sz="24" w:space="0" w:color="FDAB07" w:themeColor="accent4"/>
      </w:tblBorders>
    </w:tblPr>
    <w:tcPr>
      <w:shd w:val="clear" w:color="auto" w:fill="FDAB07"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rsid w:val="001051DF"/>
    <w:pPr>
      <w:spacing w:after="0" w:line="240" w:lineRule="auto"/>
    </w:pPr>
    <w:rPr>
      <w:rFonts w:ascii="EC Square Sans Pro" w:eastAsia="SimSun" w:hAnsi="EC Square Sans Pro"/>
      <w:color w:val="FFFFFF" w:themeColor="background1"/>
      <w:lang w:eastAsia="en-GB"/>
    </w:rPr>
    <w:tblPr>
      <w:tblStyleRowBandSize w:val="1"/>
      <w:tblStyleColBandSize w:val="1"/>
      <w:tblBorders>
        <w:top w:val="single" w:sz="24" w:space="0" w:color="DC165D" w:themeColor="accent5"/>
        <w:left w:val="single" w:sz="24" w:space="0" w:color="DC165D" w:themeColor="accent5"/>
        <w:bottom w:val="single" w:sz="24" w:space="0" w:color="DC165D" w:themeColor="accent5"/>
        <w:right w:val="single" w:sz="24" w:space="0" w:color="DC165D" w:themeColor="accent5"/>
      </w:tblBorders>
    </w:tblPr>
    <w:tcPr>
      <w:shd w:val="clear" w:color="auto" w:fill="DC165D"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rsid w:val="001051DF"/>
    <w:pPr>
      <w:spacing w:after="0" w:line="240" w:lineRule="auto"/>
    </w:pPr>
    <w:rPr>
      <w:rFonts w:ascii="EC Square Sans Pro" w:eastAsia="SimSun" w:hAnsi="EC Square Sans Pro"/>
      <w:color w:val="FFFFFF" w:themeColor="background1"/>
      <w:lang w:eastAsia="en-GB"/>
    </w:rPr>
    <w:tblPr>
      <w:tblStyleRowBandSize w:val="1"/>
      <w:tblStyleColBandSize w:val="1"/>
      <w:tblBorders>
        <w:top w:val="single" w:sz="24" w:space="0" w:color="7030A0" w:themeColor="accent6"/>
        <w:left w:val="single" w:sz="24" w:space="0" w:color="7030A0" w:themeColor="accent6"/>
        <w:bottom w:val="single" w:sz="24" w:space="0" w:color="7030A0" w:themeColor="accent6"/>
        <w:right w:val="single" w:sz="24" w:space="0" w:color="7030A0" w:themeColor="accent6"/>
      </w:tblBorders>
    </w:tblPr>
    <w:tcPr>
      <w:shd w:val="clear" w:color="auto" w:fill="7030A0"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rsid w:val="001051DF"/>
    <w:pPr>
      <w:spacing w:after="0" w:line="240" w:lineRule="auto"/>
    </w:pPr>
    <w:rPr>
      <w:rFonts w:ascii="EC Square Sans Pro" w:eastAsia="SimSun" w:hAnsi="EC Square Sans Pro"/>
      <w:color w:val="000000" w:themeColor="text1"/>
      <w:lang w:eastAsia="en-GB"/>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rsid w:val="001051DF"/>
    <w:pPr>
      <w:spacing w:after="0" w:line="240" w:lineRule="auto"/>
    </w:pPr>
    <w:rPr>
      <w:rFonts w:ascii="EC Square Sans Pro" w:eastAsia="SimSun" w:hAnsi="EC Square Sans Pro"/>
      <w:color w:val="00602A" w:themeColor="accent1" w:themeShade="BF"/>
      <w:lang w:eastAsia="en-GB"/>
    </w:rPr>
    <w:tblPr>
      <w:tblStyleRowBandSize w:val="1"/>
      <w:tblStyleColBandSize w:val="1"/>
      <w:tblBorders>
        <w:top w:val="single" w:sz="4" w:space="0" w:color="008139" w:themeColor="accent1"/>
        <w:bottom w:val="single" w:sz="4" w:space="0" w:color="008139" w:themeColor="accent1"/>
      </w:tblBorders>
    </w:tblPr>
    <w:tblStylePr w:type="firstRow">
      <w:rPr>
        <w:b/>
        <w:bCs/>
      </w:rPr>
      <w:tblPr/>
      <w:tcPr>
        <w:tcBorders>
          <w:bottom w:val="single" w:sz="4" w:space="0" w:color="008139" w:themeColor="accent1"/>
        </w:tcBorders>
      </w:tcPr>
    </w:tblStylePr>
    <w:tblStylePr w:type="lastRow">
      <w:rPr>
        <w:b/>
        <w:bCs/>
      </w:rPr>
      <w:tblPr/>
      <w:tcPr>
        <w:tcBorders>
          <w:top w:val="double" w:sz="4" w:space="0" w:color="008139" w:themeColor="accent1"/>
        </w:tcBorders>
      </w:tcPr>
    </w:tblStylePr>
    <w:tblStylePr w:type="firstCol">
      <w:rPr>
        <w:b/>
        <w:bCs/>
      </w:rPr>
    </w:tblStylePr>
    <w:tblStylePr w:type="lastCol">
      <w:rPr>
        <w:b/>
        <w:bCs/>
      </w:rPr>
    </w:tblStylePr>
    <w:tblStylePr w:type="band1Vert">
      <w:tblPr/>
      <w:tcPr>
        <w:shd w:val="clear" w:color="auto" w:fill="B2FFD4" w:themeFill="accent1" w:themeFillTint="33"/>
      </w:tcPr>
    </w:tblStylePr>
    <w:tblStylePr w:type="band1Horz">
      <w:tblPr/>
      <w:tcPr>
        <w:shd w:val="clear" w:color="auto" w:fill="B2FFD4" w:themeFill="accent1" w:themeFillTint="33"/>
      </w:tcPr>
    </w:tblStylePr>
  </w:style>
  <w:style w:type="table" w:styleId="ListTable6Colorful-Accent2">
    <w:name w:val="List Table 6 Colorful Accent 2"/>
    <w:basedOn w:val="TableNormal"/>
    <w:rsid w:val="001051DF"/>
    <w:pPr>
      <w:spacing w:after="0" w:line="240" w:lineRule="auto"/>
    </w:pPr>
    <w:rPr>
      <w:rFonts w:ascii="EC Square Sans Pro" w:eastAsia="SimSun" w:hAnsi="EC Square Sans Pro"/>
      <w:color w:val="A64701" w:themeColor="accent2" w:themeShade="BF"/>
      <w:lang w:eastAsia="en-GB"/>
    </w:rPr>
    <w:tblPr>
      <w:tblStyleRowBandSize w:val="1"/>
      <w:tblStyleColBandSize w:val="1"/>
      <w:tblBorders>
        <w:top w:val="single" w:sz="4" w:space="0" w:color="DE6002" w:themeColor="accent2"/>
        <w:bottom w:val="single" w:sz="4" w:space="0" w:color="DE6002" w:themeColor="accent2"/>
      </w:tblBorders>
    </w:tblPr>
    <w:tblStylePr w:type="firstRow">
      <w:rPr>
        <w:b/>
        <w:bCs/>
      </w:rPr>
      <w:tblPr/>
      <w:tcPr>
        <w:tcBorders>
          <w:bottom w:val="single" w:sz="4" w:space="0" w:color="DE6002" w:themeColor="accent2"/>
        </w:tcBorders>
      </w:tcPr>
    </w:tblStylePr>
    <w:tblStylePr w:type="lastRow">
      <w:rPr>
        <w:b/>
        <w:bCs/>
      </w:rPr>
      <w:tblPr/>
      <w:tcPr>
        <w:tcBorders>
          <w:top w:val="double" w:sz="4" w:space="0" w:color="DE6002" w:themeColor="accent2"/>
        </w:tcBorders>
      </w:tcPr>
    </w:tblStylePr>
    <w:tblStylePr w:type="firstCol">
      <w:rPr>
        <w:b/>
        <w:bCs/>
      </w:rPr>
    </w:tblStylePr>
    <w:tblStylePr w:type="lastCol">
      <w:rPr>
        <w:b/>
        <w:bCs/>
      </w:rPr>
    </w:tblStylePr>
    <w:tblStylePr w:type="band1Vert">
      <w:tblPr/>
      <w:tcPr>
        <w:shd w:val="clear" w:color="auto" w:fill="FEDEC6" w:themeFill="accent2" w:themeFillTint="33"/>
      </w:tcPr>
    </w:tblStylePr>
    <w:tblStylePr w:type="band1Horz">
      <w:tblPr/>
      <w:tcPr>
        <w:shd w:val="clear" w:color="auto" w:fill="FEDEC6" w:themeFill="accent2" w:themeFillTint="33"/>
      </w:tcPr>
    </w:tblStylePr>
  </w:style>
  <w:style w:type="table" w:styleId="ListTable6Colorful-Accent3">
    <w:name w:val="List Table 6 Colorful Accent 3"/>
    <w:basedOn w:val="TableNormal"/>
    <w:rsid w:val="001051DF"/>
    <w:pPr>
      <w:spacing w:after="0" w:line="240" w:lineRule="auto"/>
    </w:pPr>
    <w:rPr>
      <w:rFonts w:ascii="EC Square Sans Pro" w:eastAsia="SimSun" w:hAnsi="EC Square Sans Pro"/>
      <w:color w:val="0162D9" w:themeColor="accent3" w:themeShade="BF"/>
      <w:lang w:eastAsia="en-GB"/>
    </w:rPr>
    <w:tblPr>
      <w:tblStyleRowBandSize w:val="1"/>
      <w:tblStyleColBandSize w:val="1"/>
      <w:tblBorders>
        <w:top w:val="single" w:sz="4" w:space="0" w:color="2688FE" w:themeColor="accent3"/>
        <w:bottom w:val="single" w:sz="4" w:space="0" w:color="2688FE" w:themeColor="accent3"/>
      </w:tblBorders>
    </w:tblPr>
    <w:tblStylePr w:type="firstRow">
      <w:rPr>
        <w:b/>
        <w:bCs/>
      </w:rPr>
      <w:tblPr/>
      <w:tcPr>
        <w:tcBorders>
          <w:bottom w:val="single" w:sz="4" w:space="0" w:color="2688FE" w:themeColor="accent3"/>
        </w:tcBorders>
      </w:tcPr>
    </w:tblStylePr>
    <w:tblStylePr w:type="lastRow">
      <w:rPr>
        <w:b/>
        <w:bCs/>
      </w:rPr>
      <w:tblPr/>
      <w:tcPr>
        <w:tcBorders>
          <w:top w:val="double" w:sz="4" w:space="0" w:color="2688FE" w:themeColor="accent3"/>
        </w:tcBorders>
      </w:tcPr>
    </w:tblStylePr>
    <w:tblStylePr w:type="firstCol">
      <w:rPr>
        <w:b/>
        <w:bCs/>
      </w:rPr>
    </w:tblStylePr>
    <w:tblStylePr w:type="lastCol">
      <w:rPr>
        <w:b/>
        <w:bCs/>
      </w:rPr>
    </w:tblStylePr>
    <w:tblStylePr w:type="band1Vert">
      <w:tblPr/>
      <w:tcPr>
        <w:shd w:val="clear" w:color="auto" w:fill="D3E7FE" w:themeFill="accent3" w:themeFillTint="33"/>
      </w:tcPr>
    </w:tblStylePr>
    <w:tblStylePr w:type="band1Horz">
      <w:tblPr/>
      <w:tcPr>
        <w:shd w:val="clear" w:color="auto" w:fill="D3E7FE" w:themeFill="accent3" w:themeFillTint="33"/>
      </w:tcPr>
    </w:tblStylePr>
  </w:style>
  <w:style w:type="table" w:styleId="ListTable6Colorful-Accent4">
    <w:name w:val="List Table 6 Colorful Accent 4"/>
    <w:basedOn w:val="TableNormal"/>
    <w:rsid w:val="001051DF"/>
    <w:pPr>
      <w:spacing w:after="0" w:line="240" w:lineRule="auto"/>
    </w:pPr>
    <w:rPr>
      <w:rFonts w:ascii="EC Square Sans Pro" w:eastAsia="SimSun" w:hAnsi="EC Square Sans Pro"/>
      <w:color w:val="C18101" w:themeColor="accent4" w:themeShade="BF"/>
      <w:lang w:eastAsia="en-GB"/>
    </w:rPr>
    <w:tblPr>
      <w:tblStyleRowBandSize w:val="1"/>
      <w:tblStyleColBandSize w:val="1"/>
      <w:tblBorders>
        <w:top w:val="single" w:sz="4" w:space="0" w:color="FDAB07" w:themeColor="accent4"/>
        <w:bottom w:val="single" w:sz="4" w:space="0" w:color="FDAB07" w:themeColor="accent4"/>
      </w:tblBorders>
    </w:tblPr>
    <w:tblStylePr w:type="firstRow">
      <w:rPr>
        <w:b/>
        <w:bCs/>
      </w:rPr>
      <w:tblPr/>
      <w:tcPr>
        <w:tcBorders>
          <w:bottom w:val="single" w:sz="4" w:space="0" w:color="FDAB07" w:themeColor="accent4"/>
        </w:tcBorders>
      </w:tcPr>
    </w:tblStylePr>
    <w:tblStylePr w:type="lastRow">
      <w:rPr>
        <w:b/>
        <w:bCs/>
      </w:rPr>
      <w:tblPr/>
      <w:tcPr>
        <w:tcBorders>
          <w:top w:val="double" w:sz="4" w:space="0" w:color="FDAB07" w:themeColor="accent4"/>
        </w:tcBorders>
      </w:tcPr>
    </w:tblStylePr>
    <w:tblStylePr w:type="firstCol">
      <w:rPr>
        <w:b/>
        <w:bCs/>
      </w:rPr>
    </w:tblStylePr>
    <w:tblStylePr w:type="lastCol">
      <w:rPr>
        <w:b/>
        <w:bCs/>
      </w:rPr>
    </w:tblStylePr>
    <w:tblStylePr w:type="band1Vert">
      <w:tblPr/>
      <w:tcPr>
        <w:shd w:val="clear" w:color="auto" w:fill="FEEECD" w:themeFill="accent4" w:themeFillTint="33"/>
      </w:tcPr>
    </w:tblStylePr>
    <w:tblStylePr w:type="band1Horz">
      <w:tblPr/>
      <w:tcPr>
        <w:shd w:val="clear" w:color="auto" w:fill="FEEECD" w:themeFill="accent4" w:themeFillTint="33"/>
      </w:tcPr>
    </w:tblStylePr>
  </w:style>
  <w:style w:type="table" w:styleId="ListTable6Colorful-Accent5">
    <w:name w:val="List Table 6 Colorful Accent 5"/>
    <w:basedOn w:val="TableNormal"/>
    <w:rsid w:val="001051DF"/>
    <w:pPr>
      <w:spacing w:after="0" w:line="240" w:lineRule="auto"/>
    </w:pPr>
    <w:rPr>
      <w:rFonts w:ascii="EC Square Sans Pro" w:eastAsia="SimSun" w:hAnsi="EC Square Sans Pro"/>
      <w:color w:val="A41045" w:themeColor="accent5" w:themeShade="BF"/>
      <w:lang w:eastAsia="en-GB"/>
    </w:rPr>
    <w:tblPr>
      <w:tblStyleRowBandSize w:val="1"/>
      <w:tblStyleColBandSize w:val="1"/>
      <w:tblBorders>
        <w:top w:val="single" w:sz="4" w:space="0" w:color="DC165D" w:themeColor="accent5"/>
        <w:bottom w:val="single" w:sz="4" w:space="0" w:color="DC165D" w:themeColor="accent5"/>
      </w:tblBorders>
    </w:tblPr>
    <w:tblStylePr w:type="firstRow">
      <w:rPr>
        <w:b/>
        <w:bCs/>
      </w:rPr>
      <w:tblPr/>
      <w:tcPr>
        <w:tcBorders>
          <w:bottom w:val="single" w:sz="4" w:space="0" w:color="DC165D" w:themeColor="accent5"/>
        </w:tcBorders>
      </w:tcPr>
    </w:tblStylePr>
    <w:tblStylePr w:type="lastRow">
      <w:rPr>
        <w:b/>
        <w:bCs/>
      </w:rPr>
      <w:tblPr/>
      <w:tcPr>
        <w:tcBorders>
          <w:top w:val="double" w:sz="4" w:space="0" w:color="DC165D" w:themeColor="accent5"/>
        </w:tcBorders>
      </w:tcPr>
    </w:tblStylePr>
    <w:tblStylePr w:type="firstCol">
      <w:rPr>
        <w:b/>
        <w:bCs/>
      </w:rPr>
    </w:tblStylePr>
    <w:tblStylePr w:type="lastCol">
      <w:rPr>
        <w:b/>
        <w:bCs/>
      </w:rPr>
    </w:tblStylePr>
    <w:tblStylePr w:type="band1Vert">
      <w:tblPr/>
      <w:tcPr>
        <w:shd w:val="clear" w:color="auto" w:fill="FACEDD" w:themeFill="accent5" w:themeFillTint="33"/>
      </w:tcPr>
    </w:tblStylePr>
    <w:tblStylePr w:type="band1Horz">
      <w:tblPr/>
      <w:tcPr>
        <w:shd w:val="clear" w:color="auto" w:fill="FACEDD" w:themeFill="accent5" w:themeFillTint="33"/>
      </w:tcPr>
    </w:tblStylePr>
  </w:style>
  <w:style w:type="table" w:styleId="ListTable6Colorful-Accent6">
    <w:name w:val="List Table 6 Colorful Accent 6"/>
    <w:basedOn w:val="TableNormal"/>
    <w:rsid w:val="001051DF"/>
    <w:pPr>
      <w:spacing w:after="0" w:line="240" w:lineRule="auto"/>
    </w:pPr>
    <w:rPr>
      <w:rFonts w:ascii="EC Square Sans Pro" w:eastAsia="SimSun" w:hAnsi="EC Square Sans Pro"/>
      <w:color w:val="532477" w:themeColor="accent6" w:themeShade="BF"/>
      <w:lang w:eastAsia="en-GB"/>
    </w:rPr>
    <w:tblPr>
      <w:tblStyleRowBandSize w:val="1"/>
      <w:tblStyleColBandSize w:val="1"/>
      <w:tblBorders>
        <w:top w:val="single" w:sz="4" w:space="0" w:color="7030A0" w:themeColor="accent6"/>
        <w:bottom w:val="single" w:sz="4" w:space="0" w:color="7030A0" w:themeColor="accent6"/>
      </w:tblBorders>
    </w:tblPr>
    <w:tblStylePr w:type="firstRow">
      <w:rPr>
        <w:b/>
        <w:bCs/>
      </w:rPr>
      <w:tblPr/>
      <w:tcPr>
        <w:tcBorders>
          <w:bottom w:val="single" w:sz="4" w:space="0" w:color="7030A0" w:themeColor="accent6"/>
        </w:tcBorders>
      </w:tcPr>
    </w:tblStylePr>
    <w:tblStylePr w:type="lastRow">
      <w:rPr>
        <w:b/>
        <w:bCs/>
      </w:rPr>
      <w:tblPr/>
      <w:tcPr>
        <w:tcBorders>
          <w:top w:val="double" w:sz="4" w:space="0" w:color="7030A0" w:themeColor="accent6"/>
        </w:tcBorders>
      </w:tcPr>
    </w:tblStylePr>
    <w:tblStylePr w:type="firstCol">
      <w:rPr>
        <w:b/>
        <w:bCs/>
      </w:rPr>
    </w:tblStylePr>
    <w:tblStylePr w:type="lastCol">
      <w:rPr>
        <w:b/>
        <w:bCs/>
      </w:rPr>
    </w:tblStylePr>
    <w:tblStylePr w:type="band1Vert">
      <w:tblPr/>
      <w:tcPr>
        <w:shd w:val="clear" w:color="auto" w:fill="E2D0F1" w:themeFill="accent6" w:themeFillTint="33"/>
      </w:tcPr>
    </w:tblStylePr>
    <w:tblStylePr w:type="band1Horz">
      <w:tblPr/>
      <w:tcPr>
        <w:shd w:val="clear" w:color="auto" w:fill="E2D0F1" w:themeFill="accent6" w:themeFillTint="33"/>
      </w:tcPr>
    </w:tblStylePr>
  </w:style>
  <w:style w:type="table" w:styleId="ListTable7Colorful">
    <w:name w:val="List Table 7 Colorful"/>
    <w:basedOn w:val="TableNormal"/>
    <w:rsid w:val="001051DF"/>
    <w:pPr>
      <w:spacing w:after="0" w:line="240" w:lineRule="auto"/>
    </w:pPr>
    <w:rPr>
      <w:rFonts w:ascii="EC Square Sans Pro" w:eastAsia="SimSun" w:hAnsi="EC Square Sans Pro"/>
      <w:color w:val="000000" w:themeColor="text1"/>
      <w:lang w:eastAsia="en-GB"/>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rsid w:val="001051DF"/>
    <w:pPr>
      <w:spacing w:after="0" w:line="240" w:lineRule="auto"/>
    </w:pPr>
    <w:rPr>
      <w:rFonts w:ascii="EC Square Sans Pro" w:eastAsia="SimSun" w:hAnsi="EC Square Sans Pro"/>
      <w:color w:val="00602A" w:themeColor="accent1" w:themeShade="BF"/>
      <w:lang w:eastAsia="en-GB"/>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8139"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8139"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8139"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8139" w:themeColor="accent1"/>
        </w:tcBorders>
        <w:shd w:val="clear" w:color="auto" w:fill="FFFFFF" w:themeFill="background1"/>
      </w:tcPr>
    </w:tblStylePr>
    <w:tblStylePr w:type="band1Vert">
      <w:tblPr/>
      <w:tcPr>
        <w:shd w:val="clear" w:color="auto" w:fill="B2FFD4" w:themeFill="accent1" w:themeFillTint="33"/>
      </w:tcPr>
    </w:tblStylePr>
    <w:tblStylePr w:type="band1Horz">
      <w:tblPr/>
      <w:tcPr>
        <w:shd w:val="clear" w:color="auto" w:fill="B2FFD4"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rsid w:val="001051DF"/>
    <w:pPr>
      <w:spacing w:after="0" w:line="240" w:lineRule="auto"/>
    </w:pPr>
    <w:rPr>
      <w:rFonts w:ascii="EC Square Sans Pro" w:eastAsia="SimSun" w:hAnsi="EC Square Sans Pro"/>
      <w:color w:val="A64701" w:themeColor="accent2" w:themeShade="BF"/>
      <w:lang w:eastAsia="en-GB"/>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DE6002"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DE6002"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DE6002"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DE6002" w:themeColor="accent2"/>
        </w:tcBorders>
        <w:shd w:val="clear" w:color="auto" w:fill="FFFFFF" w:themeFill="background1"/>
      </w:tcPr>
    </w:tblStylePr>
    <w:tblStylePr w:type="band1Vert">
      <w:tblPr/>
      <w:tcPr>
        <w:shd w:val="clear" w:color="auto" w:fill="FEDEC6" w:themeFill="accent2" w:themeFillTint="33"/>
      </w:tcPr>
    </w:tblStylePr>
    <w:tblStylePr w:type="band1Horz">
      <w:tblPr/>
      <w:tcPr>
        <w:shd w:val="clear" w:color="auto" w:fill="FEDEC6"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rsid w:val="001051DF"/>
    <w:pPr>
      <w:spacing w:after="0" w:line="240" w:lineRule="auto"/>
    </w:pPr>
    <w:rPr>
      <w:rFonts w:ascii="EC Square Sans Pro" w:eastAsia="SimSun" w:hAnsi="EC Square Sans Pro"/>
      <w:color w:val="0162D9" w:themeColor="accent3" w:themeShade="BF"/>
      <w:lang w:eastAsia="en-GB"/>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688FE"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688FE"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688FE"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688FE" w:themeColor="accent3"/>
        </w:tcBorders>
        <w:shd w:val="clear" w:color="auto" w:fill="FFFFFF" w:themeFill="background1"/>
      </w:tcPr>
    </w:tblStylePr>
    <w:tblStylePr w:type="band1Vert">
      <w:tblPr/>
      <w:tcPr>
        <w:shd w:val="clear" w:color="auto" w:fill="D3E7FE" w:themeFill="accent3" w:themeFillTint="33"/>
      </w:tcPr>
    </w:tblStylePr>
    <w:tblStylePr w:type="band1Horz">
      <w:tblPr/>
      <w:tcPr>
        <w:shd w:val="clear" w:color="auto" w:fill="D3E7FE"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rsid w:val="001051DF"/>
    <w:pPr>
      <w:spacing w:after="0" w:line="240" w:lineRule="auto"/>
    </w:pPr>
    <w:rPr>
      <w:rFonts w:ascii="EC Square Sans Pro" w:eastAsia="SimSun" w:hAnsi="EC Square Sans Pro"/>
      <w:color w:val="C18101" w:themeColor="accent4" w:themeShade="BF"/>
      <w:lang w:eastAsia="en-GB"/>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DAB07"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DAB07"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DAB07"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DAB07" w:themeColor="accent4"/>
        </w:tcBorders>
        <w:shd w:val="clear" w:color="auto" w:fill="FFFFFF" w:themeFill="background1"/>
      </w:tcPr>
    </w:tblStylePr>
    <w:tblStylePr w:type="band1Vert">
      <w:tblPr/>
      <w:tcPr>
        <w:shd w:val="clear" w:color="auto" w:fill="FEEECD" w:themeFill="accent4" w:themeFillTint="33"/>
      </w:tcPr>
    </w:tblStylePr>
    <w:tblStylePr w:type="band1Horz">
      <w:tblPr/>
      <w:tcPr>
        <w:shd w:val="clear" w:color="auto" w:fill="FEEECD"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rsid w:val="001051DF"/>
    <w:pPr>
      <w:spacing w:after="0" w:line="240" w:lineRule="auto"/>
    </w:pPr>
    <w:rPr>
      <w:rFonts w:ascii="EC Square Sans Pro" w:eastAsia="SimSun" w:hAnsi="EC Square Sans Pro"/>
      <w:color w:val="A41045" w:themeColor="accent5" w:themeShade="BF"/>
      <w:lang w:eastAsia="en-GB"/>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DC165D"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DC165D"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DC165D"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DC165D" w:themeColor="accent5"/>
        </w:tcBorders>
        <w:shd w:val="clear" w:color="auto" w:fill="FFFFFF" w:themeFill="background1"/>
      </w:tcPr>
    </w:tblStylePr>
    <w:tblStylePr w:type="band1Vert">
      <w:tblPr/>
      <w:tcPr>
        <w:shd w:val="clear" w:color="auto" w:fill="FACEDD" w:themeFill="accent5" w:themeFillTint="33"/>
      </w:tcPr>
    </w:tblStylePr>
    <w:tblStylePr w:type="band1Horz">
      <w:tblPr/>
      <w:tcPr>
        <w:shd w:val="clear" w:color="auto" w:fill="FACEDD"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rsid w:val="001051DF"/>
    <w:pPr>
      <w:spacing w:after="0" w:line="240" w:lineRule="auto"/>
    </w:pPr>
    <w:rPr>
      <w:rFonts w:ascii="EC Square Sans Pro" w:eastAsia="SimSun" w:hAnsi="EC Square Sans Pro"/>
      <w:color w:val="532477" w:themeColor="accent6" w:themeShade="BF"/>
      <w:lang w:eastAsia="en-GB"/>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30A0"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30A0"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30A0"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30A0" w:themeColor="accent6"/>
        </w:tcBorders>
        <w:shd w:val="clear" w:color="auto" w:fill="FFFFFF" w:themeFill="background1"/>
      </w:tcPr>
    </w:tblStylePr>
    <w:tblStylePr w:type="band1Vert">
      <w:tblPr/>
      <w:tcPr>
        <w:shd w:val="clear" w:color="auto" w:fill="E2D0F1" w:themeFill="accent6" w:themeFillTint="33"/>
      </w:tcPr>
    </w:tblStylePr>
    <w:tblStylePr w:type="band1Horz">
      <w:tblPr/>
      <w:tcPr>
        <w:shd w:val="clear" w:color="auto" w:fill="E2D0F1"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MacroTextChar">
    <w:name w:val="Macro Text Char"/>
    <w:basedOn w:val="DefaultParagraphFont"/>
    <w:link w:val="MacroText"/>
    <w:uiPriority w:val="39"/>
    <w:rsid w:val="001051DF"/>
    <w:rPr>
      <w:rFonts w:ascii="EC Square Sans Pro" w:eastAsia="SimSun" w:hAnsi="EC Square Sans Pro"/>
      <w:lang w:eastAsia="en-GB"/>
    </w:rPr>
  </w:style>
  <w:style w:type="table" w:styleId="MediumGrid1">
    <w:name w:val="Medium Grid 1"/>
    <w:basedOn w:val="TableNormal"/>
    <w:semiHidden/>
    <w:unhideWhenUsed/>
    <w:rsid w:val="001051DF"/>
    <w:pPr>
      <w:spacing w:before="0" w:after="0" w:line="240" w:lineRule="auto"/>
    </w:pPr>
    <w:rPr>
      <w:rFonts w:ascii="EC Square Sans Pro" w:eastAsia="SimSun" w:hAnsi="EC Square Sans Pro"/>
      <w:lang w:eastAsia="en-GB"/>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semiHidden/>
    <w:unhideWhenUsed/>
    <w:rsid w:val="001051DF"/>
    <w:pPr>
      <w:spacing w:before="0" w:after="0" w:line="240" w:lineRule="auto"/>
    </w:pPr>
    <w:rPr>
      <w:rFonts w:ascii="EC Square Sans Pro" w:eastAsia="SimSun" w:hAnsi="EC Square Sans Pro"/>
      <w:lang w:eastAsia="en-GB"/>
    </w:rPr>
    <w:tblPr>
      <w:tblStyleRowBandSize w:val="1"/>
      <w:tblStyleColBandSize w:val="1"/>
      <w:tblBorders>
        <w:top w:val="single" w:sz="8" w:space="0" w:color="00E062" w:themeColor="accent1" w:themeTint="BF"/>
        <w:left w:val="single" w:sz="8" w:space="0" w:color="00E062" w:themeColor="accent1" w:themeTint="BF"/>
        <w:bottom w:val="single" w:sz="8" w:space="0" w:color="00E062" w:themeColor="accent1" w:themeTint="BF"/>
        <w:right w:val="single" w:sz="8" w:space="0" w:color="00E062" w:themeColor="accent1" w:themeTint="BF"/>
        <w:insideH w:val="single" w:sz="8" w:space="0" w:color="00E062" w:themeColor="accent1" w:themeTint="BF"/>
        <w:insideV w:val="single" w:sz="8" w:space="0" w:color="00E062" w:themeColor="accent1" w:themeTint="BF"/>
      </w:tblBorders>
    </w:tblPr>
    <w:tcPr>
      <w:shd w:val="clear" w:color="auto" w:fill="A0FFCA" w:themeFill="accent1" w:themeFillTint="3F"/>
    </w:tcPr>
    <w:tblStylePr w:type="firstRow">
      <w:rPr>
        <w:b/>
        <w:bCs/>
      </w:rPr>
    </w:tblStylePr>
    <w:tblStylePr w:type="lastRow">
      <w:rPr>
        <w:b/>
        <w:bCs/>
      </w:rPr>
      <w:tblPr/>
      <w:tcPr>
        <w:tcBorders>
          <w:top w:val="single" w:sz="18" w:space="0" w:color="00E062" w:themeColor="accent1" w:themeTint="BF"/>
        </w:tcBorders>
      </w:tcPr>
    </w:tblStylePr>
    <w:tblStylePr w:type="firstCol">
      <w:rPr>
        <w:b/>
        <w:bCs/>
      </w:rPr>
    </w:tblStylePr>
    <w:tblStylePr w:type="lastCol">
      <w:rPr>
        <w:b/>
        <w:bCs/>
      </w:rPr>
    </w:tblStylePr>
    <w:tblStylePr w:type="band1Vert">
      <w:tblPr/>
      <w:tcPr>
        <w:shd w:val="clear" w:color="auto" w:fill="41FF94" w:themeFill="accent1" w:themeFillTint="7F"/>
      </w:tcPr>
    </w:tblStylePr>
    <w:tblStylePr w:type="band1Horz">
      <w:tblPr/>
      <w:tcPr>
        <w:shd w:val="clear" w:color="auto" w:fill="41FF94" w:themeFill="accent1" w:themeFillTint="7F"/>
      </w:tcPr>
    </w:tblStylePr>
  </w:style>
  <w:style w:type="table" w:styleId="MediumGrid1-Accent2">
    <w:name w:val="Medium Grid 1 Accent 2"/>
    <w:basedOn w:val="TableNormal"/>
    <w:semiHidden/>
    <w:unhideWhenUsed/>
    <w:rsid w:val="001051DF"/>
    <w:pPr>
      <w:spacing w:before="0" w:after="0" w:line="240" w:lineRule="auto"/>
    </w:pPr>
    <w:rPr>
      <w:rFonts w:ascii="EC Square Sans Pro" w:eastAsia="SimSun" w:hAnsi="EC Square Sans Pro"/>
      <w:lang w:eastAsia="en-GB"/>
    </w:rPr>
    <w:tblPr>
      <w:tblStyleRowBandSize w:val="1"/>
      <w:tblStyleColBandSize w:val="1"/>
      <w:tblBorders>
        <w:top w:val="single" w:sz="8" w:space="0" w:color="FD832A" w:themeColor="accent2" w:themeTint="BF"/>
        <w:left w:val="single" w:sz="8" w:space="0" w:color="FD832A" w:themeColor="accent2" w:themeTint="BF"/>
        <w:bottom w:val="single" w:sz="8" w:space="0" w:color="FD832A" w:themeColor="accent2" w:themeTint="BF"/>
        <w:right w:val="single" w:sz="8" w:space="0" w:color="FD832A" w:themeColor="accent2" w:themeTint="BF"/>
        <w:insideH w:val="single" w:sz="8" w:space="0" w:color="FD832A" w:themeColor="accent2" w:themeTint="BF"/>
        <w:insideV w:val="single" w:sz="8" w:space="0" w:color="FD832A" w:themeColor="accent2" w:themeTint="BF"/>
      </w:tblBorders>
    </w:tblPr>
    <w:tcPr>
      <w:shd w:val="clear" w:color="auto" w:fill="FED6B8" w:themeFill="accent2" w:themeFillTint="3F"/>
    </w:tcPr>
    <w:tblStylePr w:type="firstRow">
      <w:rPr>
        <w:b/>
        <w:bCs/>
      </w:rPr>
    </w:tblStylePr>
    <w:tblStylePr w:type="lastRow">
      <w:rPr>
        <w:b/>
        <w:bCs/>
      </w:rPr>
      <w:tblPr/>
      <w:tcPr>
        <w:tcBorders>
          <w:top w:val="single" w:sz="18" w:space="0" w:color="FD832A" w:themeColor="accent2" w:themeTint="BF"/>
        </w:tcBorders>
      </w:tcPr>
    </w:tblStylePr>
    <w:tblStylePr w:type="firstCol">
      <w:rPr>
        <w:b/>
        <w:bCs/>
      </w:rPr>
    </w:tblStylePr>
    <w:tblStylePr w:type="lastCol">
      <w:rPr>
        <w:b/>
        <w:bCs/>
      </w:rPr>
    </w:tblStylePr>
    <w:tblStylePr w:type="band1Vert">
      <w:tblPr/>
      <w:tcPr>
        <w:shd w:val="clear" w:color="auto" w:fill="FDAC71" w:themeFill="accent2" w:themeFillTint="7F"/>
      </w:tcPr>
    </w:tblStylePr>
    <w:tblStylePr w:type="band1Horz">
      <w:tblPr/>
      <w:tcPr>
        <w:shd w:val="clear" w:color="auto" w:fill="FDAC71" w:themeFill="accent2" w:themeFillTint="7F"/>
      </w:tcPr>
    </w:tblStylePr>
  </w:style>
  <w:style w:type="table" w:styleId="MediumGrid1-Accent3">
    <w:name w:val="Medium Grid 1 Accent 3"/>
    <w:basedOn w:val="TableNormal"/>
    <w:semiHidden/>
    <w:unhideWhenUsed/>
    <w:rsid w:val="001051DF"/>
    <w:pPr>
      <w:spacing w:before="0" w:after="0" w:line="240" w:lineRule="auto"/>
    </w:pPr>
    <w:rPr>
      <w:rFonts w:ascii="EC Square Sans Pro" w:eastAsia="SimSun" w:hAnsi="EC Square Sans Pro"/>
      <w:lang w:eastAsia="en-GB"/>
    </w:rPr>
    <w:tblPr>
      <w:tblStyleRowBandSize w:val="1"/>
      <w:tblStyleColBandSize w:val="1"/>
      <w:tblBorders>
        <w:top w:val="single" w:sz="8" w:space="0" w:color="5CA5FE" w:themeColor="accent3" w:themeTint="BF"/>
        <w:left w:val="single" w:sz="8" w:space="0" w:color="5CA5FE" w:themeColor="accent3" w:themeTint="BF"/>
        <w:bottom w:val="single" w:sz="8" w:space="0" w:color="5CA5FE" w:themeColor="accent3" w:themeTint="BF"/>
        <w:right w:val="single" w:sz="8" w:space="0" w:color="5CA5FE" w:themeColor="accent3" w:themeTint="BF"/>
        <w:insideH w:val="single" w:sz="8" w:space="0" w:color="5CA5FE" w:themeColor="accent3" w:themeTint="BF"/>
        <w:insideV w:val="single" w:sz="8" w:space="0" w:color="5CA5FE" w:themeColor="accent3" w:themeTint="BF"/>
      </w:tblBorders>
    </w:tblPr>
    <w:tcPr>
      <w:shd w:val="clear" w:color="auto" w:fill="C9E1FE" w:themeFill="accent3" w:themeFillTint="3F"/>
    </w:tcPr>
    <w:tblStylePr w:type="firstRow">
      <w:rPr>
        <w:b/>
        <w:bCs/>
      </w:rPr>
    </w:tblStylePr>
    <w:tblStylePr w:type="lastRow">
      <w:rPr>
        <w:b/>
        <w:bCs/>
      </w:rPr>
      <w:tblPr/>
      <w:tcPr>
        <w:tcBorders>
          <w:top w:val="single" w:sz="18" w:space="0" w:color="5CA5FE" w:themeColor="accent3" w:themeTint="BF"/>
        </w:tcBorders>
      </w:tcPr>
    </w:tblStylePr>
    <w:tblStylePr w:type="firstCol">
      <w:rPr>
        <w:b/>
        <w:bCs/>
      </w:rPr>
    </w:tblStylePr>
    <w:tblStylePr w:type="lastCol">
      <w:rPr>
        <w:b/>
        <w:bCs/>
      </w:rPr>
    </w:tblStylePr>
    <w:tblStylePr w:type="band1Vert">
      <w:tblPr/>
      <w:tcPr>
        <w:shd w:val="clear" w:color="auto" w:fill="92C3FE" w:themeFill="accent3" w:themeFillTint="7F"/>
      </w:tcPr>
    </w:tblStylePr>
    <w:tblStylePr w:type="band1Horz">
      <w:tblPr/>
      <w:tcPr>
        <w:shd w:val="clear" w:color="auto" w:fill="92C3FE" w:themeFill="accent3" w:themeFillTint="7F"/>
      </w:tcPr>
    </w:tblStylePr>
  </w:style>
  <w:style w:type="table" w:styleId="MediumGrid1-Accent4">
    <w:name w:val="Medium Grid 1 Accent 4"/>
    <w:basedOn w:val="TableNormal"/>
    <w:semiHidden/>
    <w:unhideWhenUsed/>
    <w:rsid w:val="001051DF"/>
    <w:pPr>
      <w:spacing w:before="0" w:after="0" w:line="240" w:lineRule="auto"/>
    </w:pPr>
    <w:rPr>
      <w:rFonts w:ascii="EC Square Sans Pro" w:eastAsia="SimSun" w:hAnsi="EC Square Sans Pro"/>
      <w:lang w:eastAsia="en-GB"/>
    </w:rPr>
    <w:tblPr>
      <w:tblStyleRowBandSize w:val="1"/>
      <w:tblStyleColBandSize w:val="1"/>
      <w:tblBorders>
        <w:top w:val="single" w:sz="8" w:space="0" w:color="FDC045" w:themeColor="accent4" w:themeTint="BF"/>
        <w:left w:val="single" w:sz="8" w:space="0" w:color="FDC045" w:themeColor="accent4" w:themeTint="BF"/>
        <w:bottom w:val="single" w:sz="8" w:space="0" w:color="FDC045" w:themeColor="accent4" w:themeTint="BF"/>
        <w:right w:val="single" w:sz="8" w:space="0" w:color="FDC045" w:themeColor="accent4" w:themeTint="BF"/>
        <w:insideH w:val="single" w:sz="8" w:space="0" w:color="FDC045" w:themeColor="accent4" w:themeTint="BF"/>
        <w:insideV w:val="single" w:sz="8" w:space="0" w:color="FDC045" w:themeColor="accent4" w:themeTint="BF"/>
      </w:tblBorders>
    </w:tblPr>
    <w:tcPr>
      <w:shd w:val="clear" w:color="auto" w:fill="FEEAC1" w:themeFill="accent4" w:themeFillTint="3F"/>
    </w:tcPr>
    <w:tblStylePr w:type="firstRow">
      <w:rPr>
        <w:b/>
        <w:bCs/>
      </w:rPr>
    </w:tblStylePr>
    <w:tblStylePr w:type="lastRow">
      <w:rPr>
        <w:b/>
        <w:bCs/>
      </w:rPr>
      <w:tblPr/>
      <w:tcPr>
        <w:tcBorders>
          <w:top w:val="single" w:sz="18" w:space="0" w:color="FDC045" w:themeColor="accent4" w:themeTint="BF"/>
        </w:tcBorders>
      </w:tcPr>
    </w:tblStylePr>
    <w:tblStylePr w:type="firstCol">
      <w:rPr>
        <w:b/>
        <w:bCs/>
      </w:rPr>
    </w:tblStylePr>
    <w:tblStylePr w:type="lastCol">
      <w:rPr>
        <w:b/>
        <w:bCs/>
      </w:rPr>
    </w:tblStylePr>
    <w:tblStylePr w:type="band1Vert">
      <w:tblPr/>
      <w:tcPr>
        <w:shd w:val="clear" w:color="auto" w:fill="FED583" w:themeFill="accent4" w:themeFillTint="7F"/>
      </w:tcPr>
    </w:tblStylePr>
    <w:tblStylePr w:type="band1Horz">
      <w:tblPr/>
      <w:tcPr>
        <w:shd w:val="clear" w:color="auto" w:fill="FED583" w:themeFill="accent4" w:themeFillTint="7F"/>
      </w:tcPr>
    </w:tblStylePr>
  </w:style>
  <w:style w:type="table" w:styleId="MediumGrid1-Accent5">
    <w:name w:val="Medium Grid 1 Accent 5"/>
    <w:basedOn w:val="TableNormal"/>
    <w:semiHidden/>
    <w:unhideWhenUsed/>
    <w:rsid w:val="001051DF"/>
    <w:pPr>
      <w:spacing w:before="0" w:after="0" w:line="240" w:lineRule="auto"/>
    </w:pPr>
    <w:rPr>
      <w:rFonts w:ascii="EC Square Sans Pro" w:eastAsia="SimSun" w:hAnsi="EC Square Sans Pro"/>
      <w:lang w:eastAsia="en-GB"/>
    </w:rPr>
    <w:tblPr>
      <w:tblStyleRowBandSize w:val="1"/>
      <w:tblStyleColBandSize w:val="1"/>
      <w:tblBorders>
        <w:top w:val="single" w:sz="8" w:space="0" w:color="EC4882" w:themeColor="accent5" w:themeTint="BF"/>
        <w:left w:val="single" w:sz="8" w:space="0" w:color="EC4882" w:themeColor="accent5" w:themeTint="BF"/>
        <w:bottom w:val="single" w:sz="8" w:space="0" w:color="EC4882" w:themeColor="accent5" w:themeTint="BF"/>
        <w:right w:val="single" w:sz="8" w:space="0" w:color="EC4882" w:themeColor="accent5" w:themeTint="BF"/>
        <w:insideH w:val="single" w:sz="8" w:space="0" w:color="EC4882" w:themeColor="accent5" w:themeTint="BF"/>
        <w:insideV w:val="single" w:sz="8" w:space="0" w:color="EC4882" w:themeColor="accent5" w:themeTint="BF"/>
      </w:tblBorders>
    </w:tblPr>
    <w:tcPr>
      <w:shd w:val="clear" w:color="auto" w:fill="F9C2D6" w:themeFill="accent5" w:themeFillTint="3F"/>
    </w:tcPr>
    <w:tblStylePr w:type="firstRow">
      <w:rPr>
        <w:b/>
        <w:bCs/>
      </w:rPr>
    </w:tblStylePr>
    <w:tblStylePr w:type="lastRow">
      <w:rPr>
        <w:b/>
        <w:bCs/>
      </w:rPr>
      <w:tblPr/>
      <w:tcPr>
        <w:tcBorders>
          <w:top w:val="single" w:sz="18" w:space="0" w:color="EC4882" w:themeColor="accent5" w:themeTint="BF"/>
        </w:tcBorders>
      </w:tcPr>
    </w:tblStylePr>
    <w:tblStylePr w:type="firstCol">
      <w:rPr>
        <w:b/>
        <w:bCs/>
      </w:rPr>
    </w:tblStylePr>
    <w:tblStylePr w:type="lastCol">
      <w:rPr>
        <w:b/>
        <w:bCs/>
      </w:rPr>
    </w:tblStylePr>
    <w:tblStylePr w:type="band1Vert">
      <w:tblPr/>
      <w:tcPr>
        <w:shd w:val="clear" w:color="auto" w:fill="F285AC" w:themeFill="accent5" w:themeFillTint="7F"/>
      </w:tcPr>
    </w:tblStylePr>
    <w:tblStylePr w:type="band1Horz">
      <w:tblPr/>
      <w:tcPr>
        <w:shd w:val="clear" w:color="auto" w:fill="F285AC" w:themeFill="accent5" w:themeFillTint="7F"/>
      </w:tcPr>
    </w:tblStylePr>
  </w:style>
  <w:style w:type="table" w:styleId="MediumGrid1-Accent6">
    <w:name w:val="Medium Grid 1 Accent 6"/>
    <w:basedOn w:val="TableNormal"/>
    <w:semiHidden/>
    <w:unhideWhenUsed/>
    <w:rsid w:val="001051DF"/>
    <w:pPr>
      <w:spacing w:before="0" w:after="0" w:line="240" w:lineRule="auto"/>
    </w:pPr>
    <w:rPr>
      <w:rFonts w:ascii="EC Square Sans Pro" w:eastAsia="SimSun" w:hAnsi="EC Square Sans Pro"/>
      <w:lang w:eastAsia="en-GB"/>
    </w:rPr>
    <w:tblPr>
      <w:tblStyleRowBandSize w:val="1"/>
      <w:tblStyleColBandSize w:val="1"/>
      <w:tblBorders>
        <w:top w:val="single" w:sz="8" w:space="0" w:color="9650CA" w:themeColor="accent6" w:themeTint="BF"/>
        <w:left w:val="single" w:sz="8" w:space="0" w:color="9650CA" w:themeColor="accent6" w:themeTint="BF"/>
        <w:bottom w:val="single" w:sz="8" w:space="0" w:color="9650CA" w:themeColor="accent6" w:themeTint="BF"/>
        <w:right w:val="single" w:sz="8" w:space="0" w:color="9650CA" w:themeColor="accent6" w:themeTint="BF"/>
        <w:insideH w:val="single" w:sz="8" w:space="0" w:color="9650CA" w:themeColor="accent6" w:themeTint="BF"/>
        <w:insideV w:val="single" w:sz="8" w:space="0" w:color="9650CA" w:themeColor="accent6" w:themeTint="BF"/>
      </w:tblBorders>
    </w:tblPr>
    <w:tcPr>
      <w:shd w:val="clear" w:color="auto" w:fill="DCC5ED" w:themeFill="accent6" w:themeFillTint="3F"/>
    </w:tcPr>
    <w:tblStylePr w:type="firstRow">
      <w:rPr>
        <w:b/>
        <w:bCs/>
      </w:rPr>
    </w:tblStylePr>
    <w:tblStylePr w:type="lastRow">
      <w:rPr>
        <w:b/>
        <w:bCs/>
      </w:rPr>
      <w:tblPr/>
      <w:tcPr>
        <w:tcBorders>
          <w:top w:val="single" w:sz="18" w:space="0" w:color="9650CA" w:themeColor="accent6" w:themeTint="BF"/>
        </w:tcBorders>
      </w:tcPr>
    </w:tblStylePr>
    <w:tblStylePr w:type="firstCol">
      <w:rPr>
        <w:b/>
        <w:bCs/>
      </w:rPr>
    </w:tblStylePr>
    <w:tblStylePr w:type="lastCol">
      <w:rPr>
        <w:b/>
        <w:bCs/>
      </w:rPr>
    </w:tblStylePr>
    <w:tblStylePr w:type="band1Vert">
      <w:tblPr/>
      <w:tcPr>
        <w:shd w:val="clear" w:color="auto" w:fill="B98BDC" w:themeFill="accent6" w:themeFillTint="7F"/>
      </w:tcPr>
    </w:tblStylePr>
    <w:tblStylePr w:type="band1Horz">
      <w:tblPr/>
      <w:tcPr>
        <w:shd w:val="clear" w:color="auto" w:fill="B98BDC" w:themeFill="accent6" w:themeFillTint="7F"/>
      </w:tcPr>
    </w:tblStylePr>
  </w:style>
  <w:style w:type="table" w:styleId="MediumGrid2">
    <w:name w:val="Medium Grid 2"/>
    <w:basedOn w:val="TableNormal"/>
    <w:semiHidden/>
    <w:unhideWhenUsed/>
    <w:rsid w:val="001051DF"/>
    <w:pPr>
      <w:spacing w:before="0" w:after="0" w:line="240" w:lineRule="auto"/>
    </w:pPr>
    <w:rPr>
      <w:rFonts w:asciiTheme="majorHAnsi" w:eastAsiaTheme="majorEastAsia" w:hAnsiTheme="majorHAnsi" w:cstheme="majorBidi"/>
      <w:color w:val="000000" w:themeColor="text1"/>
      <w:lang w:eastAsia="en-GB"/>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semiHidden/>
    <w:unhideWhenUsed/>
    <w:rsid w:val="001051DF"/>
    <w:pPr>
      <w:spacing w:before="0" w:after="0" w:line="240" w:lineRule="auto"/>
    </w:pPr>
    <w:rPr>
      <w:rFonts w:asciiTheme="majorHAnsi" w:eastAsiaTheme="majorEastAsia" w:hAnsiTheme="majorHAnsi" w:cstheme="majorBidi"/>
      <w:color w:val="000000" w:themeColor="text1"/>
      <w:lang w:eastAsia="en-GB"/>
    </w:rPr>
    <w:tblPr>
      <w:tblStyleRowBandSize w:val="1"/>
      <w:tblStyleColBandSize w:val="1"/>
      <w:tblBorders>
        <w:top w:val="single" w:sz="8" w:space="0" w:color="008139" w:themeColor="accent1"/>
        <w:left w:val="single" w:sz="8" w:space="0" w:color="008139" w:themeColor="accent1"/>
        <w:bottom w:val="single" w:sz="8" w:space="0" w:color="008139" w:themeColor="accent1"/>
        <w:right w:val="single" w:sz="8" w:space="0" w:color="008139" w:themeColor="accent1"/>
        <w:insideH w:val="single" w:sz="8" w:space="0" w:color="008139" w:themeColor="accent1"/>
        <w:insideV w:val="single" w:sz="8" w:space="0" w:color="008139" w:themeColor="accent1"/>
      </w:tblBorders>
    </w:tblPr>
    <w:tcPr>
      <w:shd w:val="clear" w:color="auto" w:fill="A0FFCA" w:themeFill="accent1" w:themeFillTint="3F"/>
    </w:tcPr>
    <w:tblStylePr w:type="firstRow">
      <w:rPr>
        <w:b/>
        <w:bCs/>
        <w:color w:val="000000" w:themeColor="text1"/>
      </w:rPr>
      <w:tblPr/>
      <w:tcPr>
        <w:shd w:val="clear" w:color="auto" w:fill="D9FFE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2FFD4" w:themeFill="accent1" w:themeFillTint="33"/>
      </w:tcPr>
    </w:tblStylePr>
    <w:tblStylePr w:type="band1Vert">
      <w:tblPr/>
      <w:tcPr>
        <w:shd w:val="clear" w:color="auto" w:fill="41FF94" w:themeFill="accent1" w:themeFillTint="7F"/>
      </w:tcPr>
    </w:tblStylePr>
    <w:tblStylePr w:type="band1Horz">
      <w:tblPr/>
      <w:tcPr>
        <w:tcBorders>
          <w:insideH w:val="single" w:sz="6" w:space="0" w:color="008139" w:themeColor="accent1"/>
          <w:insideV w:val="single" w:sz="6" w:space="0" w:color="008139" w:themeColor="accent1"/>
        </w:tcBorders>
        <w:shd w:val="clear" w:color="auto" w:fill="41FF94"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semiHidden/>
    <w:unhideWhenUsed/>
    <w:rsid w:val="001051DF"/>
    <w:pPr>
      <w:spacing w:before="0" w:after="0" w:line="240" w:lineRule="auto"/>
    </w:pPr>
    <w:rPr>
      <w:rFonts w:asciiTheme="majorHAnsi" w:eastAsiaTheme="majorEastAsia" w:hAnsiTheme="majorHAnsi" w:cstheme="majorBidi"/>
      <w:color w:val="000000" w:themeColor="text1"/>
      <w:lang w:eastAsia="en-GB"/>
    </w:rPr>
    <w:tblPr>
      <w:tblStyleRowBandSize w:val="1"/>
      <w:tblStyleColBandSize w:val="1"/>
      <w:tblBorders>
        <w:top w:val="single" w:sz="8" w:space="0" w:color="DE6002" w:themeColor="accent2"/>
        <w:left w:val="single" w:sz="8" w:space="0" w:color="DE6002" w:themeColor="accent2"/>
        <w:bottom w:val="single" w:sz="8" w:space="0" w:color="DE6002" w:themeColor="accent2"/>
        <w:right w:val="single" w:sz="8" w:space="0" w:color="DE6002" w:themeColor="accent2"/>
        <w:insideH w:val="single" w:sz="8" w:space="0" w:color="DE6002" w:themeColor="accent2"/>
        <w:insideV w:val="single" w:sz="8" w:space="0" w:color="DE6002" w:themeColor="accent2"/>
      </w:tblBorders>
    </w:tblPr>
    <w:tcPr>
      <w:shd w:val="clear" w:color="auto" w:fill="FED6B8" w:themeFill="accent2" w:themeFillTint="3F"/>
    </w:tcPr>
    <w:tblStylePr w:type="firstRow">
      <w:rPr>
        <w:b/>
        <w:bCs/>
        <w:color w:val="000000" w:themeColor="text1"/>
      </w:rPr>
      <w:tblPr/>
      <w:tcPr>
        <w:shd w:val="clear" w:color="auto" w:fill="FEEEE2"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EDEC6" w:themeFill="accent2" w:themeFillTint="33"/>
      </w:tcPr>
    </w:tblStylePr>
    <w:tblStylePr w:type="band1Vert">
      <w:tblPr/>
      <w:tcPr>
        <w:shd w:val="clear" w:color="auto" w:fill="FDAC71" w:themeFill="accent2" w:themeFillTint="7F"/>
      </w:tcPr>
    </w:tblStylePr>
    <w:tblStylePr w:type="band1Horz">
      <w:tblPr/>
      <w:tcPr>
        <w:tcBorders>
          <w:insideH w:val="single" w:sz="6" w:space="0" w:color="DE6002" w:themeColor="accent2"/>
          <w:insideV w:val="single" w:sz="6" w:space="0" w:color="DE6002" w:themeColor="accent2"/>
        </w:tcBorders>
        <w:shd w:val="clear" w:color="auto" w:fill="FDAC71"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semiHidden/>
    <w:unhideWhenUsed/>
    <w:rsid w:val="001051DF"/>
    <w:pPr>
      <w:spacing w:before="0" w:after="0" w:line="240" w:lineRule="auto"/>
    </w:pPr>
    <w:rPr>
      <w:rFonts w:asciiTheme="majorHAnsi" w:eastAsiaTheme="majorEastAsia" w:hAnsiTheme="majorHAnsi" w:cstheme="majorBidi"/>
      <w:color w:val="000000" w:themeColor="text1"/>
      <w:lang w:eastAsia="en-GB"/>
    </w:rPr>
    <w:tblPr>
      <w:tblStyleRowBandSize w:val="1"/>
      <w:tblStyleColBandSize w:val="1"/>
      <w:tblBorders>
        <w:top w:val="single" w:sz="8" w:space="0" w:color="2688FE" w:themeColor="accent3"/>
        <w:left w:val="single" w:sz="8" w:space="0" w:color="2688FE" w:themeColor="accent3"/>
        <w:bottom w:val="single" w:sz="8" w:space="0" w:color="2688FE" w:themeColor="accent3"/>
        <w:right w:val="single" w:sz="8" w:space="0" w:color="2688FE" w:themeColor="accent3"/>
        <w:insideH w:val="single" w:sz="8" w:space="0" w:color="2688FE" w:themeColor="accent3"/>
        <w:insideV w:val="single" w:sz="8" w:space="0" w:color="2688FE" w:themeColor="accent3"/>
      </w:tblBorders>
    </w:tblPr>
    <w:tcPr>
      <w:shd w:val="clear" w:color="auto" w:fill="C9E1FE" w:themeFill="accent3" w:themeFillTint="3F"/>
    </w:tcPr>
    <w:tblStylePr w:type="firstRow">
      <w:rPr>
        <w:b/>
        <w:bCs/>
        <w:color w:val="000000" w:themeColor="text1"/>
      </w:rPr>
      <w:tblPr/>
      <w:tcPr>
        <w:shd w:val="clear" w:color="auto" w:fill="E9F3F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3E7FE" w:themeFill="accent3" w:themeFillTint="33"/>
      </w:tcPr>
    </w:tblStylePr>
    <w:tblStylePr w:type="band1Vert">
      <w:tblPr/>
      <w:tcPr>
        <w:shd w:val="clear" w:color="auto" w:fill="92C3FE" w:themeFill="accent3" w:themeFillTint="7F"/>
      </w:tcPr>
    </w:tblStylePr>
    <w:tblStylePr w:type="band1Horz">
      <w:tblPr/>
      <w:tcPr>
        <w:tcBorders>
          <w:insideH w:val="single" w:sz="6" w:space="0" w:color="2688FE" w:themeColor="accent3"/>
          <w:insideV w:val="single" w:sz="6" w:space="0" w:color="2688FE" w:themeColor="accent3"/>
        </w:tcBorders>
        <w:shd w:val="clear" w:color="auto" w:fill="92C3FE"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semiHidden/>
    <w:unhideWhenUsed/>
    <w:rsid w:val="001051DF"/>
    <w:pPr>
      <w:spacing w:before="0" w:after="0" w:line="240" w:lineRule="auto"/>
    </w:pPr>
    <w:rPr>
      <w:rFonts w:asciiTheme="majorHAnsi" w:eastAsiaTheme="majorEastAsia" w:hAnsiTheme="majorHAnsi" w:cstheme="majorBidi"/>
      <w:color w:val="000000" w:themeColor="text1"/>
      <w:lang w:eastAsia="en-GB"/>
    </w:rPr>
    <w:tblPr>
      <w:tblStyleRowBandSize w:val="1"/>
      <w:tblStyleColBandSize w:val="1"/>
      <w:tblBorders>
        <w:top w:val="single" w:sz="8" w:space="0" w:color="FDAB07" w:themeColor="accent4"/>
        <w:left w:val="single" w:sz="8" w:space="0" w:color="FDAB07" w:themeColor="accent4"/>
        <w:bottom w:val="single" w:sz="8" w:space="0" w:color="FDAB07" w:themeColor="accent4"/>
        <w:right w:val="single" w:sz="8" w:space="0" w:color="FDAB07" w:themeColor="accent4"/>
        <w:insideH w:val="single" w:sz="8" w:space="0" w:color="FDAB07" w:themeColor="accent4"/>
        <w:insideV w:val="single" w:sz="8" w:space="0" w:color="FDAB07" w:themeColor="accent4"/>
      </w:tblBorders>
    </w:tblPr>
    <w:tcPr>
      <w:shd w:val="clear" w:color="auto" w:fill="FEEAC1" w:themeFill="accent4" w:themeFillTint="3F"/>
    </w:tcPr>
    <w:tblStylePr w:type="firstRow">
      <w:rPr>
        <w:b/>
        <w:bCs/>
        <w:color w:val="000000" w:themeColor="text1"/>
      </w:rPr>
      <w:tblPr/>
      <w:tcPr>
        <w:shd w:val="clear" w:color="auto" w:fill="FEF6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EEECD" w:themeFill="accent4" w:themeFillTint="33"/>
      </w:tcPr>
    </w:tblStylePr>
    <w:tblStylePr w:type="band1Vert">
      <w:tblPr/>
      <w:tcPr>
        <w:shd w:val="clear" w:color="auto" w:fill="FED583" w:themeFill="accent4" w:themeFillTint="7F"/>
      </w:tcPr>
    </w:tblStylePr>
    <w:tblStylePr w:type="band1Horz">
      <w:tblPr/>
      <w:tcPr>
        <w:tcBorders>
          <w:insideH w:val="single" w:sz="6" w:space="0" w:color="FDAB07" w:themeColor="accent4"/>
          <w:insideV w:val="single" w:sz="6" w:space="0" w:color="FDAB07" w:themeColor="accent4"/>
        </w:tcBorders>
        <w:shd w:val="clear" w:color="auto" w:fill="FED583"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semiHidden/>
    <w:unhideWhenUsed/>
    <w:rsid w:val="001051DF"/>
    <w:pPr>
      <w:spacing w:before="0" w:after="0" w:line="240" w:lineRule="auto"/>
    </w:pPr>
    <w:rPr>
      <w:rFonts w:asciiTheme="majorHAnsi" w:eastAsiaTheme="majorEastAsia" w:hAnsiTheme="majorHAnsi" w:cstheme="majorBidi"/>
      <w:color w:val="000000" w:themeColor="text1"/>
      <w:lang w:eastAsia="en-GB"/>
    </w:rPr>
    <w:tblPr>
      <w:tblStyleRowBandSize w:val="1"/>
      <w:tblStyleColBandSize w:val="1"/>
      <w:tblBorders>
        <w:top w:val="single" w:sz="8" w:space="0" w:color="DC165D" w:themeColor="accent5"/>
        <w:left w:val="single" w:sz="8" w:space="0" w:color="DC165D" w:themeColor="accent5"/>
        <w:bottom w:val="single" w:sz="8" w:space="0" w:color="DC165D" w:themeColor="accent5"/>
        <w:right w:val="single" w:sz="8" w:space="0" w:color="DC165D" w:themeColor="accent5"/>
        <w:insideH w:val="single" w:sz="8" w:space="0" w:color="DC165D" w:themeColor="accent5"/>
        <w:insideV w:val="single" w:sz="8" w:space="0" w:color="DC165D" w:themeColor="accent5"/>
      </w:tblBorders>
    </w:tblPr>
    <w:tcPr>
      <w:shd w:val="clear" w:color="auto" w:fill="F9C2D6" w:themeFill="accent5" w:themeFillTint="3F"/>
    </w:tcPr>
    <w:tblStylePr w:type="firstRow">
      <w:rPr>
        <w:b/>
        <w:bCs/>
        <w:color w:val="000000" w:themeColor="text1"/>
      </w:rPr>
      <w:tblPr/>
      <w:tcPr>
        <w:shd w:val="clear" w:color="auto" w:fill="FCE7EE"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CEDD" w:themeFill="accent5" w:themeFillTint="33"/>
      </w:tcPr>
    </w:tblStylePr>
    <w:tblStylePr w:type="band1Vert">
      <w:tblPr/>
      <w:tcPr>
        <w:shd w:val="clear" w:color="auto" w:fill="F285AC" w:themeFill="accent5" w:themeFillTint="7F"/>
      </w:tcPr>
    </w:tblStylePr>
    <w:tblStylePr w:type="band1Horz">
      <w:tblPr/>
      <w:tcPr>
        <w:tcBorders>
          <w:insideH w:val="single" w:sz="6" w:space="0" w:color="DC165D" w:themeColor="accent5"/>
          <w:insideV w:val="single" w:sz="6" w:space="0" w:color="DC165D" w:themeColor="accent5"/>
        </w:tcBorders>
        <w:shd w:val="clear" w:color="auto" w:fill="F285AC"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semiHidden/>
    <w:unhideWhenUsed/>
    <w:rsid w:val="001051DF"/>
    <w:pPr>
      <w:spacing w:before="0" w:after="0" w:line="240" w:lineRule="auto"/>
    </w:pPr>
    <w:rPr>
      <w:rFonts w:asciiTheme="majorHAnsi" w:eastAsiaTheme="majorEastAsia" w:hAnsiTheme="majorHAnsi" w:cstheme="majorBidi"/>
      <w:color w:val="000000" w:themeColor="text1"/>
      <w:lang w:eastAsia="en-GB"/>
    </w:rPr>
    <w:tblPr>
      <w:tblStyleRowBandSize w:val="1"/>
      <w:tblStyleColBandSize w:val="1"/>
      <w:tblBorders>
        <w:top w:val="single" w:sz="8" w:space="0" w:color="7030A0" w:themeColor="accent6"/>
        <w:left w:val="single" w:sz="8" w:space="0" w:color="7030A0" w:themeColor="accent6"/>
        <w:bottom w:val="single" w:sz="8" w:space="0" w:color="7030A0" w:themeColor="accent6"/>
        <w:right w:val="single" w:sz="8" w:space="0" w:color="7030A0" w:themeColor="accent6"/>
        <w:insideH w:val="single" w:sz="8" w:space="0" w:color="7030A0" w:themeColor="accent6"/>
        <w:insideV w:val="single" w:sz="8" w:space="0" w:color="7030A0" w:themeColor="accent6"/>
      </w:tblBorders>
    </w:tblPr>
    <w:tcPr>
      <w:shd w:val="clear" w:color="auto" w:fill="DCC5ED" w:themeFill="accent6" w:themeFillTint="3F"/>
    </w:tcPr>
    <w:tblStylePr w:type="firstRow">
      <w:rPr>
        <w:b/>
        <w:bCs/>
        <w:color w:val="000000" w:themeColor="text1"/>
      </w:rPr>
      <w:tblPr/>
      <w:tcPr>
        <w:shd w:val="clear" w:color="auto" w:fill="F1E8F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D0F1" w:themeFill="accent6" w:themeFillTint="33"/>
      </w:tcPr>
    </w:tblStylePr>
    <w:tblStylePr w:type="band1Vert">
      <w:tblPr/>
      <w:tcPr>
        <w:shd w:val="clear" w:color="auto" w:fill="B98BDC" w:themeFill="accent6" w:themeFillTint="7F"/>
      </w:tcPr>
    </w:tblStylePr>
    <w:tblStylePr w:type="band1Horz">
      <w:tblPr/>
      <w:tcPr>
        <w:tcBorders>
          <w:insideH w:val="single" w:sz="6" w:space="0" w:color="7030A0" w:themeColor="accent6"/>
          <w:insideV w:val="single" w:sz="6" w:space="0" w:color="7030A0" w:themeColor="accent6"/>
        </w:tcBorders>
        <w:shd w:val="clear" w:color="auto" w:fill="B98BDC" w:themeFill="accent6" w:themeFillTint="7F"/>
      </w:tcPr>
    </w:tblStylePr>
    <w:tblStylePr w:type="nwCell">
      <w:tblPr/>
      <w:tcPr>
        <w:shd w:val="clear" w:color="auto" w:fill="FFFFFF" w:themeFill="background1"/>
      </w:tcPr>
    </w:tblStylePr>
  </w:style>
  <w:style w:type="table" w:styleId="MediumGrid3">
    <w:name w:val="Medium Grid 3"/>
    <w:basedOn w:val="TableNormal"/>
    <w:semiHidden/>
    <w:unhideWhenUsed/>
    <w:rsid w:val="001051DF"/>
    <w:pPr>
      <w:spacing w:before="0" w:after="0" w:line="240" w:lineRule="auto"/>
    </w:pPr>
    <w:rPr>
      <w:rFonts w:ascii="EC Square Sans Pro" w:eastAsia="SimSun" w:hAnsi="EC Square Sans Pro"/>
      <w:lang w:eastAsia="en-GB"/>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semiHidden/>
    <w:unhideWhenUsed/>
    <w:rsid w:val="001051DF"/>
    <w:pPr>
      <w:spacing w:before="0" w:after="0" w:line="240" w:lineRule="auto"/>
    </w:pPr>
    <w:rPr>
      <w:rFonts w:ascii="EC Square Sans Pro" w:eastAsia="SimSun" w:hAnsi="EC Square Sans Pro"/>
      <w:lang w:eastAsia="en-GB"/>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0FFCA"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8139"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8139"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8139"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8139"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1FF94"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1FF94" w:themeFill="accent1" w:themeFillTint="7F"/>
      </w:tcPr>
    </w:tblStylePr>
  </w:style>
  <w:style w:type="table" w:styleId="MediumGrid3-Accent2">
    <w:name w:val="Medium Grid 3 Accent 2"/>
    <w:basedOn w:val="TableNormal"/>
    <w:semiHidden/>
    <w:unhideWhenUsed/>
    <w:rsid w:val="001051DF"/>
    <w:pPr>
      <w:spacing w:before="0" w:after="0" w:line="240" w:lineRule="auto"/>
    </w:pPr>
    <w:rPr>
      <w:rFonts w:ascii="EC Square Sans Pro" w:eastAsia="SimSun" w:hAnsi="EC Square Sans Pro"/>
      <w:lang w:eastAsia="en-GB"/>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ED6B8"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DE600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DE600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DE600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DE600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DAC71"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DAC71" w:themeFill="accent2" w:themeFillTint="7F"/>
      </w:tcPr>
    </w:tblStylePr>
  </w:style>
  <w:style w:type="table" w:styleId="MediumGrid3-Accent3">
    <w:name w:val="Medium Grid 3 Accent 3"/>
    <w:basedOn w:val="TableNormal"/>
    <w:semiHidden/>
    <w:unhideWhenUsed/>
    <w:rsid w:val="001051DF"/>
    <w:pPr>
      <w:spacing w:before="0" w:after="0" w:line="240" w:lineRule="auto"/>
    </w:pPr>
    <w:rPr>
      <w:rFonts w:ascii="EC Square Sans Pro" w:eastAsia="SimSun" w:hAnsi="EC Square Sans Pro"/>
      <w:lang w:eastAsia="en-GB"/>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E1FE"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688FE"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688FE"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688FE"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688FE"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2C3FE"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2C3FE" w:themeFill="accent3" w:themeFillTint="7F"/>
      </w:tcPr>
    </w:tblStylePr>
  </w:style>
  <w:style w:type="table" w:styleId="MediumGrid3-Accent4">
    <w:name w:val="Medium Grid 3 Accent 4"/>
    <w:basedOn w:val="TableNormal"/>
    <w:semiHidden/>
    <w:unhideWhenUsed/>
    <w:rsid w:val="001051DF"/>
    <w:pPr>
      <w:spacing w:before="0" w:after="0" w:line="240" w:lineRule="auto"/>
    </w:pPr>
    <w:rPr>
      <w:rFonts w:ascii="EC Square Sans Pro" w:eastAsia="SimSun" w:hAnsi="EC Square Sans Pro"/>
      <w:lang w:eastAsia="en-GB"/>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EEAC1"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DAB07"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DAB07"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DAB07"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DAB07"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ED583"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ED583" w:themeFill="accent4" w:themeFillTint="7F"/>
      </w:tcPr>
    </w:tblStylePr>
  </w:style>
  <w:style w:type="table" w:styleId="MediumGrid3-Accent5">
    <w:name w:val="Medium Grid 3 Accent 5"/>
    <w:basedOn w:val="TableNormal"/>
    <w:semiHidden/>
    <w:unhideWhenUsed/>
    <w:rsid w:val="001051DF"/>
    <w:pPr>
      <w:spacing w:before="0" w:after="0" w:line="240" w:lineRule="auto"/>
    </w:pPr>
    <w:rPr>
      <w:rFonts w:ascii="EC Square Sans Pro" w:eastAsia="SimSun" w:hAnsi="EC Square Sans Pro"/>
      <w:lang w:eastAsia="en-GB"/>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C2D6"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DC165D"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DC165D"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DC165D"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DC165D"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285AC"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285AC" w:themeFill="accent5" w:themeFillTint="7F"/>
      </w:tcPr>
    </w:tblStylePr>
  </w:style>
  <w:style w:type="table" w:styleId="MediumGrid3-Accent6">
    <w:name w:val="Medium Grid 3 Accent 6"/>
    <w:basedOn w:val="TableNormal"/>
    <w:semiHidden/>
    <w:unhideWhenUsed/>
    <w:rsid w:val="001051DF"/>
    <w:pPr>
      <w:spacing w:before="0" w:after="0" w:line="240" w:lineRule="auto"/>
    </w:pPr>
    <w:rPr>
      <w:rFonts w:ascii="EC Square Sans Pro" w:eastAsia="SimSun" w:hAnsi="EC Square Sans Pro"/>
      <w:lang w:eastAsia="en-GB"/>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CC5ED"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30A0"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30A0"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30A0"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30A0"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98BDC"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98BDC" w:themeFill="accent6" w:themeFillTint="7F"/>
      </w:tcPr>
    </w:tblStylePr>
  </w:style>
  <w:style w:type="table" w:styleId="MediumList1">
    <w:name w:val="Medium List 1"/>
    <w:basedOn w:val="TableNormal"/>
    <w:semiHidden/>
    <w:unhideWhenUsed/>
    <w:rsid w:val="001051DF"/>
    <w:pPr>
      <w:spacing w:before="0" w:after="0" w:line="240" w:lineRule="auto"/>
    </w:pPr>
    <w:rPr>
      <w:rFonts w:ascii="EC Square Sans Pro" w:eastAsia="SimSun" w:hAnsi="EC Square Sans Pro"/>
      <w:color w:val="000000" w:themeColor="text1"/>
      <w:lang w:eastAsia="en-GB"/>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03399"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semiHidden/>
    <w:unhideWhenUsed/>
    <w:rsid w:val="001051DF"/>
    <w:pPr>
      <w:spacing w:before="0" w:after="0" w:line="240" w:lineRule="auto"/>
    </w:pPr>
    <w:rPr>
      <w:rFonts w:ascii="EC Square Sans Pro" w:eastAsia="SimSun" w:hAnsi="EC Square Sans Pro"/>
      <w:color w:val="000000" w:themeColor="text1"/>
      <w:lang w:eastAsia="en-GB"/>
    </w:rPr>
    <w:tblPr>
      <w:tblStyleRowBandSize w:val="1"/>
      <w:tblStyleColBandSize w:val="1"/>
      <w:tblBorders>
        <w:top w:val="single" w:sz="8" w:space="0" w:color="008139" w:themeColor="accent1"/>
        <w:bottom w:val="single" w:sz="8" w:space="0" w:color="008139" w:themeColor="accent1"/>
      </w:tblBorders>
    </w:tblPr>
    <w:tblStylePr w:type="firstRow">
      <w:rPr>
        <w:rFonts w:asciiTheme="majorHAnsi" w:eastAsiaTheme="majorEastAsia" w:hAnsiTheme="majorHAnsi" w:cstheme="majorBidi"/>
      </w:rPr>
      <w:tblPr/>
      <w:tcPr>
        <w:tcBorders>
          <w:top w:val="nil"/>
          <w:bottom w:val="single" w:sz="8" w:space="0" w:color="008139" w:themeColor="accent1"/>
        </w:tcBorders>
      </w:tcPr>
    </w:tblStylePr>
    <w:tblStylePr w:type="lastRow">
      <w:rPr>
        <w:b/>
        <w:bCs/>
        <w:color w:val="003399" w:themeColor="text2"/>
      </w:rPr>
      <w:tblPr/>
      <w:tcPr>
        <w:tcBorders>
          <w:top w:val="single" w:sz="8" w:space="0" w:color="008139" w:themeColor="accent1"/>
          <w:bottom w:val="single" w:sz="8" w:space="0" w:color="008139" w:themeColor="accent1"/>
        </w:tcBorders>
      </w:tcPr>
    </w:tblStylePr>
    <w:tblStylePr w:type="firstCol">
      <w:rPr>
        <w:b/>
        <w:bCs/>
      </w:rPr>
    </w:tblStylePr>
    <w:tblStylePr w:type="lastCol">
      <w:rPr>
        <w:b/>
        <w:bCs/>
      </w:rPr>
      <w:tblPr/>
      <w:tcPr>
        <w:tcBorders>
          <w:top w:val="single" w:sz="8" w:space="0" w:color="008139" w:themeColor="accent1"/>
          <w:bottom w:val="single" w:sz="8" w:space="0" w:color="008139" w:themeColor="accent1"/>
        </w:tcBorders>
      </w:tcPr>
    </w:tblStylePr>
    <w:tblStylePr w:type="band1Vert">
      <w:tblPr/>
      <w:tcPr>
        <w:shd w:val="clear" w:color="auto" w:fill="A0FFCA" w:themeFill="accent1" w:themeFillTint="3F"/>
      </w:tcPr>
    </w:tblStylePr>
    <w:tblStylePr w:type="band1Horz">
      <w:tblPr/>
      <w:tcPr>
        <w:shd w:val="clear" w:color="auto" w:fill="A0FFCA" w:themeFill="accent1" w:themeFillTint="3F"/>
      </w:tcPr>
    </w:tblStylePr>
  </w:style>
  <w:style w:type="table" w:styleId="MediumList1-Accent2">
    <w:name w:val="Medium List 1 Accent 2"/>
    <w:basedOn w:val="TableNormal"/>
    <w:semiHidden/>
    <w:unhideWhenUsed/>
    <w:rsid w:val="001051DF"/>
    <w:pPr>
      <w:spacing w:before="0" w:after="0" w:line="240" w:lineRule="auto"/>
    </w:pPr>
    <w:rPr>
      <w:rFonts w:ascii="EC Square Sans Pro" w:eastAsia="SimSun" w:hAnsi="EC Square Sans Pro"/>
      <w:color w:val="000000" w:themeColor="text1"/>
      <w:lang w:eastAsia="en-GB"/>
    </w:rPr>
    <w:tblPr>
      <w:tblStyleRowBandSize w:val="1"/>
      <w:tblStyleColBandSize w:val="1"/>
      <w:tblBorders>
        <w:top w:val="single" w:sz="8" w:space="0" w:color="DE6002" w:themeColor="accent2"/>
        <w:bottom w:val="single" w:sz="8" w:space="0" w:color="DE6002" w:themeColor="accent2"/>
      </w:tblBorders>
    </w:tblPr>
    <w:tblStylePr w:type="firstRow">
      <w:rPr>
        <w:rFonts w:asciiTheme="majorHAnsi" w:eastAsiaTheme="majorEastAsia" w:hAnsiTheme="majorHAnsi" w:cstheme="majorBidi"/>
      </w:rPr>
      <w:tblPr/>
      <w:tcPr>
        <w:tcBorders>
          <w:top w:val="nil"/>
          <w:bottom w:val="single" w:sz="8" w:space="0" w:color="DE6002" w:themeColor="accent2"/>
        </w:tcBorders>
      </w:tcPr>
    </w:tblStylePr>
    <w:tblStylePr w:type="lastRow">
      <w:rPr>
        <w:b/>
        <w:bCs/>
        <w:color w:val="003399" w:themeColor="text2"/>
      </w:rPr>
      <w:tblPr/>
      <w:tcPr>
        <w:tcBorders>
          <w:top w:val="single" w:sz="8" w:space="0" w:color="DE6002" w:themeColor="accent2"/>
          <w:bottom w:val="single" w:sz="8" w:space="0" w:color="DE6002" w:themeColor="accent2"/>
        </w:tcBorders>
      </w:tcPr>
    </w:tblStylePr>
    <w:tblStylePr w:type="firstCol">
      <w:rPr>
        <w:b/>
        <w:bCs/>
      </w:rPr>
    </w:tblStylePr>
    <w:tblStylePr w:type="lastCol">
      <w:rPr>
        <w:b/>
        <w:bCs/>
      </w:rPr>
      <w:tblPr/>
      <w:tcPr>
        <w:tcBorders>
          <w:top w:val="single" w:sz="8" w:space="0" w:color="DE6002" w:themeColor="accent2"/>
          <w:bottom w:val="single" w:sz="8" w:space="0" w:color="DE6002" w:themeColor="accent2"/>
        </w:tcBorders>
      </w:tcPr>
    </w:tblStylePr>
    <w:tblStylePr w:type="band1Vert">
      <w:tblPr/>
      <w:tcPr>
        <w:shd w:val="clear" w:color="auto" w:fill="FED6B8" w:themeFill="accent2" w:themeFillTint="3F"/>
      </w:tcPr>
    </w:tblStylePr>
    <w:tblStylePr w:type="band1Horz">
      <w:tblPr/>
      <w:tcPr>
        <w:shd w:val="clear" w:color="auto" w:fill="FED6B8" w:themeFill="accent2" w:themeFillTint="3F"/>
      </w:tcPr>
    </w:tblStylePr>
  </w:style>
  <w:style w:type="table" w:styleId="MediumList1-Accent3">
    <w:name w:val="Medium List 1 Accent 3"/>
    <w:basedOn w:val="TableNormal"/>
    <w:semiHidden/>
    <w:unhideWhenUsed/>
    <w:rsid w:val="001051DF"/>
    <w:pPr>
      <w:spacing w:before="0" w:after="0" w:line="240" w:lineRule="auto"/>
    </w:pPr>
    <w:rPr>
      <w:rFonts w:ascii="EC Square Sans Pro" w:eastAsia="SimSun" w:hAnsi="EC Square Sans Pro"/>
      <w:color w:val="000000" w:themeColor="text1"/>
      <w:lang w:eastAsia="en-GB"/>
    </w:rPr>
    <w:tblPr>
      <w:tblStyleRowBandSize w:val="1"/>
      <w:tblStyleColBandSize w:val="1"/>
      <w:tblBorders>
        <w:top w:val="single" w:sz="8" w:space="0" w:color="2688FE" w:themeColor="accent3"/>
        <w:bottom w:val="single" w:sz="8" w:space="0" w:color="2688FE" w:themeColor="accent3"/>
      </w:tblBorders>
    </w:tblPr>
    <w:tblStylePr w:type="firstRow">
      <w:rPr>
        <w:rFonts w:asciiTheme="majorHAnsi" w:eastAsiaTheme="majorEastAsia" w:hAnsiTheme="majorHAnsi" w:cstheme="majorBidi"/>
      </w:rPr>
      <w:tblPr/>
      <w:tcPr>
        <w:tcBorders>
          <w:top w:val="nil"/>
          <w:bottom w:val="single" w:sz="8" w:space="0" w:color="2688FE" w:themeColor="accent3"/>
        </w:tcBorders>
      </w:tcPr>
    </w:tblStylePr>
    <w:tblStylePr w:type="lastRow">
      <w:rPr>
        <w:b/>
        <w:bCs/>
        <w:color w:val="003399" w:themeColor="text2"/>
      </w:rPr>
      <w:tblPr/>
      <w:tcPr>
        <w:tcBorders>
          <w:top w:val="single" w:sz="8" w:space="0" w:color="2688FE" w:themeColor="accent3"/>
          <w:bottom w:val="single" w:sz="8" w:space="0" w:color="2688FE" w:themeColor="accent3"/>
        </w:tcBorders>
      </w:tcPr>
    </w:tblStylePr>
    <w:tblStylePr w:type="firstCol">
      <w:rPr>
        <w:b/>
        <w:bCs/>
      </w:rPr>
    </w:tblStylePr>
    <w:tblStylePr w:type="lastCol">
      <w:rPr>
        <w:b/>
        <w:bCs/>
      </w:rPr>
      <w:tblPr/>
      <w:tcPr>
        <w:tcBorders>
          <w:top w:val="single" w:sz="8" w:space="0" w:color="2688FE" w:themeColor="accent3"/>
          <w:bottom w:val="single" w:sz="8" w:space="0" w:color="2688FE" w:themeColor="accent3"/>
        </w:tcBorders>
      </w:tcPr>
    </w:tblStylePr>
    <w:tblStylePr w:type="band1Vert">
      <w:tblPr/>
      <w:tcPr>
        <w:shd w:val="clear" w:color="auto" w:fill="C9E1FE" w:themeFill="accent3" w:themeFillTint="3F"/>
      </w:tcPr>
    </w:tblStylePr>
    <w:tblStylePr w:type="band1Horz">
      <w:tblPr/>
      <w:tcPr>
        <w:shd w:val="clear" w:color="auto" w:fill="C9E1FE" w:themeFill="accent3" w:themeFillTint="3F"/>
      </w:tcPr>
    </w:tblStylePr>
  </w:style>
  <w:style w:type="table" w:styleId="MediumList1-Accent4">
    <w:name w:val="Medium List 1 Accent 4"/>
    <w:basedOn w:val="TableNormal"/>
    <w:semiHidden/>
    <w:unhideWhenUsed/>
    <w:rsid w:val="001051DF"/>
    <w:pPr>
      <w:spacing w:before="0" w:after="0" w:line="240" w:lineRule="auto"/>
    </w:pPr>
    <w:rPr>
      <w:rFonts w:ascii="EC Square Sans Pro" w:eastAsia="SimSun" w:hAnsi="EC Square Sans Pro"/>
      <w:color w:val="000000" w:themeColor="text1"/>
      <w:lang w:eastAsia="en-GB"/>
    </w:rPr>
    <w:tblPr>
      <w:tblStyleRowBandSize w:val="1"/>
      <w:tblStyleColBandSize w:val="1"/>
      <w:tblBorders>
        <w:top w:val="single" w:sz="8" w:space="0" w:color="FDAB07" w:themeColor="accent4"/>
        <w:bottom w:val="single" w:sz="8" w:space="0" w:color="FDAB07" w:themeColor="accent4"/>
      </w:tblBorders>
    </w:tblPr>
    <w:tblStylePr w:type="firstRow">
      <w:rPr>
        <w:rFonts w:asciiTheme="majorHAnsi" w:eastAsiaTheme="majorEastAsia" w:hAnsiTheme="majorHAnsi" w:cstheme="majorBidi"/>
      </w:rPr>
      <w:tblPr/>
      <w:tcPr>
        <w:tcBorders>
          <w:top w:val="nil"/>
          <w:bottom w:val="single" w:sz="8" w:space="0" w:color="FDAB07" w:themeColor="accent4"/>
        </w:tcBorders>
      </w:tcPr>
    </w:tblStylePr>
    <w:tblStylePr w:type="lastRow">
      <w:rPr>
        <w:b/>
        <w:bCs/>
        <w:color w:val="003399" w:themeColor="text2"/>
      </w:rPr>
      <w:tblPr/>
      <w:tcPr>
        <w:tcBorders>
          <w:top w:val="single" w:sz="8" w:space="0" w:color="FDAB07" w:themeColor="accent4"/>
          <w:bottom w:val="single" w:sz="8" w:space="0" w:color="FDAB07" w:themeColor="accent4"/>
        </w:tcBorders>
      </w:tcPr>
    </w:tblStylePr>
    <w:tblStylePr w:type="firstCol">
      <w:rPr>
        <w:b/>
        <w:bCs/>
      </w:rPr>
    </w:tblStylePr>
    <w:tblStylePr w:type="lastCol">
      <w:rPr>
        <w:b/>
        <w:bCs/>
      </w:rPr>
      <w:tblPr/>
      <w:tcPr>
        <w:tcBorders>
          <w:top w:val="single" w:sz="8" w:space="0" w:color="FDAB07" w:themeColor="accent4"/>
          <w:bottom w:val="single" w:sz="8" w:space="0" w:color="FDAB07" w:themeColor="accent4"/>
        </w:tcBorders>
      </w:tcPr>
    </w:tblStylePr>
    <w:tblStylePr w:type="band1Vert">
      <w:tblPr/>
      <w:tcPr>
        <w:shd w:val="clear" w:color="auto" w:fill="FEEAC1" w:themeFill="accent4" w:themeFillTint="3F"/>
      </w:tcPr>
    </w:tblStylePr>
    <w:tblStylePr w:type="band1Horz">
      <w:tblPr/>
      <w:tcPr>
        <w:shd w:val="clear" w:color="auto" w:fill="FEEAC1" w:themeFill="accent4" w:themeFillTint="3F"/>
      </w:tcPr>
    </w:tblStylePr>
  </w:style>
  <w:style w:type="table" w:styleId="MediumList1-Accent5">
    <w:name w:val="Medium List 1 Accent 5"/>
    <w:basedOn w:val="TableNormal"/>
    <w:semiHidden/>
    <w:unhideWhenUsed/>
    <w:rsid w:val="001051DF"/>
    <w:pPr>
      <w:spacing w:before="0" w:after="0" w:line="240" w:lineRule="auto"/>
    </w:pPr>
    <w:rPr>
      <w:rFonts w:ascii="EC Square Sans Pro" w:eastAsia="SimSun" w:hAnsi="EC Square Sans Pro"/>
      <w:color w:val="000000" w:themeColor="text1"/>
      <w:lang w:eastAsia="en-GB"/>
    </w:rPr>
    <w:tblPr>
      <w:tblStyleRowBandSize w:val="1"/>
      <w:tblStyleColBandSize w:val="1"/>
      <w:tblBorders>
        <w:top w:val="single" w:sz="8" w:space="0" w:color="DC165D" w:themeColor="accent5"/>
        <w:bottom w:val="single" w:sz="8" w:space="0" w:color="DC165D" w:themeColor="accent5"/>
      </w:tblBorders>
    </w:tblPr>
    <w:tblStylePr w:type="firstRow">
      <w:rPr>
        <w:rFonts w:asciiTheme="majorHAnsi" w:eastAsiaTheme="majorEastAsia" w:hAnsiTheme="majorHAnsi" w:cstheme="majorBidi"/>
      </w:rPr>
      <w:tblPr/>
      <w:tcPr>
        <w:tcBorders>
          <w:top w:val="nil"/>
          <w:bottom w:val="single" w:sz="8" w:space="0" w:color="DC165D" w:themeColor="accent5"/>
        </w:tcBorders>
      </w:tcPr>
    </w:tblStylePr>
    <w:tblStylePr w:type="lastRow">
      <w:rPr>
        <w:b/>
        <w:bCs/>
        <w:color w:val="003399" w:themeColor="text2"/>
      </w:rPr>
      <w:tblPr/>
      <w:tcPr>
        <w:tcBorders>
          <w:top w:val="single" w:sz="8" w:space="0" w:color="DC165D" w:themeColor="accent5"/>
          <w:bottom w:val="single" w:sz="8" w:space="0" w:color="DC165D" w:themeColor="accent5"/>
        </w:tcBorders>
      </w:tcPr>
    </w:tblStylePr>
    <w:tblStylePr w:type="firstCol">
      <w:rPr>
        <w:b/>
        <w:bCs/>
      </w:rPr>
    </w:tblStylePr>
    <w:tblStylePr w:type="lastCol">
      <w:rPr>
        <w:b/>
        <w:bCs/>
      </w:rPr>
      <w:tblPr/>
      <w:tcPr>
        <w:tcBorders>
          <w:top w:val="single" w:sz="8" w:space="0" w:color="DC165D" w:themeColor="accent5"/>
          <w:bottom w:val="single" w:sz="8" w:space="0" w:color="DC165D" w:themeColor="accent5"/>
        </w:tcBorders>
      </w:tcPr>
    </w:tblStylePr>
    <w:tblStylePr w:type="band1Vert">
      <w:tblPr/>
      <w:tcPr>
        <w:shd w:val="clear" w:color="auto" w:fill="F9C2D6" w:themeFill="accent5" w:themeFillTint="3F"/>
      </w:tcPr>
    </w:tblStylePr>
    <w:tblStylePr w:type="band1Horz">
      <w:tblPr/>
      <w:tcPr>
        <w:shd w:val="clear" w:color="auto" w:fill="F9C2D6" w:themeFill="accent5" w:themeFillTint="3F"/>
      </w:tcPr>
    </w:tblStylePr>
  </w:style>
  <w:style w:type="table" w:styleId="MediumList1-Accent6">
    <w:name w:val="Medium List 1 Accent 6"/>
    <w:basedOn w:val="TableNormal"/>
    <w:semiHidden/>
    <w:unhideWhenUsed/>
    <w:rsid w:val="001051DF"/>
    <w:pPr>
      <w:spacing w:before="0" w:after="0" w:line="240" w:lineRule="auto"/>
    </w:pPr>
    <w:rPr>
      <w:rFonts w:ascii="EC Square Sans Pro" w:eastAsia="SimSun" w:hAnsi="EC Square Sans Pro"/>
      <w:color w:val="000000" w:themeColor="text1"/>
      <w:lang w:eastAsia="en-GB"/>
    </w:rPr>
    <w:tblPr>
      <w:tblStyleRowBandSize w:val="1"/>
      <w:tblStyleColBandSize w:val="1"/>
      <w:tblBorders>
        <w:top w:val="single" w:sz="8" w:space="0" w:color="7030A0" w:themeColor="accent6"/>
        <w:bottom w:val="single" w:sz="8" w:space="0" w:color="7030A0" w:themeColor="accent6"/>
      </w:tblBorders>
    </w:tblPr>
    <w:tblStylePr w:type="firstRow">
      <w:rPr>
        <w:rFonts w:asciiTheme="majorHAnsi" w:eastAsiaTheme="majorEastAsia" w:hAnsiTheme="majorHAnsi" w:cstheme="majorBidi"/>
      </w:rPr>
      <w:tblPr/>
      <w:tcPr>
        <w:tcBorders>
          <w:top w:val="nil"/>
          <w:bottom w:val="single" w:sz="8" w:space="0" w:color="7030A0" w:themeColor="accent6"/>
        </w:tcBorders>
      </w:tcPr>
    </w:tblStylePr>
    <w:tblStylePr w:type="lastRow">
      <w:rPr>
        <w:b/>
        <w:bCs/>
        <w:color w:val="003399" w:themeColor="text2"/>
      </w:rPr>
      <w:tblPr/>
      <w:tcPr>
        <w:tcBorders>
          <w:top w:val="single" w:sz="8" w:space="0" w:color="7030A0" w:themeColor="accent6"/>
          <w:bottom w:val="single" w:sz="8" w:space="0" w:color="7030A0" w:themeColor="accent6"/>
        </w:tcBorders>
      </w:tcPr>
    </w:tblStylePr>
    <w:tblStylePr w:type="firstCol">
      <w:rPr>
        <w:b/>
        <w:bCs/>
      </w:rPr>
    </w:tblStylePr>
    <w:tblStylePr w:type="lastCol">
      <w:rPr>
        <w:b/>
        <w:bCs/>
      </w:rPr>
      <w:tblPr/>
      <w:tcPr>
        <w:tcBorders>
          <w:top w:val="single" w:sz="8" w:space="0" w:color="7030A0" w:themeColor="accent6"/>
          <w:bottom w:val="single" w:sz="8" w:space="0" w:color="7030A0" w:themeColor="accent6"/>
        </w:tcBorders>
      </w:tcPr>
    </w:tblStylePr>
    <w:tblStylePr w:type="band1Vert">
      <w:tblPr/>
      <w:tcPr>
        <w:shd w:val="clear" w:color="auto" w:fill="DCC5ED" w:themeFill="accent6" w:themeFillTint="3F"/>
      </w:tcPr>
    </w:tblStylePr>
    <w:tblStylePr w:type="band1Horz">
      <w:tblPr/>
      <w:tcPr>
        <w:shd w:val="clear" w:color="auto" w:fill="DCC5ED" w:themeFill="accent6" w:themeFillTint="3F"/>
      </w:tcPr>
    </w:tblStylePr>
  </w:style>
  <w:style w:type="table" w:styleId="MediumList2">
    <w:name w:val="Medium List 2"/>
    <w:basedOn w:val="TableNormal"/>
    <w:semiHidden/>
    <w:unhideWhenUsed/>
    <w:rsid w:val="001051DF"/>
    <w:pPr>
      <w:spacing w:before="0" w:after="0" w:line="240" w:lineRule="auto"/>
    </w:pPr>
    <w:rPr>
      <w:rFonts w:asciiTheme="majorHAnsi" w:eastAsiaTheme="majorEastAsia" w:hAnsiTheme="majorHAnsi" w:cstheme="majorBidi"/>
      <w:color w:val="000000" w:themeColor="text1"/>
      <w:lang w:eastAsia="en-GB"/>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semiHidden/>
    <w:unhideWhenUsed/>
    <w:rsid w:val="001051DF"/>
    <w:pPr>
      <w:spacing w:before="0" w:after="0" w:line="240" w:lineRule="auto"/>
    </w:pPr>
    <w:rPr>
      <w:rFonts w:asciiTheme="majorHAnsi" w:eastAsiaTheme="majorEastAsia" w:hAnsiTheme="majorHAnsi" w:cstheme="majorBidi"/>
      <w:color w:val="000000" w:themeColor="text1"/>
      <w:lang w:eastAsia="en-GB"/>
    </w:rPr>
    <w:tblPr>
      <w:tblStyleRowBandSize w:val="1"/>
      <w:tblStyleColBandSize w:val="1"/>
      <w:tblBorders>
        <w:top w:val="single" w:sz="8" w:space="0" w:color="008139" w:themeColor="accent1"/>
        <w:left w:val="single" w:sz="8" w:space="0" w:color="008139" w:themeColor="accent1"/>
        <w:bottom w:val="single" w:sz="8" w:space="0" w:color="008139" w:themeColor="accent1"/>
        <w:right w:val="single" w:sz="8" w:space="0" w:color="008139" w:themeColor="accent1"/>
      </w:tblBorders>
    </w:tblPr>
    <w:tblStylePr w:type="firstRow">
      <w:rPr>
        <w:sz w:val="24"/>
        <w:szCs w:val="24"/>
      </w:rPr>
      <w:tblPr/>
      <w:tcPr>
        <w:tcBorders>
          <w:top w:val="nil"/>
          <w:left w:val="nil"/>
          <w:bottom w:val="single" w:sz="24" w:space="0" w:color="008139" w:themeColor="accent1"/>
          <w:right w:val="nil"/>
          <w:insideH w:val="nil"/>
          <w:insideV w:val="nil"/>
        </w:tcBorders>
        <w:shd w:val="clear" w:color="auto" w:fill="FFFFFF" w:themeFill="background1"/>
      </w:tcPr>
    </w:tblStylePr>
    <w:tblStylePr w:type="lastRow">
      <w:tblPr/>
      <w:tcPr>
        <w:tcBorders>
          <w:top w:val="single" w:sz="8" w:space="0" w:color="008139"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8139" w:themeColor="accent1"/>
          <w:insideH w:val="nil"/>
          <w:insideV w:val="nil"/>
        </w:tcBorders>
        <w:shd w:val="clear" w:color="auto" w:fill="FFFFFF" w:themeFill="background1"/>
      </w:tcPr>
    </w:tblStylePr>
    <w:tblStylePr w:type="lastCol">
      <w:tblPr/>
      <w:tcPr>
        <w:tcBorders>
          <w:top w:val="nil"/>
          <w:left w:val="single" w:sz="8" w:space="0" w:color="008139"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0FFCA" w:themeFill="accent1" w:themeFillTint="3F"/>
      </w:tcPr>
    </w:tblStylePr>
    <w:tblStylePr w:type="band1Horz">
      <w:tblPr/>
      <w:tcPr>
        <w:tcBorders>
          <w:top w:val="nil"/>
          <w:bottom w:val="nil"/>
          <w:insideH w:val="nil"/>
          <w:insideV w:val="nil"/>
        </w:tcBorders>
        <w:shd w:val="clear" w:color="auto" w:fill="A0FFCA"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semiHidden/>
    <w:unhideWhenUsed/>
    <w:rsid w:val="001051DF"/>
    <w:pPr>
      <w:spacing w:before="0" w:after="0" w:line="240" w:lineRule="auto"/>
    </w:pPr>
    <w:rPr>
      <w:rFonts w:asciiTheme="majorHAnsi" w:eastAsiaTheme="majorEastAsia" w:hAnsiTheme="majorHAnsi" w:cstheme="majorBidi"/>
      <w:color w:val="000000" w:themeColor="text1"/>
      <w:lang w:eastAsia="en-GB"/>
    </w:rPr>
    <w:tblPr>
      <w:tblStyleRowBandSize w:val="1"/>
      <w:tblStyleColBandSize w:val="1"/>
      <w:tblBorders>
        <w:top w:val="single" w:sz="8" w:space="0" w:color="DE6002" w:themeColor="accent2"/>
        <w:left w:val="single" w:sz="8" w:space="0" w:color="DE6002" w:themeColor="accent2"/>
        <w:bottom w:val="single" w:sz="8" w:space="0" w:color="DE6002" w:themeColor="accent2"/>
        <w:right w:val="single" w:sz="8" w:space="0" w:color="DE6002" w:themeColor="accent2"/>
      </w:tblBorders>
    </w:tblPr>
    <w:tblStylePr w:type="firstRow">
      <w:rPr>
        <w:sz w:val="24"/>
        <w:szCs w:val="24"/>
      </w:rPr>
      <w:tblPr/>
      <w:tcPr>
        <w:tcBorders>
          <w:top w:val="nil"/>
          <w:left w:val="nil"/>
          <w:bottom w:val="single" w:sz="24" w:space="0" w:color="DE6002" w:themeColor="accent2"/>
          <w:right w:val="nil"/>
          <w:insideH w:val="nil"/>
          <w:insideV w:val="nil"/>
        </w:tcBorders>
        <w:shd w:val="clear" w:color="auto" w:fill="FFFFFF" w:themeFill="background1"/>
      </w:tcPr>
    </w:tblStylePr>
    <w:tblStylePr w:type="lastRow">
      <w:tblPr/>
      <w:tcPr>
        <w:tcBorders>
          <w:top w:val="single" w:sz="8" w:space="0" w:color="DE6002"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DE6002" w:themeColor="accent2"/>
          <w:insideH w:val="nil"/>
          <w:insideV w:val="nil"/>
        </w:tcBorders>
        <w:shd w:val="clear" w:color="auto" w:fill="FFFFFF" w:themeFill="background1"/>
      </w:tcPr>
    </w:tblStylePr>
    <w:tblStylePr w:type="lastCol">
      <w:tblPr/>
      <w:tcPr>
        <w:tcBorders>
          <w:top w:val="nil"/>
          <w:left w:val="single" w:sz="8" w:space="0" w:color="DE600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ED6B8" w:themeFill="accent2" w:themeFillTint="3F"/>
      </w:tcPr>
    </w:tblStylePr>
    <w:tblStylePr w:type="band1Horz">
      <w:tblPr/>
      <w:tcPr>
        <w:tcBorders>
          <w:top w:val="nil"/>
          <w:bottom w:val="nil"/>
          <w:insideH w:val="nil"/>
          <w:insideV w:val="nil"/>
        </w:tcBorders>
        <w:shd w:val="clear" w:color="auto" w:fill="FED6B8"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semiHidden/>
    <w:unhideWhenUsed/>
    <w:rsid w:val="001051DF"/>
    <w:pPr>
      <w:spacing w:before="0" w:after="0" w:line="240" w:lineRule="auto"/>
    </w:pPr>
    <w:rPr>
      <w:rFonts w:asciiTheme="majorHAnsi" w:eastAsiaTheme="majorEastAsia" w:hAnsiTheme="majorHAnsi" w:cstheme="majorBidi"/>
      <w:color w:val="000000" w:themeColor="text1"/>
      <w:lang w:eastAsia="en-GB"/>
    </w:rPr>
    <w:tblPr>
      <w:tblStyleRowBandSize w:val="1"/>
      <w:tblStyleColBandSize w:val="1"/>
      <w:tblBorders>
        <w:top w:val="single" w:sz="8" w:space="0" w:color="2688FE" w:themeColor="accent3"/>
        <w:left w:val="single" w:sz="8" w:space="0" w:color="2688FE" w:themeColor="accent3"/>
        <w:bottom w:val="single" w:sz="8" w:space="0" w:color="2688FE" w:themeColor="accent3"/>
        <w:right w:val="single" w:sz="8" w:space="0" w:color="2688FE" w:themeColor="accent3"/>
      </w:tblBorders>
    </w:tblPr>
    <w:tblStylePr w:type="firstRow">
      <w:rPr>
        <w:sz w:val="24"/>
        <w:szCs w:val="24"/>
      </w:rPr>
      <w:tblPr/>
      <w:tcPr>
        <w:tcBorders>
          <w:top w:val="nil"/>
          <w:left w:val="nil"/>
          <w:bottom w:val="single" w:sz="24" w:space="0" w:color="2688FE" w:themeColor="accent3"/>
          <w:right w:val="nil"/>
          <w:insideH w:val="nil"/>
          <w:insideV w:val="nil"/>
        </w:tcBorders>
        <w:shd w:val="clear" w:color="auto" w:fill="FFFFFF" w:themeFill="background1"/>
      </w:tcPr>
    </w:tblStylePr>
    <w:tblStylePr w:type="lastRow">
      <w:tblPr/>
      <w:tcPr>
        <w:tcBorders>
          <w:top w:val="single" w:sz="8" w:space="0" w:color="2688FE"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688FE" w:themeColor="accent3"/>
          <w:insideH w:val="nil"/>
          <w:insideV w:val="nil"/>
        </w:tcBorders>
        <w:shd w:val="clear" w:color="auto" w:fill="FFFFFF" w:themeFill="background1"/>
      </w:tcPr>
    </w:tblStylePr>
    <w:tblStylePr w:type="lastCol">
      <w:tblPr/>
      <w:tcPr>
        <w:tcBorders>
          <w:top w:val="nil"/>
          <w:left w:val="single" w:sz="8" w:space="0" w:color="2688FE"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E1FE" w:themeFill="accent3" w:themeFillTint="3F"/>
      </w:tcPr>
    </w:tblStylePr>
    <w:tblStylePr w:type="band1Horz">
      <w:tblPr/>
      <w:tcPr>
        <w:tcBorders>
          <w:top w:val="nil"/>
          <w:bottom w:val="nil"/>
          <w:insideH w:val="nil"/>
          <w:insideV w:val="nil"/>
        </w:tcBorders>
        <w:shd w:val="clear" w:color="auto" w:fill="C9E1FE"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semiHidden/>
    <w:unhideWhenUsed/>
    <w:rsid w:val="001051DF"/>
    <w:pPr>
      <w:spacing w:before="0" w:after="0" w:line="240" w:lineRule="auto"/>
    </w:pPr>
    <w:rPr>
      <w:rFonts w:asciiTheme="majorHAnsi" w:eastAsiaTheme="majorEastAsia" w:hAnsiTheme="majorHAnsi" w:cstheme="majorBidi"/>
      <w:color w:val="000000" w:themeColor="text1"/>
      <w:lang w:eastAsia="en-GB"/>
    </w:rPr>
    <w:tblPr>
      <w:tblStyleRowBandSize w:val="1"/>
      <w:tblStyleColBandSize w:val="1"/>
      <w:tblBorders>
        <w:top w:val="single" w:sz="8" w:space="0" w:color="FDAB07" w:themeColor="accent4"/>
        <w:left w:val="single" w:sz="8" w:space="0" w:color="FDAB07" w:themeColor="accent4"/>
        <w:bottom w:val="single" w:sz="8" w:space="0" w:color="FDAB07" w:themeColor="accent4"/>
        <w:right w:val="single" w:sz="8" w:space="0" w:color="FDAB07" w:themeColor="accent4"/>
      </w:tblBorders>
    </w:tblPr>
    <w:tblStylePr w:type="firstRow">
      <w:rPr>
        <w:sz w:val="24"/>
        <w:szCs w:val="24"/>
      </w:rPr>
      <w:tblPr/>
      <w:tcPr>
        <w:tcBorders>
          <w:top w:val="nil"/>
          <w:left w:val="nil"/>
          <w:bottom w:val="single" w:sz="24" w:space="0" w:color="FDAB07" w:themeColor="accent4"/>
          <w:right w:val="nil"/>
          <w:insideH w:val="nil"/>
          <w:insideV w:val="nil"/>
        </w:tcBorders>
        <w:shd w:val="clear" w:color="auto" w:fill="FFFFFF" w:themeFill="background1"/>
      </w:tcPr>
    </w:tblStylePr>
    <w:tblStylePr w:type="lastRow">
      <w:tblPr/>
      <w:tcPr>
        <w:tcBorders>
          <w:top w:val="single" w:sz="8" w:space="0" w:color="FDAB07"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DAB07" w:themeColor="accent4"/>
          <w:insideH w:val="nil"/>
          <w:insideV w:val="nil"/>
        </w:tcBorders>
        <w:shd w:val="clear" w:color="auto" w:fill="FFFFFF" w:themeFill="background1"/>
      </w:tcPr>
    </w:tblStylePr>
    <w:tblStylePr w:type="lastCol">
      <w:tblPr/>
      <w:tcPr>
        <w:tcBorders>
          <w:top w:val="nil"/>
          <w:left w:val="single" w:sz="8" w:space="0" w:color="FDAB07"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EEAC1" w:themeFill="accent4" w:themeFillTint="3F"/>
      </w:tcPr>
    </w:tblStylePr>
    <w:tblStylePr w:type="band1Horz">
      <w:tblPr/>
      <w:tcPr>
        <w:tcBorders>
          <w:top w:val="nil"/>
          <w:bottom w:val="nil"/>
          <w:insideH w:val="nil"/>
          <w:insideV w:val="nil"/>
        </w:tcBorders>
        <w:shd w:val="clear" w:color="auto" w:fill="FEEAC1"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semiHidden/>
    <w:unhideWhenUsed/>
    <w:rsid w:val="001051DF"/>
    <w:pPr>
      <w:spacing w:before="0" w:after="0" w:line="240" w:lineRule="auto"/>
    </w:pPr>
    <w:rPr>
      <w:rFonts w:asciiTheme="majorHAnsi" w:eastAsiaTheme="majorEastAsia" w:hAnsiTheme="majorHAnsi" w:cstheme="majorBidi"/>
      <w:color w:val="000000" w:themeColor="text1"/>
      <w:lang w:eastAsia="en-GB"/>
    </w:rPr>
    <w:tblPr>
      <w:tblStyleRowBandSize w:val="1"/>
      <w:tblStyleColBandSize w:val="1"/>
      <w:tblBorders>
        <w:top w:val="single" w:sz="8" w:space="0" w:color="DC165D" w:themeColor="accent5"/>
        <w:left w:val="single" w:sz="8" w:space="0" w:color="DC165D" w:themeColor="accent5"/>
        <w:bottom w:val="single" w:sz="8" w:space="0" w:color="DC165D" w:themeColor="accent5"/>
        <w:right w:val="single" w:sz="8" w:space="0" w:color="DC165D" w:themeColor="accent5"/>
      </w:tblBorders>
    </w:tblPr>
    <w:tblStylePr w:type="firstRow">
      <w:rPr>
        <w:sz w:val="24"/>
        <w:szCs w:val="24"/>
      </w:rPr>
      <w:tblPr/>
      <w:tcPr>
        <w:tcBorders>
          <w:top w:val="nil"/>
          <w:left w:val="nil"/>
          <w:bottom w:val="single" w:sz="24" w:space="0" w:color="DC165D" w:themeColor="accent5"/>
          <w:right w:val="nil"/>
          <w:insideH w:val="nil"/>
          <w:insideV w:val="nil"/>
        </w:tcBorders>
        <w:shd w:val="clear" w:color="auto" w:fill="FFFFFF" w:themeFill="background1"/>
      </w:tcPr>
    </w:tblStylePr>
    <w:tblStylePr w:type="lastRow">
      <w:tblPr/>
      <w:tcPr>
        <w:tcBorders>
          <w:top w:val="single" w:sz="8" w:space="0" w:color="DC165D"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DC165D" w:themeColor="accent5"/>
          <w:insideH w:val="nil"/>
          <w:insideV w:val="nil"/>
        </w:tcBorders>
        <w:shd w:val="clear" w:color="auto" w:fill="FFFFFF" w:themeFill="background1"/>
      </w:tcPr>
    </w:tblStylePr>
    <w:tblStylePr w:type="lastCol">
      <w:tblPr/>
      <w:tcPr>
        <w:tcBorders>
          <w:top w:val="nil"/>
          <w:left w:val="single" w:sz="8" w:space="0" w:color="DC165D"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C2D6" w:themeFill="accent5" w:themeFillTint="3F"/>
      </w:tcPr>
    </w:tblStylePr>
    <w:tblStylePr w:type="band1Horz">
      <w:tblPr/>
      <w:tcPr>
        <w:tcBorders>
          <w:top w:val="nil"/>
          <w:bottom w:val="nil"/>
          <w:insideH w:val="nil"/>
          <w:insideV w:val="nil"/>
        </w:tcBorders>
        <w:shd w:val="clear" w:color="auto" w:fill="F9C2D6"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semiHidden/>
    <w:unhideWhenUsed/>
    <w:rsid w:val="001051DF"/>
    <w:pPr>
      <w:spacing w:before="0" w:after="0" w:line="240" w:lineRule="auto"/>
    </w:pPr>
    <w:rPr>
      <w:rFonts w:asciiTheme="majorHAnsi" w:eastAsiaTheme="majorEastAsia" w:hAnsiTheme="majorHAnsi" w:cstheme="majorBidi"/>
      <w:color w:val="000000" w:themeColor="text1"/>
      <w:lang w:eastAsia="en-GB"/>
    </w:rPr>
    <w:tblPr>
      <w:tblStyleRowBandSize w:val="1"/>
      <w:tblStyleColBandSize w:val="1"/>
      <w:tblBorders>
        <w:top w:val="single" w:sz="8" w:space="0" w:color="7030A0" w:themeColor="accent6"/>
        <w:left w:val="single" w:sz="8" w:space="0" w:color="7030A0" w:themeColor="accent6"/>
        <w:bottom w:val="single" w:sz="8" w:space="0" w:color="7030A0" w:themeColor="accent6"/>
        <w:right w:val="single" w:sz="8" w:space="0" w:color="7030A0" w:themeColor="accent6"/>
      </w:tblBorders>
    </w:tblPr>
    <w:tblStylePr w:type="firstRow">
      <w:rPr>
        <w:sz w:val="24"/>
        <w:szCs w:val="24"/>
      </w:rPr>
      <w:tblPr/>
      <w:tcPr>
        <w:tcBorders>
          <w:top w:val="nil"/>
          <w:left w:val="nil"/>
          <w:bottom w:val="single" w:sz="24" w:space="0" w:color="7030A0" w:themeColor="accent6"/>
          <w:right w:val="nil"/>
          <w:insideH w:val="nil"/>
          <w:insideV w:val="nil"/>
        </w:tcBorders>
        <w:shd w:val="clear" w:color="auto" w:fill="FFFFFF" w:themeFill="background1"/>
      </w:tcPr>
    </w:tblStylePr>
    <w:tblStylePr w:type="lastRow">
      <w:tblPr/>
      <w:tcPr>
        <w:tcBorders>
          <w:top w:val="single" w:sz="8" w:space="0" w:color="7030A0"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30A0" w:themeColor="accent6"/>
          <w:insideH w:val="nil"/>
          <w:insideV w:val="nil"/>
        </w:tcBorders>
        <w:shd w:val="clear" w:color="auto" w:fill="FFFFFF" w:themeFill="background1"/>
      </w:tcPr>
    </w:tblStylePr>
    <w:tblStylePr w:type="lastCol">
      <w:tblPr/>
      <w:tcPr>
        <w:tcBorders>
          <w:top w:val="nil"/>
          <w:left w:val="single" w:sz="8" w:space="0" w:color="7030A0"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CC5ED" w:themeFill="accent6" w:themeFillTint="3F"/>
      </w:tcPr>
    </w:tblStylePr>
    <w:tblStylePr w:type="band1Horz">
      <w:tblPr/>
      <w:tcPr>
        <w:tcBorders>
          <w:top w:val="nil"/>
          <w:bottom w:val="nil"/>
          <w:insideH w:val="nil"/>
          <w:insideV w:val="nil"/>
        </w:tcBorders>
        <w:shd w:val="clear" w:color="auto" w:fill="DCC5ED"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semiHidden/>
    <w:unhideWhenUsed/>
    <w:rsid w:val="001051DF"/>
    <w:pPr>
      <w:spacing w:before="0" w:after="0" w:line="240" w:lineRule="auto"/>
    </w:pPr>
    <w:rPr>
      <w:rFonts w:ascii="EC Square Sans Pro" w:eastAsia="SimSun" w:hAnsi="EC Square Sans Pro"/>
      <w:lang w:eastAsia="en-GB"/>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semiHidden/>
    <w:unhideWhenUsed/>
    <w:rsid w:val="001051DF"/>
    <w:pPr>
      <w:spacing w:before="0" w:after="0" w:line="240" w:lineRule="auto"/>
    </w:pPr>
    <w:rPr>
      <w:rFonts w:ascii="EC Square Sans Pro" w:eastAsia="SimSun" w:hAnsi="EC Square Sans Pro"/>
      <w:lang w:eastAsia="en-GB"/>
    </w:rPr>
    <w:tblPr>
      <w:tblStyleRowBandSize w:val="1"/>
      <w:tblStyleColBandSize w:val="1"/>
      <w:tblBorders>
        <w:top w:val="single" w:sz="8" w:space="0" w:color="00E062" w:themeColor="accent1" w:themeTint="BF"/>
        <w:left w:val="single" w:sz="8" w:space="0" w:color="00E062" w:themeColor="accent1" w:themeTint="BF"/>
        <w:bottom w:val="single" w:sz="8" w:space="0" w:color="00E062" w:themeColor="accent1" w:themeTint="BF"/>
        <w:right w:val="single" w:sz="8" w:space="0" w:color="00E062" w:themeColor="accent1" w:themeTint="BF"/>
        <w:insideH w:val="single" w:sz="8" w:space="0" w:color="00E062" w:themeColor="accent1" w:themeTint="BF"/>
      </w:tblBorders>
    </w:tblPr>
    <w:tblStylePr w:type="firstRow">
      <w:pPr>
        <w:spacing w:before="0" w:after="0" w:line="240" w:lineRule="auto"/>
      </w:pPr>
      <w:rPr>
        <w:b/>
        <w:bCs/>
        <w:color w:val="FFFFFF" w:themeColor="background1"/>
      </w:rPr>
      <w:tblPr/>
      <w:tcPr>
        <w:tcBorders>
          <w:top w:val="single" w:sz="8" w:space="0" w:color="00E062" w:themeColor="accent1" w:themeTint="BF"/>
          <w:left w:val="single" w:sz="8" w:space="0" w:color="00E062" w:themeColor="accent1" w:themeTint="BF"/>
          <w:bottom w:val="single" w:sz="8" w:space="0" w:color="00E062" w:themeColor="accent1" w:themeTint="BF"/>
          <w:right w:val="single" w:sz="8" w:space="0" w:color="00E062" w:themeColor="accent1" w:themeTint="BF"/>
          <w:insideH w:val="nil"/>
          <w:insideV w:val="nil"/>
        </w:tcBorders>
        <w:shd w:val="clear" w:color="auto" w:fill="008139" w:themeFill="accent1"/>
      </w:tcPr>
    </w:tblStylePr>
    <w:tblStylePr w:type="lastRow">
      <w:pPr>
        <w:spacing w:before="0" w:after="0" w:line="240" w:lineRule="auto"/>
      </w:pPr>
      <w:rPr>
        <w:b/>
        <w:bCs/>
      </w:rPr>
      <w:tblPr/>
      <w:tcPr>
        <w:tcBorders>
          <w:top w:val="double" w:sz="6" w:space="0" w:color="00E062" w:themeColor="accent1" w:themeTint="BF"/>
          <w:left w:val="single" w:sz="8" w:space="0" w:color="00E062" w:themeColor="accent1" w:themeTint="BF"/>
          <w:bottom w:val="single" w:sz="8" w:space="0" w:color="00E062" w:themeColor="accent1" w:themeTint="BF"/>
          <w:right w:val="single" w:sz="8" w:space="0" w:color="00E062" w:themeColor="accent1" w:themeTint="BF"/>
          <w:insideH w:val="nil"/>
          <w:insideV w:val="nil"/>
        </w:tcBorders>
      </w:tcPr>
    </w:tblStylePr>
    <w:tblStylePr w:type="firstCol">
      <w:rPr>
        <w:b/>
        <w:bCs/>
      </w:rPr>
    </w:tblStylePr>
    <w:tblStylePr w:type="lastCol">
      <w:rPr>
        <w:b/>
        <w:bCs/>
      </w:rPr>
    </w:tblStylePr>
    <w:tblStylePr w:type="band1Vert">
      <w:tblPr/>
      <w:tcPr>
        <w:shd w:val="clear" w:color="auto" w:fill="A0FFCA" w:themeFill="accent1" w:themeFillTint="3F"/>
      </w:tcPr>
    </w:tblStylePr>
    <w:tblStylePr w:type="band1Horz">
      <w:tblPr/>
      <w:tcPr>
        <w:tcBorders>
          <w:insideH w:val="nil"/>
          <w:insideV w:val="nil"/>
        </w:tcBorders>
        <w:shd w:val="clear" w:color="auto" w:fill="A0FFCA"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semiHidden/>
    <w:unhideWhenUsed/>
    <w:rsid w:val="001051DF"/>
    <w:pPr>
      <w:spacing w:before="0" w:after="0" w:line="240" w:lineRule="auto"/>
    </w:pPr>
    <w:rPr>
      <w:rFonts w:ascii="EC Square Sans Pro" w:eastAsia="SimSun" w:hAnsi="EC Square Sans Pro"/>
      <w:lang w:eastAsia="en-GB"/>
    </w:rPr>
    <w:tblPr>
      <w:tblStyleRowBandSize w:val="1"/>
      <w:tblStyleColBandSize w:val="1"/>
      <w:tblBorders>
        <w:top w:val="single" w:sz="8" w:space="0" w:color="FD832A" w:themeColor="accent2" w:themeTint="BF"/>
        <w:left w:val="single" w:sz="8" w:space="0" w:color="FD832A" w:themeColor="accent2" w:themeTint="BF"/>
        <w:bottom w:val="single" w:sz="8" w:space="0" w:color="FD832A" w:themeColor="accent2" w:themeTint="BF"/>
        <w:right w:val="single" w:sz="8" w:space="0" w:color="FD832A" w:themeColor="accent2" w:themeTint="BF"/>
        <w:insideH w:val="single" w:sz="8" w:space="0" w:color="FD832A" w:themeColor="accent2" w:themeTint="BF"/>
      </w:tblBorders>
    </w:tblPr>
    <w:tblStylePr w:type="firstRow">
      <w:pPr>
        <w:spacing w:before="0" w:after="0" w:line="240" w:lineRule="auto"/>
      </w:pPr>
      <w:rPr>
        <w:b/>
        <w:bCs/>
        <w:color w:val="FFFFFF" w:themeColor="background1"/>
      </w:rPr>
      <w:tblPr/>
      <w:tcPr>
        <w:tcBorders>
          <w:top w:val="single" w:sz="8" w:space="0" w:color="FD832A" w:themeColor="accent2" w:themeTint="BF"/>
          <w:left w:val="single" w:sz="8" w:space="0" w:color="FD832A" w:themeColor="accent2" w:themeTint="BF"/>
          <w:bottom w:val="single" w:sz="8" w:space="0" w:color="FD832A" w:themeColor="accent2" w:themeTint="BF"/>
          <w:right w:val="single" w:sz="8" w:space="0" w:color="FD832A" w:themeColor="accent2" w:themeTint="BF"/>
          <w:insideH w:val="nil"/>
          <w:insideV w:val="nil"/>
        </w:tcBorders>
        <w:shd w:val="clear" w:color="auto" w:fill="DE6002" w:themeFill="accent2"/>
      </w:tcPr>
    </w:tblStylePr>
    <w:tblStylePr w:type="lastRow">
      <w:pPr>
        <w:spacing w:before="0" w:after="0" w:line="240" w:lineRule="auto"/>
      </w:pPr>
      <w:rPr>
        <w:b/>
        <w:bCs/>
      </w:rPr>
      <w:tblPr/>
      <w:tcPr>
        <w:tcBorders>
          <w:top w:val="double" w:sz="6" w:space="0" w:color="FD832A" w:themeColor="accent2" w:themeTint="BF"/>
          <w:left w:val="single" w:sz="8" w:space="0" w:color="FD832A" w:themeColor="accent2" w:themeTint="BF"/>
          <w:bottom w:val="single" w:sz="8" w:space="0" w:color="FD832A" w:themeColor="accent2" w:themeTint="BF"/>
          <w:right w:val="single" w:sz="8" w:space="0" w:color="FD832A" w:themeColor="accent2" w:themeTint="BF"/>
          <w:insideH w:val="nil"/>
          <w:insideV w:val="nil"/>
        </w:tcBorders>
      </w:tcPr>
    </w:tblStylePr>
    <w:tblStylePr w:type="firstCol">
      <w:rPr>
        <w:b/>
        <w:bCs/>
      </w:rPr>
    </w:tblStylePr>
    <w:tblStylePr w:type="lastCol">
      <w:rPr>
        <w:b/>
        <w:bCs/>
      </w:rPr>
    </w:tblStylePr>
    <w:tblStylePr w:type="band1Vert">
      <w:tblPr/>
      <w:tcPr>
        <w:shd w:val="clear" w:color="auto" w:fill="FED6B8" w:themeFill="accent2" w:themeFillTint="3F"/>
      </w:tcPr>
    </w:tblStylePr>
    <w:tblStylePr w:type="band1Horz">
      <w:tblPr/>
      <w:tcPr>
        <w:tcBorders>
          <w:insideH w:val="nil"/>
          <w:insideV w:val="nil"/>
        </w:tcBorders>
        <w:shd w:val="clear" w:color="auto" w:fill="FED6B8"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semiHidden/>
    <w:unhideWhenUsed/>
    <w:rsid w:val="001051DF"/>
    <w:pPr>
      <w:spacing w:before="0" w:after="0" w:line="240" w:lineRule="auto"/>
    </w:pPr>
    <w:rPr>
      <w:rFonts w:ascii="EC Square Sans Pro" w:eastAsia="SimSun" w:hAnsi="EC Square Sans Pro"/>
      <w:lang w:eastAsia="en-GB"/>
    </w:rPr>
    <w:tblPr>
      <w:tblStyleRowBandSize w:val="1"/>
      <w:tblStyleColBandSize w:val="1"/>
      <w:tblBorders>
        <w:top w:val="single" w:sz="8" w:space="0" w:color="5CA5FE" w:themeColor="accent3" w:themeTint="BF"/>
        <w:left w:val="single" w:sz="8" w:space="0" w:color="5CA5FE" w:themeColor="accent3" w:themeTint="BF"/>
        <w:bottom w:val="single" w:sz="8" w:space="0" w:color="5CA5FE" w:themeColor="accent3" w:themeTint="BF"/>
        <w:right w:val="single" w:sz="8" w:space="0" w:color="5CA5FE" w:themeColor="accent3" w:themeTint="BF"/>
        <w:insideH w:val="single" w:sz="8" w:space="0" w:color="5CA5FE" w:themeColor="accent3" w:themeTint="BF"/>
      </w:tblBorders>
    </w:tblPr>
    <w:tblStylePr w:type="firstRow">
      <w:pPr>
        <w:spacing w:before="0" w:after="0" w:line="240" w:lineRule="auto"/>
      </w:pPr>
      <w:rPr>
        <w:b/>
        <w:bCs/>
        <w:color w:val="FFFFFF" w:themeColor="background1"/>
      </w:rPr>
      <w:tblPr/>
      <w:tcPr>
        <w:tcBorders>
          <w:top w:val="single" w:sz="8" w:space="0" w:color="5CA5FE" w:themeColor="accent3" w:themeTint="BF"/>
          <w:left w:val="single" w:sz="8" w:space="0" w:color="5CA5FE" w:themeColor="accent3" w:themeTint="BF"/>
          <w:bottom w:val="single" w:sz="8" w:space="0" w:color="5CA5FE" w:themeColor="accent3" w:themeTint="BF"/>
          <w:right w:val="single" w:sz="8" w:space="0" w:color="5CA5FE" w:themeColor="accent3" w:themeTint="BF"/>
          <w:insideH w:val="nil"/>
          <w:insideV w:val="nil"/>
        </w:tcBorders>
        <w:shd w:val="clear" w:color="auto" w:fill="2688FE" w:themeFill="accent3"/>
      </w:tcPr>
    </w:tblStylePr>
    <w:tblStylePr w:type="lastRow">
      <w:pPr>
        <w:spacing w:before="0" w:after="0" w:line="240" w:lineRule="auto"/>
      </w:pPr>
      <w:rPr>
        <w:b/>
        <w:bCs/>
      </w:rPr>
      <w:tblPr/>
      <w:tcPr>
        <w:tcBorders>
          <w:top w:val="double" w:sz="6" w:space="0" w:color="5CA5FE" w:themeColor="accent3" w:themeTint="BF"/>
          <w:left w:val="single" w:sz="8" w:space="0" w:color="5CA5FE" w:themeColor="accent3" w:themeTint="BF"/>
          <w:bottom w:val="single" w:sz="8" w:space="0" w:color="5CA5FE" w:themeColor="accent3" w:themeTint="BF"/>
          <w:right w:val="single" w:sz="8" w:space="0" w:color="5CA5FE" w:themeColor="accent3" w:themeTint="BF"/>
          <w:insideH w:val="nil"/>
          <w:insideV w:val="nil"/>
        </w:tcBorders>
      </w:tcPr>
    </w:tblStylePr>
    <w:tblStylePr w:type="firstCol">
      <w:rPr>
        <w:b/>
        <w:bCs/>
      </w:rPr>
    </w:tblStylePr>
    <w:tblStylePr w:type="lastCol">
      <w:rPr>
        <w:b/>
        <w:bCs/>
      </w:rPr>
    </w:tblStylePr>
    <w:tblStylePr w:type="band1Vert">
      <w:tblPr/>
      <w:tcPr>
        <w:shd w:val="clear" w:color="auto" w:fill="C9E1FE" w:themeFill="accent3" w:themeFillTint="3F"/>
      </w:tcPr>
    </w:tblStylePr>
    <w:tblStylePr w:type="band1Horz">
      <w:tblPr/>
      <w:tcPr>
        <w:tcBorders>
          <w:insideH w:val="nil"/>
          <w:insideV w:val="nil"/>
        </w:tcBorders>
        <w:shd w:val="clear" w:color="auto" w:fill="C9E1FE"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semiHidden/>
    <w:unhideWhenUsed/>
    <w:rsid w:val="001051DF"/>
    <w:pPr>
      <w:spacing w:before="0" w:after="0" w:line="240" w:lineRule="auto"/>
    </w:pPr>
    <w:rPr>
      <w:rFonts w:ascii="EC Square Sans Pro" w:eastAsia="SimSun" w:hAnsi="EC Square Sans Pro"/>
      <w:lang w:eastAsia="en-GB"/>
    </w:rPr>
    <w:tblPr>
      <w:tblStyleRowBandSize w:val="1"/>
      <w:tblStyleColBandSize w:val="1"/>
      <w:tblBorders>
        <w:top w:val="single" w:sz="8" w:space="0" w:color="FDC045" w:themeColor="accent4" w:themeTint="BF"/>
        <w:left w:val="single" w:sz="8" w:space="0" w:color="FDC045" w:themeColor="accent4" w:themeTint="BF"/>
        <w:bottom w:val="single" w:sz="8" w:space="0" w:color="FDC045" w:themeColor="accent4" w:themeTint="BF"/>
        <w:right w:val="single" w:sz="8" w:space="0" w:color="FDC045" w:themeColor="accent4" w:themeTint="BF"/>
        <w:insideH w:val="single" w:sz="8" w:space="0" w:color="FDC045" w:themeColor="accent4" w:themeTint="BF"/>
      </w:tblBorders>
    </w:tblPr>
    <w:tblStylePr w:type="firstRow">
      <w:pPr>
        <w:spacing w:before="0" w:after="0" w:line="240" w:lineRule="auto"/>
      </w:pPr>
      <w:rPr>
        <w:b/>
        <w:bCs/>
        <w:color w:val="FFFFFF" w:themeColor="background1"/>
      </w:rPr>
      <w:tblPr/>
      <w:tcPr>
        <w:tcBorders>
          <w:top w:val="single" w:sz="8" w:space="0" w:color="FDC045" w:themeColor="accent4" w:themeTint="BF"/>
          <w:left w:val="single" w:sz="8" w:space="0" w:color="FDC045" w:themeColor="accent4" w:themeTint="BF"/>
          <w:bottom w:val="single" w:sz="8" w:space="0" w:color="FDC045" w:themeColor="accent4" w:themeTint="BF"/>
          <w:right w:val="single" w:sz="8" w:space="0" w:color="FDC045" w:themeColor="accent4" w:themeTint="BF"/>
          <w:insideH w:val="nil"/>
          <w:insideV w:val="nil"/>
        </w:tcBorders>
        <w:shd w:val="clear" w:color="auto" w:fill="FDAB07" w:themeFill="accent4"/>
      </w:tcPr>
    </w:tblStylePr>
    <w:tblStylePr w:type="lastRow">
      <w:pPr>
        <w:spacing w:before="0" w:after="0" w:line="240" w:lineRule="auto"/>
      </w:pPr>
      <w:rPr>
        <w:b/>
        <w:bCs/>
      </w:rPr>
      <w:tblPr/>
      <w:tcPr>
        <w:tcBorders>
          <w:top w:val="double" w:sz="6" w:space="0" w:color="FDC045" w:themeColor="accent4" w:themeTint="BF"/>
          <w:left w:val="single" w:sz="8" w:space="0" w:color="FDC045" w:themeColor="accent4" w:themeTint="BF"/>
          <w:bottom w:val="single" w:sz="8" w:space="0" w:color="FDC045" w:themeColor="accent4" w:themeTint="BF"/>
          <w:right w:val="single" w:sz="8" w:space="0" w:color="FDC045" w:themeColor="accent4" w:themeTint="BF"/>
          <w:insideH w:val="nil"/>
          <w:insideV w:val="nil"/>
        </w:tcBorders>
      </w:tcPr>
    </w:tblStylePr>
    <w:tblStylePr w:type="firstCol">
      <w:rPr>
        <w:b/>
        <w:bCs/>
      </w:rPr>
    </w:tblStylePr>
    <w:tblStylePr w:type="lastCol">
      <w:rPr>
        <w:b/>
        <w:bCs/>
      </w:rPr>
    </w:tblStylePr>
    <w:tblStylePr w:type="band1Vert">
      <w:tblPr/>
      <w:tcPr>
        <w:shd w:val="clear" w:color="auto" w:fill="FEEAC1" w:themeFill="accent4" w:themeFillTint="3F"/>
      </w:tcPr>
    </w:tblStylePr>
    <w:tblStylePr w:type="band1Horz">
      <w:tblPr/>
      <w:tcPr>
        <w:tcBorders>
          <w:insideH w:val="nil"/>
          <w:insideV w:val="nil"/>
        </w:tcBorders>
        <w:shd w:val="clear" w:color="auto" w:fill="FEEAC1"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semiHidden/>
    <w:unhideWhenUsed/>
    <w:rsid w:val="001051DF"/>
    <w:pPr>
      <w:spacing w:before="0" w:after="0" w:line="240" w:lineRule="auto"/>
    </w:pPr>
    <w:rPr>
      <w:rFonts w:ascii="EC Square Sans Pro" w:eastAsia="SimSun" w:hAnsi="EC Square Sans Pro"/>
      <w:lang w:eastAsia="en-GB"/>
    </w:rPr>
    <w:tblPr>
      <w:tblStyleRowBandSize w:val="1"/>
      <w:tblStyleColBandSize w:val="1"/>
      <w:tblBorders>
        <w:top w:val="single" w:sz="8" w:space="0" w:color="EC4882" w:themeColor="accent5" w:themeTint="BF"/>
        <w:left w:val="single" w:sz="8" w:space="0" w:color="EC4882" w:themeColor="accent5" w:themeTint="BF"/>
        <w:bottom w:val="single" w:sz="8" w:space="0" w:color="EC4882" w:themeColor="accent5" w:themeTint="BF"/>
        <w:right w:val="single" w:sz="8" w:space="0" w:color="EC4882" w:themeColor="accent5" w:themeTint="BF"/>
        <w:insideH w:val="single" w:sz="8" w:space="0" w:color="EC4882" w:themeColor="accent5" w:themeTint="BF"/>
      </w:tblBorders>
    </w:tblPr>
    <w:tblStylePr w:type="firstRow">
      <w:pPr>
        <w:spacing w:before="0" w:after="0" w:line="240" w:lineRule="auto"/>
      </w:pPr>
      <w:rPr>
        <w:b/>
        <w:bCs/>
        <w:color w:val="FFFFFF" w:themeColor="background1"/>
      </w:rPr>
      <w:tblPr/>
      <w:tcPr>
        <w:tcBorders>
          <w:top w:val="single" w:sz="8" w:space="0" w:color="EC4882" w:themeColor="accent5" w:themeTint="BF"/>
          <w:left w:val="single" w:sz="8" w:space="0" w:color="EC4882" w:themeColor="accent5" w:themeTint="BF"/>
          <w:bottom w:val="single" w:sz="8" w:space="0" w:color="EC4882" w:themeColor="accent5" w:themeTint="BF"/>
          <w:right w:val="single" w:sz="8" w:space="0" w:color="EC4882" w:themeColor="accent5" w:themeTint="BF"/>
          <w:insideH w:val="nil"/>
          <w:insideV w:val="nil"/>
        </w:tcBorders>
        <w:shd w:val="clear" w:color="auto" w:fill="DC165D" w:themeFill="accent5"/>
      </w:tcPr>
    </w:tblStylePr>
    <w:tblStylePr w:type="lastRow">
      <w:pPr>
        <w:spacing w:before="0" w:after="0" w:line="240" w:lineRule="auto"/>
      </w:pPr>
      <w:rPr>
        <w:b/>
        <w:bCs/>
      </w:rPr>
      <w:tblPr/>
      <w:tcPr>
        <w:tcBorders>
          <w:top w:val="double" w:sz="6" w:space="0" w:color="EC4882" w:themeColor="accent5" w:themeTint="BF"/>
          <w:left w:val="single" w:sz="8" w:space="0" w:color="EC4882" w:themeColor="accent5" w:themeTint="BF"/>
          <w:bottom w:val="single" w:sz="8" w:space="0" w:color="EC4882" w:themeColor="accent5" w:themeTint="BF"/>
          <w:right w:val="single" w:sz="8" w:space="0" w:color="EC4882" w:themeColor="accent5" w:themeTint="BF"/>
          <w:insideH w:val="nil"/>
          <w:insideV w:val="nil"/>
        </w:tcBorders>
      </w:tcPr>
    </w:tblStylePr>
    <w:tblStylePr w:type="firstCol">
      <w:rPr>
        <w:b/>
        <w:bCs/>
      </w:rPr>
    </w:tblStylePr>
    <w:tblStylePr w:type="lastCol">
      <w:rPr>
        <w:b/>
        <w:bCs/>
      </w:rPr>
    </w:tblStylePr>
    <w:tblStylePr w:type="band1Vert">
      <w:tblPr/>
      <w:tcPr>
        <w:shd w:val="clear" w:color="auto" w:fill="F9C2D6" w:themeFill="accent5" w:themeFillTint="3F"/>
      </w:tcPr>
    </w:tblStylePr>
    <w:tblStylePr w:type="band1Horz">
      <w:tblPr/>
      <w:tcPr>
        <w:tcBorders>
          <w:insideH w:val="nil"/>
          <w:insideV w:val="nil"/>
        </w:tcBorders>
        <w:shd w:val="clear" w:color="auto" w:fill="F9C2D6"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semiHidden/>
    <w:unhideWhenUsed/>
    <w:rsid w:val="001051DF"/>
    <w:pPr>
      <w:spacing w:before="0" w:after="0" w:line="240" w:lineRule="auto"/>
    </w:pPr>
    <w:rPr>
      <w:rFonts w:ascii="EC Square Sans Pro" w:eastAsia="SimSun" w:hAnsi="EC Square Sans Pro"/>
      <w:lang w:eastAsia="en-GB"/>
    </w:rPr>
    <w:tblPr>
      <w:tblStyleRowBandSize w:val="1"/>
      <w:tblStyleColBandSize w:val="1"/>
      <w:tblBorders>
        <w:top w:val="single" w:sz="8" w:space="0" w:color="9650CA" w:themeColor="accent6" w:themeTint="BF"/>
        <w:left w:val="single" w:sz="8" w:space="0" w:color="9650CA" w:themeColor="accent6" w:themeTint="BF"/>
        <w:bottom w:val="single" w:sz="8" w:space="0" w:color="9650CA" w:themeColor="accent6" w:themeTint="BF"/>
        <w:right w:val="single" w:sz="8" w:space="0" w:color="9650CA" w:themeColor="accent6" w:themeTint="BF"/>
        <w:insideH w:val="single" w:sz="8" w:space="0" w:color="9650CA" w:themeColor="accent6" w:themeTint="BF"/>
      </w:tblBorders>
    </w:tblPr>
    <w:tblStylePr w:type="firstRow">
      <w:pPr>
        <w:spacing w:before="0" w:after="0" w:line="240" w:lineRule="auto"/>
      </w:pPr>
      <w:rPr>
        <w:b/>
        <w:bCs/>
        <w:color w:val="FFFFFF" w:themeColor="background1"/>
      </w:rPr>
      <w:tblPr/>
      <w:tcPr>
        <w:tcBorders>
          <w:top w:val="single" w:sz="8" w:space="0" w:color="9650CA" w:themeColor="accent6" w:themeTint="BF"/>
          <w:left w:val="single" w:sz="8" w:space="0" w:color="9650CA" w:themeColor="accent6" w:themeTint="BF"/>
          <w:bottom w:val="single" w:sz="8" w:space="0" w:color="9650CA" w:themeColor="accent6" w:themeTint="BF"/>
          <w:right w:val="single" w:sz="8" w:space="0" w:color="9650CA" w:themeColor="accent6" w:themeTint="BF"/>
          <w:insideH w:val="nil"/>
          <w:insideV w:val="nil"/>
        </w:tcBorders>
        <w:shd w:val="clear" w:color="auto" w:fill="7030A0" w:themeFill="accent6"/>
      </w:tcPr>
    </w:tblStylePr>
    <w:tblStylePr w:type="lastRow">
      <w:pPr>
        <w:spacing w:before="0" w:after="0" w:line="240" w:lineRule="auto"/>
      </w:pPr>
      <w:rPr>
        <w:b/>
        <w:bCs/>
      </w:rPr>
      <w:tblPr/>
      <w:tcPr>
        <w:tcBorders>
          <w:top w:val="double" w:sz="6" w:space="0" w:color="9650CA" w:themeColor="accent6" w:themeTint="BF"/>
          <w:left w:val="single" w:sz="8" w:space="0" w:color="9650CA" w:themeColor="accent6" w:themeTint="BF"/>
          <w:bottom w:val="single" w:sz="8" w:space="0" w:color="9650CA" w:themeColor="accent6" w:themeTint="BF"/>
          <w:right w:val="single" w:sz="8" w:space="0" w:color="9650CA" w:themeColor="accent6" w:themeTint="BF"/>
          <w:insideH w:val="nil"/>
          <w:insideV w:val="nil"/>
        </w:tcBorders>
      </w:tcPr>
    </w:tblStylePr>
    <w:tblStylePr w:type="firstCol">
      <w:rPr>
        <w:b/>
        <w:bCs/>
      </w:rPr>
    </w:tblStylePr>
    <w:tblStylePr w:type="lastCol">
      <w:rPr>
        <w:b/>
        <w:bCs/>
      </w:rPr>
    </w:tblStylePr>
    <w:tblStylePr w:type="band1Vert">
      <w:tblPr/>
      <w:tcPr>
        <w:shd w:val="clear" w:color="auto" w:fill="DCC5ED" w:themeFill="accent6" w:themeFillTint="3F"/>
      </w:tcPr>
    </w:tblStylePr>
    <w:tblStylePr w:type="band1Horz">
      <w:tblPr/>
      <w:tcPr>
        <w:tcBorders>
          <w:insideH w:val="nil"/>
          <w:insideV w:val="nil"/>
        </w:tcBorders>
        <w:shd w:val="clear" w:color="auto" w:fill="DCC5ED" w:themeFill="accent6" w:themeFillTint="3F"/>
      </w:tcPr>
    </w:tblStylePr>
    <w:tblStylePr w:type="band2Horz">
      <w:tblPr/>
      <w:tcPr>
        <w:tcBorders>
          <w:insideH w:val="nil"/>
          <w:insideV w:val="nil"/>
        </w:tcBorders>
      </w:tcPr>
    </w:tblStylePr>
  </w:style>
  <w:style w:type="table" w:styleId="MediumShading2">
    <w:name w:val="Medium Shading 2"/>
    <w:basedOn w:val="TableNormal"/>
    <w:semiHidden/>
    <w:unhideWhenUsed/>
    <w:rsid w:val="001051DF"/>
    <w:pPr>
      <w:spacing w:before="0" w:after="0" w:line="240" w:lineRule="auto"/>
    </w:pPr>
    <w:rPr>
      <w:rFonts w:ascii="EC Square Sans Pro" w:eastAsia="SimSun" w:hAnsi="EC Square Sans Pro"/>
      <w:lang w:eastAsia="en-GB"/>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semiHidden/>
    <w:unhideWhenUsed/>
    <w:rsid w:val="001051DF"/>
    <w:pPr>
      <w:spacing w:before="0" w:after="0" w:line="240" w:lineRule="auto"/>
    </w:pPr>
    <w:rPr>
      <w:rFonts w:ascii="EC Square Sans Pro" w:eastAsia="SimSun" w:hAnsi="EC Square Sans Pro"/>
      <w:lang w:eastAsia="en-GB"/>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8139"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8139" w:themeFill="accent1"/>
      </w:tcPr>
    </w:tblStylePr>
    <w:tblStylePr w:type="lastCol">
      <w:rPr>
        <w:b/>
        <w:bCs/>
        <w:color w:val="FFFFFF" w:themeColor="background1"/>
      </w:rPr>
      <w:tblPr/>
      <w:tcPr>
        <w:tcBorders>
          <w:left w:val="nil"/>
          <w:right w:val="nil"/>
          <w:insideH w:val="nil"/>
          <w:insideV w:val="nil"/>
        </w:tcBorders>
        <w:shd w:val="clear" w:color="auto" w:fill="008139"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semiHidden/>
    <w:unhideWhenUsed/>
    <w:rsid w:val="001051DF"/>
    <w:pPr>
      <w:spacing w:before="0" w:after="0" w:line="240" w:lineRule="auto"/>
    </w:pPr>
    <w:rPr>
      <w:rFonts w:ascii="EC Square Sans Pro" w:eastAsia="SimSun" w:hAnsi="EC Square Sans Pro"/>
      <w:lang w:eastAsia="en-GB"/>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DE600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DE6002" w:themeFill="accent2"/>
      </w:tcPr>
    </w:tblStylePr>
    <w:tblStylePr w:type="lastCol">
      <w:rPr>
        <w:b/>
        <w:bCs/>
        <w:color w:val="FFFFFF" w:themeColor="background1"/>
      </w:rPr>
      <w:tblPr/>
      <w:tcPr>
        <w:tcBorders>
          <w:left w:val="nil"/>
          <w:right w:val="nil"/>
          <w:insideH w:val="nil"/>
          <w:insideV w:val="nil"/>
        </w:tcBorders>
        <w:shd w:val="clear" w:color="auto" w:fill="DE600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semiHidden/>
    <w:unhideWhenUsed/>
    <w:rsid w:val="001051DF"/>
    <w:pPr>
      <w:spacing w:before="0" w:after="0" w:line="240" w:lineRule="auto"/>
    </w:pPr>
    <w:rPr>
      <w:rFonts w:ascii="EC Square Sans Pro" w:eastAsia="SimSun" w:hAnsi="EC Square Sans Pro"/>
      <w:lang w:eastAsia="en-GB"/>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688FE"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688FE" w:themeFill="accent3"/>
      </w:tcPr>
    </w:tblStylePr>
    <w:tblStylePr w:type="lastCol">
      <w:rPr>
        <w:b/>
        <w:bCs/>
        <w:color w:val="FFFFFF" w:themeColor="background1"/>
      </w:rPr>
      <w:tblPr/>
      <w:tcPr>
        <w:tcBorders>
          <w:left w:val="nil"/>
          <w:right w:val="nil"/>
          <w:insideH w:val="nil"/>
          <w:insideV w:val="nil"/>
        </w:tcBorders>
        <w:shd w:val="clear" w:color="auto" w:fill="2688FE"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semiHidden/>
    <w:unhideWhenUsed/>
    <w:rsid w:val="001051DF"/>
    <w:pPr>
      <w:spacing w:before="0" w:after="0" w:line="240" w:lineRule="auto"/>
    </w:pPr>
    <w:rPr>
      <w:rFonts w:ascii="EC Square Sans Pro" w:eastAsia="SimSun" w:hAnsi="EC Square Sans Pro"/>
      <w:lang w:eastAsia="en-GB"/>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DAB07"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DAB07" w:themeFill="accent4"/>
      </w:tcPr>
    </w:tblStylePr>
    <w:tblStylePr w:type="lastCol">
      <w:rPr>
        <w:b/>
        <w:bCs/>
        <w:color w:val="FFFFFF" w:themeColor="background1"/>
      </w:rPr>
      <w:tblPr/>
      <w:tcPr>
        <w:tcBorders>
          <w:left w:val="nil"/>
          <w:right w:val="nil"/>
          <w:insideH w:val="nil"/>
          <w:insideV w:val="nil"/>
        </w:tcBorders>
        <w:shd w:val="clear" w:color="auto" w:fill="FDAB07"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semiHidden/>
    <w:unhideWhenUsed/>
    <w:rsid w:val="001051DF"/>
    <w:pPr>
      <w:spacing w:before="0" w:after="0" w:line="240" w:lineRule="auto"/>
    </w:pPr>
    <w:rPr>
      <w:rFonts w:ascii="EC Square Sans Pro" w:eastAsia="SimSun" w:hAnsi="EC Square Sans Pro"/>
      <w:lang w:eastAsia="en-GB"/>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DC165D"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DC165D" w:themeFill="accent5"/>
      </w:tcPr>
    </w:tblStylePr>
    <w:tblStylePr w:type="lastCol">
      <w:rPr>
        <w:b/>
        <w:bCs/>
        <w:color w:val="FFFFFF" w:themeColor="background1"/>
      </w:rPr>
      <w:tblPr/>
      <w:tcPr>
        <w:tcBorders>
          <w:left w:val="nil"/>
          <w:right w:val="nil"/>
          <w:insideH w:val="nil"/>
          <w:insideV w:val="nil"/>
        </w:tcBorders>
        <w:shd w:val="clear" w:color="auto" w:fill="DC165D"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semiHidden/>
    <w:unhideWhenUsed/>
    <w:rsid w:val="001051DF"/>
    <w:pPr>
      <w:spacing w:before="0" w:after="0" w:line="240" w:lineRule="auto"/>
    </w:pPr>
    <w:rPr>
      <w:rFonts w:ascii="EC Square Sans Pro" w:eastAsia="SimSun" w:hAnsi="EC Square Sans Pro"/>
      <w:lang w:eastAsia="en-GB"/>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30A0"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30A0" w:themeFill="accent6"/>
      </w:tcPr>
    </w:tblStylePr>
    <w:tblStylePr w:type="lastCol">
      <w:rPr>
        <w:b/>
        <w:bCs/>
        <w:color w:val="FFFFFF" w:themeColor="background1"/>
      </w:rPr>
      <w:tblPr/>
      <w:tcPr>
        <w:tcBorders>
          <w:left w:val="nil"/>
          <w:right w:val="nil"/>
          <w:insideH w:val="nil"/>
          <w:insideV w:val="nil"/>
        </w:tcBorders>
        <w:shd w:val="clear" w:color="auto" w:fill="7030A0"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rsid w:val="00EC3443"/>
    <w:rPr>
      <w:color w:val="2B579A"/>
      <w:shd w:val="clear" w:color="auto" w:fill="E1DFDD"/>
    </w:rPr>
  </w:style>
  <w:style w:type="paragraph" w:styleId="MessageHeader">
    <w:name w:val="Message Header"/>
    <w:basedOn w:val="Normal"/>
    <w:link w:val="MessageHeaderChar"/>
    <w:semiHidden/>
    <w:rsid w:val="001051DF"/>
    <w:pPr>
      <w:pBdr>
        <w:top w:val="single" w:sz="6" w:space="1" w:color="auto"/>
        <w:left w:val="single" w:sz="6" w:space="1" w:color="auto"/>
        <w:bottom w:val="single" w:sz="6" w:space="1" w:color="auto"/>
        <w:right w:val="single" w:sz="6" w:space="1" w:color="auto"/>
      </w:pBdr>
      <w:shd w:val="pct20" w:color="auto" w:fill="auto"/>
      <w:spacing w:before="0" w:after="0" w:line="240" w:lineRule="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semiHidden/>
    <w:rsid w:val="001051DF"/>
    <w:rPr>
      <w:rFonts w:asciiTheme="majorHAnsi" w:eastAsiaTheme="majorEastAsia" w:hAnsiTheme="majorHAnsi" w:cstheme="majorBidi"/>
      <w:sz w:val="24"/>
      <w:szCs w:val="24"/>
      <w:shd w:val="pct20" w:color="auto" w:fill="auto"/>
      <w:lang w:eastAsia="en-GB"/>
    </w:rPr>
  </w:style>
  <w:style w:type="paragraph" w:styleId="NormalWeb">
    <w:name w:val="Normal (Web)"/>
    <w:basedOn w:val="Normal"/>
    <w:uiPriority w:val="99"/>
    <w:semiHidden/>
    <w:rsid w:val="00EC3443"/>
    <w:rPr>
      <w:rFonts w:ascii="Times New Roman" w:hAnsi="Times New Roman"/>
      <w:sz w:val="24"/>
      <w:szCs w:val="24"/>
    </w:rPr>
  </w:style>
  <w:style w:type="paragraph" w:styleId="NormalIndent">
    <w:name w:val="Normal Indent"/>
    <w:basedOn w:val="Normal"/>
    <w:semiHidden/>
    <w:rsid w:val="001051DF"/>
    <w:pPr>
      <w:ind w:left="720"/>
    </w:pPr>
  </w:style>
  <w:style w:type="paragraph" w:styleId="NoteHeading">
    <w:name w:val="Note Heading"/>
    <w:basedOn w:val="Normal"/>
    <w:next w:val="Normal"/>
    <w:link w:val="NoteHeadingChar"/>
    <w:semiHidden/>
    <w:rsid w:val="001051DF"/>
    <w:pPr>
      <w:spacing w:before="0" w:after="0" w:line="240" w:lineRule="auto"/>
    </w:pPr>
  </w:style>
  <w:style w:type="character" w:customStyle="1" w:styleId="NoteHeadingChar">
    <w:name w:val="Note Heading Char"/>
    <w:basedOn w:val="DefaultParagraphFont"/>
    <w:link w:val="NoteHeading"/>
    <w:semiHidden/>
    <w:rsid w:val="001051DF"/>
    <w:rPr>
      <w:rFonts w:ascii="EC Square Sans Pro" w:eastAsia="SimSun" w:hAnsi="EC Square Sans Pro"/>
      <w:lang w:eastAsia="en-GB"/>
    </w:rPr>
  </w:style>
  <w:style w:type="character" w:styleId="PageNumber">
    <w:name w:val="page number"/>
    <w:basedOn w:val="DefaultParagraphFont"/>
    <w:semiHidden/>
    <w:rsid w:val="001051DF"/>
    <w:rPr>
      <w:noProof w:val="0"/>
      <w:lang w:val="en-GB"/>
    </w:rPr>
  </w:style>
  <w:style w:type="table" w:styleId="PlainTable1">
    <w:name w:val="Plain Table 1"/>
    <w:basedOn w:val="TableNormal"/>
    <w:rsid w:val="001051DF"/>
    <w:pPr>
      <w:spacing w:after="0" w:line="240" w:lineRule="auto"/>
    </w:pPr>
    <w:rPr>
      <w:rFonts w:ascii="EC Square Sans Pro" w:eastAsia="SimSun" w:hAnsi="EC Square Sans Pro"/>
      <w:lang w:eastAsia="en-GB"/>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rsid w:val="001051DF"/>
    <w:pPr>
      <w:spacing w:after="0" w:line="240" w:lineRule="auto"/>
    </w:pPr>
    <w:rPr>
      <w:rFonts w:ascii="EC Square Sans Pro" w:eastAsia="SimSun" w:hAnsi="EC Square Sans Pro"/>
      <w:lang w:eastAsia="en-GB"/>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rsid w:val="001051DF"/>
    <w:pPr>
      <w:spacing w:after="0" w:line="240" w:lineRule="auto"/>
    </w:pPr>
    <w:rPr>
      <w:rFonts w:ascii="EC Square Sans Pro" w:eastAsia="SimSun" w:hAnsi="EC Square Sans Pro"/>
      <w:lang w:eastAsia="en-GB"/>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rsid w:val="001051DF"/>
    <w:pPr>
      <w:spacing w:after="0" w:line="240" w:lineRule="auto"/>
    </w:pPr>
    <w:rPr>
      <w:rFonts w:ascii="EC Square Sans Pro" w:eastAsia="SimSun" w:hAnsi="EC Square Sans Pro"/>
      <w:lang w:eastAsia="en-GB"/>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rsid w:val="001051DF"/>
    <w:pPr>
      <w:spacing w:after="0" w:line="240" w:lineRule="auto"/>
    </w:pPr>
    <w:rPr>
      <w:rFonts w:ascii="EC Square Sans Pro" w:eastAsia="SimSun" w:hAnsi="EC Square Sans Pro"/>
      <w:lang w:eastAsia="en-GB"/>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semiHidden/>
    <w:rsid w:val="001051DF"/>
    <w:pPr>
      <w:spacing w:before="0" w:after="0" w:line="240" w:lineRule="auto"/>
    </w:pPr>
    <w:rPr>
      <w:rFonts w:ascii="Consolas" w:hAnsi="Consolas"/>
      <w:sz w:val="21"/>
      <w:szCs w:val="21"/>
    </w:rPr>
  </w:style>
  <w:style w:type="character" w:customStyle="1" w:styleId="PlainTextChar">
    <w:name w:val="Plain Text Char"/>
    <w:basedOn w:val="DefaultParagraphFont"/>
    <w:link w:val="PlainText"/>
    <w:semiHidden/>
    <w:rsid w:val="001051DF"/>
    <w:rPr>
      <w:rFonts w:ascii="Consolas" w:eastAsia="SimSun" w:hAnsi="Consolas"/>
      <w:sz w:val="21"/>
      <w:szCs w:val="21"/>
      <w:lang w:eastAsia="en-GB"/>
    </w:rPr>
  </w:style>
  <w:style w:type="table" w:customStyle="1" w:styleId="PPO2021">
    <w:name w:val="PPO_2021"/>
    <w:basedOn w:val="TableNormal"/>
    <w:uiPriority w:val="99"/>
    <w:unhideWhenUsed/>
    <w:locked/>
    <w:rsid w:val="001051DF"/>
    <w:pPr>
      <w:spacing w:before="100" w:after="100"/>
    </w:pPr>
    <w:rPr>
      <w:rFonts w:ascii="EC Square Sans Pro" w:eastAsiaTheme="minorHAnsi" w:hAnsi="EC Square Sans Pro" w:cstheme="minorBidi"/>
      <w:sz w:val="22"/>
      <w:szCs w:val="22"/>
      <w:lang w:eastAsia="en-US"/>
    </w:rPr>
    <w:tblPr>
      <w:tblStyleRowBandSize w:val="1"/>
      <w:tblStyleColBandSize w:val="1"/>
      <w:jc w:val="center"/>
      <w:tblBorders>
        <w:top w:val="single" w:sz="4" w:space="0" w:color="8C8C8C"/>
        <w:bottom w:val="single" w:sz="4" w:space="0" w:color="8C8C8C"/>
        <w:insideH w:val="single" w:sz="4" w:space="0" w:color="8C8C8C"/>
      </w:tblBorders>
    </w:tblPr>
    <w:trPr>
      <w:cantSplit/>
      <w:jc w:val="center"/>
    </w:trPr>
    <w:tblStylePr w:type="firstRow">
      <w:pPr>
        <w:wordWrap/>
        <w:jc w:val="center"/>
      </w:pPr>
      <w:rPr>
        <w:b/>
        <w:color w:val="auto"/>
      </w:rPr>
      <w:tblPr/>
      <w:tcPr>
        <w:tcBorders>
          <w:top w:val="single" w:sz="4" w:space="0" w:color="8C8C8C"/>
          <w:left w:val="nil"/>
          <w:bottom w:val="single" w:sz="4" w:space="0" w:color="8C8C8C"/>
          <w:right w:val="nil"/>
          <w:insideH w:val="nil"/>
          <w:insideV w:val="nil"/>
          <w:tl2br w:val="nil"/>
          <w:tr2bl w:val="nil"/>
        </w:tcBorders>
        <w:shd w:val="clear" w:color="auto" w:fill="F2F2F2" w:themeFill="background1" w:themeFillShade="F2"/>
      </w:tcPr>
    </w:tblStylePr>
    <w:tblStylePr w:type="lastRow">
      <w:rPr>
        <w:b/>
        <w:color w:val="auto"/>
      </w:rPr>
      <w:tblPr/>
      <w:tcPr>
        <w:tcBorders>
          <w:top w:val="double" w:sz="4" w:space="0" w:color="8C8C8C"/>
          <w:left w:val="nil"/>
          <w:bottom w:val="single" w:sz="4" w:space="0" w:color="8C8C8C"/>
          <w:right w:val="nil"/>
          <w:insideH w:val="nil"/>
          <w:insideV w:val="nil"/>
          <w:tl2br w:val="nil"/>
          <w:tr2bl w:val="nil"/>
        </w:tcBorders>
        <w:shd w:val="clear" w:color="auto" w:fill="F2F2F2" w:themeFill="background1" w:themeFillShade="F2"/>
      </w:tcPr>
    </w:tblStylePr>
    <w:tblStylePr w:type="firstCol">
      <w:pPr>
        <w:wordWrap/>
        <w:spacing w:beforeLines="0" w:before="100" w:beforeAutospacing="0" w:afterLines="0" w:after="100" w:afterAutospacing="0" w:line="22" w:lineRule="atLeast"/>
        <w:contextualSpacing w:val="0"/>
        <w:jc w:val="left"/>
      </w:pPr>
      <w:rPr>
        <w:b/>
        <w:i w:val="0"/>
        <w:color w:val="auto"/>
      </w:rPr>
    </w:tblStylePr>
    <w:tblStylePr w:type="lastCol">
      <w:rPr>
        <w:b/>
      </w:rPr>
    </w:tblStylePr>
    <w:tblStylePr w:type="band2Vert">
      <w:rPr>
        <w:b w:val="0"/>
      </w:rPr>
      <w:tblPr/>
      <w:tcPr>
        <w:tcBorders>
          <w:top w:val="single" w:sz="4" w:space="0" w:color="8C8C8C"/>
          <w:left w:val="nil"/>
          <w:bottom w:val="single" w:sz="4" w:space="0" w:color="8C8C8C"/>
          <w:right w:val="nil"/>
          <w:insideH w:val="single" w:sz="4" w:space="0" w:color="8C8C8C"/>
          <w:insideV w:val="nil"/>
          <w:tl2br w:val="nil"/>
          <w:tr2bl w:val="nil"/>
        </w:tcBorders>
        <w:shd w:val="clear" w:color="auto" w:fill="F2F2F2" w:themeFill="background1" w:themeFillShade="F2"/>
      </w:tcPr>
    </w:tblStylePr>
    <w:tblStylePr w:type="band1Horz">
      <w:rPr>
        <w:b w:val="0"/>
      </w:rPr>
      <w:tblPr/>
      <w:tcPr>
        <w:tcBorders>
          <w:top w:val="single" w:sz="4" w:space="0" w:color="8C8C8C"/>
          <w:left w:val="nil"/>
          <w:bottom w:val="single" w:sz="4" w:space="0" w:color="8C8C8C"/>
          <w:right w:val="nil"/>
          <w:insideH w:val="nil"/>
          <w:insideV w:val="nil"/>
          <w:tl2br w:val="nil"/>
          <w:tr2bl w:val="nil"/>
        </w:tcBorders>
      </w:tcPr>
    </w:tblStylePr>
    <w:tblStylePr w:type="band2Horz">
      <w:rPr>
        <w:b w:val="0"/>
      </w:rPr>
      <w:tblPr/>
      <w:tcPr>
        <w:tcBorders>
          <w:top w:val="single" w:sz="4" w:space="0" w:color="8C8C8C"/>
          <w:left w:val="nil"/>
          <w:bottom w:val="single" w:sz="4" w:space="0" w:color="8C8C8C"/>
          <w:right w:val="nil"/>
          <w:insideH w:val="nil"/>
          <w:insideV w:val="nil"/>
          <w:tl2br w:val="nil"/>
          <w:tr2bl w:val="nil"/>
        </w:tcBorders>
        <w:shd w:val="clear" w:color="auto" w:fill="F2F2F2" w:themeFill="background1" w:themeFillShade="F2"/>
      </w:tcPr>
    </w:tblStylePr>
  </w:style>
  <w:style w:type="character" w:customStyle="1" w:styleId="PublicationTitleChar">
    <w:name w:val="Publication Title Char"/>
    <w:basedOn w:val="DefaultParagraphFont"/>
    <w:link w:val="PublicationTitle"/>
    <w:uiPriority w:val="80"/>
    <w:rsid w:val="001051DF"/>
    <w:rPr>
      <w:rFonts w:asciiTheme="majorHAnsi" w:eastAsia="SimSun" w:hAnsiTheme="majorHAnsi"/>
      <w:bCs/>
      <w:color w:val="003399" w:themeColor="text2"/>
      <w:sz w:val="72"/>
      <w:szCs w:val="72"/>
      <w:lang w:eastAsia="en-GB"/>
    </w:rPr>
  </w:style>
  <w:style w:type="paragraph" w:styleId="Quote">
    <w:name w:val="Quote"/>
    <w:basedOn w:val="Normal"/>
    <w:next w:val="Normal"/>
    <w:link w:val="QuoteChar"/>
    <w:semiHidden/>
    <w:rsid w:val="001051DF"/>
    <w:pPr>
      <w:spacing w:before="200" w:after="160"/>
      <w:ind w:left="864" w:right="864"/>
      <w:jc w:val="center"/>
    </w:pPr>
    <w:rPr>
      <w:i/>
      <w:iCs/>
      <w:color w:val="008139" w:themeColor="accent1"/>
    </w:rPr>
  </w:style>
  <w:style w:type="character" w:customStyle="1" w:styleId="QuoteChar">
    <w:name w:val="Quote Char"/>
    <w:basedOn w:val="DefaultParagraphFont"/>
    <w:link w:val="Quote"/>
    <w:rsid w:val="001051DF"/>
    <w:rPr>
      <w:rFonts w:ascii="EC Square Sans Pro" w:eastAsia="SimSun" w:hAnsi="EC Square Sans Pro"/>
      <w:i/>
      <w:iCs/>
      <w:color w:val="008139" w:themeColor="accent1"/>
      <w:lang w:eastAsia="en-GB"/>
    </w:rPr>
  </w:style>
  <w:style w:type="paragraph" w:styleId="Salutation">
    <w:name w:val="Salutation"/>
    <w:basedOn w:val="Normal"/>
    <w:next w:val="Normal"/>
    <w:link w:val="SalutationChar"/>
    <w:semiHidden/>
    <w:rsid w:val="001051DF"/>
  </w:style>
  <w:style w:type="character" w:customStyle="1" w:styleId="SalutationChar">
    <w:name w:val="Salutation Char"/>
    <w:basedOn w:val="DefaultParagraphFont"/>
    <w:link w:val="Salutation"/>
    <w:semiHidden/>
    <w:rsid w:val="001051DF"/>
    <w:rPr>
      <w:rFonts w:ascii="EC Square Sans Pro" w:eastAsia="SimSun" w:hAnsi="EC Square Sans Pro"/>
      <w:lang w:eastAsia="en-GB"/>
    </w:rPr>
  </w:style>
  <w:style w:type="paragraph" w:styleId="Signature">
    <w:name w:val="Signature"/>
    <w:basedOn w:val="Normal"/>
    <w:link w:val="SignatureChar"/>
    <w:semiHidden/>
    <w:rsid w:val="001051DF"/>
    <w:pPr>
      <w:spacing w:before="0" w:after="0" w:line="240" w:lineRule="auto"/>
      <w:ind w:left="4252"/>
    </w:pPr>
  </w:style>
  <w:style w:type="character" w:customStyle="1" w:styleId="SignatureChar">
    <w:name w:val="Signature Char"/>
    <w:basedOn w:val="DefaultParagraphFont"/>
    <w:link w:val="Signature"/>
    <w:semiHidden/>
    <w:rsid w:val="001051DF"/>
    <w:rPr>
      <w:rFonts w:ascii="EC Square Sans Pro" w:eastAsia="SimSun" w:hAnsi="EC Square Sans Pro"/>
      <w:lang w:eastAsia="en-GB"/>
    </w:rPr>
  </w:style>
  <w:style w:type="table" w:customStyle="1" w:styleId="Simpletable1">
    <w:name w:val="Simple table1"/>
    <w:basedOn w:val="TableNormal"/>
    <w:next w:val="TableGrid"/>
    <w:uiPriority w:val="39"/>
    <w:semiHidden/>
    <w:unhideWhenUsed/>
    <w:locked/>
    <w:rsid w:val="001051DF"/>
    <w:pPr>
      <w:spacing w:before="80" w:after="80"/>
    </w:pPr>
    <w:rPr>
      <w:rFonts w:ascii="EC Square Sans Pro" w:eastAsia="Calibri" w:hAnsi="EC Square Sans Pro"/>
      <w:lang w:val="fr-BE"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impletable2">
    <w:name w:val="Simple table2"/>
    <w:basedOn w:val="TableNormal"/>
    <w:next w:val="TableGrid"/>
    <w:uiPriority w:val="59"/>
    <w:rsid w:val="001051DF"/>
    <w:pPr>
      <w:spacing w:before="120" w:after="120" w:line="240" w:lineRule="auto"/>
    </w:pPr>
    <w:rPr>
      <w:rFonts w:ascii="Times New Roman" w:hAnsi="Times New Roman"/>
      <w:lang w:eastAsia="en-GB"/>
    </w:rPr>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0" w:type="dxa"/>
        <w:right w:w="20" w:type="dxa"/>
      </w:tblCellMar>
    </w:tblPr>
    <w:trPr>
      <w:jc w:val="center"/>
    </w:trPr>
    <w:tcPr>
      <w:vAlign w:val="center"/>
    </w:tcPr>
  </w:style>
  <w:style w:type="character" w:styleId="Strong">
    <w:name w:val="Strong"/>
    <w:basedOn w:val="DefaultParagraphFont"/>
    <w:uiPriority w:val="22"/>
    <w:rsid w:val="001051DF"/>
    <w:rPr>
      <w:b/>
      <w:bCs/>
      <w:noProof w:val="0"/>
      <w:lang w:val="en-GB"/>
    </w:rPr>
  </w:style>
  <w:style w:type="character" w:styleId="SubtleEmphasis">
    <w:name w:val="Subtle Emphasis"/>
    <w:basedOn w:val="DefaultParagraphFont"/>
    <w:semiHidden/>
    <w:rsid w:val="001051DF"/>
    <w:rPr>
      <w:i/>
      <w:iCs/>
      <w:noProof w:val="0"/>
      <w:color w:val="404040" w:themeColor="text1" w:themeTint="BF"/>
      <w:lang w:val="en-GB"/>
    </w:rPr>
  </w:style>
  <w:style w:type="character" w:styleId="SubtleReference">
    <w:name w:val="Subtle Reference"/>
    <w:basedOn w:val="DefaultParagraphFont"/>
    <w:semiHidden/>
    <w:rsid w:val="001051DF"/>
    <w:rPr>
      <w:smallCaps/>
      <w:noProof w:val="0"/>
      <w:color w:val="5A5A5A" w:themeColor="text1" w:themeTint="A5"/>
      <w:lang w:val="en-GB"/>
    </w:rPr>
  </w:style>
  <w:style w:type="table" w:styleId="Table3Deffects1">
    <w:name w:val="Table 3D effects 1"/>
    <w:basedOn w:val="TableNormal"/>
    <w:semiHidden/>
    <w:unhideWhenUsed/>
    <w:rsid w:val="001051DF"/>
    <w:rPr>
      <w:rFonts w:ascii="EC Square Sans Pro" w:eastAsia="SimSun" w:hAnsi="EC Square Sans Pro"/>
      <w:lang w:eastAsia="en-GB"/>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1051DF"/>
    <w:rPr>
      <w:rFonts w:ascii="EC Square Sans Pro" w:eastAsia="SimSun" w:hAnsi="EC Square Sans Pro"/>
      <w:lang w:eastAsia="en-GB"/>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1051DF"/>
    <w:rPr>
      <w:rFonts w:ascii="EC Square Sans Pro" w:eastAsia="SimSun" w:hAnsi="EC Square Sans Pro"/>
      <w:lang w:eastAsia="en-GB"/>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unhideWhenUsed/>
    <w:rsid w:val="001051DF"/>
    <w:rPr>
      <w:rFonts w:ascii="EC Square Sans Pro" w:eastAsia="SimSun" w:hAnsi="EC Square Sans Pro"/>
      <w:lang w:eastAsia="en-GB"/>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1051DF"/>
    <w:rPr>
      <w:rFonts w:ascii="EC Square Sans Pro" w:eastAsia="SimSun" w:hAnsi="EC Square Sans Pro"/>
      <w:lang w:eastAsia="en-GB"/>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1051DF"/>
    <w:rPr>
      <w:rFonts w:ascii="EC Square Sans Pro" w:eastAsia="SimSun" w:hAnsi="EC Square Sans Pro"/>
      <w:color w:val="000080"/>
      <w:lang w:eastAsia="en-GB"/>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1051DF"/>
    <w:rPr>
      <w:rFonts w:ascii="EC Square Sans Pro" w:eastAsia="SimSun" w:hAnsi="EC Square Sans Pro"/>
      <w:lang w:eastAsia="en-GB"/>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sid w:val="001051DF"/>
    <w:rPr>
      <w:rFonts w:ascii="EC Square Sans Pro" w:eastAsia="SimSun" w:hAnsi="EC Square Sans Pro"/>
      <w:color w:val="FFFFFF"/>
      <w:lang w:eastAsia="en-GB"/>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sid w:val="001051DF"/>
    <w:rPr>
      <w:rFonts w:ascii="EC Square Sans Pro" w:eastAsia="SimSun" w:hAnsi="EC Square Sans Pro"/>
      <w:lang w:eastAsia="en-GB"/>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1051DF"/>
    <w:rPr>
      <w:rFonts w:ascii="EC Square Sans Pro" w:eastAsia="SimSun" w:hAnsi="EC Square Sans Pro"/>
      <w:lang w:eastAsia="en-GB"/>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1051DF"/>
    <w:rPr>
      <w:rFonts w:ascii="EC Square Sans Pro" w:eastAsia="SimSun" w:hAnsi="EC Square Sans Pro"/>
      <w:b/>
      <w:bCs/>
      <w:lang w:eastAsia="en-GB"/>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1051DF"/>
    <w:rPr>
      <w:rFonts w:ascii="EC Square Sans Pro" w:eastAsia="SimSun" w:hAnsi="EC Square Sans Pro"/>
      <w:b/>
      <w:bCs/>
      <w:lang w:eastAsia="en-GB"/>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1051DF"/>
    <w:rPr>
      <w:rFonts w:ascii="EC Square Sans Pro" w:eastAsia="SimSun" w:hAnsi="EC Square Sans Pro"/>
      <w:b/>
      <w:bCs/>
      <w:lang w:eastAsia="en-GB"/>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1051DF"/>
    <w:rPr>
      <w:rFonts w:ascii="EC Square Sans Pro" w:eastAsia="SimSun" w:hAnsi="EC Square Sans Pro"/>
      <w:lang w:eastAsia="en-GB"/>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1051DF"/>
    <w:rPr>
      <w:rFonts w:ascii="EC Square Sans Pro" w:eastAsia="SimSun" w:hAnsi="EC Square Sans Pro"/>
      <w:lang w:eastAsia="en-GB"/>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unhideWhenUsed/>
    <w:rsid w:val="001051DF"/>
    <w:rPr>
      <w:rFonts w:ascii="EC Square Sans Pro" w:eastAsia="SimSun" w:hAnsi="EC Square Sans Pro"/>
      <w:lang w:eastAsia="en-GB"/>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1051DF"/>
    <w:rPr>
      <w:rFonts w:ascii="EC Square Sans Pro" w:eastAsia="SimSun" w:hAnsi="EC Square Sans Pro"/>
      <w:lang w:eastAsia="en-GB"/>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semiHidden/>
    <w:unhideWhenUsed/>
    <w:rsid w:val="001051DF"/>
    <w:rPr>
      <w:rFonts w:ascii="EC Square Sans Pro" w:eastAsia="SimSun" w:hAnsi="EC Square Sans Pro"/>
      <w:lang w:eastAsia="en-GB"/>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1051DF"/>
    <w:rPr>
      <w:rFonts w:ascii="EC Square Sans Pro" w:eastAsia="SimSun" w:hAnsi="EC Square Sans Pro"/>
      <w:lang w:eastAsia="en-GB"/>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1051DF"/>
    <w:rPr>
      <w:rFonts w:ascii="EC Square Sans Pro" w:eastAsia="SimSun" w:hAnsi="EC Square Sans Pro"/>
      <w:lang w:eastAsia="en-GB"/>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1051DF"/>
    <w:rPr>
      <w:rFonts w:ascii="EC Square Sans Pro" w:eastAsia="SimSun" w:hAnsi="EC Square Sans Pro"/>
      <w:lang w:eastAsia="en-GB"/>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1051DF"/>
    <w:rPr>
      <w:rFonts w:ascii="EC Square Sans Pro" w:eastAsia="SimSun" w:hAnsi="EC Square Sans Pro"/>
      <w:lang w:eastAsia="en-GB"/>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1051DF"/>
    <w:rPr>
      <w:rFonts w:ascii="EC Square Sans Pro" w:eastAsia="SimSun" w:hAnsi="EC Square Sans Pro"/>
      <w:lang w:eastAsia="en-GB"/>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1051DF"/>
    <w:rPr>
      <w:rFonts w:ascii="EC Square Sans Pro" w:eastAsia="SimSun" w:hAnsi="EC Square Sans Pro"/>
      <w:b/>
      <w:bCs/>
      <w:lang w:eastAsia="en-GB"/>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1051DF"/>
    <w:rPr>
      <w:rFonts w:ascii="EC Square Sans Pro" w:eastAsia="SimSun" w:hAnsi="EC Square Sans Pro"/>
      <w:lang w:eastAsia="en-GB"/>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rsid w:val="001051DF"/>
    <w:pPr>
      <w:spacing w:after="0" w:line="240" w:lineRule="auto"/>
    </w:pPr>
    <w:rPr>
      <w:rFonts w:ascii="EC Square Sans Pro" w:eastAsia="SimSun" w:hAnsi="EC Square Sans Pro"/>
      <w:lang w:eastAsia="en-GB"/>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semiHidden/>
    <w:unhideWhenUsed/>
    <w:rsid w:val="001051DF"/>
    <w:rPr>
      <w:rFonts w:ascii="EC Square Sans Pro" w:eastAsia="SimSun" w:hAnsi="EC Square Sans Pro"/>
      <w:lang w:eastAsia="en-GB"/>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1051DF"/>
    <w:rPr>
      <w:rFonts w:ascii="EC Square Sans Pro" w:eastAsia="SimSun" w:hAnsi="EC Square Sans Pro"/>
      <w:lang w:eastAsia="en-GB"/>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1051DF"/>
    <w:rPr>
      <w:rFonts w:ascii="EC Square Sans Pro" w:eastAsia="SimSun" w:hAnsi="EC Square Sans Pro"/>
      <w:lang w:eastAsia="en-GB"/>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1051DF"/>
    <w:rPr>
      <w:rFonts w:ascii="EC Square Sans Pro" w:eastAsia="SimSun" w:hAnsi="EC Square Sans Pro"/>
      <w:lang w:eastAsia="en-GB"/>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1051DF"/>
    <w:rPr>
      <w:rFonts w:ascii="EC Square Sans Pro" w:eastAsia="SimSun" w:hAnsi="EC Square Sans Pro"/>
      <w:lang w:eastAsia="en-GB"/>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1051DF"/>
    <w:rPr>
      <w:rFonts w:ascii="EC Square Sans Pro" w:eastAsia="SimSun" w:hAnsi="EC Square Sans Pro"/>
      <w:lang w:eastAsia="en-GB"/>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1051DF"/>
    <w:rPr>
      <w:rFonts w:ascii="EC Square Sans Pro" w:eastAsia="SimSun" w:hAnsi="EC Square Sans Pro"/>
      <w:lang w:eastAsia="en-GB"/>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1051DF"/>
    <w:rPr>
      <w:rFonts w:ascii="EC Square Sans Pro" w:eastAsia="SimSun" w:hAnsi="EC Square Sans Pro"/>
      <w:lang w:eastAsia="en-GB"/>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semiHidden/>
    <w:rsid w:val="001051DF"/>
    <w:pPr>
      <w:spacing w:after="0"/>
      <w:ind w:left="200" w:hanging="200"/>
    </w:pPr>
    <w:rPr>
      <w:color w:val="003399" w:themeColor="text2"/>
    </w:rPr>
  </w:style>
  <w:style w:type="table" w:styleId="TableProfessional">
    <w:name w:val="Table Professional"/>
    <w:basedOn w:val="TableNormal"/>
    <w:semiHidden/>
    <w:unhideWhenUsed/>
    <w:rsid w:val="001051DF"/>
    <w:rPr>
      <w:rFonts w:ascii="EC Square Sans Pro" w:eastAsia="SimSun" w:hAnsi="EC Square Sans Pro"/>
      <w:lang w:eastAsia="en-GB"/>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unhideWhenUsed/>
    <w:rsid w:val="001051DF"/>
    <w:rPr>
      <w:rFonts w:ascii="EC Square Sans Pro" w:eastAsia="SimSun" w:hAnsi="EC Square Sans Pro"/>
      <w:lang w:eastAsia="en-GB"/>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1051DF"/>
    <w:rPr>
      <w:rFonts w:ascii="EC Square Sans Pro" w:eastAsia="SimSun" w:hAnsi="EC Square Sans Pro"/>
      <w:lang w:eastAsia="en-GB"/>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1051DF"/>
    <w:rPr>
      <w:rFonts w:ascii="EC Square Sans Pro" w:eastAsia="SimSun" w:hAnsi="EC Square Sans Pro"/>
      <w:lang w:eastAsia="en-GB"/>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1051DF"/>
    <w:rPr>
      <w:rFonts w:ascii="EC Square Sans Pro" w:eastAsia="SimSun" w:hAnsi="EC Square Sans Pro"/>
      <w:lang w:eastAsia="en-GB"/>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1051DF"/>
    <w:rPr>
      <w:rFonts w:ascii="EC Square Sans Pro" w:eastAsia="SimSun" w:hAnsi="EC Square Sans Pro"/>
      <w:lang w:eastAsia="en-GB"/>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unhideWhenUsed/>
    <w:rsid w:val="001051DF"/>
    <w:rPr>
      <w:rFonts w:ascii="EC Square Sans Pro" w:eastAsia="SimSun" w:hAnsi="EC Square Sans Pro"/>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unhideWhenUsed/>
    <w:rsid w:val="001051DF"/>
    <w:rPr>
      <w:rFonts w:ascii="EC Square Sans Pro" w:eastAsia="SimSun" w:hAnsi="EC Square Sans Pro"/>
      <w:lang w:eastAsia="en-GB"/>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1051DF"/>
    <w:rPr>
      <w:rFonts w:ascii="EC Square Sans Pro" w:eastAsia="SimSun" w:hAnsi="EC Square Sans Pro"/>
      <w:lang w:eastAsia="en-GB"/>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1051DF"/>
    <w:rPr>
      <w:rFonts w:ascii="EC Square Sans Pro" w:eastAsia="SimSun" w:hAnsi="EC Square Sans Pro"/>
      <w:lang w:eastAsia="en-GB"/>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semiHidden/>
    <w:rsid w:val="001051DF"/>
    <w:pPr>
      <w:spacing w:before="120"/>
    </w:pPr>
    <w:rPr>
      <w:rFonts w:asciiTheme="majorHAnsi" w:eastAsiaTheme="majorEastAsia" w:hAnsiTheme="majorHAnsi" w:cstheme="majorBidi"/>
      <w:b/>
      <w:bCs/>
      <w:sz w:val="24"/>
      <w:szCs w:val="24"/>
    </w:rPr>
  </w:style>
  <w:style w:type="character" w:styleId="UnresolvedMention">
    <w:name w:val="Unresolved Mention"/>
    <w:basedOn w:val="DefaultParagraphFont"/>
    <w:uiPriority w:val="99"/>
    <w:semiHidden/>
    <w:rsid w:val="00EC3443"/>
    <w:rPr>
      <w:color w:val="605E5C"/>
      <w:shd w:val="clear" w:color="auto" w:fill="E1DFDD"/>
    </w:rPr>
  </w:style>
  <w:style w:type="paragraph" w:styleId="Revision">
    <w:name w:val="Revision"/>
    <w:hidden/>
    <w:semiHidden/>
    <w:rsid w:val="001301C1"/>
    <w:pPr>
      <w:spacing w:before="0" w:after="0" w:line="240" w:lineRule="auto"/>
    </w:pPr>
    <w:rPr>
      <w:rFonts w:ascii="EC Square Sans Pro" w:eastAsia="SimSun" w:hAnsi="EC Square Sans Pro"/>
      <w:lang w:eastAsia="en-GB"/>
    </w:rPr>
  </w:style>
  <w:style w:type="character" w:styleId="Hashtag">
    <w:name w:val="Hashtag"/>
    <w:basedOn w:val="DefaultParagraphFont"/>
    <w:uiPriority w:val="99"/>
    <w:semiHidden/>
    <w:rsid w:val="00EC3443"/>
    <w:rPr>
      <w:color w:val="2B579A"/>
      <w:shd w:val="clear" w:color="auto" w:fill="E1DFDD"/>
    </w:rPr>
  </w:style>
  <w:style w:type="character" w:styleId="SmartHyperlink">
    <w:name w:val="Smart Hyperlink"/>
    <w:basedOn w:val="DefaultParagraphFont"/>
    <w:uiPriority w:val="99"/>
    <w:semiHidden/>
    <w:rsid w:val="00EC3443"/>
    <w:rPr>
      <w:u w:val="dotted"/>
    </w:rPr>
  </w:style>
  <w:style w:type="character" w:styleId="SmartLink">
    <w:name w:val="Smart Link"/>
    <w:basedOn w:val="DefaultParagraphFont"/>
    <w:uiPriority w:val="99"/>
    <w:semiHidden/>
    <w:rsid w:val="00EC3443"/>
    <w:rPr>
      <w:color w:val="003399" w:themeColor="text2"/>
      <w:u w:val="single"/>
      <w:shd w:val="clear" w:color="auto" w:fill="F3F2F1"/>
    </w:rPr>
  </w:style>
  <w:style w:type="paragraph" w:customStyle="1" w:styleId="amprboxBLUEBoxTitle">
    <w:name w:val="[ampr box BLUE] Box Title"/>
    <w:basedOn w:val="amprboxBLUEtext"/>
    <w:next w:val="amprboxBLUEtext"/>
    <w:uiPriority w:val="7"/>
    <w:rsid w:val="00EC3443"/>
    <w:pPr>
      <w:keepNext/>
      <w:keepLines/>
    </w:pPr>
    <w:rPr>
      <w:rFonts w:ascii="EC Square Sans Pro Medium" w:hAnsi="EC Square Sans Pro Medium"/>
      <w:color w:val="DC3903"/>
      <w:sz w:val="22"/>
      <w:szCs w:val="22"/>
    </w:rPr>
  </w:style>
  <w:style w:type="paragraph" w:customStyle="1" w:styleId="amprboxBLUEtext">
    <w:name w:val="[ampr box BLUE] text"/>
    <w:basedOn w:val="Normal"/>
    <w:uiPriority w:val="7"/>
    <w:rsid w:val="00EC3443"/>
    <w:pPr>
      <w:pBdr>
        <w:top w:val="single" w:sz="12" w:space="12" w:color="F3F7FF" w:themeColor="background2"/>
        <w:left w:val="single" w:sz="12" w:space="12" w:color="F3F7FF" w:themeColor="background2"/>
        <w:bottom w:val="single" w:sz="12" w:space="12" w:color="F3F7FF" w:themeColor="background2"/>
        <w:right w:val="single" w:sz="12" w:space="12" w:color="F3F7FF" w:themeColor="background2"/>
      </w:pBdr>
      <w:shd w:val="clear" w:color="auto" w:fill="F3F7FF" w:themeFill="background2"/>
      <w:spacing w:before="120" w:after="120"/>
      <w:ind w:left="301" w:right="301"/>
    </w:pPr>
    <w:rPr>
      <w:rFonts w:eastAsia="EC Square Sans Pro"/>
      <w:color w:val="003399" w:themeColor="text2"/>
      <w:szCs w:val="21"/>
      <w:lang w:eastAsia="fr-BE"/>
    </w:rPr>
  </w:style>
  <w:style w:type="numbering" w:customStyle="1" w:styleId="amprboxbulletlistLIST">
    <w:name w:val="[ampr box] bullet list LIST"/>
    <w:uiPriority w:val="99"/>
    <w:rsid w:val="00EC3443"/>
    <w:pPr>
      <w:numPr>
        <w:numId w:val="21"/>
      </w:numPr>
    </w:pPr>
  </w:style>
  <w:style w:type="numbering" w:customStyle="1" w:styleId="OPLISTArabic1aii">
    <w:name w:val="OP_LIST Arabic 1. a) (ii)"/>
    <w:uiPriority w:val="99"/>
    <w:rsid w:val="00A2267A"/>
    <w:pPr>
      <w:numPr>
        <w:numId w:val="39"/>
      </w:numPr>
    </w:pPr>
  </w:style>
  <w:style w:type="paragraph" w:customStyle="1" w:styleId="FooterSensitivity">
    <w:name w:val="Footer Sensitivity"/>
    <w:basedOn w:val="Normal"/>
    <w:link w:val="FooterSensitivityChar"/>
    <w:semiHidden/>
    <w:rsid w:val="00EC3443"/>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b/>
      <w:sz w:val="32"/>
    </w:rPr>
  </w:style>
  <w:style w:type="character" w:customStyle="1" w:styleId="FooterSensitivityChar">
    <w:name w:val="Footer Sensitivity Char"/>
    <w:basedOn w:val="DefaultParagraphFont"/>
    <w:link w:val="FooterSensitivity"/>
    <w:semiHidden/>
    <w:rsid w:val="00617241"/>
    <w:rPr>
      <w:rFonts w:ascii="Times New Roman" w:eastAsia="SimSun" w:hAnsi="Times New Roman"/>
      <w:b/>
      <w:sz w:val="32"/>
      <w:lang w:eastAsia="en-GB"/>
    </w:rPr>
  </w:style>
  <w:style w:type="paragraph" w:customStyle="1" w:styleId="HeaderSensitivity">
    <w:name w:val="Header Sensitivity"/>
    <w:basedOn w:val="Normal"/>
    <w:link w:val="HeaderSensitivityChar"/>
    <w:semiHidden/>
    <w:rsid w:val="00EC3443"/>
    <w:pPr>
      <w:pBdr>
        <w:top w:val="single" w:sz="4" w:space="1" w:color="auto"/>
        <w:left w:val="single" w:sz="4" w:space="4" w:color="auto"/>
        <w:bottom w:val="single" w:sz="4" w:space="1" w:color="auto"/>
        <w:right w:val="single" w:sz="4" w:space="4" w:color="auto"/>
      </w:pBdr>
      <w:spacing w:before="0" w:after="120" w:line="240" w:lineRule="auto"/>
      <w:ind w:left="113" w:right="113"/>
      <w:jc w:val="center"/>
    </w:pPr>
    <w:rPr>
      <w:rFonts w:ascii="Times New Roman" w:hAnsi="Times New Roman"/>
      <w:b/>
      <w:sz w:val="32"/>
    </w:rPr>
  </w:style>
  <w:style w:type="character" w:customStyle="1" w:styleId="HeaderSensitivityChar">
    <w:name w:val="Header Sensitivity Char"/>
    <w:basedOn w:val="DefaultParagraphFont"/>
    <w:link w:val="HeaderSensitivity"/>
    <w:semiHidden/>
    <w:rsid w:val="00617241"/>
    <w:rPr>
      <w:rFonts w:ascii="Times New Roman" w:eastAsia="SimSun" w:hAnsi="Times New Roman"/>
      <w:b/>
      <w:sz w:val="32"/>
      <w:lang w:eastAsia="en-GB"/>
    </w:rPr>
  </w:style>
  <w:style w:type="paragraph" w:customStyle="1" w:styleId="HeaderSensitivityRight">
    <w:name w:val="Header Sensitivity Right"/>
    <w:basedOn w:val="Normal"/>
    <w:link w:val="HeaderSensitivityRightChar"/>
    <w:semiHidden/>
    <w:rsid w:val="00EC3443"/>
    <w:pPr>
      <w:spacing w:before="0" w:after="120" w:line="240" w:lineRule="auto"/>
      <w:jc w:val="right"/>
    </w:pPr>
    <w:rPr>
      <w:rFonts w:ascii="Times New Roman" w:hAnsi="Times New Roman"/>
      <w:sz w:val="28"/>
    </w:rPr>
  </w:style>
  <w:style w:type="character" w:customStyle="1" w:styleId="HeaderSensitivityRightChar">
    <w:name w:val="Header Sensitivity Right Char"/>
    <w:basedOn w:val="DefaultParagraphFont"/>
    <w:link w:val="HeaderSensitivityRight"/>
    <w:semiHidden/>
    <w:rsid w:val="00617241"/>
    <w:rPr>
      <w:rFonts w:ascii="Times New Roman" w:eastAsia="SimSun" w:hAnsi="Times New Roman"/>
      <w:sz w:val="28"/>
      <w:lang w:eastAsia="en-GB"/>
    </w:rPr>
  </w:style>
  <w:style w:type="paragraph" w:customStyle="1" w:styleId="NormalIndented">
    <w:name w:val="Normal Indented"/>
    <w:basedOn w:val="Normal"/>
    <w:uiPriority w:val="1"/>
    <w:qFormat/>
    <w:rsid w:val="00FC0743"/>
    <w:pPr>
      <w:ind w:left="397"/>
    </w:pPr>
  </w:style>
  <w:style w:type="paragraph" w:customStyle="1" w:styleId="ListBulletIndentedLevel1">
    <w:name w:val="List Bullet Indented (Level 1)"/>
    <w:uiPriority w:val="3"/>
    <w:rsid w:val="00EC3443"/>
    <w:pPr>
      <w:numPr>
        <w:numId w:val="19"/>
      </w:numPr>
      <w:tabs>
        <w:tab w:val="num" w:pos="1191"/>
      </w:tabs>
      <w:spacing w:before="60" w:after="60"/>
    </w:pPr>
    <w:rPr>
      <w:rFonts w:ascii="EC Square Sans Pro" w:hAnsi="EC Square Sans Pro"/>
      <w:lang w:eastAsia="en-GB"/>
    </w:rPr>
  </w:style>
  <w:style w:type="paragraph" w:customStyle="1" w:styleId="ListBulletIndentedLevel2">
    <w:name w:val="List Bullet Indented (Level 2)"/>
    <w:uiPriority w:val="3"/>
    <w:unhideWhenUsed/>
    <w:rsid w:val="00EC3443"/>
    <w:pPr>
      <w:numPr>
        <w:ilvl w:val="1"/>
        <w:numId w:val="19"/>
      </w:numPr>
      <w:tabs>
        <w:tab w:val="num" w:pos="1758"/>
      </w:tabs>
      <w:spacing w:before="60" w:after="60"/>
    </w:pPr>
    <w:rPr>
      <w:rFonts w:ascii="EC Square Sans Pro" w:hAnsi="EC Square Sans Pro"/>
      <w:lang w:eastAsia="en-GB"/>
    </w:rPr>
  </w:style>
  <w:style w:type="paragraph" w:customStyle="1" w:styleId="ListBulletIndentedLevel3">
    <w:name w:val="List Bullet Indented (Level 3)"/>
    <w:uiPriority w:val="3"/>
    <w:unhideWhenUsed/>
    <w:rsid w:val="00EC3443"/>
    <w:pPr>
      <w:numPr>
        <w:ilvl w:val="2"/>
        <w:numId w:val="19"/>
      </w:numPr>
      <w:tabs>
        <w:tab w:val="num" w:pos="2325"/>
      </w:tabs>
      <w:spacing w:before="60" w:after="60"/>
    </w:pPr>
    <w:rPr>
      <w:rFonts w:ascii="EC Square Sans Pro" w:hAnsi="EC Square Sans Pro"/>
      <w:lang w:eastAsia="en-GB"/>
    </w:rPr>
  </w:style>
  <w:style w:type="paragraph" w:customStyle="1" w:styleId="ListBulletIndentedLevel4">
    <w:name w:val="List Bullet Indented (Level 4)"/>
    <w:uiPriority w:val="3"/>
    <w:unhideWhenUsed/>
    <w:rsid w:val="00EC3443"/>
    <w:pPr>
      <w:numPr>
        <w:ilvl w:val="3"/>
        <w:numId w:val="19"/>
      </w:numPr>
      <w:tabs>
        <w:tab w:val="num" w:pos="2892"/>
      </w:tabs>
      <w:spacing w:before="60" w:after="60"/>
    </w:pPr>
    <w:rPr>
      <w:rFonts w:ascii="EC Square Sans Pro" w:hAnsi="EC Square Sans Pro"/>
      <w:lang w:eastAsia="en-GB"/>
    </w:rPr>
  </w:style>
  <w:style w:type="numbering" w:customStyle="1" w:styleId="ListBulletIndentedLIST">
    <w:name w:val="List Bullet Indented LIST"/>
    <w:uiPriority w:val="99"/>
    <w:rsid w:val="00EC3443"/>
    <w:pPr>
      <w:numPr>
        <w:numId w:val="27"/>
      </w:numPr>
    </w:pPr>
  </w:style>
  <w:style w:type="character" w:customStyle="1" w:styleId="BoldItalic">
    <w:name w:val="Bold Italic"/>
    <w:basedOn w:val="DefaultParagraphFont"/>
    <w:rsid w:val="00EC3443"/>
    <w:rPr>
      <w:b/>
      <w:i/>
      <w:iCs/>
      <w:spacing w:val="1"/>
    </w:rPr>
  </w:style>
  <w:style w:type="paragraph" w:customStyle="1" w:styleId="amprboxbulletlistorange">
    <w:name w:val="[ampr box] bullet list (orange)"/>
    <w:basedOn w:val="amprboxtext"/>
    <w:uiPriority w:val="3"/>
    <w:qFormat/>
    <w:rsid w:val="00EC509D"/>
    <w:pPr>
      <w:numPr>
        <w:numId w:val="22"/>
      </w:numPr>
      <w:spacing w:before="60" w:after="60"/>
    </w:pPr>
    <w:rPr>
      <w:noProof/>
    </w:rPr>
  </w:style>
  <w:style w:type="numbering" w:customStyle="1" w:styleId="amprboxbulletlistorangeLIST">
    <w:name w:val="[ampr box] bullet list (orange) LIST"/>
    <w:uiPriority w:val="99"/>
    <w:rsid w:val="00EC3443"/>
    <w:pPr>
      <w:numPr>
        <w:numId w:val="15"/>
      </w:numPr>
    </w:pPr>
  </w:style>
  <w:style w:type="numbering" w:customStyle="1" w:styleId="amprboxBLUEbulletlistLIST">
    <w:name w:val="[ampr box BLUE] bullet list LIST"/>
    <w:uiPriority w:val="99"/>
    <w:rsid w:val="00EC3443"/>
    <w:pPr>
      <w:numPr>
        <w:numId w:val="24"/>
      </w:numPr>
    </w:pPr>
  </w:style>
  <w:style w:type="paragraph" w:customStyle="1" w:styleId="ListBulletorangeLevel1">
    <w:name w:val="List Bullet_orange (Level 1)"/>
    <w:uiPriority w:val="3"/>
    <w:qFormat/>
    <w:rsid w:val="00EC3443"/>
    <w:pPr>
      <w:numPr>
        <w:numId w:val="25"/>
      </w:numPr>
      <w:spacing w:before="60" w:after="60"/>
    </w:pPr>
    <w:rPr>
      <w:rFonts w:ascii="EC Square Sans Pro" w:hAnsi="EC Square Sans Pro"/>
      <w:lang w:eastAsia="en-GB"/>
    </w:rPr>
  </w:style>
  <w:style w:type="numbering" w:customStyle="1" w:styleId="ListBulletorangeLIST">
    <w:name w:val="List Bullet_orange LIST"/>
    <w:uiPriority w:val="99"/>
    <w:rsid w:val="00EC3443"/>
    <w:pPr>
      <w:numPr>
        <w:numId w:val="25"/>
      </w:numPr>
    </w:pPr>
  </w:style>
  <w:style w:type="paragraph" w:customStyle="1" w:styleId="Bulletforinfographic">
    <w:name w:val="Bullet for infographic"/>
    <w:uiPriority w:val="2"/>
    <w:rsid w:val="00771240"/>
    <w:pPr>
      <w:numPr>
        <w:numId w:val="17"/>
      </w:numPr>
      <w:suppressAutoHyphens/>
      <w:spacing w:before="60" w:after="60"/>
    </w:pPr>
    <w:rPr>
      <w:rFonts w:ascii="EC Square Sans Pro" w:hAnsi="EC Square Sans Pro"/>
      <w:sz w:val="18"/>
      <w:lang w:eastAsia="en-GB"/>
    </w:rPr>
  </w:style>
  <w:style w:type="numbering" w:customStyle="1" w:styleId="LISTBulletforinfographic">
    <w:name w:val="LIST_Bullet_for_infographic"/>
    <w:uiPriority w:val="99"/>
    <w:rsid w:val="00771240"/>
    <w:pPr>
      <w:numPr>
        <w:numId w:val="17"/>
      </w:numPr>
    </w:pPr>
  </w:style>
  <w:style w:type="paragraph" w:customStyle="1" w:styleId="Footnotetextbullet">
    <w:name w:val="Footnote text bullet"/>
    <w:basedOn w:val="FootnoteText"/>
    <w:uiPriority w:val="1"/>
    <w:qFormat/>
    <w:rsid w:val="00E4218C"/>
    <w:pPr>
      <w:numPr>
        <w:numId w:val="27"/>
      </w:numPr>
    </w:pPr>
    <w:rPr>
      <w:rFonts w:ascii="EC Square Sans Pro" w:eastAsia="Times New Roman" w:hAnsi="EC Square Sans Pro"/>
    </w:rPr>
  </w:style>
  <w:style w:type="numbering" w:customStyle="1" w:styleId="FootnotetextbulletLIST">
    <w:name w:val="Footnote text bullet LIST"/>
    <w:uiPriority w:val="99"/>
    <w:rsid w:val="00EC3443"/>
    <w:pPr>
      <w:numPr>
        <w:numId w:val="26"/>
      </w:numPr>
    </w:pPr>
  </w:style>
  <w:style w:type="numbering" w:customStyle="1" w:styleId="NumberedwithindentLIST">
    <w:name w:val="Numbered with indent LIST"/>
    <w:uiPriority w:val="99"/>
    <w:rsid w:val="00EC3443"/>
    <w:pPr>
      <w:numPr>
        <w:numId w:val="10"/>
      </w:numPr>
    </w:pPr>
  </w:style>
  <w:style w:type="numbering" w:customStyle="1" w:styleId="ListNumberNonindentedLIST">
    <w:name w:val="List Number Nonindented LIST"/>
    <w:uiPriority w:val="99"/>
    <w:rsid w:val="00EC3443"/>
    <w:pPr>
      <w:numPr>
        <w:numId w:val="37"/>
      </w:numPr>
    </w:pPr>
  </w:style>
  <w:style w:type="paragraph" w:customStyle="1" w:styleId="ListcontinuedparagraphL1">
    <w:name w:val="List continued paragraph (L1)"/>
    <w:basedOn w:val="Normal"/>
    <w:uiPriority w:val="3"/>
    <w:qFormat/>
    <w:rsid w:val="00B073CB"/>
    <w:pPr>
      <w:spacing w:before="60" w:after="60"/>
      <w:ind w:left="794"/>
    </w:pPr>
  </w:style>
  <w:style w:type="numbering" w:customStyle="1" w:styleId="ListMixedLIST">
    <w:name w:val="List Mixed LIST"/>
    <w:uiPriority w:val="99"/>
    <w:rsid w:val="00A40BFB"/>
    <w:pPr>
      <w:numPr>
        <w:numId w:val="36"/>
      </w:numPr>
    </w:pPr>
  </w:style>
  <w:style w:type="paragraph" w:customStyle="1" w:styleId="amprA1H3thatlookslikeH4">
    <w:name w:val="[ampr A1] H3 that looks like H4"/>
    <w:next w:val="Normal"/>
    <w:uiPriority w:val="9"/>
    <w:qFormat/>
    <w:rsid w:val="00A40BFB"/>
    <w:pPr>
      <w:keepNext/>
      <w:keepLines/>
      <w:suppressAutoHyphens/>
      <w:spacing w:before="480"/>
      <w:outlineLvl w:val="2"/>
    </w:pPr>
    <w:rPr>
      <w:rFonts w:asciiTheme="majorHAnsi" w:eastAsia="SimSun" w:hAnsiTheme="majorHAnsi"/>
      <w:noProof/>
      <w:color w:val="003399" w:themeColor="text2"/>
      <w:sz w:val="28"/>
      <w:lang w:eastAsia="en-GB"/>
    </w:rPr>
  </w:style>
  <w:style w:type="paragraph" w:customStyle="1" w:styleId="amprA1H4thatlookslikeH5">
    <w:name w:val="[ampr A1] H4 that looks like H5"/>
    <w:basedOn w:val="Heading5"/>
    <w:uiPriority w:val="9"/>
    <w:qFormat/>
    <w:rsid w:val="00A40BFB"/>
    <w:pPr>
      <w:outlineLvl w:val="3"/>
    </w:pPr>
  </w:style>
  <w:style w:type="paragraph" w:customStyle="1" w:styleId="amprquoteauthor">
    <w:name w:val="[ampr quote] author"/>
    <w:basedOn w:val="Normal"/>
    <w:next w:val="amprquoteauthortitle"/>
    <w:uiPriority w:val="2"/>
    <w:qFormat/>
    <w:locked/>
    <w:rsid w:val="00A40BFB"/>
    <w:pPr>
      <w:spacing w:after="120"/>
      <w:jc w:val="right"/>
    </w:pPr>
    <w:rPr>
      <w:i/>
      <w:iCs/>
      <w:color w:val="003399" w:themeColor="text2"/>
      <w:sz w:val="28"/>
      <w:szCs w:val="28"/>
      <w:lang w:eastAsia="fr-BE"/>
    </w:rPr>
  </w:style>
  <w:style w:type="paragraph" w:customStyle="1" w:styleId="amprquoteauthortitle">
    <w:name w:val="[ampr quote] author title"/>
    <w:basedOn w:val="Normal"/>
    <w:next w:val="Normal"/>
    <w:uiPriority w:val="2"/>
    <w:qFormat/>
    <w:locked/>
    <w:rsid w:val="00A40BFB"/>
    <w:pPr>
      <w:spacing w:before="0" w:after="360" w:line="240" w:lineRule="auto"/>
      <w:ind w:left="357" w:hanging="357"/>
      <w:jc w:val="right"/>
    </w:pPr>
    <w:rPr>
      <w:rFonts w:asciiTheme="minorHAnsi" w:eastAsia="EC Square Sans Pro" w:hAnsiTheme="minorHAnsi"/>
      <w:color w:val="000000" w:themeColor="text1"/>
      <w:sz w:val="18"/>
      <w:lang w:eastAsia="zh-CN"/>
    </w:rPr>
  </w:style>
  <w:style w:type="paragraph" w:customStyle="1" w:styleId="FootnoteText1">
    <w:name w:val="Footnote Text1"/>
    <w:basedOn w:val="Normal"/>
    <w:next w:val="FootnoteText"/>
    <w:uiPriority w:val="99"/>
    <w:semiHidden/>
    <w:unhideWhenUsed/>
    <w:rsid w:val="00A40BFB"/>
    <w:pPr>
      <w:suppressAutoHyphens w:val="0"/>
      <w:spacing w:before="120" w:after="0" w:line="240" w:lineRule="auto"/>
      <w:jc w:val="both"/>
    </w:pPr>
    <w:rPr>
      <w:rFonts w:eastAsiaTheme="minorHAnsi" w:cstheme="minorBidi"/>
      <w:spacing w:val="-4"/>
      <w:lang w:eastAsia="en-US"/>
    </w:rPr>
  </w:style>
  <w:style w:type="numbering" w:customStyle="1" w:styleId="ListabcLIST">
    <w:name w:val="List abc LIST"/>
    <w:uiPriority w:val="99"/>
    <w:rsid w:val="00A40BFB"/>
    <w:pPr>
      <w:numPr>
        <w:numId w:val="35"/>
      </w:numPr>
    </w:pPr>
  </w:style>
  <w:style w:type="paragraph" w:customStyle="1" w:styleId="ListBullet-Black">
    <w:name w:val="List Bullet - Black"/>
    <w:basedOn w:val="Normal"/>
    <w:uiPriority w:val="3"/>
    <w:semiHidden/>
    <w:rsid w:val="00A40BFB"/>
    <w:pPr>
      <w:spacing w:before="60" w:after="60"/>
      <w:ind w:left="360" w:hanging="59"/>
      <w:jc w:val="both"/>
    </w:pPr>
    <w:rPr>
      <w:rFonts w:eastAsia="EC Square Sans Pro"/>
      <w:color w:val="000000" w:themeColor="text1"/>
      <w:szCs w:val="21"/>
      <w:lang w:eastAsia="fr-BE"/>
    </w:rPr>
  </w:style>
  <w:style w:type="character" w:customStyle="1" w:styleId="Underline">
    <w:name w:val="Underline"/>
    <w:basedOn w:val="DefaultParagraphFont"/>
    <w:rsid w:val="00A40BFB"/>
    <w:rPr>
      <w:u w:val="single"/>
    </w:rPr>
  </w:style>
  <w:style w:type="character" w:styleId="FootnoteReference">
    <w:name w:val="footnote reference"/>
    <w:basedOn w:val="DefaultParagraphFont"/>
    <w:uiPriority w:val="1"/>
    <w:unhideWhenUsed/>
    <w:qFormat/>
    <w:rsid w:val="00352191"/>
    <w:rPr>
      <w:vertAlign w:val="superscript"/>
    </w:rPr>
  </w:style>
  <w:style w:type="character" w:customStyle="1" w:styleId="Marker">
    <w:name w:val="Marker"/>
    <w:basedOn w:val="DefaultParagraphFont"/>
    <w:rsid w:val="00DA5A1D"/>
    <w:rPr>
      <w:color w:val="0000FF"/>
      <w:shd w:val="clear" w:color="auto" w:fil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920480">
      <w:bodyDiv w:val="1"/>
      <w:marLeft w:val="0"/>
      <w:marRight w:val="0"/>
      <w:marTop w:val="0"/>
      <w:marBottom w:val="0"/>
      <w:divBdr>
        <w:top w:val="none" w:sz="0" w:space="0" w:color="auto"/>
        <w:left w:val="none" w:sz="0" w:space="0" w:color="auto"/>
        <w:bottom w:val="none" w:sz="0" w:space="0" w:color="auto"/>
        <w:right w:val="none" w:sz="0" w:space="0" w:color="auto"/>
      </w:divBdr>
    </w:div>
    <w:div w:id="49426500">
      <w:bodyDiv w:val="1"/>
      <w:marLeft w:val="0"/>
      <w:marRight w:val="0"/>
      <w:marTop w:val="0"/>
      <w:marBottom w:val="0"/>
      <w:divBdr>
        <w:top w:val="none" w:sz="0" w:space="0" w:color="auto"/>
        <w:left w:val="none" w:sz="0" w:space="0" w:color="auto"/>
        <w:bottom w:val="none" w:sz="0" w:space="0" w:color="auto"/>
        <w:right w:val="none" w:sz="0" w:space="0" w:color="auto"/>
      </w:divBdr>
    </w:div>
    <w:div w:id="59787520">
      <w:bodyDiv w:val="1"/>
      <w:marLeft w:val="0"/>
      <w:marRight w:val="0"/>
      <w:marTop w:val="0"/>
      <w:marBottom w:val="0"/>
      <w:divBdr>
        <w:top w:val="none" w:sz="0" w:space="0" w:color="auto"/>
        <w:left w:val="none" w:sz="0" w:space="0" w:color="auto"/>
        <w:bottom w:val="none" w:sz="0" w:space="0" w:color="auto"/>
        <w:right w:val="none" w:sz="0" w:space="0" w:color="auto"/>
      </w:divBdr>
    </w:div>
    <w:div w:id="94718582">
      <w:bodyDiv w:val="1"/>
      <w:marLeft w:val="0"/>
      <w:marRight w:val="0"/>
      <w:marTop w:val="0"/>
      <w:marBottom w:val="0"/>
      <w:divBdr>
        <w:top w:val="none" w:sz="0" w:space="0" w:color="auto"/>
        <w:left w:val="none" w:sz="0" w:space="0" w:color="auto"/>
        <w:bottom w:val="none" w:sz="0" w:space="0" w:color="auto"/>
        <w:right w:val="none" w:sz="0" w:space="0" w:color="auto"/>
      </w:divBdr>
    </w:div>
    <w:div w:id="116606487">
      <w:bodyDiv w:val="1"/>
      <w:marLeft w:val="0"/>
      <w:marRight w:val="0"/>
      <w:marTop w:val="0"/>
      <w:marBottom w:val="0"/>
      <w:divBdr>
        <w:top w:val="none" w:sz="0" w:space="0" w:color="auto"/>
        <w:left w:val="none" w:sz="0" w:space="0" w:color="auto"/>
        <w:bottom w:val="none" w:sz="0" w:space="0" w:color="auto"/>
        <w:right w:val="none" w:sz="0" w:space="0" w:color="auto"/>
      </w:divBdr>
    </w:div>
    <w:div w:id="199519072">
      <w:bodyDiv w:val="1"/>
      <w:marLeft w:val="0"/>
      <w:marRight w:val="0"/>
      <w:marTop w:val="0"/>
      <w:marBottom w:val="0"/>
      <w:divBdr>
        <w:top w:val="none" w:sz="0" w:space="0" w:color="auto"/>
        <w:left w:val="none" w:sz="0" w:space="0" w:color="auto"/>
        <w:bottom w:val="none" w:sz="0" w:space="0" w:color="auto"/>
        <w:right w:val="none" w:sz="0" w:space="0" w:color="auto"/>
      </w:divBdr>
    </w:div>
    <w:div w:id="250624402">
      <w:bodyDiv w:val="1"/>
      <w:marLeft w:val="0"/>
      <w:marRight w:val="0"/>
      <w:marTop w:val="0"/>
      <w:marBottom w:val="0"/>
      <w:divBdr>
        <w:top w:val="none" w:sz="0" w:space="0" w:color="auto"/>
        <w:left w:val="none" w:sz="0" w:space="0" w:color="auto"/>
        <w:bottom w:val="none" w:sz="0" w:space="0" w:color="auto"/>
        <w:right w:val="none" w:sz="0" w:space="0" w:color="auto"/>
      </w:divBdr>
    </w:div>
    <w:div w:id="261766037">
      <w:bodyDiv w:val="1"/>
      <w:marLeft w:val="0"/>
      <w:marRight w:val="0"/>
      <w:marTop w:val="0"/>
      <w:marBottom w:val="0"/>
      <w:divBdr>
        <w:top w:val="none" w:sz="0" w:space="0" w:color="auto"/>
        <w:left w:val="none" w:sz="0" w:space="0" w:color="auto"/>
        <w:bottom w:val="none" w:sz="0" w:space="0" w:color="auto"/>
        <w:right w:val="none" w:sz="0" w:space="0" w:color="auto"/>
      </w:divBdr>
    </w:div>
    <w:div w:id="268389530">
      <w:bodyDiv w:val="1"/>
      <w:marLeft w:val="0"/>
      <w:marRight w:val="0"/>
      <w:marTop w:val="0"/>
      <w:marBottom w:val="0"/>
      <w:divBdr>
        <w:top w:val="none" w:sz="0" w:space="0" w:color="auto"/>
        <w:left w:val="none" w:sz="0" w:space="0" w:color="auto"/>
        <w:bottom w:val="none" w:sz="0" w:space="0" w:color="auto"/>
        <w:right w:val="none" w:sz="0" w:space="0" w:color="auto"/>
      </w:divBdr>
    </w:div>
    <w:div w:id="356471834">
      <w:bodyDiv w:val="1"/>
      <w:marLeft w:val="0"/>
      <w:marRight w:val="0"/>
      <w:marTop w:val="0"/>
      <w:marBottom w:val="0"/>
      <w:divBdr>
        <w:top w:val="none" w:sz="0" w:space="0" w:color="auto"/>
        <w:left w:val="none" w:sz="0" w:space="0" w:color="auto"/>
        <w:bottom w:val="none" w:sz="0" w:space="0" w:color="auto"/>
        <w:right w:val="none" w:sz="0" w:space="0" w:color="auto"/>
      </w:divBdr>
    </w:div>
    <w:div w:id="364448718">
      <w:bodyDiv w:val="1"/>
      <w:marLeft w:val="0"/>
      <w:marRight w:val="0"/>
      <w:marTop w:val="0"/>
      <w:marBottom w:val="0"/>
      <w:divBdr>
        <w:top w:val="none" w:sz="0" w:space="0" w:color="auto"/>
        <w:left w:val="none" w:sz="0" w:space="0" w:color="auto"/>
        <w:bottom w:val="none" w:sz="0" w:space="0" w:color="auto"/>
        <w:right w:val="none" w:sz="0" w:space="0" w:color="auto"/>
      </w:divBdr>
    </w:div>
    <w:div w:id="385227414">
      <w:bodyDiv w:val="1"/>
      <w:marLeft w:val="0"/>
      <w:marRight w:val="0"/>
      <w:marTop w:val="0"/>
      <w:marBottom w:val="0"/>
      <w:divBdr>
        <w:top w:val="none" w:sz="0" w:space="0" w:color="auto"/>
        <w:left w:val="none" w:sz="0" w:space="0" w:color="auto"/>
        <w:bottom w:val="none" w:sz="0" w:space="0" w:color="auto"/>
        <w:right w:val="none" w:sz="0" w:space="0" w:color="auto"/>
      </w:divBdr>
    </w:div>
    <w:div w:id="389159902">
      <w:bodyDiv w:val="1"/>
      <w:marLeft w:val="0"/>
      <w:marRight w:val="0"/>
      <w:marTop w:val="0"/>
      <w:marBottom w:val="0"/>
      <w:divBdr>
        <w:top w:val="none" w:sz="0" w:space="0" w:color="auto"/>
        <w:left w:val="none" w:sz="0" w:space="0" w:color="auto"/>
        <w:bottom w:val="none" w:sz="0" w:space="0" w:color="auto"/>
        <w:right w:val="none" w:sz="0" w:space="0" w:color="auto"/>
      </w:divBdr>
    </w:div>
    <w:div w:id="393627277">
      <w:bodyDiv w:val="1"/>
      <w:marLeft w:val="0"/>
      <w:marRight w:val="0"/>
      <w:marTop w:val="0"/>
      <w:marBottom w:val="0"/>
      <w:divBdr>
        <w:top w:val="none" w:sz="0" w:space="0" w:color="auto"/>
        <w:left w:val="none" w:sz="0" w:space="0" w:color="auto"/>
        <w:bottom w:val="none" w:sz="0" w:space="0" w:color="auto"/>
        <w:right w:val="none" w:sz="0" w:space="0" w:color="auto"/>
      </w:divBdr>
    </w:div>
    <w:div w:id="404298632">
      <w:bodyDiv w:val="1"/>
      <w:marLeft w:val="0"/>
      <w:marRight w:val="0"/>
      <w:marTop w:val="0"/>
      <w:marBottom w:val="0"/>
      <w:divBdr>
        <w:top w:val="none" w:sz="0" w:space="0" w:color="auto"/>
        <w:left w:val="none" w:sz="0" w:space="0" w:color="auto"/>
        <w:bottom w:val="none" w:sz="0" w:space="0" w:color="auto"/>
        <w:right w:val="none" w:sz="0" w:space="0" w:color="auto"/>
      </w:divBdr>
    </w:div>
    <w:div w:id="413863244">
      <w:bodyDiv w:val="1"/>
      <w:marLeft w:val="0"/>
      <w:marRight w:val="0"/>
      <w:marTop w:val="0"/>
      <w:marBottom w:val="0"/>
      <w:divBdr>
        <w:top w:val="none" w:sz="0" w:space="0" w:color="auto"/>
        <w:left w:val="none" w:sz="0" w:space="0" w:color="auto"/>
        <w:bottom w:val="none" w:sz="0" w:space="0" w:color="auto"/>
        <w:right w:val="none" w:sz="0" w:space="0" w:color="auto"/>
      </w:divBdr>
    </w:div>
    <w:div w:id="502359318">
      <w:bodyDiv w:val="1"/>
      <w:marLeft w:val="0"/>
      <w:marRight w:val="0"/>
      <w:marTop w:val="0"/>
      <w:marBottom w:val="0"/>
      <w:divBdr>
        <w:top w:val="none" w:sz="0" w:space="0" w:color="auto"/>
        <w:left w:val="none" w:sz="0" w:space="0" w:color="auto"/>
        <w:bottom w:val="none" w:sz="0" w:space="0" w:color="auto"/>
        <w:right w:val="none" w:sz="0" w:space="0" w:color="auto"/>
      </w:divBdr>
    </w:div>
    <w:div w:id="504436824">
      <w:bodyDiv w:val="1"/>
      <w:marLeft w:val="0"/>
      <w:marRight w:val="0"/>
      <w:marTop w:val="0"/>
      <w:marBottom w:val="0"/>
      <w:divBdr>
        <w:top w:val="none" w:sz="0" w:space="0" w:color="auto"/>
        <w:left w:val="none" w:sz="0" w:space="0" w:color="auto"/>
        <w:bottom w:val="none" w:sz="0" w:space="0" w:color="auto"/>
        <w:right w:val="none" w:sz="0" w:space="0" w:color="auto"/>
      </w:divBdr>
    </w:div>
    <w:div w:id="528027952">
      <w:bodyDiv w:val="1"/>
      <w:marLeft w:val="0"/>
      <w:marRight w:val="0"/>
      <w:marTop w:val="0"/>
      <w:marBottom w:val="0"/>
      <w:divBdr>
        <w:top w:val="none" w:sz="0" w:space="0" w:color="auto"/>
        <w:left w:val="none" w:sz="0" w:space="0" w:color="auto"/>
        <w:bottom w:val="none" w:sz="0" w:space="0" w:color="auto"/>
        <w:right w:val="none" w:sz="0" w:space="0" w:color="auto"/>
      </w:divBdr>
    </w:div>
    <w:div w:id="528300503">
      <w:bodyDiv w:val="1"/>
      <w:marLeft w:val="0"/>
      <w:marRight w:val="0"/>
      <w:marTop w:val="0"/>
      <w:marBottom w:val="0"/>
      <w:divBdr>
        <w:top w:val="none" w:sz="0" w:space="0" w:color="auto"/>
        <w:left w:val="none" w:sz="0" w:space="0" w:color="auto"/>
        <w:bottom w:val="none" w:sz="0" w:space="0" w:color="auto"/>
        <w:right w:val="none" w:sz="0" w:space="0" w:color="auto"/>
      </w:divBdr>
    </w:div>
    <w:div w:id="560021103">
      <w:bodyDiv w:val="1"/>
      <w:marLeft w:val="0"/>
      <w:marRight w:val="0"/>
      <w:marTop w:val="0"/>
      <w:marBottom w:val="0"/>
      <w:divBdr>
        <w:top w:val="none" w:sz="0" w:space="0" w:color="auto"/>
        <w:left w:val="none" w:sz="0" w:space="0" w:color="auto"/>
        <w:bottom w:val="none" w:sz="0" w:space="0" w:color="auto"/>
        <w:right w:val="none" w:sz="0" w:space="0" w:color="auto"/>
      </w:divBdr>
    </w:div>
    <w:div w:id="580336573">
      <w:bodyDiv w:val="1"/>
      <w:marLeft w:val="0"/>
      <w:marRight w:val="0"/>
      <w:marTop w:val="0"/>
      <w:marBottom w:val="0"/>
      <w:divBdr>
        <w:top w:val="none" w:sz="0" w:space="0" w:color="auto"/>
        <w:left w:val="none" w:sz="0" w:space="0" w:color="auto"/>
        <w:bottom w:val="none" w:sz="0" w:space="0" w:color="auto"/>
        <w:right w:val="none" w:sz="0" w:space="0" w:color="auto"/>
      </w:divBdr>
    </w:div>
    <w:div w:id="598148647">
      <w:bodyDiv w:val="1"/>
      <w:marLeft w:val="0"/>
      <w:marRight w:val="0"/>
      <w:marTop w:val="0"/>
      <w:marBottom w:val="0"/>
      <w:divBdr>
        <w:top w:val="none" w:sz="0" w:space="0" w:color="auto"/>
        <w:left w:val="none" w:sz="0" w:space="0" w:color="auto"/>
        <w:bottom w:val="none" w:sz="0" w:space="0" w:color="auto"/>
        <w:right w:val="none" w:sz="0" w:space="0" w:color="auto"/>
      </w:divBdr>
    </w:div>
    <w:div w:id="600600488">
      <w:bodyDiv w:val="1"/>
      <w:marLeft w:val="0"/>
      <w:marRight w:val="0"/>
      <w:marTop w:val="0"/>
      <w:marBottom w:val="0"/>
      <w:divBdr>
        <w:top w:val="none" w:sz="0" w:space="0" w:color="auto"/>
        <w:left w:val="none" w:sz="0" w:space="0" w:color="auto"/>
        <w:bottom w:val="none" w:sz="0" w:space="0" w:color="auto"/>
        <w:right w:val="none" w:sz="0" w:space="0" w:color="auto"/>
      </w:divBdr>
    </w:div>
    <w:div w:id="645470950">
      <w:bodyDiv w:val="1"/>
      <w:marLeft w:val="0"/>
      <w:marRight w:val="0"/>
      <w:marTop w:val="0"/>
      <w:marBottom w:val="0"/>
      <w:divBdr>
        <w:top w:val="none" w:sz="0" w:space="0" w:color="auto"/>
        <w:left w:val="none" w:sz="0" w:space="0" w:color="auto"/>
        <w:bottom w:val="none" w:sz="0" w:space="0" w:color="auto"/>
        <w:right w:val="none" w:sz="0" w:space="0" w:color="auto"/>
      </w:divBdr>
    </w:div>
    <w:div w:id="728265358">
      <w:bodyDiv w:val="1"/>
      <w:marLeft w:val="0"/>
      <w:marRight w:val="0"/>
      <w:marTop w:val="0"/>
      <w:marBottom w:val="0"/>
      <w:divBdr>
        <w:top w:val="none" w:sz="0" w:space="0" w:color="auto"/>
        <w:left w:val="none" w:sz="0" w:space="0" w:color="auto"/>
        <w:bottom w:val="none" w:sz="0" w:space="0" w:color="auto"/>
        <w:right w:val="none" w:sz="0" w:space="0" w:color="auto"/>
      </w:divBdr>
    </w:div>
    <w:div w:id="757557243">
      <w:bodyDiv w:val="1"/>
      <w:marLeft w:val="0"/>
      <w:marRight w:val="0"/>
      <w:marTop w:val="0"/>
      <w:marBottom w:val="0"/>
      <w:divBdr>
        <w:top w:val="none" w:sz="0" w:space="0" w:color="auto"/>
        <w:left w:val="none" w:sz="0" w:space="0" w:color="auto"/>
        <w:bottom w:val="none" w:sz="0" w:space="0" w:color="auto"/>
        <w:right w:val="none" w:sz="0" w:space="0" w:color="auto"/>
      </w:divBdr>
    </w:div>
    <w:div w:id="778331781">
      <w:bodyDiv w:val="1"/>
      <w:marLeft w:val="0"/>
      <w:marRight w:val="0"/>
      <w:marTop w:val="0"/>
      <w:marBottom w:val="0"/>
      <w:divBdr>
        <w:top w:val="none" w:sz="0" w:space="0" w:color="auto"/>
        <w:left w:val="none" w:sz="0" w:space="0" w:color="auto"/>
        <w:bottom w:val="none" w:sz="0" w:space="0" w:color="auto"/>
        <w:right w:val="none" w:sz="0" w:space="0" w:color="auto"/>
      </w:divBdr>
    </w:div>
    <w:div w:id="782647137">
      <w:bodyDiv w:val="1"/>
      <w:marLeft w:val="0"/>
      <w:marRight w:val="0"/>
      <w:marTop w:val="0"/>
      <w:marBottom w:val="0"/>
      <w:divBdr>
        <w:top w:val="none" w:sz="0" w:space="0" w:color="auto"/>
        <w:left w:val="none" w:sz="0" w:space="0" w:color="auto"/>
        <w:bottom w:val="none" w:sz="0" w:space="0" w:color="auto"/>
        <w:right w:val="none" w:sz="0" w:space="0" w:color="auto"/>
      </w:divBdr>
    </w:div>
    <w:div w:id="811748323">
      <w:bodyDiv w:val="1"/>
      <w:marLeft w:val="0"/>
      <w:marRight w:val="0"/>
      <w:marTop w:val="0"/>
      <w:marBottom w:val="0"/>
      <w:divBdr>
        <w:top w:val="none" w:sz="0" w:space="0" w:color="auto"/>
        <w:left w:val="none" w:sz="0" w:space="0" w:color="auto"/>
        <w:bottom w:val="none" w:sz="0" w:space="0" w:color="auto"/>
        <w:right w:val="none" w:sz="0" w:space="0" w:color="auto"/>
      </w:divBdr>
    </w:div>
    <w:div w:id="868103681">
      <w:bodyDiv w:val="1"/>
      <w:marLeft w:val="0"/>
      <w:marRight w:val="0"/>
      <w:marTop w:val="0"/>
      <w:marBottom w:val="0"/>
      <w:divBdr>
        <w:top w:val="none" w:sz="0" w:space="0" w:color="auto"/>
        <w:left w:val="none" w:sz="0" w:space="0" w:color="auto"/>
        <w:bottom w:val="none" w:sz="0" w:space="0" w:color="auto"/>
        <w:right w:val="none" w:sz="0" w:space="0" w:color="auto"/>
      </w:divBdr>
    </w:div>
    <w:div w:id="876360166">
      <w:bodyDiv w:val="1"/>
      <w:marLeft w:val="0"/>
      <w:marRight w:val="0"/>
      <w:marTop w:val="0"/>
      <w:marBottom w:val="0"/>
      <w:divBdr>
        <w:top w:val="none" w:sz="0" w:space="0" w:color="auto"/>
        <w:left w:val="none" w:sz="0" w:space="0" w:color="auto"/>
        <w:bottom w:val="none" w:sz="0" w:space="0" w:color="auto"/>
        <w:right w:val="none" w:sz="0" w:space="0" w:color="auto"/>
      </w:divBdr>
    </w:div>
    <w:div w:id="891577531">
      <w:bodyDiv w:val="1"/>
      <w:marLeft w:val="0"/>
      <w:marRight w:val="0"/>
      <w:marTop w:val="0"/>
      <w:marBottom w:val="0"/>
      <w:divBdr>
        <w:top w:val="none" w:sz="0" w:space="0" w:color="auto"/>
        <w:left w:val="none" w:sz="0" w:space="0" w:color="auto"/>
        <w:bottom w:val="none" w:sz="0" w:space="0" w:color="auto"/>
        <w:right w:val="none" w:sz="0" w:space="0" w:color="auto"/>
      </w:divBdr>
    </w:div>
    <w:div w:id="893003508">
      <w:bodyDiv w:val="1"/>
      <w:marLeft w:val="0"/>
      <w:marRight w:val="0"/>
      <w:marTop w:val="0"/>
      <w:marBottom w:val="0"/>
      <w:divBdr>
        <w:top w:val="none" w:sz="0" w:space="0" w:color="auto"/>
        <w:left w:val="none" w:sz="0" w:space="0" w:color="auto"/>
        <w:bottom w:val="none" w:sz="0" w:space="0" w:color="auto"/>
        <w:right w:val="none" w:sz="0" w:space="0" w:color="auto"/>
      </w:divBdr>
    </w:div>
    <w:div w:id="922758869">
      <w:bodyDiv w:val="1"/>
      <w:marLeft w:val="0"/>
      <w:marRight w:val="0"/>
      <w:marTop w:val="0"/>
      <w:marBottom w:val="0"/>
      <w:divBdr>
        <w:top w:val="none" w:sz="0" w:space="0" w:color="auto"/>
        <w:left w:val="none" w:sz="0" w:space="0" w:color="auto"/>
        <w:bottom w:val="none" w:sz="0" w:space="0" w:color="auto"/>
        <w:right w:val="none" w:sz="0" w:space="0" w:color="auto"/>
      </w:divBdr>
    </w:div>
    <w:div w:id="960957109">
      <w:bodyDiv w:val="1"/>
      <w:marLeft w:val="0"/>
      <w:marRight w:val="0"/>
      <w:marTop w:val="0"/>
      <w:marBottom w:val="0"/>
      <w:divBdr>
        <w:top w:val="none" w:sz="0" w:space="0" w:color="auto"/>
        <w:left w:val="none" w:sz="0" w:space="0" w:color="auto"/>
        <w:bottom w:val="none" w:sz="0" w:space="0" w:color="auto"/>
        <w:right w:val="none" w:sz="0" w:space="0" w:color="auto"/>
      </w:divBdr>
    </w:div>
    <w:div w:id="988628479">
      <w:bodyDiv w:val="1"/>
      <w:marLeft w:val="0"/>
      <w:marRight w:val="0"/>
      <w:marTop w:val="0"/>
      <w:marBottom w:val="0"/>
      <w:divBdr>
        <w:top w:val="none" w:sz="0" w:space="0" w:color="auto"/>
        <w:left w:val="none" w:sz="0" w:space="0" w:color="auto"/>
        <w:bottom w:val="none" w:sz="0" w:space="0" w:color="auto"/>
        <w:right w:val="none" w:sz="0" w:space="0" w:color="auto"/>
      </w:divBdr>
    </w:div>
    <w:div w:id="991981566">
      <w:bodyDiv w:val="1"/>
      <w:marLeft w:val="0"/>
      <w:marRight w:val="0"/>
      <w:marTop w:val="0"/>
      <w:marBottom w:val="0"/>
      <w:divBdr>
        <w:top w:val="none" w:sz="0" w:space="0" w:color="auto"/>
        <w:left w:val="none" w:sz="0" w:space="0" w:color="auto"/>
        <w:bottom w:val="none" w:sz="0" w:space="0" w:color="auto"/>
        <w:right w:val="none" w:sz="0" w:space="0" w:color="auto"/>
      </w:divBdr>
    </w:div>
    <w:div w:id="1066152047">
      <w:bodyDiv w:val="1"/>
      <w:marLeft w:val="0"/>
      <w:marRight w:val="0"/>
      <w:marTop w:val="0"/>
      <w:marBottom w:val="0"/>
      <w:divBdr>
        <w:top w:val="none" w:sz="0" w:space="0" w:color="auto"/>
        <w:left w:val="none" w:sz="0" w:space="0" w:color="auto"/>
        <w:bottom w:val="none" w:sz="0" w:space="0" w:color="auto"/>
        <w:right w:val="none" w:sz="0" w:space="0" w:color="auto"/>
      </w:divBdr>
    </w:div>
    <w:div w:id="1072699491">
      <w:bodyDiv w:val="1"/>
      <w:marLeft w:val="0"/>
      <w:marRight w:val="0"/>
      <w:marTop w:val="0"/>
      <w:marBottom w:val="0"/>
      <w:divBdr>
        <w:top w:val="none" w:sz="0" w:space="0" w:color="auto"/>
        <w:left w:val="none" w:sz="0" w:space="0" w:color="auto"/>
        <w:bottom w:val="none" w:sz="0" w:space="0" w:color="auto"/>
        <w:right w:val="none" w:sz="0" w:space="0" w:color="auto"/>
      </w:divBdr>
    </w:div>
    <w:div w:id="1095437331">
      <w:bodyDiv w:val="1"/>
      <w:marLeft w:val="0"/>
      <w:marRight w:val="0"/>
      <w:marTop w:val="0"/>
      <w:marBottom w:val="0"/>
      <w:divBdr>
        <w:top w:val="none" w:sz="0" w:space="0" w:color="auto"/>
        <w:left w:val="none" w:sz="0" w:space="0" w:color="auto"/>
        <w:bottom w:val="none" w:sz="0" w:space="0" w:color="auto"/>
        <w:right w:val="none" w:sz="0" w:space="0" w:color="auto"/>
      </w:divBdr>
    </w:div>
    <w:div w:id="1132938546">
      <w:bodyDiv w:val="1"/>
      <w:marLeft w:val="0"/>
      <w:marRight w:val="0"/>
      <w:marTop w:val="0"/>
      <w:marBottom w:val="0"/>
      <w:divBdr>
        <w:top w:val="none" w:sz="0" w:space="0" w:color="auto"/>
        <w:left w:val="none" w:sz="0" w:space="0" w:color="auto"/>
        <w:bottom w:val="none" w:sz="0" w:space="0" w:color="auto"/>
        <w:right w:val="none" w:sz="0" w:space="0" w:color="auto"/>
      </w:divBdr>
    </w:div>
    <w:div w:id="1171681676">
      <w:bodyDiv w:val="1"/>
      <w:marLeft w:val="0"/>
      <w:marRight w:val="0"/>
      <w:marTop w:val="0"/>
      <w:marBottom w:val="0"/>
      <w:divBdr>
        <w:top w:val="none" w:sz="0" w:space="0" w:color="auto"/>
        <w:left w:val="none" w:sz="0" w:space="0" w:color="auto"/>
        <w:bottom w:val="none" w:sz="0" w:space="0" w:color="auto"/>
        <w:right w:val="none" w:sz="0" w:space="0" w:color="auto"/>
      </w:divBdr>
    </w:div>
    <w:div w:id="1181163838">
      <w:bodyDiv w:val="1"/>
      <w:marLeft w:val="0"/>
      <w:marRight w:val="0"/>
      <w:marTop w:val="0"/>
      <w:marBottom w:val="0"/>
      <w:divBdr>
        <w:top w:val="none" w:sz="0" w:space="0" w:color="auto"/>
        <w:left w:val="none" w:sz="0" w:space="0" w:color="auto"/>
        <w:bottom w:val="none" w:sz="0" w:space="0" w:color="auto"/>
        <w:right w:val="none" w:sz="0" w:space="0" w:color="auto"/>
      </w:divBdr>
    </w:div>
    <w:div w:id="1219783187">
      <w:bodyDiv w:val="1"/>
      <w:marLeft w:val="0"/>
      <w:marRight w:val="0"/>
      <w:marTop w:val="0"/>
      <w:marBottom w:val="0"/>
      <w:divBdr>
        <w:top w:val="none" w:sz="0" w:space="0" w:color="auto"/>
        <w:left w:val="none" w:sz="0" w:space="0" w:color="auto"/>
        <w:bottom w:val="none" w:sz="0" w:space="0" w:color="auto"/>
        <w:right w:val="none" w:sz="0" w:space="0" w:color="auto"/>
      </w:divBdr>
    </w:div>
    <w:div w:id="1240552753">
      <w:bodyDiv w:val="1"/>
      <w:marLeft w:val="0"/>
      <w:marRight w:val="0"/>
      <w:marTop w:val="0"/>
      <w:marBottom w:val="0"/>
      <w:divBdr>
        <w:top w:val="none" w:sz="0" w:space="0" w:color="auto"/>
        <w:left w:val="none" w:sz="0" w:space="0" w:color="auto"/>
        <w:bottom w:val="none" w:sz="0" w:space="0" w:color="auto"/>
        <w:right w:val="none" w:sz="0" w:space="0" w:color="auto"/>
      </w:divBdr>
    </w:div>
    <w:div w:id="1263994604">
      <w:bodyDiv w:val="1"/>
      <w:marLeft w:val="0"/>
      <w:marRight w:val="0"/>
      <w:marTop w:val="0"/>
      <w:marBottom w:val="0"/>
      <w:divBdr>
        <w:top w:val="none" w:sz="0" w:space="0" w:color="auto"/>
        <w:left w:val="none" w:sz="0" w:space="0" w:color="auto"/>
        <w:bottom w:val="none" w:sz="0" w:space="0" w:color="auto"/>
        <w:right w:val="none" w:sz="0" w:space="0" w:color="auto"/>
      </w:divBdr>
    </w:div>
    <w:div w:id="1273241122">
      <w:bodyDiv w:val="1"/>
      <w:marLeft w:val="0"/>
      <w:marRight w:val="0"/>
      <w:marTop w:val="0"/>
      <w:marBottom w:val="0"/>
      <w:divBdr>
        <w:top w:val="none" w:sz="0" w:space="0" w:color="auto"/>
        <w:left w:val="none" w:sz="0" w:space="0" w:color="auto"/>
        <w:bottom w:val="none" w:sz="0" w:space="0" w:color="auto"/>
        <w:right w:val="none" w:sz="0" w:space="0" w:color="auto"/>
      </w:divBdr>
    </w:div>
    <w:div w:id="1277906331">
      <w:bodyDiv w:val="1"/>
      <w:marLeft w:val="0"/>
      <w:marRight w:val="0"/>
      <w:marTop w:val="0"/>
      <w:marBottom w:val="0"/>
      <w:divBdr>
        <w:top w:val="none" w:sz="0" w:space="0" w:color="auto"/>
        <w:left w:val="none" w:sz="0" w:space="0" w:color="auto"/>
        <w:bottom w:val="none" w:sz="0" w:space="0" w:color="auto"/>
        <w:right w:val="none" w:sz="0" w:space="0" w:color="auto"/>
      </w:divBdr>
    </w:div>
    <w:div w:id="1306086370">
      <w:bodyDiv w:val="1"/>
      <w:marLeft w:val="0"/>
      <w:marRight w:val="0"/>
      <w:marTop w:val="0"/>
      <w:marBottom w:val="0"/>
      <w:divBdr>
        <w:top w:val="none" w:sz="0" w:space="0" w:color="auto"/>
        <w:left w:val="none" w:sz="0" w:space="0" w:color="auto"/>
        <w:bottom w:val="none" w:sz="0" w:space="0" w:color="auto"/>
        <w:right w:val="none" w:sz="0" w:space="0" w:color="auto"/>
      </w:divBdr>
    </w:div>
    <w:div w:id="1446928580">
      <w:bodyDiv w:val="1"/>
      <w:marLeft w:val="0"/>
      <w:marRight w:val="0"/>
      <w:marTop w:val="0"/>
      <w:marBottom w:val="0"/>
      <w:divBdr>
        <w:top w:val="none" w:sz="0" w:space="0" w:color="auto"/>
        <w:left w:val="none" w:sz="0" w:space="0" w:color="auto"/>
        <w:bottom w:val="none" w:sz="0" w:space="0" w:color="auto"/>
        <w:right w:val="none" w:sz="0" w:space="0" w:color="auto"/>
      </w:divBdr>
    </w:div>
    <w:div w:id="1492989200">
      <w:bodyDiv w:val="1"/>
      <w:marLeft w:val="0"/>
      <w:marRight w:val="0"/>
      <w:marTop w:val="0"/>
      <w:marBottom w:val="0"/>
      <w:divBdr>
        <w:top w:val="none" w:sz="0" w:space="0" w:color="auto"/>
        <w:left w:val="none" w:sz="0" w:space="0" w:color="auto"/>
        <w:bottom w:val="none" w:sz="0" w:space="0" w:color="auto"/>
        <w:right w:val="none" w:sz="0" w:space="0" w:color="auto"/>
      </w:divBdr>
    </w:div>
    <w:div w:id="1493520114">
      <w:bodyDiv w:val="1"/>
      <w:marLeft w:val="0"/>
      <w:marRight w:val="0"/>
      <w:marTop w:val="0"/>
      <w:marBottom w:val="0"/>
      <w:divBdr>
        <w:top w:val="none" w:sz="0" w:space="0" w:color="auto"/>
        <w:left w:val="none" w:sz="0" w:space="0" w:color="auto"/>
        <w:bottom w:val="none" w:sz="0" w:space="0" w:color="auto"/>
        <w:right w:val="none" w:sz="0" w:space="0" w:color="auto"/>
      </w:divBdr>
    </w:div>
    <w:div w:id="1645548920">
      <w:bodyDiv w:val="1"/>
      <w:marLeft w:val="0"/>
      <w:marRight w:val="0"/>
      <w:marTop w:val="0"/>
      <w:marBottom w:val="0"/>
      <w:divBdr>
        <w:top w:val="none" w:sz="0" w:space="0" w:color="auto"/>
        <w:left w:val="none" w:sz="0" w:space="0" w:color="auto"/>
        <w:bottom w:val="none" w:sz="0" w:space="0" w:color="auto"/>
        <w:right w:val="none" w:sz="0" w:space="0" w:color="auto"/>
      </w:divBdr>
    </w:div>
    <w:div w:id="1656103332">
      <w:bodyDiv w:val="1"/>
      <w:marLeft w:val="0"/>
      <w:marRight w:val="0"/>
      <w:marTop w:val="0"/>
      <w:marBottom w:val="0"/>
      <w:divBdr>
        <w:top w:val="none" w:sz="0" w:space="0" w:color="auto"/>
        <w:left w:val="none" w:sz="0" w:space="0" w:color="auto"/>
        <w:bottom w:val="none" w:sz="0" w:space="0" w:color="auto"/>
        <w:right w:val="none" w:sz="0" w:space="0" w:color="auto"/>
      </w:divBdr>
    </w:div>
    <w:div w:id="1689016663">
      <w:bodyDiv w:val="1"/>
      <w:marLeft w:val="0"/>
      <w:marRight w:val="0"/>
      <w:marTop w:val="0"/>
      <w:marBottom w:val="0"/>
      <w:divBdr>
        <w:top w:val="none" w:sz="0" w:space="0" w:color="auto"/>
        <w:left w:val="none" w:sz="0" w:space="0" w:color="auto"/>
        <w:bottom w:val="none" w:sz="0" w:space="0" w:color="auto"/>
        <w:right w:val="none" w:sz="0" w:space="0" w:color="auto"/>
      </w:divBdr>
    </w:div>
    <w:div w:id="1695963412">
      <w:bodyDiv w:val="1"/>
      <w:marLeft w:val="0"/>
      <w:marRight w:val="0"/>
      <w:marTop w:val="0"/>
      <w:marBottom w:val="0"/>
      <w:divBdr>
        <w:top w:val="none" w:sz="0" w:space="0" w:color="auto"/>
        <w:left w:val="none" w:sz="0" w:space="0" w:color="auto"/>
        <w:bottom w:val="none" w:sz="0" w:space="0" w:color="auto"/>
        <w:right w:val="none" w:sz="0" w:space="0" w:color="auto"/>
      </w:divBdr>
    </w:div>
    <w:div w:id="1716538297">
      <w:bodyDiv w:val="1"/>
      <w:marLeft w:val="0"/>
      <w:marRight w:val="0"/>
      <w:marTop w:val="0"/>
      <w:marBottom w:val="0"/>
      <w:divBdr>
        <w:top w:val="none" w:sz="0" w:space="0" w:color="auto"/>
        <w:left w:val="none" w:sz="0" w:space="0" w:color="auto"/>
        <w:bottom w:val="none" w:sz="0" w:space="0" w:color="auto"/>
        <w:right w:val="none" w:sz="0" w:space="0" w:color="auto"/>
      </w:divBdr>
    </w:div>
    <w:div w:id="1729723781">
      <w:bodyDiv w:val="1"/>
      <w:marLeft w:val="0"/>
      <w:marRight w:val="0"/>
      <w:marTop w:val="0"/>
      <w:marBottom w:val="0"/>
      <w:divBdr>
        <w:top w:val="none" w:sz="0" w:space="0" w:color="auto"/>
        <w:left w:val="none" w:sz="0" w:space="0" w:color="auto"/>
        <w:bottom w:val="none" w:sz="0" w:space="0" w:color="auto"/>
        <w:right w:val="none" w:sz="0" w:space="0" w:color="auto"/>
      </w:divBdr>
    </w:div>
    <w:div w:id="1749694643">
      <w:bodyDiv w:val="1"/>
      <w:marLeft w:val="0"/>
      <w:marRight w:val="0"/>
      <w:marTop w:val="0"/>
      <w:marBottom w:val="0"/>
      <w:divBdr>
        <w:top w:val="none" w:sz="0" w:space="0" w:color="auto"/>
        <w:left w:val="none" w:sz="0" w:space="0" w:color="auto"/>
        <w:bottom w:val="none" w:sz="0" w:space="0" w:color="auto"/>
        <w:right w:val="none" w:sz="0" w:space="0" w:color="auto"/>
      </w:divBdr>
    </w:div>
    <w:div w:id="1750882940">
      <w:bodyDiv w:val="1"/>
      <w:marLeft w:val="0"/>
      <w:marRight w:val="0"/>
      <w:marTop w:val="0"/>
      <w:marBottom w:val="0"/>
      <w:divBdr>
        <w:top w:val="none" w:sz="0" w:space="0" w:color="auto"/>
        <w:left w:val="none" w:sz="0" w:space="0" w:color="auto"/>
        <w:bottom w:val="none" w:sz="0" w:space="0" w:color="auto"/>
        <w:right w:val="none" w:sz="0" w:space="0" w:color="auto"/>
      </w:divBdr>
    </w:div>
    <w:div w:id="1787771899">
      <w:bodyDiv w:val="1"/>
      <w:marLeft w:val="0"/>
      <w:marRight w:val="0"/>
      <w:marTop w:val="0"/>
      <w:marBottom w:val="0"/>
      <w:divBdr>
        <w:top w:val="none" w:sz="0" w:space="0" w:color="auto"/>
        <w:left w:val="none" w:sz="0" w:space="0" w:color="auto"/>
        <w:bottom w:val="none" w:sz="0" w:space="0" w:color="auto"/>
        <w:right w:val="none" w:sz="0" w:space="0" w:color="auto"/>
      </w:divBdr>
    </w:div>
    <w:div w:id="1819875838">
      <w:bodyDiv w:val="1"/>
      <w:marLeft w:val="0"/>
      <w:marRight w:val="0"/>
      <w:marTop w:val="0"/>
      <w:marBottom w:val="0"/>
      <w:divBdr>
        <w:top w:val="none" w:sz="0" w:space="0" w:color="auto"/>
        <w:left w:val="none" w:sz="0" w:space="0" w:color="auto"/>
        <w:bottom w:val="none" w:sz="0" w:space="0" w:color="auto"/>
        <w:right w:val="none" w:sz="0" w:space="0" w:color="auto"/>
      </w:divBdr>
    </w:div>
    <w:div w:id="1919752881">
      <w:bodyDiv w:val="1"/>
      <w:marLeft w:val="0"/>
      <w:marRight w:val="0"/>
      <w:marTop w:val="0"/>
      <w:marBottom w:val="0"/>
      <w:divBdr>
        <w:top w:val="none" w:sz="0" w:space="0" w:color="auto"/>
        <w:left w:val="none" w:sz="0" w:space="0" w:color="auto"/>
        <w:bottom w:val="none" w:sz="0" w:space="0" w:color="auto"/>
        <w:right w:val="none" w:sz="0" w:space="0" w:color="auto"/>
      </w:divBdr>
    </w:div>
    <w:div w:id="1964118851">
      <w:bodyDiv w:val="1"/>
      <w:marLeft w:val="0"/>
      <w:marRight w:val="0"/>
      <w:marTop w:val="0"/>
      <w:marBottom w:val="0"/>
      <w:divBdr>
        <w:top w:val="none" w:sz="0" w:space="0" w:color="auto"/>
        <w:left w:val="none" w:sz="0" w:space="0" w:color="auto"/>
        <w:bottom w:val="none" w:sz="0" w:space="0" w:color="auto"/>
        <w:right w:val="none" w:sz="0" w:space="0" w:color="auto"/>
      </w:divBdr>
    </w:div>
    <w:div w:id="2006391702">
      <w:bodyDiv w:val="1"/>
      <w:marLeft w:val="0"/>
      <w:marRight w:val="0"/>
      <w:marTop w:val="0"/>
      <w:marBottom w:val="0"/>
      <w:divBdr>
        <w:top w:val="none" w:sz="0" w:space="0" w:color="auto"/>
        <w:left w:val="none" w:sz="0" w:space="0" w:color="auto"/>
        <w:bottom w:val="none" w:sz="0" w:space="0" w:color="auto"/>
        <w:right w:val="none" w:sz="0" w:space="0" w:color="auto"/>
      </w:divBdr>
    </w:div>
    <w:div w:id="2011063145">
      <w:bodyDiv w:val="1"/>
      <w:marLeft w:val="0"/>
      <w:marRight w:val="0"/>
      <w:marTop w:val="0"/>
      <w:marBottom w:val="0"/>
      <w:divBdr>
        <w:top w:val="none" w:sz="0" w:space="0" w:color="auto"/>
        <w:left w:val="none" w:sz="0" w:space="0" w:color="auto"/>
        <w:bottom w:val="none" w:sz="0" w:space="0" w:color="auto"/>
        <w:right w:val="none" w:sz="0" w:space="0" w:color="auto"/>
      </w:divBdr>
    </w:div>
    <w:div w:id="2026319819">
      <w:bodyDiv w:val="1"/>
      <w:marLeft w:val="0"/>
      <w:marRight w:val="0"/>
      <w:marTop w:val="0"/>
      <w:marBottom w:val="0"/>
      <w:divBdr>
        <w:top w:val="none" w:sz="0" w:space="0" w:color="auto"/>
        <w:left w:val="none" w:sz="0" w:space="0" w:color="auto"/>
        <w:bottom w:val="none" w:sz="0" w:space="0" w:color="auto"/>
        <w:right w:val="none" w:sz="0" w:space="0" w:color="auto"/>
      </w:divBdr>
    </w:div>
    <w:div w:id="2060006099">
      <w:bodyDiv w:val="1"/>
      <w:marLeft w:val="0"/>
      <w:marRight w:val="0"/>
      <w:marTop w:val="0"/>
      <w:marBottom w:val="0"/>
      <w:divBdr>
        <w:top w:val="none" w:sz="0" w:space="0" w:color="auto"/>
        <w:left w:val="none" w:sz="0" w:space="0" w:color="auto"/>
        <w:bottom w:val="none" w:sz="0" w:space="0" w:color="auto"/>
        <w:right w:val="none" w:sz="0" w:space="0" w:color="auto"/>
      </w:divBdr>
    </w:div>
    <w:div w:id="207272632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17" Type="http://schemas.openxmlformats.org/officeDocument/2006/relationships/image" Target="media/image47.png"/><Relationship Id="rId21" Type="http://schemas.openxmlformats.org/officeDocument/2006/relationships/header" Target="header4.xml"/><Relationship Id="rId42" Type="http://schemas.openxmlformats.org/officeDocument/2006/relationships/image" Target="media/image6.png"/><Relationship Id="rId63" Type="http://schemas.openxmlformats.org/officeDocument/2006/relationships/header" Target="header17.xml"/><Relationship Id="rId84" Type="http://schemas.openxmlformats.org/officeDocument/2006/relationships/image" Target="media/image34.emf"/><Relationship Id="rId16" Type="http://schemas.openxmlformats.org/officeDocument/2006/relationships/header" Target="header2.xml"/><Relationship Id="rId107" Type="http://schemas.openxmlformats.org/officeDocument/2006/relationships/image" Target="media/image39.emf"/><Relationship Id="rId11" Type="http://schemas.openxmlformats.org/officeDocument/2006/relationships/webSettings" Target="webSettings.xml"/><Relationship Id="rId32" Type="http://schemas.openxmlformats.org/officeDocument/2006/relationships/footer" Target="footer9.xml"/><Relationship Id="rId37" Type="http://schemas.openxmlformats.org/officeDocument/2006/relationships/header" Target="header12.xml"/><Relationship Id="rId53" Type="http://schemas.openxmlformats.org/officeDocument/2006/relationships/image" Target="media/image15.emf"/><Relationship Id="rId58" Type="http://schemas.openxmlformats.org/officeDocument/2006/relationships/footer" Target="footer14.xml"/><Relationship Id="rId74" Type="http://schemas.openxmlformats.org/officeDocument/2006/relationships/image" Target="media/image24.emf"/><Relationship Id="rId79" Type="http://schemas.openxmlformats.org/officeDocument/2006/relationships/image" Target="media/image29.emf"/><Relationship Id="rId102" Type="http://schemas.openxmlformats.org/officeDocument/2006/relationships/footer" Target="footer26.xml"/><Relationship Id="rId123" Type="http://schemas.openxmlformats.org/officeDocument/2006/relationships/image" Target="media/image53.png"/><Relationship Id="rId128" Type="http://schemas.openxmlformats.org/officeDocument/2006/relationships/image" Target="media/image58.png"/><Relationship Id="rId5" Type="http://schemas.openxmlformats.org/officeDocument/2006/relationships/customXml" Target="../customXml/item5.xml"/><Relationship Id="rId90" Type="http://schemas.openxmlformats.org/officeDocument/2006/relationships/footer" Target="footer20.xml"/><Relationship Id="rId95" Type="http://schemas.openxmlformats.org/officeDocument/2006/relationships/footer" Target="footer22.xml"/><Relationship Id="rId22" Type="http://schemas.openxmlformats.org/officeDocument/2006/relationships/header" Target="header5.xml"/><Relationship Id="rId27" Type="http://schemas.openxmlformats.org/officeDocument/2006/relationships/header" Target="header7.xml"/><Relationship Id="rId43" Type="http://schemas.openxmlformats.org/officeDocument/2006/relationships/image" Target="media/image7.png"/><Relationship Id="rId48" Type="http://schemas.microsoft.com/office/2007/relationships/hdphoto" Target="media/hdphoto2.wdp"/><Relationship Id="rId64" Type="http://schemas.openxmlformats.org/officeDocument/2006/relationships/footer" Target="footer16.xml"/><Relationship Id="rId69" Type="http://schemas.openxmlformats.org/officeDocument/2006/relationships/image" Target="media/image19.emf"/><Relationship Id="rId113" Type="http://schemas.openxmlformats.org/officeDocument/2006/relationships/image" Target="media/image43.png"/><Relationship Id="rId118" Type="http://schemas.openxmlformats.org/officeDocument/2006/relationships/image" Target="media/image48.png"/><Relationship Id="rId134" Type="http://schemas.openxmlformats.org/officeDocument/2006/relationships/header" Target="header30.xml"/><Relationship Id="rId80" Type="http://schemas.openxmlformats.org/officeDocument/2006/relationships/image" Target="media/image30.emf"/><Relationship Id="rId85" Type="http://schemas.openxmlformats.org/officeDocument/2006/relationships/image" Target="media/image35.emf"/><Relationship Id="rId12" Type="http://schemas.openxmlformats.org/officeDocument/2006/relationships/footnotes" Target="footnotes.xml"/><Relationship Id="rId17" Type="http://schemas.openxmlformats.org/officeDocument/2006/relationships/footer" Target="footer1.xml"/><Relationship Id="rId33" Type="http://schemas.openxmlformats.org/officeDocument/2006/relationships/header" Target="header10.xml"/><Relationship Id="rId38" Type="http://schemas.openxmlformats.org/officeDocument/2006/relationships/footer" Target="footer12.xml"/><Relationship Id="rId59" Type="http://schemas.openxmlformats.org/officeDocument/2006/relationships/header" Target="header15.xml"/><Relationship Id="rId103" Type="http://schemas.openxmlformats.org/officeDocument/2006/relationships/header" Target="header27.xml"/><Relationship Id="rId108" Type="http://schemas.openxmlformats.org/officeDocument/2006/relationships/hyperlink" Target="https://ec.europa.eu/economy_finance/recovery-and-resilience-scoreboard/index.html?lang=en" TargetMode="External"/><Relationship Id="rId124" Type="http://schemas.openxmlformats.org/officeDocument/2006/relationships/image" Target="media/image54.png"/><Relationship Id="rId129" Type="http://schemas.openxmlformats.org/officeDocument/2006/relationships/image" Target="media/image59.png"/><Relationship Id="rId54" Type="http://schemas.openxmlformats.org/officeDocument/2006/relationships/image" Target="media/image16.emf"/><Relationship Id="rId70" Type="http://schemas.openxmlformats.org/officeDocument/2006/relationships/image" Target="media/image20.emf"/><Relationship Id="rId75" Type="http://schemas.openxmlformats.org/officeDocument/2006/relationships/image" Target="media/image25.emf"/><Relationship Id="rId91" Type="http://schemas.openxmlformats.org/officeDocument/2006/relationships/header" Target="header21.xml"/><Relationship Id="rId96" Type="http://schemas.openxmlformats.org/officeDocument/2006/relationships/footer" Target="footer23.xml"/><Relationship Id="rId1" Type="http://schemas.openxmlformats.org/officeDocument/2006/relationships/customXml" Target="../customXml/item1.xml"/><Relationship Id="rId6" Type="http://schemas.openxmlformats.org/officeDocument/2006/relationships/customXml" Target="../customXml/item6.xml"/><Relationship Id="rId23" Type="http://schemas.openxmlformats.org/officeDocument/2006/relationships/footer" Target="footer4.xml"/><Relationship Id="rId28" Type="http://schemas.openxmlformats.org/officeDocument/2006/relationships/header" Target="header8.xml"/><Relationship Id="rId49" Type="http://schemas.openxmlformats.org/officeDocument/2006/relationships/image" Target="media/image11.emf"/><Relationship Id="rId114" Type="http://schemas.openxmlformats.org/officeDocument/2006/relationships/image" Target="media/image44.png"/><Relationship Id="rId119" Type="http://schemas.openxmlformats.org/officeDocument/2006/relationships/image" Target="media/image49.png"/><Relationship Id="rId44" Type="http://schemas.microsoft.com/office/2007/relationships/hdphoto" Target="media/hdphoto1.wdp"/><Relationship Id="rId60" Type="http://schemas.openxmlformats.org/officeDocument/2006/relationships/footer" Target="footer15.xml"/><Relationship Id="rId65" Type="http://schemas.openxmlformats.org/officeDocument/2006/relationships/footer" Target="footer17.xml"/><Relationship Id="rId81" Type="http://schemas.openxmlformats.org/officeDocument/2006/relationships/image" Target="media/image31.emf"/><Relationship Id="rId86" Type="http://schemas.openxmlformats.org/officeDocument/2006/relationships/image" Target="media/image36.emf"/><Relationship Id="rId130" Type="http://schemas.openxmlformats.org/officeDocument/2006/relationships/header" Target="header28.xml"/><Relationship Id="rId135" Type="http://schemas.openxmlformats.org/officeDocument/2006/relationships/footer" Target="footer30.xml"/><Relationship Id="rId13" Type="http://schemas.openxmlformats.org/officeDocument/2006/relationships/endnotes" Target="endnotes.xml"/><Relationship Id="rId18" Type="http://schemas.openxmlformats.org/officeDocument/2006/relationships/footer" Target="footer2.xml"/><Relationship Id="rId39" Type="http://schemas.openxmlformats.org/officeDocument/2006/relationships/image" Target="media/image3.png"/><Relationship Id="rId109" Type="http://schemas.openxmlformats.org/officeDocument/2006/relationships/hyperlink" Target="https://ec.europa.eu/economy_finance/recovery-and-resilience-scoreboard/index.html" TargetMode="External"/><Relationship Id="rId34" Type="http://schemas.openxmlformats.org/officeDocument/2006/relationships/header" Target="header11.xml"/><Relationship Id="rId50" Type="http://schemas.openxmlformats.org/officeDocument/2006/relationships/image" Target="media/image12.emf"/><Relationship Id="rId55" Type="http://schemas.openxmlformats.org/officeDocument/2006/relationships/header" Target="header13.xml"/><Relationship Id="rId76" Type="http://schemas.openxmlformats.org/officeDocument/2006/relationships/image" Target="media/image26.emf"/><Relationship Id="rId97" Type="http://schemas.openxmlformats.org/officeDocument/2006/relationships/header" Target="header24.xml"/><Relationship Id="rId104" Type="http://schemas.openxmlformats.org/officeDocument/2006/relationships/footer" Target="footer27.xml"/><Relationship Id="rId120" Type="http://schemas.openxmlformats.org/officeDocument/2006/relationships/image" Target="media/image50.png"/><Relationship Id="rId125" Type="http://schemas.openxmlformats.org/officeDocument/2006/relationships/image" Target="media/image55.png"/><Relationship Id="rId7" Type="http://schemas.openxmlformats.org/officeDocument/2006/relationships/customXml" Target="../customXml/item7.xml"/><Relationship Id="rId71" Type="http://schemas.openxmlformats.org/officeDocument/2006/relationships/image" Target="media/image21.emf"/><Relationship Id="rId92" Type="http://schemas.openxmlformats.org/officeDocument/2006/relationships/footer" Target="footer21.xml"/><Relationship Id="rId2" Type="http://schemas.openxmlformats.org/officeDocument/2006/relationships/customXml" Target="../customXml/item2.xml"/><Relationship Id="rId29" Type="http://schemas.openxmlformats.org/officeDocument/2006/relationships/footer" Target="footer7.xml"/><Relationship Id="rId24" Type="http://schemas.openxmlformats.org/officeDocument/2006/relationships/footer" Target="footer5.xml"/><Relationship Id="rId40" Type="http://schemas.openxmlformats.org/officeDocument/2006/relationships/image" Target="media/image4.png"/><Relationship Id="rId45" Type="http://schemas.openxmlformats.org/officeDocument/2006/relationships/image" Target="media/image8.png"/><Relationship Id="rId66" Type="http://schemas.openxmlformats.org/officeDocument/2006/relationships/header" Target="header18.xml"/><Relationship Id="rId87" Type="http://schemas.openxmlformats.org/officeDocument/2006/relationships/header" Target="header19.xml"/><Relationship Id="rId110" Type="http://schemas.openxmlformats.org/officeDocument/2006/relationships/image" Target="media/image40.emf"/><Relationship Id="rId115" Type="http://schemas.openxmlformats.org/officeDocument/2006/relationships/image" Target="media/image45.png"/><Relationship Id="rId131" Type="http://schemas.openxmlformats.org/officeDocument/2006/relationships/header" Target="header29.xml"/><Relationship Id="rId136" Type="http://schemas.openxmlformats.org/officeDocument/2006/relationships/fontTable" Target="fontTable.xml"/><Relationship Id="rId61" Type="http://schemas.openxmlformats.org/officeDocument/2006/relationships/image" Target="media/image17.emf"/><Relationship Id="rId82" Type="http://schemas.openxmlformats.org/officeDocument/2006/relationships/image" Target="media/image32.emf"/><Relationship Id="rId19" Type="http://schemas.openxmlformats.org/officeDocument/2006/relationships/header" Target="header3.xml"/><Relationship Id="rId14" Type="http://schemas.openxmlformats.org/officeDocument/2006/relationships/image" Target="media/image1.emf"/><Relationship Id="rId30" Type="http://schemas.openxmlformats.org/officeDocument/2006/relationships/footer" Target="footer8.xml"/><Relationship Id="rId35" Type="http://schemas.openxmlformats.org/officeDocument/2006/relationships/footer" Target="footer10.xml"/><Relationship Id="rId56" Type="http://schemas.openxmlformats.org/officeDocument/2006/relationships/header" Target="header14.xml"/><Relationship Id="rId77" Type="http://schemas.openxmlformats.org/officeDocument/2006/relationships/image" Target="media/image27.emf"/><Relationship Id="rId100" Type="http://schemas.openxmlformats.org/officeDocument/2006/relationships/header" Target="header26.xml"/><Relationship Id="rId105" Type="http://schemas.openxmlformats.org/officeDocument/2006/relationships/image" Target="media/image37.emf"/><Relationship Id="rId126" Type="http://schemas.openxmlformats.org/officeDocument/2006/relationships/image" Target="media/image56.png"/><Relationship Id="rId8" Type="http://schemas.openxmlformats.org/officeDocument/2006/relationships/numbering" Target="numbering.xml"/><Relationship Id="rId51" Type="http://schemas.openxmlformats.org/officeDocument/2006/relationships/image" Target="media/image13.emf"/><Relationship Id="rId72" Type="http://schemas.openxmlformats.org/officeDocument/2006/relationships/image" Target="media/image22.png"/><Relationship Id="rId93" Type="http://schemas.openxmlformats.org/officeDocument/2006/relationships/header" Target="header22.xml"/><Relationship Id="rId98" Type="http://schemas.openxmlformats.org/officeDocument/2006/relationships/footer" Target="footer24.xml"/><Relationship Id="rId121" Type="http://schemas.openxmlformats.org/officeDocument/2006/relationships/image" Target="media/image51.png"/><Relationship Id="rId3" Type="http://schemas.openxmlformats.org/officeDocument/2006/relationships/customXml" Target="../customXml/item3.xml"/><Relationship Id="rId25" Type="http://schemas.openxmlformats.org/officeDocument/2006/relationships/header" Target="header6.xml"/><Relationship Id="rId46" Type="http://schemas.openxmlformats.org/officeDocument/2006/relationships/image" Target="media/image9.png"/><Relationship Id="rId67" Type="http://schemas.openxmlformats.org/officeDocument/2006/relationships/footer" Target="footer18.xml"/><Relationship Id="rId116" Type="http://schemas.openxmlformats.org/officeDocument/2006/relationships/image" Target="media/image46.png"/><Relationship Id="rId137" Type="http://schemas.openxmlformats.org/officeDocument/2006/relationships/theme" Target="theme/theme1.xml"/><Relationship Id="rId20" Type="http://schemas.openxmlformats.org/officeDocument/2006/relationships/footer" Target="footer3.xml"/><Relationship Id="rId41" Type="http://schemas.openxmlformats.org/officeDocument/2006/relationships/image" Target="media/image5.png"/><Relationship Id="rId62" Type="http://schemas.openxmlformats.org/officeDocument/2006/relationships/header" Target="header16.xml"/><Relationship Id="rId83" Type="http://schemas.openxmlformats.org/officeDocument/2006/relationships/image" Target="media/image33.emf"/><Relationship Id="rId88" Type="http://schemas.openxmlformats.org/officeDocument/2006/relationships/header" Target="header20.xml"/><Relationship Id="rId111" Type="http://schemas.openxmlformats.org/officeDocument/2006/relationships/image" Target="media/image41.png"/><Relationship Id="rId132" Type="http://schemas.openxmlformats.org/officeDocument/2006/relationships/footer" Target="footer28.xml"/><Relationship Id="rId15" Type="http://schemas.openxmlformats.org/officeDocument/2006/relationships/header" Target="header1.xml"/><Relationship Id="rId36" Type="http://schemas.openxmlformats.org/officeDocument/2006/relationships/footer" Target="footer11.xml"/><Relationship Id="rId57" Type="http://schemas.openxmlformats.org/officeDocument/2006/relationships/footer" Target="footer13.xml"/><Relationship Id="rId106" Type="http://schemas.openxmlformats.org/officeDocument/2006/relationships/image" Target="media/image38.emf"/><Relationship Id="rId127" Type="http://schemas.openxmlformats.org/officeDocument/2006/relationships/image" Target="media/image57.png"/><Relationship Id="rId10" Type="http://schemas.openxmlformats.org/officeDocument/2006/relationships/settings" Target="settings.xml"/><Relationship Id="rId31" Type="http://schemas.openxmlformats.org/officeDocument/2006/relationships/header" Target="header9.xml"/><Relationship Id="rId52" Type="http://schemas.openxmlformats.org/officeDocument/2006/relationships/image" Target="media/image14.emf"/><Relationship Id="rId73" Type="http://schemas.openxmlformats.org/officeDocument/2006/relationships/image" Target="media/image23.emf"/><Relationship Id="rId78" Type="http://schemas.openxmlformats.org/officeDocument/2006/relationships/image" Target="media/image28.emf"/><Relationship Id="rId94" Type="http://schemas.openxmlformats.org/officeDocument/2006/relationships/header" Target="header23.xml"/><Relationship Id="rId99" Type="http://schemas.openxmlformats.org/officeDocument/2006/relationships/header" Target="header25.xml"/><Relationship Id="rId101" Type="http://schemas.openxmlformats.org/officeDocument/2006/relationships/footer" Target="footer25.xml"/><Relationship Id="rId122" Type="http://schemas.openxmlformats.org/officeDocument/2006/relationships/image" Target="media/image52.png"/><Relationship Id="rId4" Type="http://schemas.openxmlformats.org/officeDocument/2006/relationships/customXml" Target="../customXml/item4.xml"/><Relationship Id="rId9" Type="http://schemas.openxmlformats.org/officeDocument/2006/relationships/styles" Target="styles.xml"/><Relationship Id="rId26" Type="http://schemas.openxmlformats.org/officeDocument/2006/relationships/footer" Target="footer6.xml"/><Relationship Id="rId47" Type="http://schemas.openxmlformats.org/officeDocument/2006/relationships/image" Target="media/image10.png"/><Relationship Id="rId68" Type="http://schemas.openxmlformats.org/officeDocument/2006/relationships/image" Target="media/image18.emf"/><Relationship Id="rId89" Type="http://schemas.openxmlformats.org/officeDocument/2006/relationships/footer" Target="footer19.xml"/><Relationship Id="rId112" Type="http://schemas.openxmlformats.org/officeDocument/2006/relationships/image" Target="media/image42.png"/><Relationship Id="rId133" Type="http://schemas.openxmlformats.org/officeDocument/2006/relationships/footer" Target="footer29.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23/2841/oj" TargetMode="External"/><Relationship Id="rId13" Type="http://schemas.openxmlformats.org/officeDocument/2006/relationships/hyperlink" Target="https://commission.europa.eu/publications/2025-rule-law-report-communication-and-country-chapters_en" TargetMode="External"/><Relationship Id="rId18" Type="http://schemas.openxmlformats.org/officeDocument/2006/relationships/hyperlink" Target="https://commission.europa.eu/system/files/2024-01/EN%20Artificial%20Intelligence%20in%20the%20European%20Commission.PDF" TargetMode="External"/><Relationship Id="rId26" Type="http://schemas.openxmlformats.org/officeDocument/2006/relationships/hyperlink" Target="https://reforms-investments.ec.europa.eu/publications-0/guidelines-member-states-operational-aspects-related-final-phase-and-closure-recovery-and-resilience_en" TargetMode="External"/><Relationship Id="rId3" Type="http://schemas.openxmlformats.org/officeDocument/2006/relationships/hyperlink" Target="https://eur-lex.europa.eu/legal-content/EN/ALL/?uri=CELEX:52023DC0405" TargetMode="External"/><Relationship Id="rId21" Type="http://schemas.openxmlformats.org/officeDocument/2006/relationships/hyperlink" Target="https://data.europa.eu/doi/10.2865/7727690" TargetMode="External"/><Relationship Id="rId7" Type="http://schemas.openxmlformats.org/officeDocument/2006/relationships/hyperlink" Target="https://eur-lex.europa.eu/legal-content/EN/TXT/?uri=celex:52025DC0546" TargetMode="External"/><Relationship Id="rId12" Type="http://schemas.openxmlformats.org/officeDocument/2006/relationships/hyperlink" Target="https://eur-lex.europa.eu/legal-content/EN/TXT/?uri=CELEX:52022XC0318(02)" TargetMode="External"/><Relationship Id="rId17" Type="http://schemas.openxmlformats.org/officeDocument/2006/relationships/hyperlink" Target="https://data.europa.eu/doi/10.2865/7727690" TargetMode="External"/><Relationship Id="rId25" Type="http://schemas.openxmlformats.org/officeDocument/2006/relationships/hyperlink" Target="https://data.europa.eu/doi/10.2865/9261783" TargetMode="External"/><Relationship Id="rId2" Type="http://schemas.openxmlformats.org/officeDocument/2006/relationships/hyperlink" Target="http://data.europa.eu/eli/dec/2025/369/oj" TargetMode="External"/><Relationship Id="rId16" Type="http://schemas.openxmlformats.org/officeDocument/2006/relationships/hyperlink" Target="http://data.europa.eu/eli/reg/2024/795/oj" TargetMode="External"/><Relationship Id="rId20" Type="http://schemas.openxmlformats.org/officeDocument/2006/relationships/hyperlink" Target="https://commission.europa.eu/strategy-and-policy/strategy-documents/annual-activity-reports_en" TargetMode="External"/><Relationship Id="rId1" Type="http://schemas.openxmlformats.org/officeDocument/2006/relationships/hyperlink" Target="http://data.europa.eu/eli/reg/2024/2509/oj" TargetMode="External"/><Relationship Id="rId6" Type="http://schemas.openxmlformats.org/officeDocument/2006/relationships/hyperlink" Target="https://anti-fraud.ec.europa.eu/about-us/reports/annual-olaf-reports_en" TargetMode="External"/><Relationship Id="rId11" Type="http://schemas.openxmlformats.org/officeDocument/2006/relationships/hyperlink" Target="https://eur-lex.europa.eu/legal-content/EN/TXT/?uri=CELEX%3A62021CJ0157&amp;qid=1778575036967" TargetMode="External"/><Relationship Id="rId24" Type="http://schemas.openxmlformats.org/officeDocument/2006/relationships/hyperlink" Target="https://eur-lex.europa.eu/legal-content/EN/TXT/?uri=CELEX%3A52025DC0310&amp;qid=1778678792265" TargetMode="External"/><Relationship Id="rId5" Type="http://schemas.openxmlformats.org/officeDocument/2006/relationships/hyperlink" Target="https://eur-lex.europa.eu/legal-content/EN/TXT/?uri=CELEX%3A52025DC0426&amp;qid=1778508410193" TargetMode="External"/><Relationship Id="rId15" Type="http://schemas.openxmlformats.org/officeDocument/2006/relationships/hyperlink" Target="https://eur-lex.europa.eu/legal-content/EN/TXT/?uri=CELEX%3A52025DC0189&amp;qid=1778583080645" TargetMode="External"/><Relationship Id="rId23" Type="http://schemas.openxmlformats.org/officeDocument/2006/relationships/hyperlink" Target="http://data.europa.eu/eli/reg/2021/241/oj" TargetMode="External"/><Relationship Id="rId28" Type="http://schemas.openxmlformats.org/officeDocument/2006/relationships/hyperlink" Target="https://data.europa.eu/doi/10.2865/2297025" TargetMode="External"/><Relationship Id="rId10" Type="http://schemas.openxmlformats.org/officeDocument/2006/relationships/hyperlink" Target="https://eur-lex.europa.eu/legal-content/EN/TXT/?uri=CELEX%3A62021CJ0156&amp;qid=1778574960258" TargetMode="External"/><Relationship Id="rId19" Type="http://schemas.openxmlformats.org/officeDocument/2006/relationships/hyperlink" Target="http://data.europa.eu/eli/reg/2024/1689/oj" TargetMode="External"/><Relationship Id="rId4" Type="http://schemas.openxmlformats.org/officeDocument/2006/relationships/hyperlink" Target="https://eur-lex.europa.eu/legal-content/EN/TXT/?uri=CELEX%3A52023SC0245&amp;qid=1747126601079" TargetMode="External"/><Relationship Id="rId9" Type="http://schemas.openxmlformats.org/officeDocument/2006/relationships/hyperlink" Target="http://data.europa.eu/eli/reg/2020/2092/oj" TargetMode="External"/><Relationship Id="rId14" Type="http://schemas.openxmlformats.org/officeDocument/2006/relationships/hyperlink" Target="https://eur-lex.europa.eu/legal-content/EN/TXT/?uri=CELEX%3A52011PC0811&amp;qid=1747145040788" TargetMode="External"/><Relationship Id="rId22" Type="http://schemas.openxmlformats.org/officeDocument/2006/relationships/hyperlink" Target="https://eur-lex.europa.eu/legal-content/EN/TXT/?uri=CELEX%3A52025PC0545&amp;qid=1778582482205" TargetMode="External"/><Relationship Id="rId27" Type="http://schemas.openxmlformats.org/officeDocument/2006/relationships/hyperlink" Target="https://data.europa.eu/doi/10.2865/346460" TargetMode="External"/></Relationships>
</file>

<file path=word/_rels/header8.xml.rels><?xml version="1.0" encoding="UTF-8" standalone="yes"?>
<Relationships xmlns="http://schemas.openxmlformats.org/package/2006/relationships"><Relationship Id="rId1" Type="http://schemas.openxmlformats.org/officeDocument/2006/relationships/image" Target="media/image2.jpg"/></Relationships>
</file>

<file path=word/_rels/header23.xml.rels><?xml version="1.0" encoding="UTF-8" standalone="yes"?>
<Relationships xmlns="http://schemas.openxmlformats.org/package/2006/relationships"><Relationship Id="rId1" Type="http://schemas.openxmlformats.org/officeDocument/2006/relationships/image" Target="media/image2.jp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DIaLOGIKa\Eurolook\Templates\Eurolook.dotm" TargetMode="External"/></Relationships>
</file>

<file path=word/theme/theme1.xml><?xml version="1.0" encoding="utf-8"?>
<a:theme xmlns:a="http://schemas.openxmlformats.org/drawingml/2006/main" name="Management Plan 2022">
  <a:themeElements>
    <a:clrScheme name="Custom 3">
      <a:dk1>
        <a:srgbClr val="000000"/>
      </a:dk1>
      <a:lt1>
        <a:sysClr val="window" lastClr="FFFFFF"/>
      </a:lt1>
      <a:dk2>
        <a:srgbClr val="003399"/>
      </a:dk2>
      <a:lt2>
        <a:srgbClr val="F3F7FF"/>
      </a:lt2>
      <a:accent1>
        <a:srgbClr val="008139"/>
      </a:accent1>
      <a:accent2>
        <a:srgbClr val="DE6002"/>
      </a:accent2>
      <a:accent3>
        <a:srgbClr val="2688FE"/>
      </a:accent3>
      <a:accent4>
        <a:srgbClr val="FDAB07"/>
      </a:accent4>
      <a:accent5>
        <a:srgbClr val="DC165D"/>
      </a:accent5>
      <a:accent6>
        <a:srgbClr val="7030A0"/>
      </a:accent6>
      <a:hlink>
        <a:srgbClr val="003399"/>
      </a:hlink>
      <a:folHlink>
        <a:srgbClr val="003399"/>
      </a:folHlink>
    </a:clrScheme>
    <a:fontScheme name="Management Plan 2022">
      <a:majorFont>
        <a:latin typeface="EC Square Sans Pro"/>
        <a:ea typeface=""/>
        <a:cs typeface=""/>
      </a:majorFont>
      <a:minorFont>
        <a:latin typeface="EC Square Sans Pro"/>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gradFill>
        <a:gradFill rotWithShape="1">
          <a:gsLst>
            <a:gs pos="0">
              <a:schemeClr val="phClr">
                <a:lumMod val="102000"/>
                <a:satMod val="103000"/>
                <a:tint val="94000"/>
              </a:schemeClr>
            </a:gs>
            <a:gs pos="50000">
              <a:schemeClr val="phClr">
                <a:lumMod val="100000"/>
                <a:satMod val="110000"/>
                <a:shade val="100000"/>
              </a:schemeClr>
            </a:gs>
            <a:gs pos="100000">
              <a:schemeClr val="phClr">
                <a:lumMod val="99000"/>
                <a:satMod val="120000"/>
                <a:shade val="78000"/>
              </a:schemeClr>
            </a:gs>
          </a:gsLs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Texts>
  <ReferencesTablePictures>Table of Pictures</ReferencesTablePictures>
  <ReferencesIndex>Index</ReferencesIndex>
  <LabelAlternativeText>Alternative text: </LabelAlternativeText>
  <LabelTableSeqOP>Table { SEQ Table \* ARABIC } – </LabelTableSeqOP>
  <LabelSource>Source</LabelSource>
  <LabelFigureSeqEC>Figure {SEQ Figure \* ARABIC }: </LabelFigureSeqEC>
  <LabelFigureSeqWChapter>Table {field: STYLEREF "Chapter Number" \s }.{field: SEQ Table \* ARABIC } –</LabelFigureSeqWChapter>
  <OP_ManagementPlan_CopyrightPage_Copyright>© European Union, {freetext:&lt;Year&gt;}</OP_ManagementPlan_CopyrightPage_Copyright>
  <OP_ManagementPlan_CopyrightPage_ReuseIsAuthorised2>For any use or reproduction of elements that are not owned by the European Union, permission may need to be sought directly from the respective rightholders. The European Union does not own the copyright in relation to the following elements:{br}{freetext:&lt;cover, element concerned, source: e.g. Fotolia.com&gt;},{br}{freetext:&lt;page XX, element by XX source: e.g. Unsplash.com&gt;}.</OP_ManagementPlan_CopyrightPage_ReuseIsAuthorised2>
  <OP_ManagementPlan_CopyrightPage_PubIDs-EPUB>EPUB{tab}ISBN {freetext:&lt;xxx-xx-xx-xxxxx-x&gt;}{tab}ISSN {freetext:&lt;xxxx-xxxx&gt;}{tab}doi:10.{freetext:&lt;xxxx/xx...x&gt;}{tab}{freetext:&lt;xx-xx-xx-xxx-xx-x&gt;}</OP_ManagementPlan_CopyrightPage_PubIDs-EPUB>
  <OP_ManagementPlan_CopyrightPage_ManuscriptCompleted>Manuscript completed in {freetext:&lt;Month&gt;} {freetext:&lt;Year&gt;}</OP_ManagementPlan_CopyrightPage_ManuscriptCompleted>
  <OP_ManagementPlan_CopyrightPage_ReuseIsAuthorised>Reuse is authorised provided the source is acknowledged and the original meaning or message of the document is not distorted. The European Commission shall not be liable for any consequence stemming from the reuse. The reuse policy of European Commission documents is implemented under Commission Decision 2011/833/EU of 12 December 2011 on the reuse of Commission documents (OJ L 330, 14.12.2011, p. 39, ELI: {field:HYPERLINK "http://data.europa.eu/eli/dec/2011/833/oj"|http://data.europa.eu/eli/dec/2011/833/oj}).</OP_ManagementPlan_CopyrightPage_ReuseIsAuthorised>
  <OP_ManagementPlan_CopyrightPage_Edition>{freetext:&lt;Revised/Corrected/nth&gt;} edition</OP_ManagementPlan_CopyrightPage_Edition>
  <OP_ManagementPlan_CopyrightPage_PubIDs-Print>Print{tab}ISBN {freetext:&lt;xxx-xx-xx-xxxxx-x&gt;}{tab}ISSN {freetext:&lt;xxxx-xxxx&gt;}{tab}doi:10.{freetext:&lt;xxxx/xx...x&gt;}{tab}{freetext:&lt;xx-xx-xx-xxx-xx-x&gt;}</OP_ManagementPlan_CopyrightPage_PubIDs-Print>
  <OP_ManagementPlan_CopyrightPage_PubIDs-PDF>PDF{tab}ISBN {freetext:&lt;xxx-xx-xx-xxxxx-x&gt;}{tab}ISSN {freetext:&lt;xxxx-xxxx&gt;}{tab}doi:10.{freetext:&lt;xxxx/xx...x&gt;}{tab}{freetext:&lt;xx-xx-xx-xxx-xx-x&gt;}</OP_ManagementPlan_CopyrightPage_PubIDs-PDF>
  <OP_ManagementPlan_CopyrightPage_ReuseStatement>This document has been prepared for the European Commission however it reflects the views only of the authors, and the European Commission is not liable for any consequence stemming from the reuse of this publication.</OP_ManagementPlan_CopyrightPage_ReuseStatement>
  <OP_ManagementPlan_CopyrightPage_PubIDs-HTML>HTML{tab}ISBN {freetext:&lt;xxx-xx-xx-xxxxx-x&gt;}{tab}ISSN {freetext:&lt;xxxx-xxxx&gt;}{tab}doi:10.{freetext:&lt;xxxx/xx...x&gt;}{tab}{freetext:&lt;xx-xx-xx-xxx-xx-x&gt;}</OP_ManagementPlan_CopyrightPage_PubIDs-HTML>
  <OP_ManagementPlan_CopyrightPage_ReuseIsAuthorised3>For any use or reproduction of elements that are not owned by the European Union, permission may need to be sought directly from the respective rightholders.</OP_ManagementPlan_CopyrightPage_ReuseIsAuthorised3>
  <OP_ManagementPlan_CopyrightPage_LuxembourgPublicationsOffice>Luxembourg: Publications Office of the European Union, {freetext:&lt;Year&gt;}</OP_ManagementPlan_CopyrightPage_LuxembourgPublicationsOffice>
  <OP_ManagementPlan_AboutEU_Online>Online</OP_ManagementPlan_AboutEU_Online>
  <OP_ManagementPlan_AboutEU_ByForm>via the following form: {field:HYPERLINK "https://european-union.europa.eu/contact-eu/write-us_en"|european-union.europa.eu/contact-eu/write-us_en}.</OP_ManagementPlan_AboutEU_ByForm>
  <OP_ManagementPlan_AboutEU_EULawAndRelated>EU law and related documents</OP_ManagementPlan_AboutEU_EULawAndRelated>
  <OP_ManagementPlan_AboutEU_InPerson>In person</OP_ManagementPlan_AboutEU_InPerson>
  <OP_ManagementPlan_AboutEU_YouCanView>You can view or order EU publications at {field:HYPERLINK "https://op.europa.eu/en/publications"|op.europa.eu/en/publications}. Multiple copies of free publications can be obtained by contacting Europe Direct or your local documentation centre ({field:HYPERLINK "https://european-union.europa.eu/contact-eu/meet-us_en"|european-union.europa.eu/contact-eu/meet-us_en}).</OP_ManagementPlan_AboutEU_YouCanView>
  <OP_ManagementPlan_AboutEU_EUPublications>EU publications</OP_ManagementPlan_AboutEU_EUPublications>
  <OP_ManagementPlan_AboutEU_ThePortal>The portal {field:HYPERLINK "https://data.europa.eu"|data.europa.eu} provides access to open datasets from the EU institutions, bodies and agencies. These can be downloaded and reused for free, for both commercial and non-commercial purposes. The portal also provides access to a wealth of datasets from European countries.</OP_ManagementPlan_AboutEU_ThePortal>
  <OP_ManagementPlan_AboutEU_ByFreephone>by freephone: 00 800 6 7 8 9 10 11 (certain operators may charge for these calls),</OP_ManagementPlan_AboutEU_ByFreephone>
  <OP_ManagementPlan_AboutEU_ForAccessTo>For access to legal information from the EU, including all EU law since 1951 in all the official language versions, go to EUR-Lex ({field:HYPERLINK "https://eur-lex.europa.eu"|eur-lex.europa.eu}).</OP_ManagementPlan_AboutEU_ForAccessTo>
  <OP_ManagementPlan_AboutEU_FindingInformation>Finding information about the EU</OP_ManagementPlan_AboutEU_FindingInformation>
  <OP_ManagementPlan_AboutEU_EUOpenData>EU open data</OP_ManagementPlan_AboutEU_EUOpenData>
  <OP_ManagementPlan_AboutEU_InformationAbout>Information about the European Union in all the official languages of the EU is available on the Europa website ({field:HYPERLINK "https://european-union.europa.eu"|european-union.europa.eu}).</OP_ManagementPlan_AboutEU_InformationAbout>
  <OP_ManagementPlan_AboutEU_ByStandardNumber>at the following standard number: +32 22999696,</OP_ManagementPlan_AboutEU_ByStandardNumber>
  <OP_ManagementPlan_AboutEU_GettingInTouch>Getting in touch with the EU</OP_ManagementPlan_AboutEU_GettingInTouch>
  <OP_ManagementPlan_AboutEU_AllOverEU>All over the European Union there are hundreds of Europe Direct centres. You can find the address of the centre nearest you online ({field:HYPERLINK "https://european-union.europa.eu/contact-eu/meet-us_en"|european-union.europa.eu/contact-eu/meet-us_en}).</OP_ManagementPlan_AboutEU_AllOverEU>
  <OP_ManagementPlan_AboutEU_OnPhoneOrWriting>On the phone or in writing</OP_ManagementPlan_AboutEU_OnPhoneOrWriting>
  <OP_ManagementPlan_AboutEU_EuropeDirect>Europe Direct is a service that answers your questions about the European Union. You can contact this service:</OP_ManagementPlan_AboutEU_EuropeDirect>
  <ReferencesSectionTitle>References</ReferencesSectionTitle>
  <OP_ManagementPlan_OT_Objective>Objective:</OP_ManagementPlan_OT_Objective>
  <OP_ManagementPlan_CopyrightPage_CC_Statement>This document has been prepared for the European Commission however it reflects the views only of the authors, and the European Commission is not liable for any consequence stemming from the reuse of this publication.</OP_ManagementPlan_CopyrightPage_CC_Statement>
  <OP_ManagementPlan_CopyrightPage_TheReusePolicy>The Commission’s reuse policy is implemented under Commission Decision 2011/833/EU of 12 December 2011 on the reuse of Commission documents (OJ L 330, 14.12.2011, p. 39, ELI: {field:HYPERLINK "http://data.europa.eu/eli/dec/2011/833/oj"|http://data.europa.eu/eli/dec/2011/833/oj}).{br}Unless otherwise noted, the reuse of this document is authorised under the Creative Commons Attribution 4.0 International (CC BY 4.0) licence ({field:HYPERLINK "https://creativecommons.org/licenses/by/4.0/"|https://creativecommons.org/licenses/by/4.0/}). This means that reuse is allowed, provided appropriate credit is given and any changes are indicated.</OP_ManagementPlan_CopyrightPage_TheReusePolicy>
  <OP_ManagementPlan_CopyrightPage_Reproduction>For any use or reproduction of elements that are not owned by the European Union, permission may need to be sought directly from the respective rightholders.</OP_ManagementPlan_CopyrightPage_Reproduction>
  <OP_ManagementPlan_CopyrightPage_Permissions>For any use or reproduction of elements that are not owned by the European Union, permission may need to be sought directly from the respective rightholders. The European Union does not own the copyright in relation to the following elements:{br}{freetext:&lt;cover, element concerned, source: e.g. Fotolia.com&gt;},{br}{freetext:&lt;page XX, element by XX source: e.g. Unsplash.com&gt;}.</OP_ManagementPlan_CopyrightPage_Permissions>
  <LabelPictureSeq>Figure {SEQ Figure \* ARABIC }: </LabelPictureSeq>
  <LabelFigureSeqOP>Figure {SEQ Figure \* ARABIC } – </LabelFigureSeqOP>
  <OP_ManagementPlan_CopyrightPage_ReproductionIsAuthorised>Reproduction is authorised provided the source is acknowledged.</OP_ManagementPlan_CopyrightPage_ReproductionIsAuthorised>
  <OP_ManagementPlan_CopyrightPage_ReproductionIsAuthorised3>For any use or reproduction of elements that are not owned by the European Union, permission may need to be sought directly from the respective rightholders.</OP_ManagementPlan_CopyrightPage_ReproductionIsAuthorised3>
  <OP_ManagementPlan_CopyrightPage_ReproductionIsAuthorised2>For any use or reproduction of elements that are not owned by the European Union, permission may need to be sought directly from the respective rightholders. The European Union does not own the copyright in relation to the following elements:{br}{freetext:&lt;cover, element concerned, source: e.g. Fotolia.com&gt;},{br}{freetext:&lt;page XX, element by XX source: e.g. Unsplash.com&gt;}.</OP_ManagementPlan_CopyrightPage_ReproductionIsAuthorised2>
  <OP_ManagementPlan_CopyrightPage_ThisDocumentShouldNot>Neither the {freetext:[institution/body/service]} nor any person acting on behalf of the {freetext:[institution/body/service]} is responsible for the use that might be made of the following information.</OP_ManagementPlan_CopyrightPage_ThisDocumentShouldNot>
  <LabelTableSeqWChapter>Table { STYLEREF "Chapter Number" \s }.{ SEQ Table \* ARABIC } – </LabelTableSeqWChapter>
  <LabelTableSeqEC>Table {SEQ Table \* ARABIC }: </LabelTableSeqEC>
  <ReferencesTableTables>Table of Tables</ReferencesTableTables>
  <OP_ManagementPlan_LayoutPage_AfterBody2>The total page count in printed publications must be dividable by four.</OP_ManagementPlan_LayoutPage_AfterBody2>
  <OP_ManagementPlan_LayoutPage_AfterBody1>Please keep this page empty until ready for publishing.</OP_ManagementPlan_LayoutPage_AfterBody1>
  <OP_ManagementPlan_LayoutPage_AfterBody3>Before publishing, remove this comment and depending on the total page count remove this page or add more empty pages.</OP_ManagementPlan_LayoutPage_AfterBody3>
  <OP_ManagementPlan_OT_Target>Target</OP_ManagementPlan_OT_Target>
  <OP_ManagementPlan_OT_Indicator>Indicator</OP_ManagementPlan_OT_Indicator>
  <OP_ManagementPlan_OT_Output>Output</OP_ManagementPlan_OT_Output>
  <OP_ManagementPlan_LayoutPage_AfterCoverPage>Please keep this page empty after deleting this comment.</OP_ManagementPlan_LayoutPage_AfterCoverPage>
  <OP_ManagementPlan_OT_SpecificObjective>Specific Objective:</OP_ManagementPlan_OT_SpecificObjective>
  <OP_TOCHeading>Contents</OP_TOCHeading>
  <OP_ManagementPlan_OT_GeneralObjective>General Objective:</OP_ManagementPlan_OT_GeneralObjective>
  <ReferencesTableBoxes>Table of Boxes</ReferencesTableBoxes>
  <DateFormatShort>dd/MM/yyyy</DateFormatShort>
  <DateFormatLong>d MMMM yyyy</DateFormatLong>
</Texts>
</file>

<file path=customXml/item3.xml><?xml version="1.0" encoding="utf-8"?>
<p:properties xmlns:p="http://schemas.microsoft.com/office/2006/metadata/properties" xmlns:xsi="http://www.w3.org/2001/XMLSchema-instance" xmlns:pc="http://schemas.microsoft.com/office/infopath/2007/PartnerControls">
  <documentManagement>
    <EC_Collab_DocumentLanguage xmlns="5a2aaeef-7754-4071-a86d-fc61c328f6f7">EN</EC_Collab_DocumentLanguage>
    <EC_Collab_Reference xmlns="5a2aaeef-7754-4071-a86d-fc61c328f6f7" xsi:nil="true"/>
    <EC_ARES_DATE_TRANSFERRED xmlns="5a2aaeef-7754-4071-a86d-fc61c328f6f7" xsi:nil="true"/>
    <EC_ARES_TRANSFERRED_BY xmlns="5a2aaeef-7754-4071-a86d-fc61c328f6f7" xsi:nil="true"/>
    <EC_ARES_NUMBER xmlns="5a2aaeef-7754-4071-a86d-fc61c328f6f7">
      <Url xsi:nil="true"/>
      <Description xsi:nil="true"/>
    </EC_ARES_NUMBER>
    <EC_Collab_Status xmlns="5a2aaeef-7754-4071-a86d-fc61c328f6f7">Not Started</EC_Collab_Statu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EurolookProperties>
  <ProductCustomizationId>EC</ProductCustomizationId>
  <Created>
    <Version>10.0.47989.0</Version>
    <Date>2026-03-16T09:39:54</Date>
    <Language>EN</Language>
    <Note>Created using 'Convert To Eurolook'</Note>
  </Created>
  <DocumentModel>
    <Id>7136d7b7-c4fa-4d30-b9ff-62b00d5a473e</Id>
    <Name>Management Report (Publication)</Name>
  </DocumentModel>
  <CustomTemplate>
    <Id/>
    <Name/>
  </CustomTemplate>
  <DocumentDate>2026-03-16T09:39:54</DocumentDate>
  <DocumentVersion>0.1</DocumentVersion>
  <CompatibilityMode>Eurolook10</CompatibilityMode>
  <DocumentMetadata>
    <PublishingFormat MetadataSerializationType="SimpleValue"/>
  </DocumentMetadata>
</EurolookProperties>
</file>

<file path=customXml/item6.xml><?xml version="1.0" encoding="utf-8"?>
<ct:contentTypeSchema xmlns:ct="http://schemas.microsoft.com/office/2006/metadata/contentType" xmlns:ma="http://schemas.microsoft.com/office/2006/metadata/properties/metaAttributes" ct:_="" ma:_="" ma:contentTypeName="EC Document" ma:contentTypeID="0x0101002A9ECA2606335F4BA5305B32386134E00063A1563B14B2C349B8DD161C5ADC9DBB" ma:contentTypeVersion="23" ma:contentTypeDescription="Create a new document in this library." ma:contentTypeScope="" ma:versionID="e136fab5c578c5dbbaf04396e60b34f1">
  <xsd:schema xmlns:xsd="http://www.w3.org/2001/XMLSchema" xmlns:xs="http://www.w3.org/2001/XMLSchema" xmlns:p="http://schemas.microsoft.com/office/2006/metadata/properties" xmlns:ns3="5a2aaeef-7754-4071-a86d-fc61c328f6f7" xmlns:ns4="e226d4ca-1ed8-42f0-8f23-f43336c44f4f" targetNamespace="http://schemas.microsoft.com/office/2006/metadata/properties" ma:root="true" ma:fieldsID="a5ec91dbdf37fbba4745ee3c84746937" ns3:_="" ns4:_="">
    <xsd:import namespace="5a2aaeef-7754-4071-a86d-fc61c328f6f7"/>
    <xsd:import namespace="e226d4ca-1ed8-42f0-8f23-f43336c44f4f"/>
    <xsd:element name="properties">
      <xsd:complexType>
        <xsd:sequence>
          <xsd:element name="documentManagement">
            <xsd:complexType>
              <xsd:all>
                <xsd:element ref="ns3:EC_Collab_Reference" minOccurs="0"/>
                <xsd:element ref="ns3:EC_Collab_DocumentLanguage"/>
                <xsd:element ref="ns3:EC_Collab_Status"/>
                <xsd:element ref="ns3:EC_ARES_NUMBER" minOccurs="0"/>
                <xsd:element ref="ns3:EC_ARES_DATE_TRANSFERRED" minOccurs="0"/>
                <xsd:element ref="ns3:EC_ARES_TRANSFERRED_BY" minOccurs="0"/>
                <xsd:element ref="ns3:SharedWithUsers" minOccurs="0"/>
                <xsd:element ref="ns3:SharedWithDetails" minOccurs="0"/>
                <xsd:element ref="ns4:MediaServiceSearchProperties" minOccurs="0"/>
                <xsd:element ref="ns4: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2aaeef-7754-4071-a86d-fc61c328f6f7" elementFormDefault="qualified">
    <xsd:import namespace="http://schemas.microsoft.com/office/2006/documentManagement/types"/>
    <xsd:import namespace="http://schemas.microsoft.com/office/infopath/2007/PartnerControls"/>
    <xsd:element name="EC_Collab_Reference" ma:index="12" nillable="true" ma:displayName="Reference" ma:internalName="EC_Collab_Reference" ma:readOnly="false">
      <xsd:simpleType>
        <xsd:restriction base="dms:Text"/>
      </xsd:simpleType>
    </xsd:element>
    <xsd:element name="EC_Collab_DocumentLanguage" ma:index="13" ma:displayName="Language" ma:default="EN" ma:format="Dropdown" ma:internalName="EC_Collab_DocumentLanguage" ma:readOnly="false">
      <xsd:simpleType>
        <xsd:restriction base="dms:Choice">
          <xsd:enumeration value="BG"/>
          <xsd:enumeration value="ES"/>
          <xsd:enumeration value="CS"/>
          <xsd:enumeration value="DA"/>
          <xsd:enumeration value="DE"/>
          <xsd:enumeration value="ET"/>
          <xsd:enumeration value="EL"/>
          <xsd:enumeration value="EN"/>
          <xsd:enumeration value="FR"/>
          <xsd:enumeration value="GA"/>
          <xsd:enumeration value="IT"/>
          <xsd:enumeration value="LT"/>
          <xsd:enumeration value="LV"/>
          <xsd:enumeration value="HU"/>
          <xsd:enumeration value="MT"/>
          <xsd:enumeration value="NL"/>
          <xsd:enumeration value="PL"/>
          <xsd:enumeration value="PT"/>
          <xsd:enumeration value="RO"/>
          <xsd:enumeration value="SK"/>
          <xsd:enumeration value="SL"/>
          <xsd:enumeration value="FI"/>
          <xsd:enumeration value="SV"/>
          <xsd:enumeration value="HR"/>
          <xsd:enumeration value="MK"/>
          <xsd:enumeration value="TR"/>
          <xsd:enumeration value="EU"/>
          <xsd:enumeration value="CA"/>
          <xsd:enumeration value="GL"/>
          <xsd:enumeration value="AB"/>
          <xsd:enumeration value="AA"/>
          <xsd:enumeration value="AF"/>
          <xsd:enumeration value="AK"/>
          <xsd:enumeration value="SQ"/>
          <xsd:enumeration value="AM"/>
          <xsd:enumeration value="AR"/>
          <xsd:enumeration value="AN"/>
          <xsd:enumeration value="HY"/>
          <xsd:enumeration value="AS"/>
          <xsd:enumeration value="AV"/>
          <xsd:enumeration value="AE"/>
          <xsd:enumeration value="AY"/>
          <xsd:enumeration value="AZ"/>
          <xsd:enumeration value="BM"/>
          <xsd:enumeration value="BA"/>
          <xsd:enumeration value="BE"/>
          <xsd:enumeration value="BN"/>
          <xsd:enumeration value="BH"/>
          <xsd:enumeration value="BI"/>
          <xsd:enumeration value="NB"/>
          <xsd:enumeration value="BS"/>
          <xsd:enumeration value="BR"/>
          <xsd:enumeration value="MY"/>
          <xsd:enumeration value="KM"/>
          <xsd:enumeration value="CH"/>
          <xsd:enumeration value="CE"/>
          <xsd:enumeration value="NY"/>
          <xsd:enumeration value="ZH"/>
          <xsd:enumeration value="CU"/>
          <xsd:enumeration value="CV"/>
          <xsd:enumeration value="KW"/>
          <xsd:enumeration value="CO"/>
          <xsd:enumeration value="CR"/>
          <xsd:enumeration value="DV"/>
          <xsd:enumeration value="DZ"/>
          <xsd:enumeration value="EO"/>
          <xsd:enumeration value="EE"/>
          <xsd:enumeration value="FO"/>
          <xsd:enumeration value="FJ"/>
          <xsd:enumeration value="FF"/>
          <xsd:enumeration value="GD"/>
          <xsd:enumeration value="LG"/>
          <xsd:enumeration value="KA"/>
          <xsd:enumeration value="GN"/>
          <xsd:enumeration value="GU"/>
          <xsd:enumeration value="HT"/>
          <xsd:enumeration value="HA"/>
          <xsd:enumeration value="HE"/>
          <xsd:enumeration value="HZ"/>
          <xsd:enumeration value="HI"/>
          <xsd:enumeration value="HO"/>
          <xsd:enumeration value="IS"/>
          <xsd:enumeration value="IO"/>
          <xsd:enumeration value="IG"/>
          <xsd:enumeration value="ID"/>
          <xsd:enumeration value="IA"/>
          <xsd:enumeration value="IE"/>
          <xsd:enumeration value="IU"/>
          <xsd:enumeration value="IK"/>
          <xsd:enumeration value="JA"/>
          <xsd:enumeration value="JV"/>
          <xsd:enumeration value="KL"/>
          <xsd:enumeration value="KN"/>
          <xsd:enumeration value="KR"/>
          <xsd:enumeration value="KS"/>
          <xsd:enumeration value="KK"/>
          <xsd:enumeration value="KI"/>
          <xsd:enumeration value="RW"/>
          <xsd:enumeration value="KY"/>
          <xsd:enumeration value="KV"/>
          <xsd:enumeration value="KG"/>
          <xsd:enumeration value="KO"/>
          <xsd:enumeration value="KJ"/>
          <xsd:enumeration value="KU"/>
          <xsd:enumeration value="LO"/>
          <xsd:enumeration value="LA"/>
          <xsd:enumeration value="LI"/>
          <xsd:enumeration value="LN"/>
          <xsd:enumeration value="LU"/>
          <xsd:enumeration value="LB"/>
          <xsd:enumeration value="MG"/>
          <xsd:enumeration value="MS"/>
          <xsd:enumeration value="ML"/>
          <xsd:enumeration value="GV"/>
          <xsd:enumeration value="MI"/>
          <xsd:enumeration value="MR"/>
          <xsd:enumeration value="MH"/>
          <xsd:enumeration value="MN"/>
          <xsd:enumeration value="NA"/>
          <xsd:enumeration value="NV"/>
          <xsd:enumeration value="ND"/>
          <xsd:enumeration value="NR"/>
          <xsd:enumeration value="NG"/>
          <xsd:enumeration value="NE"/>
          <xsd:enumeration value="SE"/>
          <xsd:enumeration value="NO"/>
          <xsd:enumeration value="NN"/>
          <xsd:enumeration value="OC"/>
          <xsd:enumeration value="OJ"/>
          <xsd:enumeration value="OR"/>
          <xsd:enumeration value="OM"/>
          <xsd:enumeration value="OS"/>
          <xsd:enumeration value="PI"/>
          <xsd:enumeration value="PA"/>
          <xsd:enumeration value="FA"/>
          <xsd:enumeration value="PS"/>
          <xsd:enumeration value="QU"/>
          <xsd:enumeration value="RM"/>
          <xsd:enumeration value="RN"/>
          <xsd:enumeration value="RU"/>
          <xsd:enumeration value="SM"/>
          <xsd:enumeration value="SG"/>
          <xsd:enumeration value="SA"/>
          <xsd:enumeration value="SC"/>
          <xsd:enumeration value="SR"/>
          <xsd:enumeration value="SN"/>
          <xsd:enumeration value="II"/>
          <xsd:enumeration value="SD"/>
          <xsd:enumeration value="SI"/>
          <xsd:enumeration value="SO"/>
          <xsd:enumeration value="ST"/>
          <xsd:enumeration value="SU"/>
          <xsd:enumeration value="SW"/>
          <xsd:enumeration value="SS"/>
          <xsd:enumeration value="TL"/>
          <xsd:enumeration value="TY"/>
          <xsd:enumeration value="TG"/>
          <xsd:enumeration value="TA"/>
          <xsd:enumeration value="TT"/>
          <xsd:enumeration value="TE"/>
          <xsd:enumeration value="TH"/>
          <xsd:enumeration value="BO"/>
          <xsd:enumeration value="TI"/>
          <xsd:enumeration value="TO"/>
          <xsd:enumeration value="TS"/>
          <xsd:enumeration value="TN"/>
          <xsd:enumeration value="TK"/>
          <xsd:enumeration value="TW"/>
          <xsd:enumeration value="UG"/>
          <xsd:enumeration value="UK"/>
          <xsd:enumeration value="UR"/>
          <xsd:enumeration value="UZ"/>
          <xsd:enumeration value="VE"/>
          <xsd:enumeration value="VI"/>
          <xsd:enumeration value="VO"/>
          <xsd:enumeration value="WA"/>
          <xsd:enumeration value="CY"/>
          <xsd:enumeration value="FY"/>
          <xsd:enumeration value="WO"/>
          <xsd:enumeration value="XH"/>
          <xsd:enumeration value="YI"/>
          <xsd:enumeration value="YO"/>
          <xsd:enumeration value="ZA"/>
          <xsd:enumeration value="ZU"/>
        </xsd:restriction>
      </xsd:simpleType>
    </xsd:element>
    <xsd:element name="EC_Collab_Status" ma:index="14" ma:displayName="EC Status" ma:default="Not Started" ma:format="Dropdown" ma:internalName="EC_Collab_Status" ma:readOnly="false">
      <xsd:simpleType>
        <xsd:restriction base="dms:Choice">
          <xsd:enumeration value="Not Started"/>
          <xsd:enumeration value="Draft"/>
          <xsd:enumeration value="Reviewed"/>
          <xsd:enumeration value="Scheduled"/>
          <xsd:enumeration value="Published"/>
          <xsd:enumeration value="Final"/>
          <xsd:enumeration value="Expired"/>
        </xsd:restriction>
      </xsd:simpleType>
    </xsd:element>
    <xsd:element name="EC_ARES_NUMBER" ma:index="15" nillable="true" ma:displayName="Ares Number" ma:format="Hyperlink" ma:internalName="EC_ARES_NUMBER"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EC_ARES_DATE_TRANSFERRED" ma:index="16" nillable="true" ma:displayName="Transferred to Ares" ma:format="DateTime" ma:internalName="EC_ARES_DATE_TRANSFERRED" ma:readOnly="false">
      <xsd:simpleType>
        <xsd:restriction base="dms:DateTime"/>
      </xsd:simpleType>
    </xsd:element>
    <xsd:element name="EC_ARES_TRANSFERRED_BY" ma:index="17" nillable="true" ma:displayName="Transferred By" ma:internalName="EC_ARES_TRANSFERRED_BY" ma:readOnly="false">
      <xsd:simpleType>
        <xsd:restriction base="dms:Text"/>
      </xsd:simple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226d4ca-1ed8-42f0-8f23-f43336c44f4f" elementFormDefault="qualified">
    <xsd:import namespace="http://schemas.microsoft.com/office/2006/documentManagement/types"/>
    <xsd:import namespace="http://schemas.microsoft.com/office/infopath/2007/PartnerControls"/>
    <xsd:element name="MediaServiceSearchProperties" ma:index="20" nillable="true" ma:displayName="MediaServiceSearchProperties" ma:hidden="true" ma:internalName="MediaServiceSearchProperties" ma:readOnly="true">
      <xsd:simpleType>
        <xsd:restriction base="dms:Note"/>
      </xsd:simpleType>
    </xsd:element>
    <xsd:element name="MediaServiceDateTaken" ma:index="21" nillable="true" ma:displayName="MediaServiceDateTaken" ma:hidden="true" ma:indexed="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9"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ma:index="8" ma:displayName="Subject"/>
        <xsd:element ref="dc:description" minOccurs="0" maxOccurs="1" ma:index="11" ma:displayName="Comments"/>
        <xsd:element name="keywords" minOccurs="0" maxOccurs="1" type="xsd:string" ma:index="1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7.xml><?xml version="1.0" encoding="utf-8"?>
<Author Role="Creator" AuthorRoleName="Writer" AuthorRoleDisplayName="Writer" AuthorRoleId="a4fbaff4-b07c-48b4-a21e-e7b9eedf3796">
  <Id>3a1d888b-7080-451f-a773-95a004840198</Id>
  <Names>
    <Latin>
      <FirstName>Raimonds</FirstName>
      <LastName>ERTS</LastName>
    </Latin>
    <Greek>
      <FirstName/>
      <LastName/>
    </Greek>
    <Cyrillic>
      <FirstName/>
      <LastName/>
    </Cyrillic>
    <DocumentScript>
      <FirstName>Raimonds</FirstName>
      <LastName>ERTS</LastName>
      <FullName>Raimonds ERTS</FullName>
    </DocumentScript>
  </Names>
  <Initials>RE</Initials>
  <Gender>m</Gender>
  <Email>Raimonds.ERTS@publications.europa.eu</Email>
  <Service>OP.B.2.001</Service>
  <Function ADCode="" ShowInSignature="true" ShowInHeader="false" HeaderText=""/>
  <WebAddress/>
  <FunctionalMailbox/>
  <InheritedWebAddress>http://europa.eu</InheritedWebAddress>
  <OrgaEntity1>
    <Id>74ad78a8-25ae-4fdf-bb31-cef090e53156</Id>
    <LogicalLevel>1</LogicalLevel>
    <Name>OP</Name>
    <HeadLine1>PUBLICATIONS OFFICE</HeadLine1>
    <HeadLine2/>
    <PrimaryAddressId>1264fb81-f6bb-475e-9f9d-a937d3be6ee2</PrimaryAddressId>
    <SecondaryAddressId/>
    <WebAddress/>
    <InheritedWebAddress>http://europa.eu</InheritedWebAddress>
    <ShowInHeader>true</ShowInHeader>
  </OrgaEntity1>
  <OrgaEntity2>
    <Id>38acf1f2-20e8-4102-9960-393d863a030f</Id>
    <LogicalLevel>2</LogicalLevel>
    <Name>OP.B</Name>
    <HeadLine1>Publication Production Services</HeadLine1>
    <HeadLine2/>
    <PrimaryAddressId>1264fb81-f6bb-475e-9f9d-a937d3be6ee2</PrimaryAddressId>
    <SecondaryAddressId/>
    <WebAddress/>
    <InheritedWebAddress>http://europa.eu</InheritedWebAddress>
    <ShowInHeader>true</ShowInHeader>
  </OrgaEntity2>
  <OrgaEntity3>
    <Id>9f5c1f18-ce6f-4964-a4fd-5bc1b01de8b1</Id>
    <LogicalLevel>3</LogicalLevel>
    <Name>OP.B.2</Name>
    <HeadLine1>Multimedia and Publications</HeadLine1>
    <HeadLine2/>
    <PrimaryAddressId>1264fb81-f6bb-475e-9f9d-a937d3be6ee2</PrimaryAddressId>
    <SecondaryAddressId/>
    <WebAddress/>
    <InheritedWebAddress>http://europa.eu</InheritedWebAddress>
    <ShowInHeader>true</ShowInHeader>
  </OrgaEntity3>
  <Hierarchy>
    <OrgaEntity>
      <Id>74ad78a8-25ae-4fdf-bb31-cef090e53156</Id>
      <LogicalLevel>1</LogicalLevel>
      <Name>OP</Name>
      <HeadLine1>PUBLICATIONS OFFICE</HeadLine1>
      <HeadLine2/>
      <PrimaryAddressId>1264fb81-f6bb-475e-9f9d-a937d3be6ee2</PrimaryAddressId>
      <SecondaryAddressId/>
      <WebAddress/>
      <InheritedWebAddress>http://europa.eu</InheritedWebAddress>
      <ShowInHeader>true</ShowInHeader>
    </OrgaEntity>
    <OrgaEntity>
      <Id>38acf1f2-20e8-4102-9960-393d863a030f</Id>
      <LogicalLevel>2</LogicalLevel>
      <Name>OP.B</Name>
      <HeadLine1>Publication Production Services</HeadLine1>
      <HeadLine2/>
      <PrimaryAddressId>1264fb81-f6bb-475e-9f9d-a937d3be6ee2</PrimaryAddressId>
      <SecondaryAddressId/>
      <WebAddress/>
      <InheritedWebAddress>http://europa.eu</InheritedWebAddress>
      <ShowInHeader>true</ShowInHeader>
    </OrgaEntity>
    <OrgaEntity>
      <Id>9f5c1f18-ce6f-4964-a4fd-5bc1b01de8b1</Id>
      <LogicalLevel>3</LogicalLevel>
      <Name>OP.B.2</Name>
      <HeadLine1>Multimedia and Publications</HeadLine1>
      <HeadLine2/>
      <PrimaryAddressId>1264fb81-f6bb-475e-9f9d-a937d3be6ee2</PrimaryAddressId>
      <SecondaryAddressId/>
      <WebAddress/>
      <InheritedWebAddress>http://europa.eu</InheritedWebAddress>
      <ShowInHeader>true</ShowInHeader>
    </OrgaEntity>
  </Hierarchy>
  <Addresses>
    <Address>
      <Id>1264fb81-f6bb-475e-9f9d-a937d3be6ee2</Id>
      <Name>Luxembourg</Name>
      <PhoneNumberPrefix>+352 4301-</PhoneNumberPrefix>
      <TranslatedName>Luxembourg</TranslatedName>
      <Location>Luxembourg,</Location>
      <Footer>Commission européenne, 2920 Luxembourg, LUXEMBOURG – Tel. +352 43011</Footer>
    </Address>
  </Addresses>
  <JobAssignmentId/>
  <MainWorkplace IsMain="true">
    <AddressId>1264fb81-f6bb-475e-9f9d-a937d3be6ee2</AddressId>
    <Fax/>
    <Phone>+352 4301-44063</Phone>
    <Office>MERP 02/A001</Office>
  </MainWorkplace>
  <Workplaces>
    <Workplace IsMain="true">
      <AddressId>1264fb81-f6bb-475e-9f9d-a937d3be6ee2</AddressId>
      <Fax/>
      <Phone>+352 4301-44063</Phone>
      <Office>MERP 02/A001</Office>
    </Workplace>
  </Workplaces>
</Author>
</file>

<file path=customXml/itemProps1.xml><?xml version="1.0" encoding="utf-8"?>
<ds:datastoreItem xmlns:ds="http://schemas.openxmlformats.org/officeDocument/2006/customXml" ds:itemID="{26597E88-E4F2-47DA-866B-39D1511821BB}">
  <ds:schemaRefs>
    <ds:schemaRef ds:uri="http://schemas.microsoft.com/sharepoint/v3/contenttype/forms"/>
  </ds:schemaRefs>
</ds:datastoreItem>
</file>

<file path=customXml/itemProps2.xml><?xml version="1.0" encoding="utf-8"?>
<ds:datastoreItem xmlns:ds="http://schemas.openxmlformats.org/officeDocument/2006/customXml" ds:itemID="{4EF90DE6-88B6-4264-9629-4D8DFDFE87D2}">
  <ds:schemaRefs/>
</ds:datastoreItem>
</file>

<file path=customXml/itemProps3.xml><?xml version="1.0" encoding="utf-8"?>
<ds:datastoreItem xmlns:ds="http://schemas.openxmlformats.org/officeDocument/2006/customXml" ds:itemID="{E403835D-183E-414E-BB0E-E7F525510B37}">
  <ds:schemaRefs>
    <ds:schemaRef ds:uri="http://schemas.microsoft.com/office/2006/metadata/properties"/>
    <ds:schemaRef ds:uri="http://schemas.microsoft.com/office/infopath/2007/PartnerControls"/>
    <ds:schemaRef ds:uri="5a2aaeef-7754-4071-a86d-fc61c328f6f7"/>
  </ds:schemaRefs>
</ds:datastoreItem>
</file>

<file path=customXml/itemProps4.xml><?xml version="1.0" encoding="utf-8"?>
<ds:datastoreItem xmlns:ds="http://schemas.openxmlformats.org/officeDocument/2006/customXml" ds:itemID="{2D65A618-6464-46A1-932E-A67789E97C55}">
  <ds:schemaRefs>
    <ds:schemaRef ds:uri="http://schemas.openxmlformats.org/officeDocument/2006/bibliography"/>
  </ds:schemaRefs>
</ds:datastoreItem>
</file>

<file path=customXml/itemProps5.xml><?xml version="1.0" encoding="utf-8"?>
<ds:datastoreItem xmlns:ds="http://schemas.openxmlformats.org/officeDocument/2006/customXml" ds:itemID="{D3EA5527-7367-4268-9D83-5125C98D0ED2}">
  <ds:schemaRefs/>
</ds:datastoreItem>
</file>

<file path=customXml/itemProps6.xml><?xml version="1.0" encoding="utf-8"?>
<ds:datastoreItem xmlns:ds="http://schemas.openxmlformats.org/officeDocument/2006/customXml" ds:itemID="{AF9FE3F9-D635-455D-AC26-078BD60839B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a2aaeef-7754-4071-a86d-fc61c328f6f7"/>
    <ds:schemaRef ds:uri="e226d4ca-1ed8-42f0-8f23-f43336c44f4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7.xml><?xml version="1.0" encoding="utf-8"?>
<ds:datastoreItem xmlns:ds="http://schemas.openxmlformats.org/officeDocument/2006/customXml" ds:itemID="{36349908-E68B-4D7C-A39A-0D72D172ECE3}">
  <ds:schemaRefs/>
</ds:datastoreItem>
</file>

<file path=docProps/app.xml><?xml version="1.0" encoding="utf-8"?>
<Properties xmlns="http://schemas.openxmlformats.org/officeDocument/2006/extended-properties" xmlns:vt="http://schemas.openxmlformats.org/officeDocument/2006/docPropsVTypes">
  <Template>Eurolook.dotm</Template>
  <TotalTime>6</TotalTime>
  <Pages>78</Pages>
  <Words>24730</Words>
  <Characters>137998</Characters>
  <Application>Microsoft Office Word</Application>
  <DocSecurity>0</DocSecurity>
  <PresentationFormat>Microsoft Word 14.0</PresentationFormat>
  <Lines>4181</Lines>
  <Paragraphs>2358</Paragraphs>
  <ScaleCrop>true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160370</CharactersWithSpaces>
  <SharedDoc>false</SharedDoc>
  <HLinks>
    <vt:vector size="234" baseType="variant">
      <vt:variant>
        <vt:i4>3276818</vt:i4>
      </vt:variant>
      <vt:variant>
        <vt:i4>54</vt:i4>
      </vt:variant>
      <vt:variant>
        <vt:i4>0</vt:i4>
      </vt:variant>
      <vt:variant>
        <vt:i4>5</vt:i4>
      </vt:variant>
      <vt:variant>
        <vt:lpwstr>https://ec.europa.eu/economy_finance/recovery-and-resilience-scoreboard/index.html</vt:lpwstr>
      </vt:variant>
      <vt:variant>
        <vt:lpwstr/>
      </vt:variant>
      <vt:variant>
        <vt:i4>6488142</vt:i4>
      </vt:variant>
      <vt:variant>
        <vt:i4>51</vt:i4>
      </vt:variant>
      <vt:variant>
        <vt:i4>0</vt:i4>
      </vt:variant>
      <vt:variant>
        <vt:i4>5</vt:i4>
      </vt:variant>
      <vt:variant>
        <vt:lpwstr>https://ec.europa.eu/economy_finance/recovery-and-resilience-scoreboard/index.html?lang=en</vt:lpwstr>
      </vt:variant>
      <vt:variant>
        <vt:lpwstr/>
      </vt:variant>
      <vt:variant>
        <vt:i4>1638456</vt:i4>
      </vt:variant>
      <vt:variant>
        <vt:i4>44</vt:i4>
      </vt:variant>
      <vt:variant>
        <vt:i4>0</vt:i4>
      </vt:variant>
      <vt:variant>
        <vt:i4>5</vt:i4>
      </vt:variant>
      <vt:variant>
        <vt:lpwstr/>
      </vt:variant>
      <vt:variant>
        <vt:lpwstr>_Toc231927934</vt:lpwstr>
      </vt:variant>
      <vt:variant>
        <vt:i4>1638456</vt:i4>
      </vt:variant>
      <vt:variant>
        <vt:i4>38</vt:i4>
      </vt:variant>
      <vt:variant>
        <vt:i4>0</vt:i4>
      </vt:variant>
      <vt:variant>
        <vt:i4>5</vt:i4>
      </vt:variant>
      <vt:variant>
        <vt:lpwstr/>
      </vt:variant>
      <vt:variant>
        <vt:lpwstr>_Toc231927933</vt:lpwstr>
      </vt:variant>
      <vt:variant>
        <vt:i4>1638456</vt:i4>
      </vt:variant>
      <vt:variant>
        <vt:i4>32</vt:i4>
      </vt:variant>
      <vt:variant>
        <vt:i4>0</vt:i4>
      </vt:variant>
      <vt:variant>
        <vt:i4>5</vt:i4>
      </vt:variant>
      <vt:variant>
        <vt:lpwstr/>
      </vt:variant>
      <vt:variant>
        <vt:lpwstr>_Toc231927932</vt:lpwstr>
      </vt:variant>
      <vt:variant>
        <vt:i4>1638456</vt:i4>
      </vt:variant>
      <vt:variant>
        <vt:i4>26</vt:i4>
      </vt:variant>
      <vt:variant>
        <vt:i4>0</vt:i4>
      </vt:variant>
      <vt:variant>
        <vt:i4>5</vt:i4>
      </vt:variant>
      <vt:variant>
        <vt:lpwstr/>
      </vt:variant>
      <vt:variant>
        <vt:lpwstr>_Toc231927931</vt:lpwstr>
      </vt:variant>
      <vt:variant>
        <vt:i4>1638456</vt:i4>
      </vt:variant>
      <vt:variant>
        <vt:i4>20</vt:i4>
      </vt:variant>
      <vt:variant>
        <vt:i4>0</vt:i4>
      </vt:variant>
      <vt:variant>
        <vt:i4>5</vt:i4>
      </vt:variant>
      <vt:variant>
        <vt:lpwstr/>
      </vt:variant>
      <vt:variant>
        <vt:lpwstr>_Toc231927930</vt:lpwstr>
      </vt:variant>
      <vt:variant>
        <vt:i4>1572920</vt:i4>
      </vt:variant>
      <vt:variant>
        <vt:i4>14</vt:i4>
      </vt:variant>
      <vt:variant>
        <vt:i4>0</vt:i4>
      </vt:variant>
      <vt:variant>
        <vt:i4>5</vt:i4>
      </vt:variant>
      <vt:variant>
        <vt:lpwstr/>
      </vt:variant>
      <vt:variant>
        <vt:lpwstr>_Toc231927929</vt:lpwstr>
      </vt:variant>
      <vt:variant>
        <vt:i4>1572920</vt:i4>
      </vt:variant>
      <vt:variant>
        <vt:i4>8</vt:i4>
      </vt:variant>
      <vt:variant>
        <vt:i4>0</vt:i4>
      </vt:variant>
      <vt:variant>
        <vt:i4>5</vt:i4>
      </vt:variant>
      <vt:variant>
        <vt:lpwstr/>
      </vt:variant>
      <vt:variant>
        <vt:lpwstr>_Toc231927928</vt:lpwstr>
      </vt:variant>
      <vt:variant>
        <vt:i4>1572920</vt:i4>
      </vt:variant>
      <vt:variant>
        <vt:i4>2</vt:i4>
      </vt:variant>
      <vt:variant>
        <vt:i4>0</vt:i4>
      </vt:variant>
      <vt:variant>
        <vt:i4>5</vt:i4>
      </vt:variant>
      <vt:variant>
        <vt:lpwstr/>
      </vt:variant>
      <vt:variant>
        <vt:lpwstr>_Toc231927927</vt:lpwstr>
      </vt:variant>
      <vt:variant>
        <vt:i4>3932195</vt:i4>
      </vt:variant>
      <vt:variant>
        <vt:i4>84</vt:i4>
      </vt:variant>
      <vt:variant>
        <vt:i4>0</vt:i4>
      </vt:variant>
      <vt:variant>
        <vt:i4>5</vt:i4>
      </vt:variant>
      <vt:variant>
        <vt:lpwstr>https://data.europa.eu/doi/10.2865/2297025</vt:lpwstr>
      </vt:variant>
      <vt:variant>
        <vt:lpwstr/>
      </vt:variant>
      <vt:variant>
        <vt:i4>65556</vt:i4>
      </vt:variant>
      <vt:variant>
        <vt:i4>81</vt:i4>
      </vt:variant>
      <vt:variant>
        <vt:i4>0</vt:i4>
      </vt:variant>
      <vt:variant>
        <vt:i4>5</vt:i4>
      </vt:variant>
      <vt:variant>
        <vt:lpwstr>https://data.europa.eu/doi/10.2865/346460</vt:lpwstr>
      </vt:variant>
      <vt:variant>
        <vt:lpwstr/>
      </vt:variant>
      <vt:variant>
        <vt:i4>7733269</vt:i4>
      </vt:variant>
      <vt:variant>
        <vt:i4>78</vt:i4>
      </vt:variant>
      <vt:variant>
        <vt:i4>0</vt:i4>
      </vt:variant>
      <vt:variant>
        <vt:i4>5</vt:i4>
      </vt:variant>
      <vt:variant>
        <vt:lpwstr>https://reforms-investments.ec.europa.eu/publications-0/guidelines-member-states-operational-aspects-related-final-phase-and-closure-recovery-and-resilience_en</vt:lpwstr>
      </vt:variant>
      <vt:variant>
        <vt:lpwstr/>
      </vt:variant>
      <vt:variant>
        <vt:i4>3735599</vt:i4>
      </vt:variant>
      <vt:variant>
        <vt:i4>75</vt:i4>
      </vt:variant>
      <vt:variant>
        <vt:i4>0</vt:i4>
      </vt:variant>
      <vt:variant>
        <vt:i4>5</vt:i4>
      </vt:variant>
      <vt:variant>
        <vt:lpwstr>https://data.europa.eu/doi/10.2865/9261783</vt:lpwstr>
      </vt:variant>
      <vt:variant>
        <vt:lpwstr/>
      </vt:variant>
      <vt:variant>
        <vt:i4>393223</vt:i4>
      </vt:variant>
      <vt:variant>
        <vt:i4>72</vt:i4>
      </vt:variant>
      <vt:variant>
        <vt:i4>0</vt:i4>
      </vt:variant>
      <vt:variant>
        <vt:i4>5</vt:i4>
      </vt:variant>
      <vt:variant>
        <vt:lpwstr>https://eur-lex.europa.eu/legal-content/EN/TXT/?uri=CELEX%3A52025DC0310&amp;qid=1778678792265</vt:lpwstr>
      </vt:variant>
      <vt:variant>
        <vt:lpwstr/>
      </vt:variant>
      <vt:variant>
        <vt:i4>4194328</vt:i4>
      </vt:variant>
      <vt:variant>
        <vt:i4>69</vt:i4>
      </vt:variant>
      <vt:variant>
        <vt:i4>0</vt:i4>
      </vt:variant>
      <vt:variant>
        <vt:i4>5</vt:i4>
      </vt:variant>
      <vt:variant>
        <vt:lpwstr>http://data.europa.eu/eli/reg/2021/241/oj</vt:lpwstr>
      </vt:variant>
      <vt:variant>
        <vt:lpwstr/>
      </vt:variant>
      <vt:variant>
        <vt:i4>1900556</vt:i4>
      </vt:variant>
      <vt:variant>
        <vt:i4>66</vt:i4>
      </vt:variant>
      <vt:variant>
        <vt:i4>0</vt:i4>
      </vt:variant>
      <vt:variant>
        <vt:i4>5</vt:i4>
      </vt:variant>
      <vt:variant>
        <vt:lpwstr>https://eur-lex.europa.eu/legal-content/EN/TXT/?uri=CELEX%3A52025PC0545&amp;qid=1778582482205</vt:lpwstr>
      </vt:variant>
      <vt:variant>
        <vt:lpwstr/>
      </vt:variant>
      <vt:variant>
        <vt:i4>3211309</vt:i4>
      </vt:variant>
      <vt:variant>
        <vt:i4>63</vt:i4>
      </vt:variant>
      <vt:variant>
        <vt:i4>0</vt:i4>
      </vt:variant>
      <vt:variant>
        <vt:i4>5</vt:i4>
      </vt:variant>
      <vt:variant>
        <vt:lpwstr>https://data.europa.eu/doi/10.2865/7727690</vt:lpwstr>
      </vt:variant>
      <vt:variant>
        <vt:lpwstr/>
      </vt:variant>
      <vt:variant>
        <vt:i4>4259897</vt:i4>
      </vt:variant>
      <vt:variant>
        <vt:i4>60</vt:i4>
      </vt:variant>
      <vt:variant>
        <vt:i4>0</vt:i4>
      </vt:variant>
      <vt:variant>
        <vt:i4>5</vt:i4>
      </vt:variant>
      <vt:variant>
        <vt:lpwstr>https://commission.europa.eu/strategy-and-policy/strategy-documents/annual-activity-reports_en</vt:lpwstr>
      </vt:variant>
      <vt:variant>
        <vt:lpwstr/>
      </vt:variant>
      <vt:variant>
        <vt:i4>6619235</vt:i4>
      </vt:variant>
      <vt:variant>
        <vt:i4>57</vt:i4>
      </vt:variant>
      <vt:variant>
        <vt:i4>0</vt:i4>
      </vt:variant>
      <vt:variant>
        <vt:i4>5</vt:i4>
      </vt:variant>
      <vt:variant>
        <vt:lpwstr>http://data.europa.eu/eli/reg/2024/1689/oj</vt:lpwstr>
      </vt:variant>
      <vt:variant>
        <vt:lpwstr/>
      </vt:variant>
      <vt:variant>
        <vt:i4>3932274</vt:i4>
      </vt:variant>
      <vt:variant>
        <vt:i4>54</vt:i4>
      </vt:variant>
      <vt:variant>
        <vt:i4>0</vt:i4>
      </vt:variant>
      <vt:variant>
        <vt:i4>5</vt:i4>
      </vt:variant>
      <vt:variant>
        <vt:lpwstr>https://commission.europa.eu/system/files/2024-01/EN Artificial Intelligence in the European Commission.PDF</vt:lpwstr>
      </vt:variant>
      <vt:variant>
        <vt:lpwstr/>
      </vt:variant>
      <vt:variant>
        <vt:i4>3211309</vt:i4>
      </vt:variant>
      <vt:variant>
        <vt:i4>51</vt:i4>
      </vt:variant>
      <vt:variant>
        <vt:i4>0</vt:i4>
      </vt:variant>
      <vt:variant>
        <vt:i4>5</vt:i4>
      </vt:variant>
      <vt:variant>
        <vt:lpwstr>https://data.europa.eu/doi/10.2865/7727690</vt:lpwstr>
      </vt:variant>
      <vt:variant>
        <vt:lpwstr/>
      </vt:variant>
      <vt:variant>
        <vt:i4>4456469</vt:i4>
      </vt:variant>
      <vt:variant>
        <vt:i4>48</vt:i4>
      </vt:variant>
      <vt:variant>
        <vt:i4>0</vt:i4>
      </vt:variant>
      <vt:variant>
        <vt:i4>5</vt:i4>
      </vt:variant>
      <vt:variant>
        <vt:lpwstr>http://data.europa.eu/eli/reg/2024/795/oj</vt:lpwstr>
      </vt:variant>
      <vt:variant>
        <vt:lpwstr/>
      </vt:variant>
      <vt:variant>
        <vt:i4>458753</vt:i4>
      </vt:variant>
      <vt:variant>
        <vt:i4>45</vt:i4>
      </vt:variant>
      <vt:variant>
        <vt:i4>0</vt:i4>
      </vt:variant>
      <vt:variant>
        <vt:i4>5</vt:i4>
      </vt:variant>
      <vt:variant>
        <vt:lpwstr>https://eur-lex.europa.eu/legal-content/EN/TXT/?uri=CELEX%3A52025DC0189&amp;qid=1778583080645</vt:lpwstr>
      </vt:variant>
      <vt:variant>
        <vt:lpwstr/>
      </vt:variant>
      <vt:variant>
        <vt:i4>1441800</vt:i4>
      </vt:variant>
      <vt:variant>
        <vt:i4>42</vt:i4>
      </vt:variant>
      <vt:variant>
        <vt:i4>0</vt:i4>
      </vt:variant>
      <vt:variant>
        <vt:i4>5</vt:i4>
      </vt:variant>
      <vt:variant>
        <vt:lpwstr>https://eur-lex.europa.eu/legal-content/EN/TXT/?uri=CELEX%3A52011PC0811&amp;qid=1747145040788</vt:lpwstr>
      </vt:variant>
      <vt:variant>
        <vt:lpwstr/>
      </vt:variant>
      <vt:variant>
        <vt:i4>3276802</vt:i4>
      </vt:variant>
      <vt:variant>
        <vt:i4>39</vt:i4>
      </vt:variant>
      <vt:variant>
        <vt:i4>0</vt:i4>
      </vt:variant>
      <vt:variant>
        <vt:i4>5</vt:i4>
      </vt:variant>
      <vt:variant>
        <vt:lpwstr>https://commission.europa.eu/publications/2025-rule-law-report-communication-and-country-chapters_en</vt:lpwstr>
      </vt:variant>
      <vt:variant>
        <vt:lpwstr/>
      </vt:variant>
      <vt:variant>
        <vt:i4>458781</vt:i4>
      </vt:variant>
      <vt:variant>
        <vt:i4>36</vt:i4>
      </vt:variant>
      <vt:variant>
        <vt:i4>0</vt:i4>
      </vt:variant>
      <vt:variant>
        <vt:i4>5</vt:i4>
      </vt:variant>
      <vt:variant>
        <vt:lpwstr>https://eur-lex.europa.eu/legal-content/EN/TXT/?uri=CELEX:52022XC0318(02)</vt:lpwstr>
      </vt:variant>
      <vt:variant>
        <vt:lpwstr/>
      </vt:variant>
      <vt:variant>
        <vt:i4>393219</vt:i4>
      </vt:variant>
      <vt:variant>
        <vt:i4>30</vt:i4>
      </vt:variant>
      <vt:variant>
        <vt:i4>0</vt:i4>
      </vt:variant>
      <vt:variant>
        <vt:i4>5</vt:i4>
      </vt:variant>
      <vt:variant>
        <vt:lpwstr>https://eur-lex.europa.eu/legal-content/EN/TXT/?uri=CELEX%3A62021CJ0157&amp;qid=1778575036967</vt:lpwstr>
      </vt:variant>
      <vt:variant>
        <vt:lpwstr/>
      </vt:variant>
      <vt:variant>
        <vt:i4>655373</vt:i4>
      </vt:variant>
      <vt:variant>
        <vt:i4>27</vt:i4>
      </vt:variant>
      <vt:variant>
        <vt:i4>0</vt:i4>
      </vt:variant>
      <vt:variant>
        <vt:i4>5</vt:i4>
      </vt:variant>
      <vt:variant>
        <vt:lpwstr>https://eur-lex.europa.eu/legal-content/EN/TXT/?uri=CELEX%3A62021CJ0156&amp;qid=1778574960258</vt:lpwstr>
      </vt:variant>
      <vt:variant>
        <vt:lpwstr/>
      </vt:variant>
      <vt:variant>
        <vt:i4>6488174</vt:i4>
      </vt:variant>
      <vt:variant>
        <vt:i4>24</vt:i4>
      </vt:variant>
      <vt:variant>
        <vt:i4>0</vt:i4>
      </vt:variant>
      <vt:variant>
        <vt:i4>5</vt:i4>
      </vt:variant>
      <vt:variant>
        <vt:lpwstr>http://data.europa.eu/eli/reg/2020/2092/oj</vt:lpwstr>
      </vt:variant>
      <vt:variant>
        <vt:lpwstr/>
      </vt:variant>
      <vt:variant>
        <vt:i4>7143525</vt:i4>
      </vt:variant>
      <vt:variant>
        <vt:i4>21</vt:i4>
      </vt:variant>
      <vt:variant>
        <vt:i4>0</vt:i4>
      </vt:variant>
      <vt:variant>
        <vt:i4>5</vt:i4>
      </vt:variant>
      <vt:variant>
        <vt:lpwstr>http://data.europa.eu/eli/reg/2023/2841/oj</vt:lpwstr>
      </vt:variant>
      <vt:variant>
        <vt:lpwstr/>
      </vt:variant>
      <vt:variant>
        <vt:i4>262164</vt:i4>
      </vt:variant>
      <vt:variant>
        <vt:i4>18</vt:i4>
      </vt:variant>
      <vt:variant>
        <vt:i4>0</vt:i4>
      </vt:variant>
      <vt:variant>
        <vt:i4>5</vt:i4>
      </vt:variant>
      <vt:variant>
        <vt:lpwstr>https://eur-lex.europa.eu/legal-content/EN/TXT/?uri=celex:52025DC0546</vt:lpwstr>
      </vt:variant>
      <vt:variant>
        <vt:lpwstr/>
      </vt:variant>
      <vt:variant>
        <vt:i4>6946826</vt:i4>
      </vt:variant>
      <vt:variant>
        <vt:i4>15</vt:i4>
      </vt:variant>
      <vt:variant>
        <vt:i4>0</vt:i4>
      </vt:variant>
      <vt:variant>
        <vt:i4>5</vt:i4>
      </vt:variant>
      <vt:variant>
        <vt:lpwstr>https://anti-fraud.ec.europa.eu/about-us/reports/annual-olaf-reports_en</vt:lpwstr>
      </vt:variant>
      <vt:variant>
        <vt:lpwstr/>
      </vt:variant>
      <vt:variant>
        <vt:i4>786446</vt:i4>
      </vt:variant>
      <vt:variant>
        <vt:i4>12</vt:i4>
      </vt:variant>
      <vt:variant>
        <vt:i4>0</vt:i4>
      </vt:variant>
      <vt:variant>
        <vt:i4>5</vt:i4>
      </vt:variant>
      <vt:variant>
        <vt:lpwstr>https://eur-lex.europa.eu/legal-content/EN/TXT/?uri=CELEX%3A52025DC0426&amp;qid=1778508410193</vt:lpwstr>
      </vt:variant>
      <vt:variant>
        <vt:lpwstr/>
      </vt:variant>
      <vt:variant>
        <vt:i4>1900548</vt:i4>
      </vt:variant>
      <vt:variant>
        <vt:i4>9</vt:i4>
      </vt:variant>
      <vt:variant>
        <vt:i4>0</vt:i4>
      </vt:variant>
      <vt:variant>
        <vt:i4>5</vt:i4>
      </vt:variant>
      <vt:variant>
        <vt:lpwstr>https://eur-lex.europa.eu/legal-content/EN/TXT/?uri=CELEX%3A52023SC0245&amp;qid=1747126601079</vt:lpwstr>
      </vt:variant>
      <vt:variant>
        <vt:lpwstr/>
      </vt:variant>
      <vt:variant>
        <vt:i4>851975</vt:i4>
      </vt:variant>
      <vt:variant>
        <vt:i4>6</vt:i4>
      </vt:variant>
      <vt:variant>
        <vt:i4>0</vt:i4>
      </vt:variant>
      <vt:variant>
        <vt:i4>5</vt:i4>
      </vt:variant>
      <vt:variant>
        <vt:lpwstr>https://eur-lex.europa.eu/legal-content/EN/ALL/?uri=CELEX:52023DC0405</vt:lpwstr>
      </vt:variant>
      <vt:variant>
        <vt:lpwstr/>
      </vt:variant>
      <vt:variant>
        <vt:i4>5046280</vt:i4>
      </vt:variant>
      <vt:variant>
        <vt:i4>3</vt:i4>
      </vt:variant>
      <vt:variant>
        <vt:i4>0</vt:i4>
      </vt:variant>
      <vt:variant>
        <vt:i4>5</vt:i4>
      </vt:variant>
      <vt:variant>
        <vt:lpwstr>http://data.europa.eu/eli/dec/2025/369/oj</vt:lpwstr>
      </vt:variant>
      <vt:variant>
        <vt:lpwstr/>
      </vt:variant>
      <vt:variant>
        <vt:i4>7209056</vt:i4>
      </vt:variant>
      <vt:variant>
        <vt:i4>0</vt:i4>
      </vt:variant>
      <vt:variant>
        <vt:i4>0</vt:i4>
      </vt:variant>
      <vt:variant>
        <vt:i4>5</vt:i4>
      </vt:variant>
      <vt:variant>
        <vt:lpwstr>http://data.europa.eu/eli/reg/2024/2509/oj</vt:lpwstr>
      </vt:variant>
      <vt:variant>
        <vt:lpwstr/>
      </vt:variant>
      <vt:variant>
        <vt:i4>3604503</vt:i4>
      </vt:variant>
      <vt:variant>
        <vt:i4>0</vt:i4>
      </vt:variant>
      <vt:variant>
        <vt:i4>0</vt:i4>
      </vt:variant>
      <vt:variant>
        <vt:i4>5</vt:i4>
      </vt:variant>
      <vt:variant>
        <vt:lpwstr>mailto:Ayoub.ZIANI-ZERYOUH@ext.ec.europa.eu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VANGOMPEL Sien (SG)</cp:lastModifiedBy>
  <cp:revision>8</cp:revision>
  <cp:lastPrinted>2026-03-28T10:55:00Z</cp:lastPrinted>
  <dcterms:created xsi:type="dcterms:W3CDTF">2026-06-14T12:59:00Z</dcterms:created>
  <dcterms:modified xsi:type="dcterms:W3CDTF">2026-06-15T14:26:00Z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2026-03-16T08:40:03Z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495217b8-e98f-4e76-9975-5b0df73cdaba</vt:lpwstr>
  </property>
  <property fmtid="{D5CDD505-2E9C-101B-9397-08002B2CF9AE}" pid="8" name="MSIP_Label_6bd9ddd1-4d20-43f6-abfa-fc3c07406f94_ContentBits">
    <vt:lpwstr>0</vt:lpwstr>
  </property>
  <property fmtid="{D5CDD505-2E9C-101B-9397-08002B2CF9AE}" pid="9" name="MSIP_Label_6bd9ddd1-4d20-43f6-abfa-fc3c07406f94_Tag">
    <vt:lpwstr>10, 3, 0, 1</vt:lpwstr>
  </property>
  <property fmtid="{D5CDD505-2E9C-101B-9397-08002B2CF9AE}" pid="10" name="Level of sensitivity">
    <vt:lpwstr>Standard treatment</vt:lpwstr>
  </property>
  <property fmtid="{D5CDD505-2E9C-101B-9397-08002B2CF9AE}" pid="11" name="_LW_INVALIDATED_EurolookVersion">
    <vt:lpwstr>10.0</vt:lpwstr>
  </property>
  <property fmtid="{D5CDD505-2E9C-101B-9397-08002B2CF9AE}" pid="12" name="First annex">
    <vt:lpwstr>2</vt:lpwstr>
  </property>
  <property fmtid="{D5CDD505-2E9C-101B-9397-08002B2CF9AE}" pid="13" name="Last annex">
    <vt:lpwstr>3</vt:lpwstr>
  </property>
  <property fmtid="{D5CDD505-2E9C-101B-9397-08002B2CF9AE}" pid="14" name="Unique annex">
    <vt:lpwstr>0</vt:lpwstr>
  </property>
  <property fmtid="{D5CDD505-2E9C-101B-9397-08002B2CF9AE}" pid="15" name="Part">
    <vt:lpwstr>&lt;UNUSED&gt;</vt:lpwstr>
  </property>
  <property fmtid="{D5CDD505-2E9C-101B-9397-08002B2CF9AE}" pid="16" name="Total parts">
    <vt:lpwstr>&lt;UNUSED&gt;</vt:lpwstr>
  </property>
  <property fmtid="{D5CDD505-2E9C-101B-9397-08002B2CF9AE}" pid="17" name="DocStatus">
    <vt:lpwstr>Green</vt:lpwstr>
  </property>
  <property fmtid="{D5CDD505-2E9C-101B-9397-08002B2CF9AE}" pid="18" name="CPTemplateID">
    <vt:lpwstr>CP-039</vt:lpwstr>
  </property>
  <property fmtid="{D5CDD505-2E9C-101B-9397-08002B2CF9AE}" pid="19" name="Last edited using">
    <vt:lpwstr>LW 9.2, Build 20250828</vt:lpwstr>
  </property>
  <property fmtid="{D5CDD505-2E9C-101B-9397-08002B2CF9AE}" pid="20" name="Created using">
    <vt:lpwstr>LW 9.2, Build 20250828</vt:lpwstr>
  </property>
  <property fmtid="{D5CDD505-2E9C-101B-9397-08002B2CF9AE}" pid="21" name="ContentTypeId">
    <vt:lpwstr>0x0101002A9ECA2606335F4BA5305B32386134E00063A1563B14B2C349B8DD161C5ADC9DBB</vt:lpwstr>
  </property>
</Properties>
</file>