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95D189" w14:textId="41907540" w:rsidR="00D97581" w:rsidRDefault="008C2729" w:rsidP="008C2729">
      <w:pPr>
        <w:pStyle w:val="Pagedecouverture"/>
        <w:rPr>
          <w:noProof/>
        </w:rPr>
      </w:pPr>
      <w:bookmarkStart w:id="0" w:name="LW_BM_COVERPAGE"/>
      <w:r>
        <w:rPr>
          <w:noProof/>
        </w:rPr>
        <w:pict w14:anchorId="17D28CC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25335F9-4B74-4AAB-8133-2674830117D4" style="width:455.25pt;height:327.75pt">
            <v:imagedata r:id="rId14" o:title=""/>
          </v:shape>
        </w:pict>
      </w:r>
    </w:p>
    <w:bookmarkEnd w:id="0"/>
    <w:p w14:paraId="1D945FB2" w14:textId="77777777" w:rsidR="00D97581" w:rsidRDefault="00D97581">
      <w:pPr>
        <w:rPr>
          <w:noProof/>
        </w:rPr>
        <w:sectPr w:rsidR="00D97581" w:rsidSect="008C2729">
          <w:headerReference w:type="even" r:id="rId15"/>
          <w:headerReference w:type="default" r:id="rId16"/>
          <w:footerReference w:type="even" r:id="rId17"/>
          <w:footerReference w:type="default" r:id="rId18"/>
          <w:headerReference w:type="first" r:id="rId19"/>
          <w:footerReference w:type="first" r:id="rId20"/>
          <w:endnotePr>
            <w:pos w:val="sectEnd"/>
            <w:numFmt w:val="lowerLetter"/>
          </w:endnotePr>
          <w:pgSz w:w="11907" w:h="16839" w:code="9"/>
          <w:pgMar w:top="1134" w:right="1417" w:bottom="1134" w:left="1417" w:header="709" w:footer="709" w:gutter="0"/>
          <w:pgNumType w:start="1"/>
          <w:cols w:space="720"/>
          <w:docGrid w:linePitch="326"/>
        </w:sectPr>
      </w:pPr>
    </w:p>
    <w:tbl>
      <w:tblPr>
        <w:tblW w:w="0" w:type="auto"/>
        <w:tblLook w:val="04A0" w:firstRow="1" w:lastRow="0" w:firstColumn="1" w:lastColumn="0" w:noHBand="0" w:noVBand="1"/>
      </w:tblPr>
      <w:tblGrid>
        <w:gridCol w:w="9059"/>
      </w:tblGrid>
      <w:tr w:rsidR="00D97581" w14:paraId="2F52C6AC" w14:textId="77777777">
        <w:tc>
          <w:tcPr>
            <w:tcW w:w="9059" w:type="dxa"/>
            <w:shd w:val="clear" w:color="auto" w:fill="003399" w:themeFill="text2"/>
          </w:tcPr>
          <w:p w14:paraId="6027EADB" w14:textId="77777777" w:rsidR="00D97581" w:rsidRDefault="0060377B">
            <w:pPr>
              <w:spacing w:after="120"/>
              <w:rPr>
                <w:noProof/>
                <w:color w:val="FFFFFF" w:themeColor="background1"/>
              </w:rPr>
            </w:pPr>
            <w:bookmarkStart w:id="1" w:name="_GoBack"/>
            <w:bookmarkEnd w:id="1"/>
            <w:r w:rsidRPr="00AC11E0">
              <w:rPr>
                <w:rStyle w:val="Italic"/>
                <w:noProof/>
              </w:rPr>
              <w:lastRenderedPageBreak/>
              <w:t>Raportul anual privind gestiunea și performanța bugetului UE –</w:t>
            </w:r>
            <w:r w:rsidRPr="00AC11E0">
              <w:rPr>
                <w:rStyle w:val="Italic"/>
                <w:rFonts w:ascii="Calibri" w:hAnsi="Calibri" w:cs="Calibri"/>
                <w:noProof/>
              </w:rPr>
              <w:t> </w:t>
            </w:r>
            <w:r w:rsidRPr="00AC11E0">
              <w:rPr>
                <w:rStyle w:val="Italic"/>
                <w:noProof/>
              </w:rPr>
              <w:t>exerci</w:t>
            </w:r>
            <w:r w:rsidRPr="00AC11E0">
              <w:rPr>
                <w:rStyle w:val="Italic"/>
                <w:rFonts w:cs="EC Square Sans Pro"/>
                <w:noProof/>
              </w:rPr>
              <w:t>ț</w:t>
            </w:r>
            <w:r w:rsidRPr="00AC11E0">
              <w:rPr>
                <w:rStyle w:val="Italic"/>
                <w:noProof/>
              </w:rPr>
              <w:t>iul financiar 2025</w:t>
            </w:r>
            <w:r>
              <w:rPr>
                <w:noProof/>
                <w:color w:val="FFFFFF" w:themeColor="background1"/>
              </w:rPr>
              <w:t>,</w:t>
            </w:r>
            <w:r>
              <w:rPr>
                <w:noProof/>
              </w:rPr>
              <w:t xml:space="preserve"> împreună cu anexele la acesta, reprezintă principala contribuție a Comisiei Europene la procedura anuală de descărcare de gestiune</w:t>
            </w:r>
            <w:r>
              <w:rPr>
                <w:rFonts w:ascii="Calibri" w:hAnsi="Calibri"/>
                <w:noProof/>
              </w:rPr>
              <w:t> </w:t>
            </w:r>
            <w:r>
              <w:rPr>
                <w:noProof/>
                <w:color w:val="FFFFFF" w:themeColor="background1"/>
              </w:rPr>
              <w:t>(</w:t>
            </w:r>
            <w:r>
              <w:rPr>
                <w:rStyle w:val="FootnoteReference"/>
                <w:noProof/>
              </w:rPr>
              <w:footnoteReference w:id="1"/>
            </w:r>
            <w:r>
              <w:rPr>
                <w:noProof/>
                <w:color w:val="FFFFFF" w:themeColor="background1"/>
              </w:rPr>
              <w:t>) care permite Parlamentului European și Consiliului Uniunii Europene să monitorizeze execuția bugetului UE. Raportul îndeplinește obligațiile care îi revin Comisiei în temeiul Tratatului privind funcționarea Uniunii Europene (</w:t>
            </w:r>
            <w:r>
              <w:rPr>
                <w:rStyle w:val="FootnoteReference"/>
                <w:noProof/>
              </w:rPr>
              <w:footnoteReference w:id="2"/>
            </w:r>
            <w:r>
              <w:rPr>
                <w:noProof/>
                <w:color w:val="FFFFFF" w:themeColor="background1"/>
              </w:rPr>
              <w:t>) și al Regulamentului financiar (</w:t>
            </w:r>
            <w:r>
              <w:rPr>
                <w:rStyle w:val="FootnoteReference"/>
                <w:noProof/>
              </w:rPr>
              <w:footnoteReference w:id="3"/>
            </w:r>
            <w:r>
              <w:rPr>
                <w:noProof/>
                <w:color w:val="FFFFFF" w:themeColor="background1"/>
              </w:rPr>
              <w:t>). Execuția bugetului UE este o responsabilitate comună, în cadrul căreia Comisia colaborează cu statele membre și cu alți parteneri și organizații.</w:t>
            </w:r>
          </w:p>
          <w:p w14:paraId="7669C06D" w14:textId="77777777" w:rsidR="00D97581" w:rsidRDefault="0060377B">
            <w:pPr>
              <w:spacing w:after="0"/>
              <w:rPr>
                <w:noProof/>
                <w:color w:val="FFFFFF" w:themeColor="background1"/>
              </w:rPr>
            </w:pPr>
            <w:r>
              <w:rPr>
                <w:noProof/>
                <w:color w:val="FFFFFF" w:themeColor="background1"/>
              </w:rPr>
              <w:t>Raportul este alcătuit din trei volume.</w:t>
            </w:r>
          </w:p>
          <w:p w14:paraId="520812E1" w14:textId="77777777" w:rsidR="00D97581" w:rsidRDefault="0060377B">
            <w:pPr>
              <w:pStyle w:val="ListBullet"/>
              <w:numPr>
                <w:ilvl w:val="0"/>
                <w:numId w:val="6"/>
              </w:numPr>
              <w:rPr>
                <w:noProof/>
              </w:rPr>
            </w:pPr>
            <w:r>
              <w:rPr>
                <w:noProof/>
              </w:rPr>
              <w:t>Volumul I prezintă principalele date și realizări în legătură cu gestiunea bugetară pentru 2025.</w:t>
            </w:r>
          </w:p>
          <w:p w14:paraId="1AC91031" w14:textId="77777777" w:rsidR="00D97581" w:rsidRDefault="0060377B">
            <w:pPr>
              <w:pStyle w:val="ListBullet"/>
              <w:numPr>
                <w:ilvl w:val="0"/>
                <w:numId w:val="6"/>
              </w:numPr>
              <w:rPr>
                <w:noProof/>
              </w:rPr>
            </w:pPr>
            <w:r>
              <w:rPr>
                <w:noProof/>
              </w:rPr>
              <w:t>Volumul II prezintă o imagine mai cuprinzătoare a execuției bugetului UE. Anexa 1 oferă o prezentare generală a performanței bugetului UE în 2025 în ceea ce privește realizarea priorităților UE și integrarea sistematică a priorităților de politică orizontale în bugetul UE. Anexa 2 oferă o prezentare generală a procedurilor de control intern și de gestiune financiară. Anexa 3 acoperă aspectele legate de performanță și de conformitate ale Mecanismului de redresare și reziliență.</w:t>
            </w:r>
          </w:p>
          <w:p w14:paraId="2E7EE219" w14:textId="77777777" w:rsidR="00D97581" w:rsidRDefault="0060377B">
            <w:pPr>
              <w:pStyle w:val="ListBullet"/>
              <w:numPr>
                <w:ilvl w:val="0"/>
                <w:numId w:val="6"/>
              </w:numPr>
              <w:rPr>
                <w:noProof/>
              </w:rPr>
            </w:pPr>
            <w:r>
              <w:rPr>
                <w:noProof/>
              </w:rPr>
              <w:t>Volumul III conține anexe tehnice care vin în sprijinul raportului. Anexa 4 conține informații detaliate privind performanța la nivelul fiecărui program în „fișele de performanță a programelor”.</w:t>
            </w:r>
          </w:p>
          <w:p w14:paraId="54B498B2" w14:textId="77777777" w:rsidR="00D97581" w:rsidRDefault="0060377B">
            <w:pPr>
              <w:spacing w:before="0"/>
              <w:rPr>
                <w:noProof/>
                <w:color w:val="FFFFFF" w:themeColor="background1"/>
                <w:highlight w:val="lightGray"/>
              </w:rPr>
            </w:pPr>
            <w:r>
              <w:rPr>
                <w:noProof/>
                <w:color w:val="FFFFFF" w:themeColor="background1"/>
              </w:rPr>
              <w:t>Prezentul raport face parte din pachetul mai amplu de rapoarte financiare și de răspundere integrate (</w:t>
            </w:r>
            <w:r>
              <w:rPr>
                <w:rStyle w:val="FootnoteReference"/>
                <w:noProof/>
              </w:rPr>
              <w:footnoteReference w:id="4"/>
            </w:r>
            <w:r>
              <w:rPr>
                <w:noProof/>
                <w:color w:val="FFFFFF" w:themeColor="background1"/>
              </w:rPr>
              <w:t>), care include, de asemenea, conturile anuale consolidate (</w:t>
            </w:r>
            <w:r>
              <w:rPr>
                <w:rStyle w:val="FootnoteReference"/>
                <w:noProof/>
              </w:rPr>
              <w:footnoteReference w:id="5"/>
            </w:r>
            <w:r>
              <w:rPr>
                <w:noProof/>
                <w:color w:val="FFFFFF" w:themeColor="background1"/>
              </w:rPr>
              <w:t>), o prognoză pe termen lung a viitoarelor intrări și ieșiri pentru următorii cinci</w:t>
            </w:r>
            <w:r>
              <w:rPr>
                <w:rFonts w:ascii="Calibri" w:hAnsi="Calibri"/>
                <w:noProof/>
                <w:color w:val="FFFFFF" w:themeColor="background1"/>
              </w:rPr>
              <w:t> </w:t>
            </w:r>
            <w:r>
              <w:rPr>
                <w:noProof/>
                <w:color w:val="FFFFFF" w:themeColor="background1"/>
              </w:rPr>
              <w:t>ani (</w:t>
            </w:r>
            <w:r>
              <w:rPr>
                <w:rStyle w:val="FootnoteReference"/>
                <w:noProof/>
              </w:rPr>
              <w:footnoteReference w:id="6"/>
            </w:r>
            <w:r>
              <w:rPr>
                <w:noProof/>
                <w:color w:val="FFFFFF" w:themeColor="background1"/>
              </w:rPr>
              <w:t>), raportul privind auditurile interne (</w:t>
            </w:r>
            <w:r>
              <w:rPr>
                <w:rStyle w:val="FootnoteReference"/>
                <w:noProof/>
              </w:rPr>
              <w:footnoteReference w:id="7"/>
            </w:r>
            <w:r>
              <w:rPr>
                <w:noProof/>
                <w:color w:val="FFFFFF" w:themeColor="background1"/>
              </w:rPr>
              <w:t>) și raportul privind acțiunile întreprinse în urma descărcării de gestiune pentru exercițiul precedent (</w:t>
            </w:r>
            <w:r>
              <w:rPr>
                <w:rStyle w:val="FootnoteReference"/>
                <w:noProof/>
              </w:rPr>
              <w:footnoteReference w:id="8"/>
            </w:r>
            <w:r>
              <w:rPr>
                <w:noProof/>
                <w:color w:val="FFFFFF" w:themeColor="background1"/>
              </w:rPr>
              <w:t>).</w:t>
            </w:r>
          </w:p>
        </w:tc>
      </w:tr>
    </w:tbl>
    <w:p w14:paraId="159C7E71" w14:textId="77777777" w:rsidR="00D97581" w:rsidRDefault="00D97581">
      <w:pPr>
        <w:rPr>
          <w:noProof/>
          <w:highlight w:val="lightGray"/>
        </w:rPr>
      </w:pPr>
    </w:p>
    <w:p w14:paraId="2FAB733E" w14:textId="77777777" w:rsidR="00D97581" w:rsidRDefault="00D97581">
      <w:pPr>
        <w:rPr>
          <w:noProof/>
          <w:highlight w:val="lightGray"/>
        </w:rPr>
        <w:sectPr w:rsidR="00D97581">
          <w:headerReference w:type="even" r:id="rId21"/>
          <w:headerReference w:type="default" r:id="rId22"/>
          <w:footerReference w:type="even" r:id="rId23"/>
          <w:footerReference w:type="default" r:id="rId24"/>
          <w:headerReference w:type="first" r:id="rId25"/>
          <w:footerReference w:type="first" r:id="rId26"/>
          <w:endnotePr>
            <w:pos w:val="sectEnd"/>
            <w:numFmt w:val="lowerLetter"/>
          </w:endnotePr>
          <w:pgSz w:w="11907" w:h="16839" w:code="9"/>
          <w:pgMar w:top="1418" w:right="1418" w:bottom="1418" w:left="1418" w:header="680" w:footer="567" w:gutter="0"/>
          <w:cols w:space="720"/>
          <w:docGrid w:linePitch="272"/>
        </w:sectPr>
      </w:pPr>
      <w:bookmarkStart w:id="2" w:name="_Toc132903426"/>
      <w:bookmarkStart w:id="3" w:name="_Toc130832307"/>
      <w:bookmarkStart w:id="4" w:name="_Toc133392831"/>
      <w:bookmarkStart w:id="5" w:name="_Toc133572738"/>
      <w:bookmarkStart w:id="6" w:name="_Toc134612004"/>
      <w:bookmarkStart w:id="7" w:name="_Toc130388578"/>
    </w:p>
    <w:p w14:paraId="5F70E238" w14:textId="77777777" w:rsidR="00D97581" w:rsidRPr="00AC11E0" w:rsidRDefault="0060377B">
      <w:pPr>
        <w:pStyle w:val="H1-AboutEU"/>
        <w:spacing w:before="0"/>
        <w:rPr>
          <w:noProof/>
        </w:rPr>
      </w:pPr>
      <w:bookmarkStart w:id="8" w:name="_Toc135859096"/>
      <w:bookmarkStart w:id="9" w:name="_Toc136590940"/>
      <w:bookmarkStart w:id="10" w:name="_Toc137805729"/>
      <w:bookmarkStart w:id="11" w:name="_Toc164261748"/>
      <w:bookmarkStart w:id="12" w:name="_Toc165034670"/>
      <w:bookmarkStart w:id="13" w:name="_Toc169165997"/>
      <w:bookmarkStart w:id="14" w:name="_Toc169603438"/>
      <w:bookmarkStart w:id="15" w:name="_Toc200980324"/>
      <w:bookmarkStart w:id="16" w:name="_Toc224561137"/>
      <w:bookmarkStart w:id="17" w:name="_Toc224822019"/>
      <w:bookmarkEnd w:id="2"/>
      <w:bookmarkEnd w:id="3"/>
      <w:bookmarkEnd w:id="4"/>
      <w:bookmarkEnd w:id="5"/>
      <w:bookmarkEnd w:id="6"/>
      <w:r w:rsidRPr="00AC11E0">
        <w:rPr>
          <w:noProof/>
        </w:rPr>
        <w:t>Cuprins</w:t>
      </w:r>
      <w:bookmarkEnd w:id="8"/>
      <w:bookmarkEnd w:id="9"/>
      <w:bookmarkEnd w:id="10"/>
      <w:bookmarkEnd w:id="11"/>
      <w:bookmarkEnd w:id="12"/>
      <w:bookmarkEnd w:id="13"/>
      <w:bookmarkEnd w:id="14"/>
      <w:bookmarkEnd w:id="15"/>
      <w:bookmarkEnd w:id="16"/>
      <w:bookmarkEnd w:id="17"/>
    </w:p>
    <w:p w14:paraId="08A3703D" w14:textId="2B2BDB33" w:rsidR="00D97581" w:rsidRPr="00765A89" w:rsidRDefault="0060377B">
      <w:pPr>
        <w:pStyle w:val="TOC1"/>
        <w:rPr>
          <w:noProof/>
          <w:color w:val="003399" w:themeColor="hyperlink"/>
          <w:u w:val="single"/>
        </w:rPr>
      </w:pPr>
      <w:r w:rsidRPr="00AC11E0">
        <w:rPr>
          <w:caps w:val="0"/>
          <w:noProof/>
          <w:color w:val="000000" w:themeColor="text1"/>
          <w:sz w:val="18"/>
          <w:shd w:val="clear" w:color="auto" w:fill="E6E6E6"/>
        </w:rPr>
        <w:fldChar w:fldCharType="begin" w:fldLock="1"/>
      </w:r>
      <w:r w:rsidRPr="00AC11E0">
        <w:rPr>
          <w:caps w:val="0"/>
          <w:noProof/>
          <w:color w:val="000000" w:themeColor="text1"/>
          <w:sz w:val="18"/>
          <w:shd w:val="clear" w:color="auto" w:fill="E6E6E6"/>
        </w:rPr>
        <w:instrText xml:space="preserve"> TOC \h \z \t "Heading 1,1,TOC Heading,1" </w:instrText>
      </w:r>
      <w:r w:rsidRPr="00AC11E0">
        <w:rPr>
          <w:caps w:val="0"/>
          <w:noProof/>
          <w:color w:val="000000" w:themeColor="text1"/>
          <w:sz w:val="18"/>
          <w:shd w:val="clear" w:color="auto" w:fill="E6E6E6"/>
        </w:rPr>
        <w:fldChar w:fldCharType="separate"/>
      </w:r>
      <w:hyperlink w:anchor="_Toc231479440" w:history="1">
        <w:r w:rsidR="000769AB" w:rsidRPr="00765A89">
          <w:rPr>
            <w:rStyle w:val="Hyperlink"/>
            <w:noProof/>
          </w:rPr>
          <w:t>Bugetul UE: gestionarea crizelor, obținerea de rezultate</w:t>
        </w:r>
        <w:r w:rsidR="00D97581" w:rsidRPr="00765A89">
          <w:rPr>
            <w:rStyle w:val="Hyperlink"/>
            <w:noProof/>
          </w:rPr>
          <w:tab/>
        </w:r>
        <w:r w:rsidR="00D97581" w:rsidRPr="00765A89">
          <w:rPr>
            <w:rStyle w:val="Hyperlink"/>
            <w:noProof/>
            <w:webHidden/>
          </w:rPr>
          <w:fldChar w:fldCharType="begin" w:fldLock="1"/>
        </w:r>
        <w:r w:rsidR="00D97581" w:rsidRPr="00765A89">
          <w:rPr>
            <w:rStyle w:val="Hyperlink"/>
            <w:noProof/>
            <w:webHidden/>
          </w:rPr>
          <w:instrText xml:space="preserve"> PAGEREF _Toc231479440 \h </w:instrText>
        </w:r>
        <w:r w:rsidR="00D97581" w:rsidRPr="00765A89">
          <w:rPr>
            <w:rStyle w:val="Hyperlink"/>
            <w:noProof/>
            <w:webHidden/>
          </w:rPr>
        </w:r>
        <w:r w:rsidR="00D97581" w:rsidRPr="00765A89">
          <w:rPr>
            <w:rStyle w:val="Hyperlink"/>
            <w:noProof/>
            <w:webHidden/>
          </w:rPr>
          <w:fldChar w:fldCharType="separate"/>
        </w:r>
        <w:r w:rsidR="00D97581" w:rsidRPr="00765A89">
          <w:rPr>
            <w:rStyle w:val="Hyperlink"/>
            <w:noProof/>
            <w:webHidden/>
          </w:rPr>
          <w:t>5</w:t>
        </w:r>
        <w:r w:rsidR="00D97581" w:rsidRPr="00765A89">
          <w:rPr>
            <w:rStyle w:val="Hyperlink"/>
            <w:noProof/>
            <w:webHidden/>
          </w:rPr>
          <w:fldChar w:fldCharType="end"/>
        </w:r>
      </w:hyperlink>
    </w:p>
    <w:p w14:paraId="01158B3D" w14:textId="33CFA12A" w:rsidR="00D97581" w:rsidRPr="00765A89" w:rsidRDefault="008C2729">
      <w:pPr>
        <w:pStyle w:val="TOC1"/>
        <w:rPr>
          <w:noProof/>
          <w:color w:val="003399" w:themeColor="hyperlink"/>
          <w:u w:val="single"/>
        </w:rPr>
      </w:pPr>
      <w:hyperlink w:anchor="_Toc231479441" w:history="1">
        <w:r w:rsidR="000769AB" w:rsidRPr="00765A89">
          <w:rPr>
            <w:rStyle w:val="Hyperlink"/>
            <w:noProof/>
          </w:rPr>
          <w:t>Contribuția bugetului UE la prioritățile orizontale</w:t>
        </w:r>
        <w:r w:rsidR="00D97581" w:rsidRPr="00765A89">
          <w:rPr>
            <w:rStyle w:val="Hyperlink"/>
            <w:noProof/>
          </w:rPr>
          <w:tab/>
        </w:r>
        <w:r w:rsidR="00D97581" w:rsidRPr="00765A89">
          <w:rPr>
            <w:rStyle w:val="Hyperlink"/>
            <w:noProof/>
            <w:webHidden/>
          </w:rPr>
          <w:fldChar w:fldCharType="begin" w:fldLock="1"/>
        </w:r>
        <w:r w:rsidR="00D97581" w:rsidRPr="00765A89">
          <w:rPr>
            <w:rStyle w:val="Hyperlink"/>
            <w:noProof/>
            <w:webHidden/>
          </w:rPr>
          <w:instrText xml:space="preserve"> PAGEREF _Toc231479441 \h </w:instrText>
        </w:r>
        <w:r w:rsidR="00D97581" w:rsidRPr="00765A89">
          <w:rPr>
            <w:rStyle w:val="Hyperlink"/>
            <w:noProof/>
            <w:webHidden/>
          </w:rPr>
        </w:r>
        <w:r w:rsidR="00D97581" w:rsidRPr="00765A89">
          <w:rPr>
            <w:rStyle w:val="Hyperlink"/>
            <w:noProof/>
            <w:webHidden/>
          </w:rPr>
          <w:fldChar w:fldCharType="separate"/>
        </w:r>
        <w:r w:rsidR="00D97581" w:rsidRPr="00765A89">
          <w:rPr>
            <w:rStyle w:val="Hyperlink"/>
            <w:noProof/>
            <w:webHidden/>
          </w:rPr>
          <w:t>1</w:t>
        </w:r>
        <w:r w:rsidR="00AE012D">
          <w:rPr>
            <w:rStyle w:val="Hyperlink"/>
            <w:noProof/>
            <w:webHidden/>
          </w:rPr>
          <w:t>6</w:t>
        </w:r>
        <w:r w:rsidR="00D97581" w:rsidRPr="00765A89">
          <w:rPr>
            <w:rStyle w:val="Hyperlink"/>
            <w:noProof/>
            <w:webHidden/>
          </w:rPr>
          <w:fldChar w:fldCharType="end"/>
        </w:r>
      </w:hyperlink>
    </w:p>
    <w:p w14:paraId="328B43AE" w14:textId="5B40BA79" w:rsidR="00D97581" w:rsidRPr="00AC11E0" w:rsidRDefault="008C2729">
      <w:pPr>
        <w:pStyle w:val="TOC1"/>
        <w:rPr>
          <w:rFonts w:asciiTheme="minorHAnsi" w:eastAsiaTheme="minorEastAsia" w:hAnsiTheme="minorHAnsi"/>
          <w:caps w:val="0"/>
          <w:noProof/>
          <w:sz w:val="24"/>
        </w:rPr>
      </w:pPr>
      <w:hyperlink w:anchor="_Toc231479442" w:history="1">
        <w:r w:rsidR="000769AB" w:rsidRPr="00765A89">
          <w:rPr>
            <w:rStyle w:val="Hyperlink"/>
            <w:noProof/>
          </w:rPr>
          <w:t>NextGenerationEU stimulează reformele și investițiile prin intermediul planurilor de redresare și reziliență</w:t>
        </w:r>
        <w:r w:rsidR="00D97581" w:rsidRPr="00765A89">
          <w:rPr>
            <w:rStyle w:val="Hyperlink"/>
            <w:noProof/>
          </w:rPr>
          <w:tab/>
        </w:r>
        <w:r w:rsidR="00D97581" w:rsidRPr="00765A89">
          <w:rPr>
            <w:rStyle w:val="Hyperlink"/>
            <w:noProof/>
            <w:webHidden/>
          </w:rPr>
          <w:fldChar w:fldCharType="begin" w:fldLock="1"/>
        </w:r>
        <w:r w:rsidR="00D97581" w:rsidRPr="00765A89">
          <w:rPr>
            <w:rStyle w:val="Hyperlink"/>
            <w:noProof/>
            <w:webHidden/>
          </w:rPr>
          <w:instrText xml:space="preserve"> PAGEREF _Toc231479442 \h </w:instrText>
        </w:r>
        <w:r w:rsidR="00D97581" w:rsidRPr="00765A89">
          <w:rPr>
            <w:rStyle w:val="Hyperlink"/>
            <w:noProof/>
            <w:webHidden/>
          </w:rPr>
        </w:r>
        <w:r w:rsidR="00D97581" w:rsidRPr="00765A89">
          <w:rPr>
            <w:rStyle w:val="Hyperlink"/>
            <w:noProof/>
            <w:webHidden/>
          </w:rPr>
          <w:fldChar w:fldCharType="separate"/>
        </w:r>
        <w:r w:rsidR="00D97581" w:rsidRPr="00765A89">
          <w:rPr>
            <w:rStyle w:val="Hyperlink"/>
            <w:noProof/>
            <w:webHidden/>
          </w:rPr>
          <w:t>1</w:t>
        </w:r>
        <w:r w:rsidR="00AE012D">
          <w:rPr>
            <w:rStyle w:val="Hyperlink"/>
            <w:noProof/>
            <w:webHidden/>
          </w:rPr>
          <w:t>9</w:t>
        </w:r>
        <w:r w:rsidR="00D97581" w:rsidRPr="00765A89">
          <w:rPr>
            <w:rStyle w:val="Hyperlink"/>
            <w:noProof/>
            <w:webHidden/>
          </w:rPr>
          <w:fldChar w:fldCharType="end"/>
        </w:r>
      </w:hyperlink>
    </w:p>
    <w:p w14:paraId="23B03D9C" w14:textId="476D5344" w:rsidR="00D97581" w:rsidRPr="00AC11E0" w:rsidRDefault="000769AB">
      <w:pPr>
        <w:pStyle w:val="TOC1"/>
        <w:rPr>
          <w:rFonts w:asciiTheme="minorHAnsi" w:eastAsiaTheme="minorEastAsia" w:hAnsiTheme="minorHAnsi"/>
          <w:caps w:val="0"/>
          <w:noProof/>
          <w:sz w:val="24"/>
        </w:rPr>
      </w:pPr>
      <w:r w:rsidRPr="00AC11E0">
        <w:rPr>
          <w:noProof/>
        </w:rPr>
        <w:t>Instrumente eficace care garantează că bugetul UE este bine gestionat și protejat</w:t>
      </w:r>
      <w:hyperlink w:anchor="_Toc231479443" w:history="1">
        <w:r w:rsidR="00D97581" w:rsidRPr="00AC11E0">
          <w:rPr>
            <w:noProof/>
          </w:rPr>
          <w:tab/>
        </w:r>
        <w:r w:rsidR="00D97581" w:rsidRPr="00AC11E0">
          <w:rPr>
            <w:noProof/>
            <w:webHidden/>
          </w:rPr>
          <w:fldChar w:fldCharType="begin" w:fldLock="1"/>
        </w:r>
        <w:r w:rsidR="00D97581" w:rsidRPr="00AC11E0">
          <w:rPr>
            <w:noProof/>
            <w:webHidden/>
          </w:rPr>
          <w:instrText xml:space="preserve"> PAGEREF _Toc231479443 \h </w:instrText>
        </w:r>
        <w:r w:rsidR="00D97581" w:rsidRPr="00AC11E0">
          <w:rPr>
            <w:noProof/>
            <w:webHidden/>
          </w:rPr>
        </w:r>
        <w:r w:rsidR="00D97581" w:rsidRPr="00AC11E0">
          <w:rPr>
            <w:noProof/>
            <w:webHidden/>
          </w:rPr>
          <w:fldChar w:fldCharType="separate"/>
        </w:r>
        <w:r w:rsidR="00D97581" w:rsidRPr="00AC11E0">
          <w:rPr>
            <w:noProof/>
            <w:webHidden/>
          </w:rPr>
          <w:t>2</w:t>
        </w:r>
        <w:r w:rsidR="00AE012D">
          <w:rPr>
            <w:noProof/>
            <w:webHidden/>
          </w:rPr>
          <w:t>2</w:t>
        </w:r>
        <w:r w:rsidR="00D97581" w:rsidRPr="00AC11E0">
          <w:rPr>
            <w:noProof/>
            <w:webHidden/>
          </w:rPr>
          <w:fldChar w:fldCharType="end"/>
        </w:r>
      </w:hyperlink>
    </w:p>
    <w:p w14:paraId="3B384F05" w14:textId="1548EFD6" w:rsidR="00D97581" w:rsidRPr="00765A89" w:rsidRDefault="008C2729">
      <w:pPr>
        <w:pStyle w:val="TOC1"/>
        <w:rPr>
          <w:noProof/>
          <w:color w:val="003399" w:themeColor="hyperlink"/>
          <w:u w:val="single"/>
        </w:rPr>
      </w:pPr>
      <w:hyperlink w:anchor="_Toc231479444" w:history="1">
        <w:r w:rsidR="000769AB" w:rsidRPr="00765A89">
          <w:rPr>
            <w:rStyle w:val="Hyperlink"/>
            <w:noProof/>
          </w:rPr>
          <w:t xml:space="preserve">Regimul de condiționalitate contribuie în continuare la protecția </w:t>
        </w:r>
        <w:r w:rsidR="000769AB" w:rsidRPr="00765A89">
          <w:rPr>
            <w:rStyle w:val="Hyperlink"/>
            <w:noProof/>
          </w:rPr>
          <w:br/>
          <w:t>intereselor financiare ale UE</w:t>
        </w:r>
        <w:r w:rsidR="00D97581" w:rsidRPr="00765A89">
          <w:rPr>
            <w:rStyle w:val="Hyperlink"/>
            <w:noProof/>
          </w:rPr>
          <w:tab/>
        </w:r>
        <w:r w:rsidR="00D97581" w:rsidRPr="00765A89">
          <w:rPr>
            <w:rStyle w:val="Hyperlink"/>
            <w:noProof/>
            <w:webHidden/>
          </w:rPr>
          <w:fldChar w:fldCharType="begin" w:fldLock="1"/>
        </w:r>
        <w:r w:rsidR="00D97581" w:rsidRPr="00765A89">
          <w:rPr>
            <w:rStyle w:val="Hyperlink"/>
            <w:noProof/>
            <w:webHidden/>
          </w:rPr>
          <w:instrText xml:space="preserve"> PAGEREF _Toc231479444 \h </w:instrText>
        </w:r>
        <w:r w:rsidR="00D97581" w:rsidRPr="00765A89">
          <w:rPr>
            <w:rStyle w:val="Hyperlink"/>
            <w:noProof/>
            <w:webHidden/>
          </w:rPr>
        </w:r>
        <w:r w:rsidR="00D97581" w:rsidRPr="00765A89">
          <w:rPr>
            <w:rStyle w:val="Hyperlink"/>
            <w:noProof/>
            <w:webHidden/>
          </w:rPr>
          <w:fldChar w:fldCharType="separate"/>
        </w:r>
        <w:r w:rsidR="00AE012D">
          <w:rPr>
            <w:rStyle w:val="Hyperlink"/>
            <w:noProof/>
            <w:webHidden/>
          </w:rPr>
          <w:t>31</w:t>
        </w:r>
        <w:r w:rsidR="00D97581" w:rsidRPr="00765A89">
          <w:rPr>
            <w:rStyle w:val="Hyperlink"/>
            <w:noProof/>
            <w:webHidden/>
          </w:rPr>
          <w:fldChar w:fldCharType="end"/>
        </w:r>
      </w:hyperlink>
    </w:p>
    <w:p w14:paraId="7A3C3DA1" w14:textId="7E7E7753" w:rsidR="00D97581" w:rsidRPr="00765A89" w:rsidRDefault="008C2729">
      <w:pPr>
        <w:pStyle w:val="TOC1"/>
        <w:rPr>
          <w:noProof/>
          <w:color w:val="003399" w:themeColor="hyperlink"/>
          <w:u w:val="single"/>
        </w:rPr>
      </w:pPr>
      <w:hyperlink w:anchor="_Toc231479445" w:history="1">
        <w:r w:rsidR="000769AB" w:rsidRPr="00765A89">
          <w:rPr>
            <w:rStyle w:val="Hyperlink"/>
            <w:noProof/>
          </w:rPr>
          <w:t>Concluzie privind gestiunea</w:t>
        </w:r>
        <w:r w:rsidR="00D97581" w:rsidRPr="00765A89">
          <w:rPr>
            <w:rStyle w:val="Hyperlink"/>
            <w:noProof/>
          </w:rPr>
          <w:tab/>
        </w:r>
        <w:r w:rsidR="00D97581" w:rsidRPr="00765A89">
          <w:rPr>
            <w:rStyle w:val="Hyperlink"/>
            <w:noProof/>
            <w:webHidden/>
          </w:rPr>
          <w:fldChar w:fldCharType="begin" w:fldLock="1"/>
        </w:r>
        <w:r w:rsidR="00D97581" w:rsidRPr="00765A89">
          <w:rPr>
            <w:rStyle w:val="Hyperlink"/>
            <w:noProof/>
            <w:webHidden/>
          </w:rPr>
          <w:instrText xml:space="preserve"> PAGEREF _Toc231479445 \h </w:instrText>
        </w:r>
        <w:r w:rsidR="00D97581" w:rsidRPr="00765A89">
          <w:rPr>
            <w:rStyle w:val="Hyperlink"/>
            <w:noProof/>
            <w:webHidden/>
          </w:rPr>
        </w:r>
        <w:r w:rsidR="00D97581" w:rsidRPr="00765A89">
          <w:rPr>
            <w:rStyle w:val="Hyperlink"/>
            <w:noProof/>
            <w:webHidden/>
          </w:rPr>
          <w:fldChar w:fldCharType="separate"/>
        </w:r>
        <w:r w:rsidR="00D97581" w:rsidRPr="00765A89">
          <w:rPr>
            <w:rStyle w:val="Hyperlink"/>
            <w:noProof/>
            <w:webHidden/>
          </w:rPr>
          <w:t>3</w:t>
        </w:r>
        <w:r w:rsidR="00AE012D">
          <w:rPr>
            <w:rStyle w:val="Hyperlink"/>
            <w:noProof/>
            <w:webHidden/>
          </w:rPr>
          <w:t>2</w:t>
        </w:r>
        <w:r w:rsidR="00D97581" w:rsidRPr="00765A89">
          <w:rPr>
            <w:rStyle w:val="Hyperlink"/>
            <w:noProof/>
            <w:webHidden/>
          </w:rPr>
          <w:fldChar w:fldCharType="end"/>
        </w:r>
      </w:hyperlink>
    </w:p>
    <w:p w14:paraId="741544AB" w14:textId="77777777" w:rsidR="00D97581" w:rsidRDefault="0060377B">
      <w:pPr>
        <w:rPr>
          <w:noProof/>
        </w:rPr>
      </w:pPr>
      <w:r w:rsidRPr="00AC11E0">
        <w:rPr>
          <w:rFonts w:eastAsiaTheme="minorHAnsi" w:cstheme="minorBidi"/>
          <w:b/>
          <w:caps/>
          <w:noProof/>
          <w:color w:val="000000" w:themeColor="text1"/>
          <w:sz w:val="18"/>
          <w:shd w:val="clear" w:color="auto" w:fill="E6E6E6"/>
        </w:rPr>
        <w:fldChar w:fldCharType="end"/>
      </w:r>
    </w:p>
    <w:p w14:paraId="6EF845A3" w14:textId="77777777" w:rsidR="00D97581" w:rsidRDefault="00D97581">
      <w:pPr>
        <w:spacing w:before="120" w:after="120"/>
        <w:rPr>
          <w:noProof/>
          <w:highlight w:val="lightGray"/>
        </w:rPr>
        <w:sectPr w:rsidR="00D97581">
          <w:headerReference w:type="even" r:id="rId27"/>
          <w:headerReference w:type="default" r:id="rId28"/>
          <w:footerReference w:type="even" r:id="rId29"/>
          <w:footerReference w:type="default" r:id="rId30"/>
          <w:headerReference w:type="first" r:id="rId31"/>
          <w:footerReference w:type="first" r:id="rId32"/>
          <w:endnotePr>
            <w:pos w:val="sectEnd"/>
            <w:numFmt w:val="lowerLetter"/>
          </w:endnotePr>
          <w:pgSz w:w="11907" w:h="16839" w:code="9"/>
          <w:pgMar w:top="1418" w:right="1418" w:bottom="1418" w:left="1418" w:header="680" w:footer="567" w:gutter="0"/>
          <w:pgNumType w:start="3"/>
          <w:cols w:space="720"/>
          <w:docGrid w:linePitch="272"/>
        </w:sectPr>
      </w:pPr>
    </w:p>
    <w:p w14:paraId="45945F3F" w14:textId="77777777" w:rsidR="00D97581" w:rsidRDefault="00D97581">
      <w:pPr>
        <w:rPr>
          <w:noProof/>
          <w:highlight w:val="lightGray"/>
        </w:rPr>
      </w:pPr>
      <w:bookmarkStart w:id="18" w:name="_Toc130576968"/>
      <w:bookmarkStart w:id="19" w:name="_Toc130821452"/>
    </w:p>
    <w:p w14:paraId="6816D66A" w14:textId="77777777" w:rsidR="00D97581" w:rsidRDefault="00D97581">
      <w:pPr>
        <w:rPr>
          <w:noProof/>
          <w:highlight w:val="lightGray"/>
        </w:rPr>
        <w:sectPr w:rsidR="00D97581">
          <w:headerReference w:type="even" r:id="rId33"/>
          <w:headerReference w:type="default" r:id="rId34"/>
          <w:footerReference w:type="even" r:id="rId35"/>
          <w:footerReference w:type="default" r:id="rId36"/>
          <w:headerReference w:type="first" r:id="rId37"/>
          <w:footerReference w:type="first" r:id="rId38"/>
          <w:endnotePr>
            <w:pos w:val="sectEnd"/>
            <w:numFmt w:val="lowerLetter"/>
          </w:endnotePr>
          <w:pgSz w:w="11907" w:h="16839" w:code="9"/>
          <w:pgMar w:top="1418" w:right="1418" w:bottom="1418" w:left="1418" w:header="680" w:footer="567" w:gutter="0"/>
          <w:cols w:space="720"/>
        </w:sectPr>
      </w:pPr>
    </w:p>
    <w:p w14:paraId="4F2C9B3D" w14:textId="77777777" w:rsidR="00D97581" w:rsidRPr="00AC11E0" w:rsidRDefault="0060377B">
      <w:pPr>
        <w:pStyle w:val="Heading1"/>
        <w:spacing w:before="0"/>
        <w:rPr>
          <w:noProof/>
        </w:rPr>
      </w:pPr>
      <w:bookmarkStart w:id="20" w:name="_Toc231479440"/>
      <w:bookmarkEnd w:id="7"/>
      <w:bookmarkEnd w:id="18"/>
      <w:bookmarkEnd w:id="19"/>
      <w:r w:rsidRPr="00AC11E0">
        <w:rPr>
          <w:noProof/>
        </w:rPr>
        <w:t>Bugetul UE: gestionarea crizelor, obținerea de rezultate</w:t>
      </w:r>
      <w:bookmarkEnd w:id="20"/>
    </w:p>
    <w:p w14:paraId="7D4C613A" w14:textId="77777777" w:rsidR="00D97581" w:rsidRDefault="0060377B">
      <w:pPr>
        <w:pStyle w:val="Heading2"/>
        <w:rPr>
          <w:noProof/>
        </w:rPr>
      </w:pPr>
      <w:r>
        <w:rPr>
          <w:noProof/>
        </w:rPr>
        <w:t>Introducere</w:t>
      </w:r>
    </w:p>
    <w:p w14:paraId="763AE7C0" w14:textId="77777777" w:rsidR="00D97581" w:rsidRDefault="0060377B">
      <w:pPr>
        <w:rPr>
          <w:noProof/>
        </w:rPr>
      </w:pPr>
      <w:r w:rsidRPr="00AC11E0">
        <w:rPr>
          <w:rStyle w:val="Bold"/>
          <w:noProof/>
        </w:rPr>
        <w:t xml:space="preserve">Anul 2025 a fost marcat de incertitudine geopolitică, de intensificarea concurenței economice și de adâncirea conflictelor, inclusiv de războiul ilegal și continuu de agresiune al Rusiei împotriva Ucrainei. </w:t>
      </w:r>
      <w:r>
        <w:rPr>
          <w:noProof/>
        </w:rPr>
        <w:t xml:space="preserve">A fost, de asemenea, un an transformator pentru Uniunea Europeană (UE). UE și-a dublat eforturile de stimulare a competitivității economiei europene, de reducere a dependențelor strategice și de intensificare a cooperării în materie de securitate și apărare. În același timp, aceasta a continuat să producă rezultate pentru cetățeni și întreprinderi prin crearea mai multor oportunități și prin consolidarea drepturilor individuale. Privind spre viitor, Comisia Europeană a adoptat o propunere ambițioasă privind un </w:t>
      </w:r>
      <w:hyperlink r:id="rId39" w:history="1">
        <w:r w:rsidR="00D97581" w:rsidRPr="00765A89">
          <w:rPr>
            <w:rStyle w:val="Hyperlink"/>
            <w:noProof/>
          </w:rPr>
          <w:t>buget pe termen lung mai raționalizat, mai flexibil și cu un impact mai mare pentru perioada 2028-2034</w:t>
        </w:r>
      </w:hyperlink>
      <w:r>
        <w:rPr>
          <w:noProof/>
        </w:rPr>
        <w:t>, pe baza învățămintelor desprinse din actuala perioadă financiară (2021-2027).</w:t>
      </w:r>
    </w:p>
    <w:p w14:paraId="4CD9B05A" w14:textId="77777777" w:rsidR="00D97581" w:rsidRDefault="0060377B">
      <w:pPr>
        <w:rPr>
          <w:noProof/>
        </w:rPr>
      </w:pPr>
      <w:r w:rsidRPr="00AC11E0">
        <w:rPr>
          <w:rStyle w:val="Bold"/>
          <w:noProof/>
        </w:rPr>
        <w:t xml:space="preserve">În 2025, bugetul UE a contribuit la consolidarea competitivității UE </w:t>
      </w:r>
      <w:r>
        <w:rPr>
          <w:noProof/>
        </w:rPr>
        <w:t>prin furnizarea de sprijin sectoarelor strategice esențiale, prin investiții în infrastructura transfrontalieră și prin stimularea cercetării și inovării. Astfel, a continuat să sprijine mijloacele de subzistență și bunăstarea cetățenilor UE, oferind sprijin pentru crearea de locuri de muncă, consolidarea competențelor, educație, locuințe, energie, infrastructură și alte nevoi economice. Bugetul a contribuit, de asemenea, la modernizarea capabilităților de apărare și a colaborării, consolidând în același timp pregătirea, reziliența și capacitatea UE de a răspunde la crize.</w:t>
      </w:r>
    </w:p>
    <w:p w14:paraId="564F536C" w14:textId="77777777" w:rsidR="00D97581" w:rsidRDefault="0060377B">
      <w:pPr>
        <w:rPr>
          <w:noProof/>
        </w:rPr>
      </w:pPr>
      <w:r w:rsidRPr="00AC11E0">
        <w:rPr>
          <w:rStyle w:val="Bold"/>
          <w:noProof/>
        </w:rPr>
        <w:t>În plus, bugetul a continuat să stea la baza sprijinului de neclintit al UE pentru Ucraina</w:t>
      </w:r>
      <w:r>
        <w:rPr>
          <w:noProof/>
        </w:rPr>
        <w:t>, răspunzând nevoilor sale umanitare, economice, de redresare și reconstrucție, asigurând în același timp o asumare adecvată a răspunderii. De asemenea, a jucat un rol major în susținerea intereselor și valorilor UE pe scena mondială, oferind ajutor umanitar, sprijinind pacea și securitatea și consolidând parteneriatele strategice.</w:t>
      </w:r>
    </w:p>
    <w:p w14:paraId="3C403133" w14:textId="77777777" w:rsidR="00D97581" w:rsidRPr="00AC11E0" w:rsidRDefault="0060377B">
      <w:pPr>
        <w:rPr>
          <w:rStyle w:val="Bold"/>
          <w:noProof/>
        </w:rPr>
      </w:pPr>
      <w:r w:rsidRPr="00AC11E0">
        <w:rPr>
          <w:rStyle w:val="Bold"/>
          <w:noProof/>
        </w:rPr>
        <w:t xml:space="preserve">Totalul creditelor de angajament de la bugetul UE </w:t>
      </w:r>
      <w:r w:rsidRPr="00AC11E0">
        <w:rPr>
          <w:rStyle w:val="Bold"/>
          <w:noProof/>
          <w:shd w:val="clear" w:color="auto" w:fill="FFFFFF" w:themeFill="background1"/>
        </w:rPr>
        <w:t xml:space="preserve">s-a ridicat la 206,5 miliarde EUR </w:t>
      </w:r>
      <w:r w:rsidRPr="00AC11E0">
        <w:rPr>
          <w:rStyle w:val="Bold"/>
          <w:noProof/>
        </w:rPr>
        <w:t>în 2025</w:t>
      </w:r>
      <w:r w:rsidRPr="00AC11E0">
        <w:rPr>
          <w:rStyle w:val="Bold"/>
          <w:rFonts w:ascii="Calibri" w:hAnsi="Calibri" w:cs="Calibri"/>
          <w:noProof/>
        </w:rPr>
        <w:t> </w:t>
      </w:r>
      <w:r>
        <w:rPr>
          <w:rStyle w:val="Bold"/>
          <w:b w:val="0"/>
          <w:noProof/>
        </w:rPr>
        <w:t>(</w:t>
      </w:r>
      <w:r w:rsidRPr="00AC11E0">
        <w:rPr>
          <w:rStyle w:val="FootnoteReference"/>
          <w:b/>
          <w:bCs/>
          <w:noProof/>
          <w:spacing w:val="1"/>
        </w:rPr>
        <w:footnoteReference w:id="9"/>
      </w:r>
      <w:r>
        <w:rPr>
          <w:rStyle w:val="Bold"/>
          <w:b w:val="0"/>
          <w:noProof/>
        </w:rPr>
        <w:t>)</w:t>
      </w:r>
      <w:r w:rsidRPr="00AC11E0">
        <w:rPr>
          <w:rStyle w:val="Bold"/>
          <w:noProof/>
        </w:rPr>
        <w:t xml:space="preserve">. </w:t>
      </w:r>
    </w:p>
    <w:p w14:paraId="05AC38A3" w14:textId="77777777" w:rsidR="00D97581" w:rsidRDefault="0060377B">
      <w:pPr>
        <w:pStyle w:val="ImageTitle"/>
        <w:rPr>
          <w:noProof/>
        </w:rPr>
      </w:pPr>
      <w:r>
        <w:rPr>
          <w:noProof/>
        </w:rPr>
        <w:t>Cadrul financiar multianual: Creditele de angajament din bugetul UE pentru 2025, pe rubrici bugetare, din bugetul final adoptat (milioane EUR)</w:t>
      </w:r>
    </w:p>
    <w:p w14:paraId="3B058727" w14:textId="39739C9F" w:rsidR="00D97581" w:rsidRDefault="0060377B">
      <w:pPr>
        <w:pStyle w:val="ImagePlaceholder"/>
        <w:rPr>
          <w:noProof/>
        </w:rPr>
      </w:pPr>
      <w:r>
        <w:rPr>
          <w:noProof/>
        </w:rPr>
        <w:t xml:space="preserve"> </w:t>
      </w:r>
      <w:r w:rsidR="002469FC" w:rsidRPr="002469FC">
        <w:rPr>
          <w:noProof/>
          <w:lang w:val="en-GB"/>
        </w:rPr>
        <w:drawing>
          <wp:inline distT="0" distB="0" distL="0" distR="0" wp14:anchorId="234C56D5" wp14:editId="22172292">
            <wp:extent cx="4986000" cy="2563200"/>
            <wp:effectExtent l="0" t="0" r="5715" b="8890"/>
            <wp:docPr id="20688260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826075" name=""/>
                    <pic:cNvPicPr/>
                  </pic:nvPicPr>
                  <pic:blipFill>
                    <a:blip r:embed="rId40"/>
                    <a:stretch>
                      <a:fillRect/>
                    </a:stretch>
                  </pic:blipFill>
                  <pic:spPr>
                    <a:xfrm>
                      <a:off x="0" y="0"/>
                      <a:ext cx="4986000" cy="2563200"/>
                    </a:xfrm>
                    <a:prstGeom prst="rect">
                      <a:avLst/>
                    </a:prstGeom>
                  </pic:spPr>
                </pic:pic>
              </a:graphicData>
            </a:graphic>
          </wp:inline>
        </w:drawing>
      </w:r>
    </w:p>
    <w:p w14:paraId="5E1EB703" w14:textId="77777777" w:rsidR="00D97581" w:rsidRDefault="0060377B">
      <w:pPr>
        <w:pStyle w:val="ImageNotes"/>
        <w:rPr>
          <w:noProof/>
        </w:rPr>
      </w:pPr>
      <w:r w:rsidRPr="00AC11E0">
        <w:rPr>
          <w:rStyle w:val="Italic"/>
          <w:noProof/>
        </w:rPr>
        <w:t>Sursa:</w:t>
      </w:r>
      <w:r>
        <w:rPr>
          <w:noProof/>
        </w:rPr>
        <w:t xml:space="preserve"> Comisia Europeană.</w:t>
      </w:r>
    </w:p>
    <w:p w14:paraId="5B5FD1BE" w14:textId="77777777" w:rsidR="00D97581" w:rsidRDefault="0060377B">
      <w:pPr>
        <w:rPr>
          <w:noProof/>
        </w:rPr>
      </w:pPr>
      <w:r w:rsidRPr="00AC11E0">
        <w:rPr>
          <w:rStyle w:val="Bold"/>
          <w:noProof/>
        </w:rPr>
        <w:t>Pe tot parcursul anului, flexibilitatea limitată a bugetului UE a fost utilizată pentru a răspunde crizelor și pentru a sprijini noi priorități</w:t>
      </w:r>
      <w:r>
        <w:rPr>
          <w:noProof/>
        </w:rPr>
        <w:t>. De exemplu, în contextul evaluării la jumătatea perioadei a politicii de coeziune, Comisia a propus, iar colegiuitorii au adoptat o serie de modificări specifice ale reglementărilor care introduc o mai mare flexibilitate și stimulente pentru a alinia investițiile politicii de coeziune la noile priorități ale Uniunii, în special apărarea și securitatea, competitivitatea și decarbonizarea, locuințele, reziliența în domeniul apei, tranziția energetică și provocările cu care se confruntă regiunile frontaliere estice.</w:t>
      </w:r>
    </w:p>
    <w:p w14:paraId="05FE5632" w14:textId="77777777" w:rsidR="00D97581" w:rsidRDefault="0060377B">
      <w:pPr>
        <w:rPr>
          <w:noProof/>
        </w:rPr>
      </w:pPr>
      <w:r w:rsidRPr="00AC11E0">
        <w:rPr>
          <w:b/>
          <w:noProof/>
        </w:rPr>
        <w:t>Cu toate acestea, numărul și amploarea provocărilor neprevăzute de la începutul cadrului financiar multianual 2021-2027 au depășit flexibilitatea limitată a bugetului UE</w:t>
      </w:r>
      <w:r>
        <w:rPr>
          <w:noProof/>
        </w:rPr>
        <w:t xml:space="preserve">, care s-a diminuat și mai mult pe măsură ce execuția bugetară a progresat, nelăsând aproape niciun fond nealocat, cu doi ani înainte de încheierea ciclului actual. Acesta este motivul pentru care Comisia a propus un buget pe termen lung mai flexibil pentru perioada 2028-2034, capabil să se adapteze pe măsură ce nevoile și prioritățile evoluează, continuând, în același timp, să ofere previzibilitatea necesară pentru investițiile pe termen lung. </w:t>
      </w:r>
    </w:p>
    <w:p w14:paraId="093D6C6C" w14:textId="77777777" w:rsidR="00D97581" w:rsidRDefault="0060377B">
      <w:pPr>
        <w:pStyle w:val="amprboxBLUEBoxTitle"/>
        <w:rPr>
          <w:noProof/>
        </w:rPr>
      </w:pPr>
      <w:r w:rsidRPr="00AC11E0">
        <w:rPr>
          <w:rStyle w:val="Bold"/>
          <w:noProof/>
        </w:rPr>
        <w:t xml:space="preserve">Propunere privind </w:t>
      </w:r>
      <w:r>
        <w:rPr>
          <w:noProof/>
        </w:rPr>
        <w:t>cadrul financiar multianual 2028-2034</w:t>
      </w:r>
    </w:p>
    <w:p w14:paraId="14751DD0" w14:textId="77777777" w:rsidR="00D97581" w:rsidRDefault="0060377B">
      <w:pPr>
        <w:pStyle w:val="amprboxBLUEtext"/>
        <w:rPr>
          <w:noProof/>
        </w:rPr>
      </w:pPr>
      <w:r w:rsidRPr="00AC11E0">
        <w:rPr>
          <w:rStyle w:val="Bold"/>
          <w:noProof/>
        </w:rPr>
        <w:t>Bugetul UE asigură faptul că UE dispune de mijloacele necesare pentru a-și îndeplini prioritățile.</w:t>
      </w:r>
      <w:r>
        <w:rPr>
          <w:noProof/>
        </w:rPr>
        <w:t xml:space="preserve"> În 2025, Comisia a propus un buget pe termen lung pentru perioada 2028-2034, care este ambițios atât ca dimensiune, cât și ca structură. Acesta se ridică la aproape 2 mii de miliarde EUR (1,26 % din venitul național brut al UE), inclusiv aproximativ 25 de miliarde EUR anual (0,11 % din venitul național brut al UE) pentru rambursarea împrumuturilor utilizate pentru finanțarea NextGenerationEU. Acesta este mai simplu și mai flexibil, cu mai puține programe pentru a reduce riscul de suprapuneri, împreună cu norme armonizate și o mai mare flexibilitate intrinsecă. Această abordare modernizată va permite o capacitate sporită de a reacționa la circumstanțele în schimbare și un accent mai puternic pe performanță și rezultate.</w:t>
      </w:r>
    </w:p>
    <w:p w14:paraId="6C057F57" w14:textId="77777777" w:rsidR="00D97581" w:rsidRPr="00AC11E0" w:rsidRDefault="0060377B">
      <w:pPr>
        <w:pStyle w:val="amprboxBLUEtext"/>
        <w:rPr>
          <w:rStyle w:val="Bold"/>
          <w:noProof/>
        </w:rPr>
      </w:pPr>
      <w:r w:rsidRPr="00AC11E0">
        <w:rPr>
          <w:rStyle w:val="Bold"/>
          <w:noProof/>
        </w:rPr>
        <w:t>Propunerea se bazează pe trei piloni principali:</w:t>
      </w:r>
    </w:p>
    <w:p w14:paraId="29F31116" w14:textId="77777777" w:rsidR="00D97581" w:rsidRDefault="0060377B">
      <w:pPr>
        <w:pStyle w:val="amprboxBLUEbulletlist"/>
        <w:rPr>
          <w:noProof/>
        </w:rPr>
      </w:pPr>
      <w:r>
        <w:rPr>
          <w:noProof/>
        </w:rPr>
        <w:t xml:space="preserve">promovarea realizării priorităților UE la nivel local, regional și național prin noile </w:t>
      </w:r>
      <w:r w:rsidRPr="00AC11E0">
        <w:rPr>
          <w:rStyle w:val="Bold"/>
          <w:noProof/>
        </w:rPr>
        <w:t>planuri de parteneriat național și regional</w:t>
      </w:r>
      <w:r>
        <w:rPr>
          <w:noProof/>
        </w:rPr>
        <w:t>, în valoare de 865 de miliarde EUR;</w:t>
      </w:r>
    </w:p>
    <w:p w14:paraId="6CE342CB" w14:textId="77777777" w:rsidR="00D97581" w:rsidRDefault="0060377B">
      <w:pPr>
        <w:pStyle w:val="amprboxBLUEbulletlist"/>
        <w:rPr>
          <w:noProof/>
        </w:rPr>
      </w:pPr>
      <w:r>
        <w:rPr>
          <w:noProof/>
        </w:rPr>
        <w:t xml:space="preserve">realizarea unei Europe mai competitive prin intermediul </w:t>
      </w:r>
      <w:r w:rsidRPr="00AC11E0">
        <w:rPr>
          <w:rStyle w:val="Bold"/>
          <w:noProof/>
        </w:rPr>
        <w:t>Fondului european pentru competitivitate și al programului Orizont Europa</w:t>
      </w:r>
      <w:r>
        <w:rPr>
          <w:noProof/>
        </w:rPr>
        <w:t>, în valoare de 409 miliarde EUR;</w:t>
      </w:r>
    </w:p>
    <w:p w14:paraId="658662B9" w14:textId="77777777" w:rsidR="00D97581" w:rsidRDefault="0060377B">
      <w:pPr>
        <w:pStyle w:val="amprboxBLUEbulletlist"/>
        <w:rPr>
          <w:noProof/>
        </w:rPr>
      </w:pPr>
      <w:r>
        <w:rPr>
          <w:noProof/>
        </w:rPr>
        <w:t xml:space="preserve">construirea de parteneriate pe termen lung și reciproc avantajoase cu țări din afara UE prin intermediul instrumentului </w:t>
      </w:r>
      <w:r w:rsidRPr="00AC11E0">
        <w:rPr>
          <w:rStyle w:val="Bold"/>
          <w:noProof/>
        </w:rPr>
        <w:t>„Europa globală”</w:t>
      </w:r>
      <w:r>
        <w:rPr>
          <w:noProof/>
        </w:rPr>
        <w:t>, în valoare de 200 de miliarde EUR.</w:t>
      </w:r>
    </w:p>
    <w:p w14:paraId="6F865282" w14:textId="77777777" w:rsidR="00D97581" w:rsidRDefault="0060377B">
      <w:pPr>
        <w:pStyle w:val="amprboxBLUEtext"/>
        <w:rPr>
          <w:bCs/>
          <w:noProof/>
          <w:spacing w:val="1"/>
        </w:rPr>
      </w:pPr>
      <w:r>
        <w:rPr>
          <w:noProof/>
        </w:rPr>
        <w:t>Cei trei piloni principali sunt completați de alte programe, inclusiv de programele emblematice ale UE pentru investiții în infrastructură (Mecanismul pentru interconectarea Europei) și pentru investiții în oameni și valori (Erasmus+ și AgoraEU).</w:t>
      </w:r>
    </w:p>
    <w:p w14:paraId="0F18365F" w14:textId="77777777" w:rsidR="00D97581" w:rsidRDefault="0060377B">
      <w:pPr>
        <w:pStyle w:val="amprboxBLUEtext"/>
        <w:rPr>
          <w:noProof/>
          <w:spacing w:val="1"/>
        </w:rPr>
      </w:pPr>
      <w:r w:rsidRPr="00AC11E0">
        <w:rPr>
          <w:rStyle w:val="Bold"/>
          <w:noProof/>
        </w:rPr>
        <w:t>Propunerea prevede, de asemenea, o finanțare inovatoare prin intermediul noilor resurse proprii</w:t>
      </w:r>
      <w:r>
        <w:rPr>
          <w:noProof/>
        </w:rPr>
        <w:t>, pentru a reduce presiunea asupra bugetelor naționale. Aceste noi resurse proprii includ venituri din schema UE de comercializare a certificatelor de emisii, încasări din mecanismul de ajustare a carbonului la frontieră, o nouă resursă proprie bazată pe deșeurile electronice necolectate, o acciză pe tutun și o contribuție din partea întreprinderilor care își desfășoară activitatea și vând în UE și care au o cifră de afaceri netă de cel puțin 100 de milioane EUR.</w:t>
      </w:r>
    </w:p>
    <w:p w14:paraId="2EEA98C7" w14:textId="77777777" w:rsidR="00D97581" w:rsidRDefault="0060377B">
      <w:pPr>
        <w:pStyle w:val="Heading2"/>
        <w:rPr>
          <w:noProof/>
        </w:rPr>
      </w:pPr>
      <w:r>
        <w:rPr>
          <w:noProof/>
        </w:rPr>
        <w:t>Sprijinirea competitivității UE</w:t>
      </w:r>
    </w:p>
    <w:p w14:paraId="78F3E1F5" w14:textId="77777777" w:rsidR="00D97581" w:rsidRDefault="0060377B">
      <w:pPr>
        <w:rPr>
          <w:noProof/>
        </w:rPr>
      </w:pPr>
      <w:r w:rsidRPr="00AC11E0">
        <w:rPr>
          <w:rStyle w:val="Bold"/>
          <w:noProof/>
        </w:rPr>
        <w:t xml:space="preserve">Prin intermediul bugetului pe termen lung pentru perioada 2021-2027 și al NextGenerationEU, UE a depus eforturi în vederea promovării inovării, a decarbonizării economiei și a reducerii dependențelor, urmărind astfel să își stimuleze competitivitatea și să consolideze securitatea economică. </w:t>
      </w:r>
      <w:r>
        <w:rPr>
          <w:noProof/>
        </w:rPr>
        <w:t xml:space="preserve">Bugetul UE joacă un rol esențial în abordarea provocărilor identificate în </w:t>
      </w:r>
      <w:hyperlink r:id="rId41" w:history="1">
        <w:r w:rsidR="00D97581" w:rsidRPr="00765A89">
          <w:rPr>
            <w:rStyle w:val="Hyperlink"/>
            <w:noProof/>
          </w:rPr>
          <w:t>raport privind viitorul competitivității europene</w:t>
        </w:r>
      </w:hyperlink>
      <w:r>
        <w:rPr>
          <w:noProof/>
        </w:rPr>
        <w:t xml:space="preserve"> și în punerea în aplicare a </w:t>
      </w:r>
      <w:hyperlink r:id="rId42" w:history="1">
        <w:r w:rsidR="00D97581" w:rsidRPr="00765A89">
          <w:rPr>
            <w:rStyle w:val="Hyperlink"/>
            <w:noProof/>
          </w:rPr>
          <w:t>Busolei pentru competitivitate</w:t>
        </w:r>
      </w:hyperlink>
      <w:r>
        <w:rPr>
          <w:rFonts w:ascii="Calibri" w:hAnsi="Calibri"/>
          <w:noProof/>
        </w:rPr>
        <w:t> </w:t>
      </w:r>
      <w:r>
        <w:rPr>
          <w:noProof/>
        </w:rPr>
        <w:t>(</w:t>
      </w:r>
      <w:r>
        <w:rPr>
          <w:rStyle w:val="FootnoteReference"/>
          <w:noProof/>
        </w:rPr>
        <w:footnoteReference w:id="10"/>
      </w:r>
      <w:r>
        <w:rPr>
          <w:noProof/>
        </w:rPr>
        <w:t>). Acest lucru se realizează prin sprijinirea investițiilor și a reformelor structurale menite să stimuleze competitivitatea, durabilitatea și competențele, contribuind în același timp la abordarea provocărilor identificate în recomandările specifice fiecărei țări din cadrul semestrului european (</w:t>
      </w:r>
      <w:r>
        <w:rPr>
          <w:rStyle w:val="FootnoteReference"/>
          <w:noProof/>
        </w:rPr>
        <w:footnoteReference w:id="11"/>
      </w:r>
      <w:r>
        <w:rPr>
          <w:noProof/>
        </w:rPr>
        <w:t>).</w:t>
      </w:r>
    </w:p>
    <w:p w14:paraId="3F3061C6" w14:textId="77777777" w:rsidR="00D97581" w:rsidRDefault="0060377B">
      <w:pPr>
        <w:rPr>
          <w:noProof/>
        </w:rPr>
      </w:pPr>
      <w:r>
        <w:rPr>
          <w:noProof/>
        </w:rPr>
        <w:t xml:space="preserve">De exemplu, </w:t>
      </w:r>
      <w:r w:rsidRPr="00AC11E0">
        <w:rPr>
          <w:b/>
          <w:noProof/>
        </w:rPr>
        <w:t xml:space="preserve">programul Orizont Europa </w:t>
      </w:r>
      <w:r>
        <w:rPr>
          <w:rFonts w:ascii="Calibri" w:hAnsi="Calibri"/>
          <w:noProof/>
        </w:rPr>
        <w:t xml:space="preserve">a angajat </w:t>
      </w:r>
      <w:r>
        <w:rPr>
          <w:noProof/>
        </w:rPr>
        <w:t xml:space="preserve">12,9 miliarde EUR pentru beneficiari publici și privați în 2025 pentru cercetare și inovare. Până în 2025, proiectele Orizont Europa produseseră peste 22 500 de publicații științifice evaluate </w:t>
      </w:r>
      <w:r w:rsidRPr="00AC11E0">
        <w:rPr>
          <w:i/>
          <w:noProof/>
        </w:rPr>
        <w:t>inter pares</w:t>
      </w:r>
      <w:r>
        <w:rPr>
          <w:noProof/>
        </w:rPr>
        <w:t>, peste 130</w:t>
      </w:r>
      <w:r>
        <w:rPr>
          <w:rFonts w:ascii="Calibri" w:hAnsi="Calibri"/>
          <w:noProof/>
        </w:rPr>
        <w:t> </w:t>
      </w:r>
      <w:r>
        <w:rPr>
          <w:noProof/>
        </w:rPr>
        <w:t>000 de cercetători fiind implicați în activități de perfecționare și producând peste 10</w:t>
      </w:r>
      <w:r>
        <w:rPr>
          <w:rFonts w:ascii="Calibri" w:hAnsi="Calibri"/>
          <w:noProof/>
        </w:rPr>
        <w:t> </w:t>
      </w:r>
      <w:r>
        <w:rPr>
          <w:noProof/>
        </w:rPr>
        <w:t>000 de produse, procese, metode și aplicații inovatoare pentru drepturile de proprietate intelectuală. Până în 2025, programul sprijinise peste 10</w:t>
      </w:r>
      <w:r>
        <w:rPr>
          <w:rFonts w:ascii="Calibri" w:hAnsi="Calibri"/>
          <w:noProof/>
        </w:rPr>
        <w:t> </w:t>
      </w:r>
      <w:r>
        <w:rPr>
          <w:noProof/>
        </w:rPr>
        <w:t>000 de întreprinderi mici și mijlocii, inclusiv întreprinderi nou-înființate, promovând inovarea în domenii-cheie, cum ar fi inteligența artificială și materialele avansate. În cadrul Consiliului European pentru Inovare (CEI), peste 770 de întreprinderi mici și mijlocii și întreprinderi nou-înființate au fost finanțate în perioada 2021-2025 prin instrumentul Accelerator al CEI, permițând extinderea tehnologiilor profunde și a inovațiilor revoluționare.</w:t>
      </w:r>
    </w:p>
    <w:p w14:paraId="3E23C6D1" w14:textId="77777777" w:rsidR="00D97581" w:rsidRDefault="0060377B">
      <w:pPr>
        <w:rPr>
          <w:noProof/>
        </w:rPr>
      </w:pPr>
      <w:r>
        <w:rPr>
          <w:noProof/>
        </w:rPr>
        <w:t xml:space="preserve">Programul </w:t>
      </w:r>
      <w:r w:rsidRPr="00AC11E0">
        <w:rPr>
          <w:rStyle w:val="Bold"/>
          <w:noProof/>
        </w:rPr>
        <w:t xml:space="preserve">InvestEU </w:t>
      </w:r>
      <w:r>
        <w:rPr>
          <w:noProof/>
        </w:rPr>
        <w:t>utilizează o garanție de la bugetul UE pentru a mobiliza investiții prin reducerea riscurilor pentru instituțiile financiare și prin atragerea de capital privat pentru proiecte în domenii precum infrastructura durabilă, investițiile sociale și competențele, întreprinderile mici și mijlocii și cercetarea, inovarea și digitalizarea. Până la sfârșitul anului 2025, volumul garanțiilor InvestEU s-a ridicat la 26,8 miliarde EUR, contribuind la sprijinirea a 91</w:t>
      </w:r>
      <w:r>
        <w:rPr>
          <w:rFonts w:ascii="Calibri" w:hAnsi="Calibri"/>
          <w:noProof/>
        </w:rPr>
        <w:t> </w:t>
      </w:r>
      <w:r>
        <w:rPr>
          <w:noProof/>
        </w:rPr>
        <w:t>294 de întreprinderi mici și mijlocii și mobilizând investiții în valoare de peste 397 de miliarde EUR în perioada 2022-2025.</w:t>
      </w:r>
    </w:p>
    <w:p w14:paraId="7D8F0A40" w14:textId="77777777" w:rsidR="00D97581" w:rsidRDefault="0060377B">
      <w:pPr>
        <w:rPr>
          <w:noProof/>
        </w:rPr>
      </w:pPr>
      <w:r w:rsidRPr="00AC11E0">
        <w:rPr>
          <w:rStyle w:val="Bold"/>
          <w:noProof/>
        </w:rPr>
        <w:t xml:space="preserve">Fondul pentru inovare </w:t>
      </w:r>
      <w:r>
        <w:rPr>
          <w:noProof/>
        </w:rPr>
        <w:t xml:space="preserve">se axează pe sprijinirea și extinderea tehnologiilor extrem de inovatoare, cu un potențial semnificativ de reducere a emisiilor de gaze cu efect de seră. Acesta a contribuit la sprijinirea unei serii de procese și tehnologii inovatoare cu emisii scăzute de dioxid de carbon și cu emisii zero în industriile mari consumatoare de energie, în stocarea energiei, în mobilitate și în producția de tehnologii curate. Fondul pentru inovare a mobilizat investiții în valoare de 58 de miliarde EUR, cu granturi angajate în valoare de 11,7 miliarde EUR. În 2025, 83 de proiecte s-au axat pe decarbonizare, 5 pe producția de baterii pentru vehicule și 6 pe producția de hidrogen din surse regenerabile și au semnat acordurile de grant. </w:t>
      </w:r>
    </w:p>
    <w:p w14:paraId="738940A5" w14:textId="77777777" w:rsidR="00D97581" w:rsidRDefault="0060377B">
      <w:pPr>
        <w:rPr>
          <w:noProof/>
        </w:rPr>
      </w:pPr>
      <w:r w:rsidRPr="00AC11E0">
        <w:rPr>
          <w:b/>
          <w:noProof/>
        </w:rPr>
        <w:t>Programul privind piața unică</w:t>
      </w:r>
      <w:r>
        <w:rPr>
          <w:noProof/>
        </w:rPr>
        <w:t>, cu peste 610 milioane EUR alocate pentru 2025, ajută piața unică să își atingă întregul potențial. În 2025, acesta a contribuit la protejarea pieței unice prin sprijinirea autorităților de supraveghere a pieței din statele membre, care au detectat 21 891de produse neconforme. De asemenea, a sprijinit Rețeaua centrelor europene pentru consumatori, care, în 2025, a oferit asistență personalizată unui număr de peste 168</w:t>
      </w:r>
      <w:r>
        <w:rPr>
          <w:rFonts w:ascii="Calibri" w:hAnsi="Calibri"/>
          <w:noProof/>
        </w:rPr>
        <w:t> </w:t>
      </w:r>
      <w:r>
        <w:rPr>
          <w:noProof/>
        </w:rPr>
        <w:t>000 de consumatori, ajutându-i să recupereze peste 11,25 milioane EUR de la comercianții neconformi. În 2025, programul a sprijinit, de asemenea, peste 808</w:t>
      </w:r>
      <w:r>
        <w:rPr>
          <w:rFonts w:ascii="Calibri" w:hAnsi="Calibri"/>
          <w:noProof/>
        </w:rPr>
        <w:t> </w:t>
      </w:r>
      <w:r>
        <w:rPr>
          <w:noProof/>
        </w:rPr>
        <w:t>000 de întreprinderi mici și mijlocii în mod direct sau prin intermediul serviciilor de consiliere prin intermediul pilonului său pentru IMM-uri. De asemenea, a sprijinit standardizarea, facilitând punerea în aplicare a 25</w:t>
      </w:r>
      <w:r>
        <w:rPr>
          <w:rFonts w:ascii="Calibri" w:hAnsi="Calibri"/>
          <w:noProof/>
        </w:rPr>
        <w:t> </w:t>
      </w:r>
      <w:r>
        <w:rPr>
          <w:noProof/>
        </w:rPr>
        <w:t>044 de standarde europene în întreaga UE.</w:t>
      </w:r>
    </w:p>
    <w:p w14:paraId="7381DC78" w14:textId="77777777" w:rsidR="00D97581" w:rsidRDefault="0060377B">
      <w:pPr>
        <w:rPr>
          <w:noProof/>
        </w:rPr>
      </w:pPr>
      <w:r w:rsidRPr="00AC11E0">
        <w:rPr>
          <w:rStyle w:val="Bold"/>
          <w:noProof/>
        </w:rPr>
        <w:t xml:space="preserve">Programul Europa digitală </w:t>
      </w:r>
      <w:r>
        <w:rPr>
          <w:noProof/>
        </w:rPr>
        <w:t>a angajat peste 6 miliarde EUR până la sfârșitul anului 2025, finanțând 26 de supercalculatoare care se numără printre cele mai rapide și mai ecologice din lume, cum ar fi Jupiter, al patrulea cel mai rapid și unul dintre cele mai eficiente supercalculatoare din lume din punct de vedere energetic. Programul Europa digitală a finanțat, de asemenea, formarea a peste 60</w:t>
      </w:r>
      <w:r>
        <w:rPr>
          <w:rFonts w:ascii="Calibri" w:hAnsi="Calibri"/>
          <w:noProof/>
        </w:rPr>
        <w:t> </w:t>
      </w:r>
      <w:r>
        <w:rPr>
          <w:noProof/>
        </w:rPr>
        <w:t>000 de persoane pentru a le ajuta să dobândească competențe digitale. În plus, programul a finanțat implementarea a 14 spații europene comune ale datelor, a 166 de centre europene de inovare digitală și a cinci linii-pilot pentru semiconductori.</w:t>
      </w:r>
    </w:p>
    <w:p w14:paraId="57F3E266" w14:textId="77777777" w:rsidR="00D97581" w:rsidRDefault="0060377B">
      <w:pPr>
        <w:rPr>
          <w:noProof/>
        </w:rPr>
      </w:pPr>
      <w:r w:rsidRPr="00AC11E0">
        <w:rPr>
          <w:rStyle w:val="Bold"/>
          <w:noProof/>
        </w:rPr>
        <w:t>Politica de coeziune</w:t>
      </w:r>
      <w:r w:rsidRPr="00AC11E0">
        <w:rPr>
          <w:b/>
          <w:noProof/>
        </w:rPr>
        <w:t xml:space="preserve"> </w:t>
      </w:r>
      <w:r>
        <w:rPr>
          <w:noProof/>
        </w:rPr>
        <w:t>a sprijinit, de asemenea, competitivitatea. Se preconizează că aceasta va contribui cu o sumă estimată la 214 miliarde EUR la obiectivele Busolei pentru competitivitate până la sfârșitul perioadei 2021-2027. Această finanțare sprijină o serie de priorități europene, inclusiv subiecte mai ample, cum ar fi inovarea și decarbonizarea. Până la sfârșitul anului 2025, peste 130</w:t>
      </w:r>
      <w:r>
        <w:rPr>
          <w:rFonts w:ascii="Calibri" w:hAnsi="Calibri"/>
          <w:noProof/>
        </w:rPr>
        <w:t> </w:t>
      </w:r>
      <w:r>
        <w:rPr>
          <w:noProof/>
        </w:rPr>
        <w:t>000 de întreprinderi mici și mijlocii au primit sprijin (sub formă de granturi, capitaluri proprii, garanții, împrumuturi și consiliere) pentru a se dezvolta și a deveni mai competitive și aproape 32</w:t>
      </w:r>
      <w:r>
        <w:rPr>
          <w:rFonts w:ascii="Calibri" w:hAnsi="Calibri"/>
          <w:noProof/>
        </w:rPr>
        <w:t> </w:t>
      </w:r>
      <w:r>
        <w:rPr>
          <w:noProof/>
        </w:rPr>
        <w:t xml:space="preserve">000 de întreprinderi au primit sprijin pentru inovare. </w:t>
      </w:r>
    </w:p>
    <w:p w14:paraId="4241582B" w14:textId="77777777" w:rsidR="00D97581" w:rsidRDefault="0060377B">
      <w:pPr>
        <w:rPr>
          <w:noProof/>
        </w:rPr>
      </w:pPr>
      <w:r>
        <w:rPr>
          <w:noProof/>
        </w:rPr>
        <w:t xml:space="preserve">Pe lângă aceste </w:t>
      </w:r>
      <w:r w:rsidRPr="00AC11E0">
        <w:rPr>
          <w:b/>
          <w:noProof/>
        </w:rPr>
        <w:t>investiții</w:t>
      </w:r>
      <w:r>
        <w:rPr>
          <w:noProof/>
        </w:rPr>
        <w:t>, 15,2 miliarde EUR au fost realocate pentru a sprijini competitivitatea UE în contextul evaluării la jumătatea perioadei a politicii de coeziune, cu investiții în tehnologii și industrii critice pentru a reduce principalele vulnerabilități și dependențe tehnologice de țările din afara UE. De asemenea, s-a pus un accent mai mare pe provocările cu care se confruntă regiunile frontaliere estice, acordându-se un sprijin sporit ca recunoaștere a provocărilor socioeconomice și de securitate cu care s-au confruntat acestea de la începutul războiului de agresiune al Rusiei împotriva Ucrainei.</w:t>
      </w:r>
    </w:p>
    <w:p w14:paraId="5FE03FC9" w14:textId="77777777" w:rsidR="00D97581" w:rsidRDefault="0060377B">
      <w:pPr>
        <w:rPr>
          <w:noProof/>
        </w:rPr>
      </w:pPr>
      <w:r>
        <w:rPr>
          <w:noProof/>
        </w:rPr>
        <w:t xml:space="preserve">În plus, </w:t>
      </w:r>
      <w:r w:rsidRPr="00AC11E0">
        <w:rPr>
          <w:rStyle w:val="Bold"/>
          <w:noProof/>
        </w:rPr>
        <w:t>Mecanismul pentru o tranziție justă</w:t>
      </w:r>
      <w:r w:rsidRPr="00AC11E0">
        <w:rPr>
          <w:b/>
          <w:noProof/>
        </w:rPr>
        <w:t xml:space="preserve"> </w:t>
      </w:r>
      <w:r>
        <w:rPr>
          <w:noProof/>
        </w:rPr>
        <w:t>vizează decarbonizarea și diversificarea economică în regiunile care se confruntă cu efectele socioeconomice ale tranziției climatice. Până la sfârșitul anului 2025, finanțarea în valoare de 15,45 miliarde EUR a ajuns la peste 2</w:t>
      </w:r>
      <w:r>
        <w:rPr>
          <w:rFonts w:ascii="Calibri" w:hAnsi="Calibri"/>
          <w:noProof/>
        </w:rPr>
        <w:t> </w:t>
      </w:r>
      <w:r>
        <w:rPr>
          <w:noProof/>
        </w:rPr>
        <w:t>000 de întreprinderi și a finanțat crearea a aproape 270 de megawați de capacitate suplimentară de energie din surse regenerabile. În 2025, mecanismul a oferit granturi și împrumuturi autorităților publice în valoare de 86 de milioane EUR de la bugetul UE, completate de împrumuturi în valoare de 594 de milioane EUR acordate de Banca Europeană de Investiții.</w:t>
      </w:r>
    </w:p>
    <w:p w14:paraId="38FBFDE0" w14:textId="77777777" w:rsidR="00D97581" w:rsidRDefault="0060377B">
      <w:pPr>
        <w:rPr>
          <w:noProof/>
        </w:rPr>
      </w:pPr>
      <w:r w:rsidRPr="00AC11E0">
        <w:rPr>
          <w:rStyle w:val="Bold"/>
          <w:noProof/>
        </w:rPr>
        <w:t xml:space="preserve">Mecanismul pentru interconectarea Europei </w:t>
      </w:r>
      <w:r>
        <w:rPr>
          <w:noProof/>
        </w:rPr>
        <w:t>a continuat să sprijine rețelele transfrontaliere de transport, energetice și digitale ale Europei, care sunt esențiale pentru autonomia strategică a continentului. În 2025, acesta a acordat 3 miliarde EUR pentru proiecte de promovare a unei rețele de transport durabile, inteligente, ecologice și reziliente, precum și peste 1 miliard EUR pentru 109 proiecte legate de infrastructura de încărcare și de realimentare cu hidrogen, electrificarea aeroporturilor, alimentarea cu energie electrică de la mal în porturi și infrastructura pentru combustibili alternativi pentru sectorul maritim. De asemenea, mecanismul a acordat aproximativ 650 de milioane EUR pentru 14 proiecte transfrontaliere de infrastructură energetică. Acesta a furnizat 389 de milioane EUR pentru cabluri submarine, proiecte-pilot 5G la scară largă și proiecte de comunicații cuantice.</w:t>
      </w:r>
    </w:p>
    <w:p w14:paraId="36475DE1" w14:textId="77777777" w:rsidR="00D97581" w:rsidRDefault="0060377B">
      <w:pPr>
        <w:rPr>
          <w:rStyle w:val="Bold"/>
          <w:b w:val="0"/>
          <w:bCs/>
          <w:noProof/>
        </w:rPr>
      </w:pPr>
      <w:r>
        <w:rPr>
          <w:rStyle w:val="Bold"/>
          <w:b w:val="0"/>
          <w:noProof/>
        </w:rPr>
        <w:t xml:space="preserve">Bugetul UE sprijină, de asemenea, mobilitatea și cooperarea în domeniul educației, al formării, al tineretului și al sportului prin intermediul </w:t>
      </w:r>
      <w:r w:rsidRPr="00AC11E0">
        <w:rPr>
          <w:rStyle w:val="Bold"/>
          <w:noProof/>
        </w:rPr>
        <w:t>programului Erasmus+</w:t>
      </w:r>
      <w:r>
        <w:rPr>
          <w:rStyle w:val="Bold"/>
          <w:b w:val="0"/>
          <w:noProof/>
        </w:rPr>
        <w:t>, care a avut un buget de 4,3 miliarde EUR pentru 2025. Pe lângă contribuția la realizarea Spațiului european al educației și a inițiativelor din cadrul uniunii competențelor, peste 1,5 milioane de cursanți și membri ai personalului au beneficiat de o mobilitate Erasmus+ în 2025.</w:t>
      </w:r>
    </w:p>
    <w:p w14:paraId="6AE962F8" w14:textId="77777777" w:rsidR="00D97581" w:rsidRDefault="0060377B">
      <w:pPr>
        <w:rPr>
          <w:noProof/>
        </w:rPr>
      </w:pPr>
      <w:r w:rsidRPr="00AC11E0">
        <w:rPr>
          <w:rStyle w:val="Bold"/>
          <w:noProof/>
        </w:rPr>
        <w:t>De asemenea, UE sprijină competitivitatea prin intermediul programului LIFE.</w:t>
      </w:r>
      <w:r>
        <w:rPr>
          <w:noProof/>
        </w:rPr>
        <w:t xml:space="preserve"> În 2025, aceasta a selectat diverse proiecte noi pentru finanțare, desemnând</w:t>
      </w:r>
      <w:r>
        <w:rPr>
          <w:rFonts w:ascii="Calibri" w:hAnsi="Calibri"/>
          <w:noProof/>
        </w:rPr>
        <w:t xml:space="preserve"> </w:t>
      </w:r>
      <w:r>
        <w:rPr>
          <w:noProof/>
        </w:rPr>
        <w:t>91,4</w:t>
      </w:r>
      <w:r>
        <w:rPr>
          <w:rFonts w:ascii="Calibri" w:hAnsi="Calibri"/>
          <w:noProof/>
        </w:rPr>
        <w:t xml:space="preserve"> </w:t>
      </w:r>
      <w:r>
        <w:rPr>
          <w:noProof/>
        </w:rPr>
        <w:t>milioane EUR pentru tranziția energetică, 73 de milioane EUR pentru economia circulară și calitatea vieții și peste 60 de milioane EUR pentru atenuarea schimbărilor climatice. Printre exemplele de astfel de proiecte se numără o inițiativă de standardizare a soluțiilor de pompe de căldură pentru industria alimentară, noi tehnologii de reciclare a panourilor solare scoase din uz și demonstrarea tehnologiilor de producere și distribuție a hidrogenului verde la nivel local pentru transportul rutier.</w:t>
      </w:r>
    </w:p>
    <w:p w14:paraId="1686A2F5" w14:textId="77777777" w:rsidR="00D97581" w:rsidRDefault="0060377B">
      <w:pPr>
        <w:pStyle w:val="amprboxBLUEBoxTitle"/>
        <w:rPr>
          <w:noProof/>
        </w:rPr>
      </w:pPr>
      <w:r>
        <w:rPr>
          <w:noProof/>
        </w:rPr>
        <w:t>Platforma Tehnologii strategice pentru Europa</w:t>
      </w:r>
    </w:p>
    <w:p w14:paraId="462642FB" w14:textId="77777777" w:rsidR="00D97581" w:rsidRDefault="0060377B">
      <w:pPr>
        <w:pStyle w:val="amprboxBLUEtext"/>
        <w:rPr>
          <w:noProof/>
        </w:rPr>
      </w:pPr>
      <w:r>
        <w:rPr>
          <w:noProof/>
        </w:rPr>
        <w:t xml:space="preserve">Platforma Tehnologii strategice pentru Europa (STEP) a fost instituită în martie 2024 ca parte a revizuirii la jumătatea perioadei a cadrului financiar multianual, cu obiectivul de a direcționa finanțarea UE către domenii care sunt importante din punct de vedere strategic pentru competitivitatea UE. Platforma canalizează resurse din anumite fonduri și programe ale UE pentru a sprijini dezvoltarea tehnologiilor curate, digitale și a biotehnologiilor care sunt esențiale pentru piața unică și autonomia strategică a UE. În 2025, domeniul de aplicare al STEP a fost extins pentru a </w:t>
      </w:r>
      <w:r w:rsidRPr="00AC11E0">
        <w:rPr>
          <w:rStyle w:val="Bold"/>
          <w:noProof/>
        </w:rPr>
        <w:t>include tehnologiile de apărare</w:t>
      </w:r>
      <w:r w:rsidRPr="00AC11E0">
        <w:rPr>
          <w:b/>
          <w:noProof/>
        </w:rPr>
        <w:t>.</w:t>
      </w:r>
    </w:p>
    <w:p w14:paraId="44E476F1" w14:textId="77777777" w:rsidR="00D97581" w:rsidRDefault="0060377B">
      <w:pPr>
        <w:pStyle w:val="amprboxBLUEtext"/>
        <w:rPr>
          <w:noProof/>
        </w:rPr>
      </w:pPr>
      <w:r>
        <w:rPr>
          <w:noProof/>
        </w:rPr>
        <w:t>STEP este pus în aplicare în cadrul a 11 fonduri și programe ale UE: programul Europa digitală, Fondul european de apărare, EU4Health, Orizont Europa, Fondul pentru inovare, InvestEU, Mecanismul de redresare și reziliență și Fondul de coeziune, Fondul european de dezvoltare regională, Fondul social european Plus și Fondul pentru o tranziție justă.</w:t>
      </w:r>
    </w:p>
    <w:p w14:paraId="0BB3DAA3" w14:textId="77777777" w:rsidR="00D97581" w:rsidRDefault="0060377B">
      <w:pPr>
        <w:pStyle w:val="amprboxBLUEtext"/>
        <w:rPr>
          <w:noProof/>
        </w:rPr>
      </w:pPr>
      <w:r>
        <w:rPr>
          <w:noProof/>
        </w:rPr>
        <w:t>Pe parcursul a aproape doi ani de punere în aplicare a STEP, aceste programe au dedicat aproape 24 de miliarde EUR priorităților platformei: 10 miliarde EUR prin cereri de propuneri lansate în cadrul a cinci programe aflate în gestiune directă și 13,9 miliarde EUR reprogramate pentru STEP de către statele membre și regiuni în cadrul politicii de coeziune.</w:t>
      </w:r>
    </w:p>
    <w:p w14:paraId="0DD765F3" w14:textId="77777777" w:rsidR="00D97581" w:rsidRDefault="0060377B">
      <w:pPr>
        <w:pStyle w:val="amprboxBLUEtext"/>
        <w:rPr>
          <w:noProof/>
        </w:rPr>
      </w:pPr>
      <w:r>
        <w:rPr>
          <w:noProof/>
        </w:rPr>
        <w:t>Mai multe informații cu privire la punerea în aplicare și rezultatele STEP sunt disponibile pe portalul STEP</w:t>
      </w:r>
      <w:r>
        <w:rPr>
          <w:rFonts w:ascii="Calibri" w:hAnsi="Calibri"/>
          <w:noProof/>
        </w:rPr>
        <w:t> </w:t>
      </w:r>
      <w:r>
        <w:rPr>
          <w:noProof/>
        </w:rPr>
        <w:t>(</w:t>
      </w:r>
      <w:r>
        <w:rPr>
          <w:rStyle w:val="FootnoteReference"/>
          <w:noProof/>
        </w:rPr>
        <w:footnoteReference w:id="12"/>
      </w:r>
      <w:r>
        <w:rPr>
          <w:noProof/>
        </w:rPr>
        <w:t>), în rapoartele anuale privind STEP</w:t>
      </w:r>
      <w:r>
        <w:rPr>
          <w:rFonts w:ascii="Calibri" w:hAnsi="Calibri"/>
          <w:noProof/>
        </w:rPr>
        <w:t> </w:t>
      </w:r>
      <w:r>
        <w:rPr>
          <w:noProof/>
        </w:rPr>
        <w:t>(</w:t>
      </w:r>
      <w:r>
        <w:rPr>
          <w:rStyle w:val="FootnoteReference"/>
          <w:noProof/>
        </w:rPr>
        <w:footnoteReference w:id="13"/>
      </w:r>
      <w:r>
        <w:rPr>
          <w:noProof/>
        </w:rPr>
        <w:t xml:space="preserve">) și în </w:t>
      </w:r>
      <w:hyperlink r:id="rId43" w:history="1">
        <w:r w:rsidR="00D97581" w:rsidRPr="00765A89">
          <w:rPr>
            <w:rStyle w:val="Hyperlink"/>
            <w:noProof/>
          </w:rPr>
          <w:t>evaluarea interimară</w:t>
        </w:r>
      </w:hyperlink>
      <w:r>
        <w:rPr>
          <w:noProof/>
        </w:rPr>
        <w:t xml:space="preserve"> publicată în 2025</w:t>
      </w:r>
      <w:r>
        <w:rPr>
          <w:rFonts w:ascii="Calibri" w:hAnsi="Calibri"/>
          <w:noProof/>
        </w:rPr>
        <w:t> </w:t>
      </w:r>
      <w:r>
        <w:rPr>
          <w:noProof/>
        </w:rPr>
        <w:t>(</w:t>
      </w:r>
      <w:r>
        <w:rPr>
          <w:rStyle w:val="FootnoteReference"/>
          <w:noProof/>
        </w:rPr>
        <w:footnoteReference w:id="14"/>
      </w:r>
      <w:r>
        <w:rPr>
          <w:noProof/>
        </w:rPr>
        <w:t>).</w:t>
      </w:r>
    </w:p>
    <w:p w14:paraId="1B6EE0BD" w14:textId="77777777" w:rsidR="00D97581" w:rsidRDefault="0060377B">
      <w:pPr>
        <w:pStyle w:val="Heading2"/>
        <w:rPr>
          <w:noProof/>
        </w:rPr>
      </w:pPr>
      <w:r>
        <w:rPr>
          <w:noProof/>
        </w:rPr>
        <w:t>Sprijinirea mijloacelor de subzistență</w:t>
      </w:r>
    </w:p>
    <w:p w14:paraId="07B074C0" w14:textId="77777777" w:rsidR="00D97581" w:rsidRDefault="0060377B">
      <w:pPr>
        <w:rPr>
          <w:noProof/>
        </w:rPr>
      </w:pPr>
      <w:r w:rsidRPr="00AC11E0">
        <w:rPr>
          <w:rStyle w:val="Bold"/>
          <w:noProof/>
        </w:rPr>
        <w:t>Bugetul UE sprijină mijloacele de subzistență ale cetățenilor UE printr-o varietate de programe și politici.</w:t>
      </w:r>
      <w:r>
        <w:rPr>
          <w:noProof/>
        </w:rPr>
        <w:t xml:space="preserve"> În 2025, statele membre și regiunile au alocat 3,3 miliarde EUR din fondurile </w:t>
      </w:r>
      <w:r w:rsidRPr="00AC11E0">
        <w:rPr>
          <w:rStyle w:val="Bold"/>
          <w:noProof/>
        </w:rPr>
        <w:t xml:space="preserve">politicii de coeziune </w:t>
      </w:r>
      <w:r>
        <w:rPr>
          <w:noProof/>
        </w:rPr>
        <w:t>în cadrul evaluării la jumătatea perioadei a politicii de coeziune pentru proiecte de locuințe durabile și la prețuri accesibile. În ansamblu, în cadrul politicii de coeziune, aproximativ 100 de miliarde EUR sunt rezervate în perioada 2021-2027 pentru proiecte în orașe, cum ar fi: 10,5 miliarde EUR pentru construirea și renovarea locuințelor alocate în cadrul Fondului european de dezvoltare regională, al Fondului de coeziune și al Fondului pentru o tranziție justă. Politica de coeziune a investit, de asemenea, 14,5 miliarde EUR în adaptarea la schimbările climatice și în gestionarea riscurilor de dezastre și 3,1 miliarde EUR în reziliența în domeniul apei. Începând din 2021, politica de coeziune a finanțat o capacitate suplimentară de producție de energie din surse regenerabile de 1</w:t>
      </w:r>
      <w:r>
        <w:rPr>
          <w:rFonts w:ascii="Calibri" w:hAnsi="Calibri"/>
          <w:noProof/>
        </w:rPr>
        <w:t> </w:t>
      </w:r>
      <w:r>
        <w:rPr>
          <w:noProof/>
        </w:rPr>
        <w:t>434</w:t>
      </w:r>
      <w:r>
        <w:rPr>
          <w:rFonts w:ascii="Calibri" w:hAnsi="Calibri"/>
          <w:noProof/>
        </w:rPr>
        <w:t xml:space="preserve"> de </w:t>
      </w:r>
      <w:r>
        <w:rPr>
          <w:noProof/>
        </w:rPr>
        <w:t>megawați, accesul la bandă largă de foarte mare capacitate pentru peste 335</w:t>
      </w:r>
      <w:r>
        <w:rPr>
          <w:rFonts w:ascii="Calibri" w:hAnsi="Calibri"/>
          <w:noProof/>
        </w:rPr>
        <w:t> </w:t>
      </w:r>
      <w:r>
        <w:rPr>
          <w:noProof/>
        </w:rPr>
        <w:t>000 de locuințe și peste 1</w:t>
      </w:r>
      <w:r>
        <w:rPr>
          <w:rFonts w:ascii="Calibri" w:hAnsi="Calibri"/>
          <w:noProof/>
        </w:rPr>
        <w:t> </w:t>
      </w:r>
      <w:r>
        <w:rPr>
          <w:noProof/>
        </w:rPr>
        <w:t xml:space="preserve">000 de kilometri de drumuri noi, actualizate sau modernizate. </w:t>
      </w:r>
    </w:p>
    <w:p w14:paraId="177BA52C" w14:textId="77777777" w:rsidR="00D97581" w:rsidRDefault="0060377B">
      <w:pPr>
        <w:rPr>
          <w:noProof/>
        </w:rPr>
      </w:pPr>
      <w:r w:rsidRPr="00AC11E0">
        <w:rPr>
          <w:rStyle w:val="Bold"/>
          <w:noProof/>
        </w:rPr>
        <w:t xml:space="preserve">Politica agricolă comună </w:t>
      </w:r>
      <w:r>
        <w:rPr>
          <w:noProof/>
        </w:rPr>
        <w:t xml:space="preserve">a continuat să sprijine mijloacele de subzistență și productivitatea fermierilor și să promoveze economii rurale dinamice, cu plăți în valoare de 53,2 miliarde EUR în 2025. Până în 2025, </w:t>
      </w:r>
      <w:r>
        <w:rPr>
          <w:rFonts w:ascii="Calibri" w:hAnsi="Calibri"/>
          <w:noProof/>
        </w:rPr>
        <w:t>5,5</w:t>
      </w:r>
      <w:r>
        <w:rPr>
          <w:noProof/>
        </w:rPr>
        <w:t xml:space="preserve"> milioane de fermieri beneficiaseră de sprijin direct. În plus, 311</w:t>
      </w:r>
      <w:r>
        <w:rPr>
          <w:rFonts w:ascii="Calibri" w:hAnsi="Calibri"/>
          <w:noProof/>
        </w:rPr>
        <w:t> </w:t>
      </w:r>
      <w:r>
        <w:rPr>
          <w:noProof/>
        </w:rPr>
        <w:t>000 de tineri fermieri au beneficiat de sprijin în 2025 și au fost create peste 270</w:t>
      </w:r>
      <w:r>
        <w:rPr>
          <w:rFonts w:ascii="Calibri" w:hAnsi="Calibri"/>
          <w:noProof/>
        </w:rPr>
        <w:t> </w:t>
      </w:r>
      <w:r>
        <w:rPr>
          <w:noProof/>
        </w:rPr>
        <w:t>000 de locuri de muncă în zonele rurale.</w:t>
      </w:r>
    </w:p>
    <w:p w14:paraId="7D7C3E08" w14:textId="77777777" w:rsidR="00D97581" w:rsidRDefault="0060377B">
      <w:pPr>
        <w:rPr>
          <w:noProof/>
        </w:rPr>
      </w:pPr>
      <w:r>
        <w:rPr>
          <w:noProof/>
        </w:rPr>
        <w:t xml:space="preserve">Până la sfârșitul anului 2025, </w:t>
      </w:r>
      <w:r w:rsidRPr="00AC11E0">
        <w:rPr>
          <w:rStyle w:val="Bold"/>
          <w:noProof/>
        </w:rPr>
        <w:t>Fondul social european Plus</w:t>
      </w:r>
      <w:r w:rsidRPr="00AC11E0">
        <w:rPr>
          <w:b/>
          <w:noProof/>
        </w:rPr>
        <w:t xml:space="preserve"> </w:t>
      </w:r>
      <w:r>
        <w:rPr>
          <w:noProof/>
        </w:rPr>
        <w:t>angajase 66,3 miliarde EUR pentru locuri de muncă durabile și de calitate, educație și incluziune socială, sprijinind 16,0 milioane de participanți. Până în 2025, fondul a furnizat ajutor sub formă de alimente, materiale sau bonuri valorice unui număr de 35,2 milioane de persoane, dintre care 7,9 milioane erau copii. Până la sfârșitul anului 2025, Comisia a adoptat 13 scheme bazate pe finanțare nelegată de costuri, în valoare de 5,1 miliarde EUR, pentru 10 state membre (Estonia, Franța, Croația, Cipru, Letonia, Lituania, Ungaria, Polonia, Portugalia și România).</w:t>
      </w:r>
    </w:p>
    <w:p w14:paraId="2264A9D3" w14:textId="77777777" w:rsidR="00D97581" w:rsidRDefault="0060377B">
      <w:pPr>
        <w:rPr>
          <w:noProof/>
        </w:rPr>
      </w:pPr>
      <w:r w:rsidRPr="00AC11E0">
        <w:rPr>
          <w:rStyle w:val="Bold"/>
          <w:noProof/>
        </w:rPr>
        <w:t xml:space="preserve">Fondul european pentru afaceri maritime, pescuit și acvacultură </w:t>
      </w:r>
      <w:r>
        <w:rPr>
          <w:noProof/>
        </w:rPr>
        <w:t>a furnizat aproximativ 555 de milioane EUR în 2025 pentru a sprijini pescuitul sustenabil și economia albastră a comunităților de pescuit și acvacultură din statele membre. Până în 2025, fondul a adus beneficii unui număr de peste 26</w:t>
      </w:r>
      <w:r>
        <w:rPr>
          <w:rFonts w:ascii="Calibri" w:hAnsi="Calibri"/>
          <w:noProof/>
        </w:rPr>
        <w:t> </w:t>
      </w:r>
      <w:r>
        <w:rPr>
          <w:noProof/>
        </w:rPr>
        <w:t>700 de persoane, inclusiv prin îmbunătățirea competențelor și formare. Acesta a contribuit, de asemenea, la punerea în aplicare a unei noi capacități de producție de 10</w:t>
      </w:r>
      <w:r>
        <w:rPr>
          <w:rFonts w:ascii="Calibri" w:hAnsi="Calibri"/>
          <w:noProof/>
        </w:rPr>
        <w:t> </w:t>
      </w:r>
      <w:r>
        <w:rPr>
          <w:noProof/>
        </w:rPr>
        <w:t>919 tone pe an și a sprijinit o producție de acvacultură de 32</w:t>
      </w:r>
      <w:r>
        <w:rPr>
          <w:rFonts w:ascii="Calibri" w:hAnsi="Calibri"/>
          <w:noProof/>
        </w:rPr>
        <w:t> </w:t>
      </w:r>
      <w:r>
        <w:rPr>
          <w:noProof/>
        </w:rPr>
        <w:t>602 tone pe an (</w:t>
      </w:r>
      <w:r>
        <w:rPr>
          <w:rStyle w:val="FootnoteReference"/>
          <w:noProof/>
        </w:rPr>
        <w:footnoteReference w:id="15"/>
      </w:r>
      <w:r>
        <w:rPr>
          <w:noProof/>
        </w:rPr>
        <w:t>).</w:t>
      </w:r>
    </w:p>
    <w:p w14:paraId="0AD3D34E" w14:textId="77777777" w:rsidR="00D97581" w:rsidRDefault="0060377B">
      <w:pPr>
        <w:rPr>
          <w:noProof/>
        </w:rPr>
      </w:pPr>
      <w:r w:rsidRPr="00AC11E0">
        <w:rPr>
          <w:rStyle w:val="Bold"/>
          <w:noProof/>
        </w:rPr>
        <w:t>EU4Health</w:t>
      </w:r>
      <w:r w:rsidRPr="00AC11E0">
        <w:rPr>
          <w:b/>
          <w:noProof/>
        </w:rPr>
        <w:t xml:space="preserve"> </w:t>
      </w:r>
      <w:r>
        <w:rPr>
          <w:noProof/>
        </w:rPr>
        <w:t xml:space="preserve">a furnizat peste 570 de milioane EUR în 2025 pentru o uniune mai sănătoasă și mai sigură. Acesta a contribuit la finanțarea pregătirii pentru situații de criză și a răspunsului la acestea prin formarea personalului, sprijin pentru supravegherea coordonată a agenților patogeni și sprijin pentru dezvoltarea de produse legate de criză. În plus, a sprijinit promovarea sănătății și prevenirea bolilor, consolidarea sistemelor de sănătate și a lucrătorilor din domeniul sănătății, digitalizarea asistenței medicale și lupta împotriva cancerului. De exemplu, programul a finanțat rețelele europene de referință, permițând accesul la diagnosticare și tratament pentru 2,7 milioane de pacienți cu afecțiuni rare în 2025. </w:t>
      </w:r>
    </w:p>
    <w:p w14:paraId="7B5E0E08" w14:textId="77777777" w:rsidR="00D97581" w:rsidRDefault="0060377B">
      <w:pPr>
        <w:rPr>
          <w:noProof/>
        </w:rPr>
      </w:pPr>
      <w:r>
        <w:rPr>
          <w:noProof/>
        </w:rPr>
        <w:t xml:space="preserve">În 2025, programul </w:t>
      </w:r>
      <w:r w:rsidRPr="00AC11E0">
        <w:rPr>
          <w:rStyle w:val="Bold"/>
          <w:noProof/>
        </w:rPr>
        <w:t>„Cetățeni, egalitate, drepturi și valori”</w:t>
      </w:r>
      <w:r w:rsidRPr="00AC11E0">
        <w:rPr>
          <w:b/>
          <w:noProof/>
        </w:rPr>
        <w:t xml:space="preserve"> </w:t>
      </w:r>
      <w:r>
        <w:rPr>
          <w:noProof/>
        </w:rPr>
        <w:t xml:space="preserve">a sprijinit participarea democratică directă a europenilor, alocând peste 1,9 milioane EUR pentru inițiativa cetățenească europeană. De asemenea, acesta a lansat cereri de propuneri pentru selectarea de proiecte, cu o finanțare combinată de 130 de milioane EUR, care vizează combaterea discriminării, înfrățirea orașelor, implicarea cetățenilor, comemorarea istoriei europene, precum și drepturile și participarea copiilor. În plus, </w:t>
      </w:r>
      <w:r w:rsidRPr="00AC11E0">
        <w:rPr>
          <w:rStyle w:val="Bold"/>
          <w:noProof/>
        </w:rPr>
        <w:t>programul „Justiție”</w:t>
      </w:r>
      <w:r w:rsidRPr="00AC11E0">
        <w:rPr>
          <w:b/>
          <w:noProof/>
        </w:rPr>
        <w:t xml:space="preserve"> </w:t>
      </w:r>
      <w:r>
        <w:rPr>
          <w:noProof/>
        </w:rPr>
        <w:t>a alocat aproximativ 15,4 milioane EUR în cursul anului pentru noi proiecte privind cooperarea judiciară, formarea și accesul la justiție și a încheiat contracte de achiziții publice în valoare de 9,2 milioane EUR pentru dezvoltarea și întreținerea instrumentelor de tehnologie a informației și a principalelor politici ale UE în domeniul justiției.</w:t>
      </w:r>
    </w:p>
    <w:p w14:paraId="624D39AC" w14:textId="77777777" w:rsidR="00D97581" w:rsidRDefault="0060377B">
      <w:pPr>
        <w:pStyle w:val="Heading2"/>
        <w:rPr>
          <w:noProof/>
        </w:rPr>
      </w:pPr>
      <w:r>
        <w:rPr>
          <w:noProof/>
        </w:rPr>
        <w:t>Extinderea capabilităților de securitate și apărare ale UE</w:t>
      </w:r>
    </w:p>
    <w:p w14:paraId="47AA638F" w14:textId="77777777" w:rsidR="00D97581" w:rsidRDefault="0060377B">
      <w:pPr>
        <w:rPr>
          <w:noProof/>
        </w:rPr>
      </w:pPr>
      <w:r w:rsidRPr="00AC11E0">
        <w:rPr>
          <w:rStyle w:val="Bold"/>
          <w:noProof/>
        </w:rPr>
        <w:t>În 2025, imperativul ca UE să își asigure propria securitate și apărare a intrat în centrul atenției.</w:t>
      </w:r>
      <w:r>
        <w:rPr>
          <w:noProof/>
        </w:rPr>
        <w:t xml:space="preserve"> Fondul european de apărare este o componentă esențială a securității și apărării UE prin crearea de tehnologii și echipamente de apărare inovatoare și interoperabile. În urma cererilor de propuneri din 2024, au fost lansate 63 de proiecte, cu o finanțare totală din partea UE de peste 1 miliard EUR. În ansamblu, 38 % dintre beneficiarii fondului sunt întreprinderi mici și mijlocii.</w:t>
      </w:r>
    </w:p>
    <w:p w14:paraId="6EBA4A40" w14:textId="7D2BFED1" w:rsidR="00D97581" w:rsidRDefault="0060377B">
      <w:pPr>
        <w:rPr>
          <w:noProof/>
        </w:rPr>
      </w:pPr>
      <w:r>
        <w:rPr>
          <w:noProof/>
        </w:rPr>
        <w:t>Odată cu publicarea programului de lucru pentru 2025, Fondul european de apărare va acorda aproximativ 1 miliard EUR cercetării, dezvoltării și inovării colaborative în domeniul apărării.</w:t>
      </w:r>
      <w:r w:rsidR="00F93FA4">
        <w:rPr>
          <w:noProof/>
        </w:rPr>
        <w:t xml:space="preserve"> </w:t>
      </w:r>
      <w:r>
        <w:rPr>
          <w:noProof/>
        </w:rPr>
        <w:t>Programul anual de lucru pentru 2025 a alocat</w:t>
      </w:r>
      <w:r>
        <w:rPr>
          <w:rFonts w:ascii="Arial" w:hAnsi="Arial"/>
          <w:noProof/>
        </w:rPr>
        <w:t xml:space="preserve"> </w:t>
      </w:r>
      <w:r>
        <w:rPr>
          <w:noProof/>
        </w:rPr>
        <w:t>aproximativ</w:t>
      </w:r>
      <w:r w:rsidRPr="00AC11E0">
        <w:rPr>
          <w:rStyle w:val="Bold"/>
          <w:rFonts w:ascii="Calibri" w:hAnsi="Calibri"/>
          <w:noProof/>
        </w:rPr>
        <w:t xml:space="preserve"> </w:t>
      </w:r>
      <w:r w:rsidRPr="00AC11E0">
        <w:rPr>
          <w:rStyle w:val="Bold"/>
          <w:noProof/>
        </w:rPr>
        <w:t>400</w:t>
      </w:r>
      <w:r w:rsidRPr="00AC11E0">
        <w:rPr>
          <w:rStyle w:val="Bold"/>
          <w:rFonts w:ascii="Calibri" w:hAnsi="Calibri"/>
          <w:noProof/>
        </w:rPr>
        <w:t xml:space="preserve"> </w:t>
      </w:r>
      <w:r w:rsidRPr="00AC11E0">
        <w:rPr>
          <w:rStyle w:val="Bold"/>
          <w:noProof/>
        </w:rPr>
        <w:t>de milioane EUR pentru a sprijini</w:t>
      </w:r>
      <w:r w:rsidRPr="00AC11E0">
        <w:rPr>
          <w:rStyle w:val="Bold"/>
          <w:rFonts w:ascii="Arial" w:hAnsi="Arial"/>
          <w:noProof/>
        </w:rPr>
        <w:t xml:space="preserve"> </w:t>
      </w:r>
      <w:r w:rsidRPr="00AC11E0">
        <w:rPr>
          <w:rStyle w:val="Bold"/>
          <w:noProof/>
        </w:rPr>
        <w:t>inovarea în domeniul apărării</w:t>
      </w:r>
      <w:r>
        <w:rPr>
          <w:noProof/>
        </w:rPr>
        <w:t>,</w:t>
      </w:r>
      <w:r w:rsidRPr="00AC11E0">
        <w:rPr>
          <w:b/>
          <w:noProof/>
        </w:rPr>
        <w:t xml:space="preserve"> </w:t>
      </w:r>
      <w:r>
        <w:rPr>
          <w:noProof/>
        </w:rPr>
        <w:t>din care peste</w:t>
      </w:r>
      <w:r>
        <w:rPr>
          <w:rFonts w:ascii="Calibri" w:hAnsi="Calibri"/>
          <w:noProof/>
        </w:rPr>
        <w:t xml:space="preserve"> </w:t>
      </w:r>
      <w:r>
        <w:rPr>
          <w:noProof/>
        </w:rPr>
        <w:t>140</w:t>
      </w:r>
      <w:r>
        <w:rPr>
          <w:rFonts w:ascii="Calibri" w:hAnsi="Calibri"/>
          <w:noProof/>
        </w:rPr>
        <w:t xml:space="preserve"> </w:t>
      </w:r>
      <w:r>
        <w:rPr>
          <w:noProof/>
        </w:rPr>
        <w:t xml:space="preserve">de milioane EUR pentru a </w:t>
      </w:r>
      <w:r w:rsidRPr="00AC11E0">
        <w:rPr>
          <w:rStyle w:val="Bold"/>
          <w:noProof/>
        </w:rPr>
        <w:t>sprijini întreprinderile mici și mijlocii</w:t>
      </w:r>
      <w:r w:rsidRPr="00AC11E0">
        <w:rPr>
          <w:b/>
          <w:noProof/>
        </w:rPr>
        <w:t xml:space="preserve"> </w:t>
      </w:r>
      <w:r>
        <w:rPr>
          <w:noProof/>
        </w:rPr>
        <w:t xml:space="preserve">în dezvoltarea și testarea de tehnologii revoluționare în domeniul apărării. La acest efort a contribuit schema UE de inovare în domeniul apărării (EUDIS), partea din Fondul european de apărare dedicată sprijinirii actorilor netradiționali din domeniul apărării.  </w:t>
      </w:r>
    </w:p>
    <w:p w14:paraId="7BBF6944" w14:textId="77777777" w:rsidR="00D97581" w:rsidRDefault="0060377B">
      <w:pPr>
        <w:rPr>
          <w:noProof/>
        </w:rPr>
      </w:pPr>
      <w:r w:rsidRPr="00AC11E0">
        <w:rPr>
          <w:rStyle w:val="Bold"/>
          <w:noProof/>
        </w:rPr>
        <w:t>Regulamentul privind sprijinirea producției de muniții</w:t>
      </w:r>
      <w:r>
        <w:rPr>
          <w:noProof/>
        </w:rPr>
        <w:t xml:space="preserve"> a sprijinit 31 de proiecte în 2025, oferind peste 500 de milioane EUR pentru a consolida producția de muniții, cu proiecte legate de explozivi, pulbere, obuze, rachete, testare și recondiționare.</w:t>
      </w:r>
    </w:p>
    <w:p w14:paraId="793644D2" w14:textId="77777777" w:rsidR="00D97581" w:rsidRDefault="0060377B">
      <w:pPr>
        <w:rPr>
          <w:noProof/>
        </w:rPr>
      </w:pPr>
      <w:r w:rsidRPr="00AC11E0">
        <w:rPr>
          <w:rStyle w:val="Bold"/>
          <w:noProof/>
        </w:rPr>
        <w:t>În urma adoptării Cărții albe privind apărarea europeană, UE a adoptat în 2025 Planul „ReArm Europe”</w:t>
      </w:r>
      <w:r>
        <w:rPr>
          <w:rStyle w:val="Bold"/>
          <w:b w:val="0"/>
          <w:noProof/>
        </w:rPr>
        <w:t>,</w:t>
      </w:r>
      <w:r>
        <w:rPr>
          <w:noProof/>
        </w:rPr>
        <w:t xml:space="preserve"> bazat pe utilizarea instrumentelor financiare pentru consolidarea capabilităților de apărare ale Europei, inclusiv a clauzei derogatorii naționale din Pactul de stabilitate și de creștere, care ar putea debloca până la 650 de miliarde EUR. Planul include, de asemenea, împrumuturi în valoare de până la 150 de miliarde EUR prin intermediul acțiunii de securitate pentru Europa, pentru a sprijini investițiile urgente în domeniul apărării și pentru a aborda lacunele critice în materie de capabilități. Până la sfârșitul anului 2025, 19 state membre și-au exprimat interesul de a accesa împrumuturi în cadrul acestei acțiuni, acoperind întregul pachet de împrumuturi, și și-au prezentat planurile naționale de investiții în industria de apărare.</w:t>
      </w:r>
    </w:p>
    <w:p w14:paraId="31FB1484" w14:textId="77777777" w:rsidR="00D97581" w:rsidRDefault="0060377B">
      <w:pPr>
        <w:rPr>
          <w:noProof/>
        </w:rPr>
      </w:pPr>
      <w:r w:rsidRPr="00AC11E0">
        <w:rPr>
          <w:rStyle w:val="Bold"/>
          <w:noProof/>
        </w:rPr>
        <w:t>De asemenea, UE utilizează politica de coeziune pentru a sprijini apărarea.</w:t>
      </w:r>
      <w:r w:rsidRPr="00AC11E0">
        <w:rPr>
          <w:b/>
          <w:noProof/>
        </w:rPr>
        <w:t xml:space="preserve"> </w:t>
      </w:r>
      <w:r>
        <w:rPr>
          <w:noProof/>
        </w:rPr>
        <w:t>Prin evaluarea la jumătatea perioadei a politicii de coeziune, 11,9 miliarde EUR au fost realocate pentru a sprijini capacitățile și capabilitățile industriale de apărare, infrastructura de apărare, mobilitatea militară și pregătirea civilă, acordând prioritate dublei utilizări, precum și dezvoltării competențelor în domeniul pregătirii civile și al industriei de apărare.</w:t>
      </w:r>
    </w:p>
    <w:p w14:paraId="084ED8E9" w14:textId="77777777" w:rsidR="00D97581" w:rsidRDefault="0060377B">
      <w:pPr>
        <w:rPr>
          <w:noProof/>
        </w:rPr>
      </w:pPr>
      <w:r>
        <w:rPr>
          <w:noProof/>
        </w:rPr>
        <w:t xml:space="preserve">Alte programe au sprijinit proiecte strategice esențiale în cursul anului, cum ar fi </w:t>
      </w:r>
      <w:r w:rsidRPr="00AC11E0">
        <w:rPr>
          <w:rStyle w:val="Bold"/>
          <w:noProof/>
        </w:rPr>
        <w:t>Mecanismul pentru interconectarea Europei</w:t>
      </w:r>
      <w:r>
        <w:rPr>
          <w:noProof/>
        </w:rPr>
        <w:t>, care a finanțat echipamente sigure și capacități inteligente pentru cabluri submarine și conexiuni terestre esențiale cu 186 de milioane EUR în cadrul componentei sale digitale. În plus, Mecanismul pentru interconectarea Europei a contribuit la consolidarea infrastructurilor strategice de transport ale UE pentru a le adapta la mobilitatea militară.</w:t>
      </w:r>
    </w:p>
    <w:p w14:paraId="53E404A9" w14:textId="77777777" w:rsidR="00D97581" w:rsidRDefault="0060377B">
      <w:pPr>
        <w:rPr>
          <w:noProof/>
        </w:rPr>
      </w:pPr>
      <w:r>
        <w:rPr>
          <w:noProof/>
        </w:rPr>
        <w:t xml:space="preserve">Programul </w:t>
      </w:r>
      <w:r w:rsidRPr="00AC11E0">
        <w:rPr>
          <w:rStyle w:val="Bold"/>
          <w:noProof/>
        </w:rPr>
        <w:t xml:space="preserve">UE privind conectivitatea securizată </w:t>
      </w:r>
      <w:r>
        <w:rPr>
          <w:noProof/>
        </w:rPr>
        <w:t xml:space="preserve">și </w:t>
      </w:r>
      <w:r w:rsidRPr="00AC11E0">
        <w:rPr>
          <w:rStyle w:val="Bold"/>
          <w:noProof/>
        </w:rPr>
        <w:t>programul spațial</w:t>
      </w:r>
      <w:r w:rsidRPr="00AC11E0">
        <w:rPr>
          <w:b/>
          <w:noProof/>
        </w:rPr>
        <w:t xml:space="preserve"> </w:t>
      </w:r>
      <w:r>
        <w:rPr>
          <w:noProof/>
        </w:rPr>
        <w:t>au furnizat o sumă totală combinată de peste 2,4 miliarde EUR în 2025 pentru a finanța:</w:t>
      </w:r>
    </w:p>
    <w:p w14:paraId="6D93B310" w14:textId="77777777" w:rsidR="00D97581" w:rsidRDefault="0060377B">
      <w:pPr>
        <w:pStyle w:val="ListBulletorangeLevel1"/>
        <w:rPr>
          <w:noProof/>
        </w:rPr>
      </w:pPr>
      <w:r>
        <w:rPr>
          <w:noProof/>
        </w:rPr>
        <w:t xml:space="preserve">dezvoltarea în curs a constelației de sateliți cu conectivitate securizată IRIS2 (infrastructură pentru reziliență, interconectivitate și securitate </w:t>
      </w:r>
      <w:r>
        <w:rPr>
          <w:noProof/>
        </w:rPr>
        <w:br/>
        <w:t>prin satelit);</w:t>
      </w:r>
    </w:p>
    <w:p w14:paraId="56496DB0" w14:textId="77777777" w:rsidR="00D97581" w:rsidRDefault="0060377B">
      <w:pPr>
        <w:pStyle w:val="ListBulletorangeLevel1"/>
        <w:rPr>
          <w:noProof/>
        </w:rPr>
      </w:pPr>
      <w:r>
        <w:rPr>
          <w:noProof/>
        </w:rPr>
        <w:t>sistemul de comunicații guvernamentale Govsatcom;</w:t>
      </w:r>
    </w:p>
    <w:p w14:paraId="5A01E2F6" w14:textId="77777777" w:rsidR="00D97581" w:rsidRDefault="0060377B">
      <w:pPr>
        <w:pStyle w:val="ListBulletorangeLevel1"/>
        <w:rPr>
          <w:noProof/>
        </w:rPr>
      </w:pPr>
      <w:r>
        <w:rPr>
          <w:noProof/>
        </w:rPr>
        <w:t xml:space="preserve">sistemele de navigație prin satelit Galileo și Serviciul european geostaționar mixt de navigare; </w:t>
      </w:r>
    </w:p>
    <w:p w14:paraId="156CD209" w14:textId="77777777" w:rsidR="00D97581" w:rsidRDefault="0060377B">
      <w:pPr>
        <w:pStyle w:val="ListBulletorangeLevel1"/>
        <w:rPr>
          <w:noProof/>
        </w:rPr>
      </w:pPr>
      <w:r>
        <w:rPr>
          <w:noProof/>
        </w:rPr>
        <w:t>sistemul Copernicus de observare a Pământului, inclusiv componentele sale de conștientizare a situației spațiale care efectuează supravegherea spațiului, a fenomenelor meteorologice spațiale și a obiectelor din apropierea Pământului.</w:t>
      </w:r>
    </w:p>
    <w:p w14:paraId="0AC24E82" w14:textId="77777777" w:rsidR="00D97581" w:rsidRDefault="0060377B">
      <w:pPr>
        <w:rPr>
          <w:noProof/>
        </w:rPr>
      </w:pPr>
      <w:r>
        <w:rPr>
          <w:noProof/>
        </w:rPr>
        <w:t xml:space="preserve">În 2025, </w:t>
      </w:r>
      <w:r w:rsidRPr="00AC11E0">
        <w:rPr>
          <w:rStyle w:val="Bold"/>
          <w:noProof/>
        </w:rPr>
        <w:t>mecanismul de protecție civilă al Uniunii</w:t>
      </w:r>
      <w:r w:rsidRPr="00AC11E0">
        <w:rPr>
          <w:b/>
          <w:noProof/>
        </w:rPr>
        <w:t xml:space="preserve"> </w:t>
      </w:r>
      <w:r>
        <w:rPr>
          <w:noProof/>
        </w:rPr>
        <w:t>a angajat 226,7 milioane EUR pentru statele membre și țările din afara UE pentru a promova reziliența și a consolida rezerva de capacități de protecție civilă disponibilă pentru operațiunile de răspuns. Printre inițiative s-au numărat evacuările consulare sau medicale, asistența medicală de urgență și combaterea incendiilor forestiere. În timpul sezonului incendiilor de vegetație, mecanismul a fost activat de 16 ori în Europa, în cursul anului înregistrându-se o suprafață arsă de 1 milion de hectare</w:t>
      </w:r>
      <w:r>
        <w:rPr>
          <w:rFonts w:ascii="Calibri" w:hAnsi="Calibri"/>
          <w:noProof/>
        </w:rPr>
        <w:t> </w:t>
      </w:r>
      <w:r>
        <w:rPr>
          <w:noProof/>
        </w:rPr>
        <w:t>(</w:t>
      </w:r>
      <w:r>
        <w:rPr>
          <w:rStyle w:val="FootnoteReference"/>
          <w:noProof/>
        </w:rPr>
        <w:footnoteReference w:id="16"/>
      </w:r>
      <w:r>
        <w:rPr>
          <w:noProof/>
        </w:rPr>
        <w:t>).</w:t>
      </w:r>
    </w:p>
    <w:p w14:paraId="5B4A7D48" w14:textId="77777777" w:rsidR="00D97581" w:rsidRDefault="0060377B">
      <w:pPr>
        <w:rPr>
          <w:noProof/>
        </w:rPr>
      </w:pPr>
      <w:r w:rsidRPr="00AC11E0">
        <w:rPr>
          <w:rStyle w:val="Bold"/>
          <w:noProof/>
        </w:rPr>
        <w:t>Pentru a aborda provocările legate de migrație, UE a instituit Fondul pentru azil, migrație și integrare</w:t>
      </w:r>
      <w:r>
        <w:rPr>
          <w:noProof/>
        </w:rPr>
        <w:t>, cu o programare financiară totală de 11 miliarde EUR din cadrul financiar multianual 2021-2027, inclusiv 1,91 miliarde EUR pentru 2025. În perioada 2021-2025, fondul a finanțat crearea a peste 22</w:t>
      </w:r>
      <w:r>
        <w:rPr>
          <w:rFonts w:ascii="Calibri" w:hAnsi="Calibri"/>
          <w:noProof/>
        </w:rPr>
        <w:t> </w:t>
      </w:r>
      <w:r>
        <w:rPr>
          <w:noProof/>
        </w:rPr>
        <w:t>919 noi locuri de cazare în centrele de primire, în conformitate cu acquis-ul UE și a sprijinit relocarea a peste 39</w:t>
      </w:r>
      <w:r>
        <w:rPr>
          <w:rFonts w:ascii="Calibri" w:hAnsi="Calibri"/>
          <w:noProof/>
        </w:rPr>
        <w:t> </w:t>
      </w:r>
      <w:r>
        <w:rPr>
          <w:noProof/>
        </w:rPr>
        <w:t>829 de persoane. Astfel, bugetul UE sprijină punerea în aplicare a pactului privind migrația și azilul.</w:t>
      </w:r>
    </w:p>
    <w:p w14:paraId="53B52BDD" w14:textId="77777777" w:rsidR="00D97581" w:rsidRDefault="0060377B">
      <w:pPr>
        <w:pStyle w:val="Heading2"/>
        <w:rPr>
          <w:noProof/>
        </w:rPr>
      </w:pPr>
      <w:r>
        <w:rPr>
          <w:noProof/>
        </w:rPr>
        <w:t>Sprijinirea Ucrainei</w:t>
      </w:r>
    </w:p>
    <w:p w14:paraId="6860AF06" w14:textId="77777777" w:rsidR="00D97581" w:rsidRDefault="0060377B">
      <w:pPr>
        <w:rPr>
          <w:noProof/>
        </w:rPr>
      </w:pPr>
      <w:r w:rsidRPr="00AC11E0">
        <w:rPr>
          <w:rStyle w:val="Bold"/>
          <w:noProof/>
        </w:rPr>
        <w:t>Până la sfârșitul anului 2025, UE și statele sale membre furnizaseră Ucrainei sprijin în valoare totală de peste 193,3 miliarde EUR.</w:t>
      </w:r>
      <w:r>
        <w:rPr>
          <w:noProof/>
        </w:rPr>
        <w:t xml:space="preserve"> Aproximativ jumătate din acest sprijin, </w:t>
      </w:r>
      <w:r w:rsidRPr="00AC11E0">
        <w:rPr>
          <w:rStyle w:val="Bold"/>
          <w:noProof/>
        </w:rPr>
        <w:t xml:space="preserve">88,2 miliarde EUR, a fost acordat din bugetul UE </w:t>
      </w:r>
      <w:r>
        <w:rPr>
          <w:noProof/>
        </w:rPr>
        <w:t xml:space="preserve">sub formă de ajutor umanitar, răspuns în situații de criză, asistență macrofinanciară și sprijin bugetar, precum și sub formă de redresare și reconstrucție timpurie. </w:t>
      </w:r>
      <w:r w:rsidRPr="00AC11E0">
        <w:rPr>
          <w:rStyle w:val="Bold"/>
          <w:noProof/>
        </w:rPr>
        <w:t xml:space="preserve">În plus, 17 miliarde EUR au fost puse la dispoziția statelor membre </w:t>
      </w:r>
      <w:r>
        <w:rPr>
          <w:noProof/>
        </w:rPr>
        <w:t>prin realocarea bugetelor existente ale politicii de coeziune pentru a sprijini statele membre să răspundă nevoilor persoanelor care fug din calea agresiunii militare ilegale și continue a Rusiei împotriva Ucrainei. În cursul anului 2025, s-a acordat sprijin din bugetul UE prin Mecanismul pentru Ucraina, Mecanismul de protecție civilă al Uniunii, Mecanismul pentru interconectarea Europei, programul de ajutor umanitar și Fondul european de apărare. Sprijinul sub formă de împrumuturi a fost acordat, de asemenea, sub forma unui împrumut excepțional de asistență macrofinanciară cu efect de accelerare a veniturilor, ca parte a inițiativei G7 privind împrumuturile excepționale cu efect de accelerare a veniturilor. În plus, alte instrumente din afara bugetului UE au completat acest sprijin.</w:t>
      </w:r>
    </w:p>
    <w:p w14:paraId="60276F0A" w14:textId="77777777" w:rsidR="00D97581" w:rsidRDefault="0060377B">
      <w:pPr>
        <w:rPr>
          <w:noProof/>
        </w:rPr>
      </w:pPr>
      <w:r w:rsidRPr="00AC11E0">
        <w:rPr>
          <w:rStyle w:val="Bold"/>
          <w:noProof/>
        </w:rPr>
        <w:t>De asemenea, UE a utilizat veniturile obținute din activele suverane rusești imobilizate pentru a sprijini Ucraina.</w:t>
      </w:r>
      <w:r>
        <w:rPr>
          <w:noProof/>
        </w:rPr>
        <w:t xml:space="preserve"> 95 % din aceste fonduri sunt furnizate Ucrainei prin intermediul Mecanismului de cooperare în materie de împrumuturi pentru Ucraina pentru a ajuta Ucraina să ramburseze împrumuturile excepționale G7 cu efect de accelerare a veniturilor (inclusiv costurile îndatorării), inclusiv împrumutul excepțional de asistență macrofinanciară al UE în valoare de 18,1 miliarde EUR plătit pe parcursul anului 2025. Restul de 5 % contribuie la Instrumentul european pentru pace (un instrument din afara bugetului UE).</w:t>
      </w:r>
    </w:p>
    <w:p w14:paraId="63DBC81E" w14:textId="77777777" w:rsidR="00D97581" w:rsidRDefault="0060377B">
      <w:pPr>
        <w:suppressAutoHyphens w:val="0"/>
        <w:rPr>
          <w:noProof/>
        </w:rPr>
      </w:pPr>
      <w:r w:rsidRPr="00AC11E0">
        <w:rPr>
          <w:rStyle w:val="Bold"/>
          <w:noProof/>
        </w:rPr>
        <w:t xml:space="preserve">În decembrie 2025, Consiliul European </w:t>
      </w:r>
      <w:hyperlink r:id="rId44" w:history="1">
        <w:r w:rsidR="00D97581" w:rsidRPr="00765A89">
          <w:rPr>
            <w:rStyle w:val="Hyperlink"/>
            <w:noProof/>
          </w:rPr>
          <w:t>a convenit să acorde Ucrainei un împrumut cu recurs limitat în valoare de 90 de miliarde EUR</w:t>
        </w:r>
      </w:hyperlink>
      <w:r w:rsidRPr="00AC11E0">
        <w:rPr>
          <w:rStyle w:val="Bold"/>
          <w:noProof/>
        </w:rPr>
        <w:t xml:space="preserve"> pentru anii 2026 și 2027</w:t>
      </w:r>
      <w:r>
        <w:rPr>
          <w:rStyle w:val="Bold"/>
          <w:b w:val="0"/>
          <w:noProof/>
        </w:rPr>
        <w:t>,</w:t>
      </w:r>
      <w:r>
        <w:rPr>
          <w:noProof/>
        </w:rPr>
        <w:t xml:space="preserve"> pe baza împrumuturilor UE de pe piețele de capital susținute de marja de manevră a bugetului UE, care urmează să fie rambursat de Ucraina numai după ce primește despăgubiri din partea Rusiei. Acest împrumut de sprijin urmează să fie pus în aplicare prin intermediul cooperării consolidate în temeiul articolului 20 din Tratatul privind Uniunea Europeană, cu sprijinul a 24 de state membre (</w:t>
      </w:r>
      <w:r>
        <w:rPr>
          <w:rStyle w:val="FootnoteReference"/>
          <w:noProof/>
        </w:rPr>
        <w:footnoteReference w:id="17"/>
      </w:r>
      <w:r>
        <w:rPr>
          <w:noProof/>
        </w:rPr>
        <w:t>).</w:t>
      </w:r>
    </w:p>
    <w:p w14:paraId="01991FE9" w14:textId="77777777" w:rsidR="00D97581" w:rsidRDefault="0060377B">
      <w:pPr>
        <w:rPr>
          <w:noProof/>
        </w:rPr>
      </w:pPr>
      <w:r w:rsidRPr="00AC11E0">
        <w:rPr>
          <w:rStyle w:val="Bold"/>
          <w:noProof/>
        </w:rPr>
        <w:t>UE sprijină redresarea pe termen scurt și reconstrucția și modernizarea Ucrainei pe termen mediu, în conformitate cu calea Ucrainei către aderarea la UE.</w:t>
      </w:r>
      <w:r>
        <w:rPr>
          <w:noProof/>
        </w:rPr>
        <w:t xml:space="preserve"> Începând din 2022, comerțul a fost facilitat de culoarele de solidaritate, un set de rute logistice alternative prin intermediul căilor ferate, rutiere și al căilor navigabile interioare. În total, UE a furnizat 600 de milioane EUR până la sfârșitul anului 2025 pentru investiții în conexiuni de transport cu Ucraina prin intermediul Mecanismului pentru interconectarea Europei.</w:t>
      </w:r>
    </w:p>
    <w:p w14:paraId="6A69EE88" w14:textId="77777777" w:rsidR="00D97581" w:rsidRDefault="0060377B">
      <w:pPr>
        <w:rPr>
          <w:noProof/>
        </w:rPr>
      </w:pPr>
      <w:r w:rsidRPr="00AC11E0">
        <w:rPr>
          <w:rStyle w:val="Bold"/>
          <w:noProof/>
        </w:rPr>
        <w:t>Prin intermediul Mecanismului pentru Ucraina, UE a oferit sprijin financiar condiționat de punerea în aplicare de către Ucraina a unor măsuri de reformă calitative și cantitative.</w:t>
      </w:r>
      <w:r>
        <w:rPr>
          <w:noProof/>
        </w:rPr>
        <w:t xml:space="preserve"> De asemenea, acesta stimulează sprijinul privat în temeiul cadrului de investiții pentru Ucraina. Până la sfârșitul anului 2025, mecanismul plătise 26,8 miliarde EUR sub formă de împrumuturi și sprijin nerambursabil, 10,7 miliarde EUR fiind furnizate în 2025 după îndeplinirea de către Ucraina a 45 de etape în cadrul Planului pentru Ucraina. Cadrul de investiții pentru Ucraina a furnizat 6,9 miliarde EUR sub forma unei garanții pentru mobilizarea de fonduri de la instituțiile de finanțare pentru a finanța proiecte care variază de la sprijin pentru investițiile municipale și microîntreprinderi și întreprinderi mici la locuințe, redresare și incluziune financiară. În cadrul Fondului de sprijin energetic pentru Ucraina al mecanismului, UE a plătit 96 de milioane EUR pentru repararea și refacerea capacității centralelor termice, pentru instalarea turbinelor cu gaz și pentru repararea centralelor solare și eoliene.</w:t>
      </w:r>
    </w:p>
    <w:p w14:paraId="7CF0BCC8" w14:textId="0EAE4561" w:rsidR="00D97581" w:rsidRDefault="0060377B">
      <w:pPr>
        <w:pStyle w:val="ImageTitle"/>
        <w:rPr>
          <w:noProof/>
        </w:rPr>
      </w:pPr>
      <w:r>
        <w:rPr>
          <w:noProof/>
        </w:rPr>
        <w:t>Contribuții de la bugetul UE menite să ajute Ucraina și statele membre să facă față consecințelor</w:t>
      </w:r>
      <w:r w:rsidR="00F93FA4">
        <w:rPr>
          <w:noProof/>
        </w:rPr>
        <w:t xml:space="preserve"> </w:t>
      </w:r>
      <w:r>
        <w:rPr>
          <w:noProof/>
        </w:rPr>
        <w:t>invaziei pe scară largă a Rusiei între 2022 și 2025</w:t>
      </w:r>
    </w:p>
    <w:p w14:paraId="3A87471B" w14:textId="44585632" w:rsidR="00D97581" w:rsidRDefault="00834C3A">
      <w:pPr>
        <w:pStyle w:val="ImagePlaceholder"/>
        <w:rPr>
          <w:noProof/>
        </w:rPr>
      </w:pPr>
      <w:r>
        <w:rPr>
          <w:noProof/>
          <w:lang w:val="en-GB"/>
        </w:rPr>
        <w:drawing>
          <wp:inline distT="0" distB="0" distL="0" distR="0" wp14:anchorId="5956136F" wp14:editId="1EFDDA34">
            <wp:extent cx="5259600" cy="3571200"/>
            <wp:effectExtent l="0" t="0" r="0" b="0"/>
            <wp:docPr id="143680452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259600" cy="3571200"/>
                    </a:xfrm>
                    <a:prstGeom prst="rect">
                      <a:avLst/>
                    </a:prstGeom>
                    <a:noFill/>
                  </pic:spPr>
                </pic:pic>
              </a:graphicData>
            </a:graphic>
          </wp:inline>
        </w:drawing>
      </w:r>
    </w:p>
    <w:p w14:paraId="72BFB9C9" w14:textId="77777777" w:rsidR="00D97581" w:rsidRDefault="0060377B">
      <w:pPr>
        <w:pStyle w:val="ImageNotes"/>
        <w:rPr>
          <w:noProof/>
        </w:rPr>
      </w:pPr>
      <w:r>
        <w:rPr>
          <w:noProof/>
        </w:rPr>
        <w:t>Alocări din bugetul UE destinate Ucrainei și statelor membre pentru a face față consecințelor războiului.</w:t>
      </w:r>
    </w:p>
    <w:p w14:paraId="40475233" w14:textId="77777777" w:rsidR="00D97581" w:rsidRDefault="0060377B">
      <w:pPr>
        <w:pStyle w:val="ImageNotes"/>
        <w:ind w:left="397" w:hanging="397"/>
        <w:rPr>
          <w:rFonts w:eastAsiaTheme="minorEastAsia"/>
          <w:noProof/>
        </w:rPr>
      </w:pPr>
      <w:r>
        <w:rPr>
          <w:noProof/>
        </w:rPr>
        <w:t>(</w:t>
      </w:r>
      <w:r>
        <w:rPr>
          <w:rStyle w:val="FootnoteReference"/>
          <w:noProof/>
        </w:rPr>
        <w:t>1</w:t>
      </w:r>
      <w:r>
        <w:rPr>
          <w:noProof/>
        </w:rPr>
        <w:t>)</w:t>
      </w:r>
      <w:r>
        <w:rPr>
          <w:noProof/>
        </w:rPr>
        <w:tab/>
        <w:t>17 miliarde EUR au fost puse la dispoziția statelor membre pentru a fi realocate din politica de coeziune cu scopul de a oferi sprijin de urgență pentru abordarea provocărilor legate de migrație generate de agresiunea militară a Rusiei împotriva Ucrainei.</w:t>
      </w:r>
    </w:p>
    <w:p w14:paraId="0B2943E0" w14:textId="77777777" w:rsidR="00D97581" w:rsidRDefault="0060377B">
      <w:pPr>
        <w:pStyle w:val="ImageNotes"/>
        <w:ind w:left="397" w:hanging="397"/>
        <w:rPr>
          <w:rFonts w:eastAsiaTheme="minorEastAsia"/>
          <w:noProof/>
        </w:rPr>
      </w:pPr>
      <w:r>
        <w:rPr>
          <w:noProof/>
        </w:rPr>
        <w:t>(</w:t>
      </w:r>
      <w:r>
        <w:rPr>
          <w:rStyle w:val="FootnoteReference"/>
          <w:noProof/>
        </w:rPr>
        <w:t>2</w:t>
      </w:r>
      <w:r>
        <w:rPr>
          <w:noProof/>
        </w:rPr>
        <w:t>)</w:t>
      </w:r>
      <w:r>
        <w:rPr>
          <w:noProof/>
        </w:rPr>
        <w:tab/>
        <w:t>Instrumentul european pentru cooperare internațională în materie de securitate nucleară, reorientarea Instrumentului european de vecinătate și a politicii externe și de securitate comune.</w:t>
      </w:r>
    </w:p>
    <w:p w14:paraId="491D9794" w14:textId="77777777" w:rsidR="00D97581" w:rsidRDefault="0060377B">
      <w:pPr>
        <w:pStyle w:val="ImageNotes"/>
        <w:rPr>
          <w:rFonts w:eastAsiaTheme="minorEastAsia"/>
          <w:noProof/>
        </w:rPr>
      </w:pPr>
      <w:r w:rsidRPr="00AC11E0">
        <w:rPr>
          <w:rStyle w:val="Italic"/>
          <w:noProof/>
        </w:rPr>
        <w:t>Sursa:</w:t>
      </w:r>
      <w:r>
        <w:rPr>
          <w:noProof/>
        </w:rPr>
        <w:t xml:space="preserve"> Comisia Europeană.</w:t>
      </w:r>
    </w:p>
    <w:p w14:paraId="0F4CF33E" w14:textId="77777777" w:rsidR="00D97581" w:rsidRDefault="0060377B">
      <w:pPr>
        <w:suppressAutoHyphens w:val="0"/>
        <w:rPr>
          <w:noProof/>
          <w:highlight w:val="yellow"/>
        </w:rPr>
      </w:pPr>
      <w:r w:rsidRPr="00AC11E0">
        <w:rPr>
          <w:rStyle w:val="Bold"/>
          <w:noProof/>
        </w:rPr>
        <w:t>Asistența de urgență acordată Ucrainei a continuat să fie finanțată în principal prin programul de ajutor umanitar</w:t>
      </w:r>
      <w:r>
        <w:rPr>
          <w:rStyle w:val="Bold"/>
          <w:b w:val="0"/>
          <w:noProof/>
        </w:rPr>
        <w:t>,</w:t>
      </w:r>
      <w:r>
        <w:rPr>
          <w:noProof/>
        </w:rPr>
        <w:t xml:space="preserve"> în 2025 fiind alocate 220</w:t>
      </w:r>
      <w:r>
        <w:rPr>
          <w:rFonts w:ascii="Calibri" w:hAnsi="Calibri"/>
          <w:noProof/>
        </w:rPr>
        <w:t xml:space="preserve"> </w:t>
      </w:r>
      <w:r>
        <w:rPr>
          <w:noProof/>
        </w:rPr>
        <w:t xml:space="preserve">de milioane EUR. În total, UE a furnizat Ucrainei ajutor umanitar în valoare de 1,2 miliarde EUR până în 2025. Acesta a fost completat de </w:t>
      </w:r>
      <w:r w:rsidRPr="00AC11E0">
        <w:rPr>
          <w:b/>
          <w:noProof/>
        </w:rPr>
        <w:t xml:space="preserve">sprijinul pentru pace și stabilitate </w:t>
      </w:r>
      <w:r>
        <w:rPr>
          <w:noProof/>
        </w:rPr>
        <w:t xml:space="preserve">în domenii precum deminarea, energia și responsabilitatea. Mecanismul de protecție civilă al Uniunii a completat, de asemenea, aceste eforturi prin </w:t>
      </w:r>
      <w:r w:rsidRPr="00AC11E0">
        <w:rPr>
          <w:b/>
          <w:noProof/>
        </w:rPr>
        <w:t xml:space="preserve">furnizarea continuă de asistență în natură </w:t>
      </w:r>
      <w:r>
        <w:rPr>
          <w:noProof/>
        </w:rPr>
        <w:t>din partea statelor membre, a stocurilor rescEU, a sectorului privat și a țărilor din afara UE, contribuind la răspunsul general în situații de urgență în Ucraina.</w:t>
      </w:r>
    </w:p>
    <w:p w14:paraId="161C4946" w14:textId="77777777" w:rsidR="00D97581" w:rsidRDefault="0060377B">
      <w:pPr>
        <w:pStyle w:val="Heading2"/>
        <w:rPr>
          <w:noProof/>
        </w:rPr>
      </w:pPr>
      <w:r>
        <w:rPr>
          <w:noProof/>
        </w:rPr>
        <w:t>Promovarea parteneriatelor internaționale și sprijinirea extinderii UE</w:t>
      </w:r>
    </w:p>
    <w:p w14:paraId="5633BB4D" w14:textId="77777777" w:rsidR="00D97581" w:rsidRDefault="0060377B">
      <w:pPr>
        <w:rPr>
          <w:noProof/>
        </w:rPr>
      </w:pPr>
      <w:r w:rsidRPr="00AC11E0">
        <w:rPr>
          <w:rStyle w:val="Bold"/>
          <w:noProof/>
        </w:rPr>
        <w:t>Instrumentul de asistență pentru preaderare III a continuat să sprijine procesul de extindere a UE și aderarea țărilor candidate.</w:t>
      </w:r>
      <w:r>
        <w:rPr>
          <w:noProof/>
        </w:rPr>
        <w:t xml:space="preserve"> De exemplu, a furnizat servicii comunitare extinse unui număr de peste 9</w:t>
      </w:r>
      <w:r>
        <w:rPr>
          <w:rFonts w:ascii="Calibri" w:hAnsi="Calibri"/>
          <w:noProof/>
        </w:rPr>
        <w:t> </w:t>
      </w:r>
      <w:r>
        <w:rPr>
          <w:noProof/>
        </w:rPr>
        <w:t>000 de persoane din Albania și a oferit subvenții pentru eficiența energetică unui număr de peste 40</w:t>
      </w:r>
      <w:r>
        <w:rPr>
          <w:rFonts w:ascii="Calibri" w:hAnsi="Calibri"/>
          <w:noProof/>
        </w:rPr>
        <w:t> </w:t>
      </w:r>
      <w:r>
        <w:rPr>
          <w:noProof/>
        </w:rPr>
        <w:t>000 de gospodării din Kosovo</w:t>
      </w:r>
      <w:r>
        <w:rPr>
          <w:rFonts w:ascii="Calibri" w:hAnsi="Calibri"/>
          <w:noProof/>
        </w:rPr>
        <w:t> </w:t>
      </w:r>
      <w:r>
        <w:rPr>
          <w:noProof/>
        </w:rPr>
        <w:t>(</w:t>
      </w:r>
      <w:r>
        <w:rPr>
          <w:rStyle w:val="FootnoteReference"/>
          <w:noProof/>
        </w:rPr>
        <w:footnoteReference w:customMarkFollows="1" w:id="18"/>
        <w:t>*</w:t>
      </w:r>
      <w:r>
        <w:rPr>
          <w:noProof/>
        </w:rPr>
        <w:t>).</w:t>
      </w:r>
    </w:p>
    <w:p w14:paraId="19A54DA5" w14:textId="224E8650" w:rsidR="00D97581" w:rsidRDefault="0060377B">
      <w:pPr>
        <w:rPr>
          <w:noProof/>
        </w:rPr>
      </w:pPr>
      <w:r>
        <w:rPr>
          <w:noProof/>
        </w:rPr>
        <w:t xml:space="preserve">În plus, în 2025, </w:t>
      </w:r>
      <w:r w:rsidRPr="00AC11E0">
        <w:rPr>
          <w:rStyle w:val="Bold"/>
          <w:noProof/>
        </w:rPr>
        <w:t xml:space="preserve">Mecanismul de reformă și creștere pentru Republica Moldova </w:t>
      </w:r>
      <w:r>
        <w:rPr>
          <w:noProof/>
        </w:rPr>
        <w:t>a plătit împrumuturi în valoare de 288,9 milioane EUR. De asemenea, o sumă totală de396 de milioane EUR a fost deblocată sub formă de prefinanțare și plăți în cadrul Mecanismului de reformă și creștere pentru Balcanii de Vest:</w:t>
      </w:r>
      <w:r w:rsidR="00F93FA4">
        <w:rPr>
          <w:noProof/>
        </w:rPr>
        <w:t xml:space="preserve"> </w:t>
      </w:r>
      <w:r>
        <w:rPr>
          <w:noProof/>
        </w:rPr>
        <w:t>164</w:t>
      </w:r>
      <w:r>
        <w:rPr>
          <w:rFonts w:ascii="Calibri" w:hAnsi="Calibri"/>
          <w:noProof/>
        </w:rPr>
        <w:t xml:space="preserve"> </w:t>
      </w:r>
      <w:r>
        <w:rPr>
          <w:noProof/>
        </w:rPr>
        <w:t>de milioane EUR pentru Albania,</w:t>
      </w:r>
      <w:r>
        <w:rPr>
          <w:rFonts w:ascii="Calibri" w:hAnsi="Calibri"/>
          <w:noProof/>
        </w:rPr>
        <w:t xml:space="preserve"> </w:t>
      </w:r>
      <w:r>
        <w:rPr>
          <w:noProof/>
        </w:rPr>
        <w:t>45</w:t>
      </w:r>
      <w:r>
        <w:rPr>
          <w:rFonts w:ascii="Calibri" w:hAnsi="Calibri"/>
          <w:noProof/>
        </w:rPr>
        <w:t xml:space="preserve"> </w:t>
      </w:r>
      <w:r>
        <w:rPr>
          <w:noProof/>
        </w:rPr>
        <w:t>de milioane EUR pentru Muntenegru,</w:t>
      </w:r>
      <w:r>
        <w:rPr>
          <w:rFonts w:ascii="Calibri" w:hAnsi="Calibri"/>
          <w:noProof/>
        </w:rPr>
        <w:t xml:space="preserve"> </w:t>
      </w:r>
      <w:r>
        <w:rPr>
          <w:noProof/>
        </w:rPr>
        <w:t>77</w:t>
      </w:r>
      <w:r>
        <w:rPr>
          <w:rFonts w:ascii="Calibri" w:hAnsi="Calibri"/>
          <w:noProof/>
        </w:rPr>
        <w:t xml:space="preserve"> </w:t>
      </w:r>
      <w:r>
        <w:rPr>
          <w:noProof/>
        </w:rPr>
        <w:t>de milioane EUR pentru Macedonia de Nord și</w:t>
      </w:r>
      <w:r>
        <w:rPr>
          <w:rFonts w:ascii="Calibri" w:hAnsi="Calibri"/>
          <w:noProof/>
        </w:rPr>
        <w:t xml:space="preserve"> </w:t>
      </w:r>
      <w:r>
        <w:rPr>
          <w:noProof/>
        </w:rPr>
        <w:t>111</w:t>
      </w:r>
      <w:r>
        <w:rPr>
          <w:rFonts w:ascii="Calibri" w:hAnsi="Calibri"/>
          <w:noProof/>
        </w:rPr>
        <w:t xml:space="preserve"> </w:t>
      </w:r>
      <w:r>
        <w:rPr>
          <w:noProof/>
        </w:rPr>
        <w:t xml:space="preserve">milioane EUR pentru Serbia. </w:t>
      </w:r>
    </w:p>
    <w:p w14:paraId="75A07028" w14:textId="77777777" w:rsidR="00D97581" w:rsidRDefault="0060377B">
      <w:pPr>
        <w:suppressAutoHyphens w:val="0"/>
        <w:rPr>
          <w:noProof/>
        </w:rPr>
      </w:pPr>
      <w:r>
        <w:rPr>
          <w:rStyle w:val="Bold"/>
          <w:b w:val="0"/>
          <w:noProof/>
        </w:rPr>
        <w:t xml:space="preserve">Din 2021 până la sfârșitul anului 2025, </w:t>
      </w:r>
      <w:r w:rsidRPr="00AC11E0">
        <w:rPr>
          <w:rStyle w:val="Bold"/>
          <w:noProof/>
        </w:rPr>
        <w:t>Instrumentul de vecinătate, cooperare pentru dezvoltare și cooperare internațională – „Europa globală” a plătit 29,8 miliarde EUR.</w:t>
      </w:r>
      <w:r>
        <w:rPr>
          <w:noProof/>
        </w:rPr>
        <w:t xml:space="preserve"> În 2025, peste </w:t>
      </w:r>
      <w:r w:rsidRPr="00AC11E0">
        <w:rPr>
          <w:rStyle w:val="Bold"/>
          <w:noProof/>
        </w:rPr>
        <w:t xml:space="preserve">9,8 miliarde EUR au fost plătite </w:t>
      </w:r>
      <w:r>
        <w:rPr>
          <w:rStyle w:val="Bold"/>
          <w:b w:val="0"/>
          <w:noProof/>
        </w:rPr>
        <w:t xml:space="preserve">pentru a sprijini o gamă largă de acțiuni, de exemplu </w:t>
      </w:r>
      <w:r>
        <w:rPr>
          <w:noProof/>
        </w:rPr>
        <w:t>inițiative de pace și stabilitate (340 de milioane EUR între intervențiile de răspuns în situații de criză și intervențiile tematice), precum și inițiative menite să îmbunătățească reziliența și consolidarea păcii în contexte fragile (120 de milioane EUR). De asemenea, UE a adoptat un pachet financiar substanțial în sprijinul Siriei [inclusiv 139 de milioane EUR pentru 2025 în cadrul Instrumentului de vecinătate, cooperare pentru dezvoltare și cooperare internațională – „Europa globală” (</w:t>
      </w:r>
      <w:r>
        <w:rPr>
          <w:rStyle w:val="FootnoteReference"/>
          <w:noProof/>
        </w:rPr>
        <w:footnoteReference w:id="19"/>
      </w:r>
      <w:r>
        <w:rPr>
          <w:noProof/>
        </w:rPr>
        <w:t xml:space="preserve">)]. </w:t>
      </w:r>
    </w:p>
    <w:p w14:paraId="26FB97BC" w14:textId="77777777" w:rsidR="00D97581" w:rsidRDefault="0060377B">
      <w:pPr>
        <w:rPr>
          <w:noProof/>
        </w:rPr>
      </w:pPr>
      <w:r>
        <w:rPr>
          <w:noProof/>
        </w:rPr>
        <w:t xml:space="preserve">În 2025, situația volatilă din </w:t>
      </w:r>
      <w:r w:rsidRPr="00AC11E0">
        <w:rPr>
          <w:b/>
          <w:noProof/>
        </w:rPr>
        <w:t xml:space="preserve">Orientul Mijlociu </w:t>
      </w:r>
      <w:r>
        <w:rPr>
          <w:noProof/>
        </w:rPr>
        <w:t>a evidențiat necesitatea unei abordări mai structurate și mai coordonate a cooperării în regiune.</w:t>
      </w:r>
      <w:r>
        <w:rPr>
          <w:noProof/>
          <w:color w:val="000000" w:themeColor="text1"/>
        </w:rPr>
        <w:t xml:space="preserve"> UE a prezentat o propunere de program multianual cuprinzător pentru </w:t>
      </w:r>
      <w:r w:rsidRPr="00AC11E0">
        <w:rPr>
          <w:b/>
          <w:noProof/>
          <w:color w:val="000000" w:themeColor="text1"/>
        </w:rPr>
        <w:t xml:space="preserve">redresarea și reziliența Palestinei </w:t>
      </w:r>
      <w:r>
        <w:rPr>
          <w:noProof/>
          <w:color w:val="000000" w:themeColor="text1"/>
        </w:rPr>
        <w:t xml:space="preserve">pentru perioada 2025-2027, în valoare de 1,6 miliarde EUR. În plus, </w:t>
      </w:r>
      <w:r>
        <w:rPr>
          <w:noProof/>
        </w:rPr>
        <w:t xml:space="preserve">au fost consolidate cooperarea și colaborarea cu </w:t>
      </w:r>
      <w:r w:rsidRPr="00AC11E0">
        <w:rPr>
          <w:b/>
          <w:noProof/>
        </w:rPr>
        <w:t xml:space="preserve">Consiliul de Cooperare al Golfului </w:t>
      </w:r>
      <w:r>
        <w:rPr>
          <w:noProof/>
        </w:rPr>
        <w:t xml:space="preserve">(CCG) și cu fiecare țară din Golf, în special în domeniul securității, al schimbărilor climatice, al cooperării digitale și al tranziției energetice. În plus, adoptarea </w:t>
      </w:r>
      <w:r w:rsidRPr="00AC11E0">
        <w:rPr>
          <w:b/>
          <w:noProof/>
        </w:rPr>
        <w:t xml:space="preserve">Pactului pentru Mediterana </w:t>
      </w:r>
      <w:r>
        <w:rPr>
          <w:noProof/>
        </w:rPr>
        <w:t>a oferit un nou cadru pentru relațiile UE-Mediterana de Sud.</w:t>
      </w:r>
    </w:p>
    <w:p w14:paraId="1CF8BBAD" w14:textId="77777777" w:rsidR="00D97581" w:rsidRDefault="0060377B">
      <w:pPr>
        <w:suppressAutoHyphens w:val="0"/>
        <w:rPr>
          <w:noProof/>
        </w:rPr>
      </w:pPr>
      <w:r w:rsidRPr="00AC11E0">
        <w:rPr>
          <w:b/>
          <w:noProof/>
        </w:rPr>
        <w:t>În 2025, UE și statele sale membre au continuat să extindă strategia „Global Gateway”.</w:t>
      </w:r>
      <w:r>
        <w:rPr>
          <w:noProof/>
        </w:rPr>
        <w:t xml:space="preserve"> A fost organizat cel de al doilea forum și comitet Global Gateway, iar președinta von der Leyen a anunțat că UE, statele membre și instituțiile de finanțare europene, urmând o abordare de tip „Echipa Europa”, au mobilizat investiții în valoare de peste 306 miliarde EUR, depășind cele 300 de miliarde EUR inițiale. </w:t>
      </w:r>
    </w:p>
    <w:p w14:paraId="0D448E0E" w14:textId="77777777" w:rsidR="00D97581" w:rsidRDefault="0060377B">
      <w:pPr>
        <w:rPr>
          <w:noProof/>
        </w:rPr>
      </w:pPr>
      <w:r w:rsidRPr="00AC11E0">
        <w:rPr>
          <w:rStyle w:val="Bold"/>
          <w:noProof/>
        </w:rPr>
        <w:t xml:space="preserve">Anul 2025 a marcat cea de a 25-a aniversare a Parteneriatului UE-Uniunea Africană. </w:t>
      </w:r>
      <w:r>
        <w:rPr>
          <w:rStyle w:val="Bold"/>
          <w:b w:val="0"/>
          <w:noProof/>
        </w:rPr>
        <w:t xml:space="preserve">Astfel cum s-a anunțat în cadrul celui de al 7-lea summit Uniunea Europeană-Uniunea Africană din noiembrie 2025, UE, în cadrul unei abordări de tip „Echipa Europa”, a mobilizat până în prezent </w:t>
      </w:r>
      <w:r w:rsidRPr="00AC11E0">
        <w:rPr>
          <w:rStyle w:val="Bold"/>
          <w:noProof/>
        </w:rPr>
        <w:t>peste 120 de miliarde EUR pentru proiecte Global Gateway în Africa.</w:t>
      </w:r>
      <w:r>
        <w:rPr>
          <w:noProof/>
        </w:rPr>
        <w:t xml:space="preserve"> Aceasta include, de exemplu, instalații de alimentare cu apă, de salubrizare și de igienă pentru școlile din Uganda</w:t>
      </w:r>
      <w:r>
        <w:rPr>
          <w:rFonts w:ascii="Calibri" w:hAnsi="Calibri"/>
          <w:noProof/>
        </w:rPr>
        <w:t> </w:t>
      </w:r>
      <w:r>
        <w:rPr>
          <w:noProof/>
        </w:rPr>
        <w:t>(</w:t>
      </w:r>
      <w:r>
        <w:rPr>
          <w:rStyle w:val="FootnoteReference"/>
          <w:noProof/>
        </w:rPr>
        <w:footnoteReference w:id="20"/>
      </w:r>
      <w:r>
        <w:rPr>
          <w:noProof/>
        </w:rPr>
        <w:t>) și furnizarea de rețele de conectivitate digitală de mare viteză, servicii electronice și infrastructură de date în beneficiul comunităților de cercetare și educație din Africa Subsahariană</w:t>
      </w:r>
      <w:r>
        <w:rPr>
          <w:rFonts w:ascii="Calibri" w:hAnsi="Calibri"/>
          <w:noProof/>
        </w:rPr>
        <w:t> </w:t>
      </w:r>
      <w:r>
        <w:rPr>
          <w:noProof/>
        </w:rPr>
        <w:t>(</w:t>
      </w:r>
      <w:r>
        <w:rPr>
          <w:rStyle w:val="FootnoteReference"/>
          <w:noProof/>
        </w:rPr>
        <w:footnoteReference w:id="21"/>
      </w:r>
      <w:r>
        <w:rPr>
          <w:noProof/>
        </w:rPr>
        <w:t>).</w:t>
      </w:r>
    </w:p>
    <w:p w14:paraId="1A0A5706" w14:textId="77777777" w:rsidR="00D97581" w:rsidRDefault="0060377B">
      <w:pPr>
        <w:rPr>
          <w:noProof/>
        </w:rPr>
      </w:pPr>
      <w:r w:rsidRPr="00AC11E0">
        <w:rPr>
          <w:b/>
          <w:noProof/>
        </w:rPr>
        <w:t xml:space="preserve">Agenda de investiții „Global Gateway” UE-America Latină și zona Caraibilor </w:t>
      </w:r>
      <w:r>
        <w:rPr>
          <w:noProof/>
        </w:rPr>
        <w:t xml:space="preserve">a produs rezultate concrete. Peste 80 de proiecte au avansat în ceea ce privește punerea lor în aplicare, acoperind domenii precum acțiunile climatice, materiile prime critice, transformarea digitală și inovarea, precum și transportul durabil. Un exemplu este dezvoltarea infrastructurii electrice transfrontaliere pentru a crea piețe regionale ale energiei bazate pe coeziune prin intermediul unei inițiative în valoare de 6,86 miliarde EUR privind integrarea regională a energiei electrice, care va finanța 24 de proiecte de stimulare a producției, transportului și comerțului cu energie curată. </w:t>
      </w:r>
    </w:p>
    <w:p w14:paraId="19B953E7" w14:textId="77777777" w:rsidR="00D97581" w:rsidRDefault="0060377B">
      <w:pPr>
        <w:rPr>
          <w:noProof/>
        </w:rPr>
      </w:pPr>
      <w:r w:rsidRPr="00AC11E0">
        <w:rPr>
          <w:rStyle w:val="Bold"/>
          <w:noProof/>
        </w:rPr>
        <w:t>„Global Gateway” a mobilizat, de asemenea, fonduri pentru investiții în regiunea Asia-Pacific.</w:t>
      </w:r>
      <w:r>
        <w:rPr>
          <w:noProof/>
        </w:rPr>
        <w:t xml:space="preserve"> De exemplu, un pachet de investiții „Global Gateway” al Echipei Europa a mobilizat 12 miliarde EUR pentru Asia Centrală, UE și regiunea Pacificului urmând să investească aproape 300 de milioane EUR în dezvoltarea economică durabilă și în reziliența la schimbările climatice. În vecinătatea estică, în 2025 au fost adoptate programe de acțiune multianuale pentru perioada 2025-2027 pentru Armenia, Azerbaidjan, Belarus, Georgia și Republica Moldova, în valoare totală de 668,2 milioane EUR.</w:t>
      </w:r>
    </w:p>
    <w:p w14:paraId="75D48CC5" w14:textId="77777777" w:rsidR="00D97581" w:rsidRDefault="0060377B">
      <w:pPr>
        <w:suppressAutoHyphens w:val="0"/>
        <w:rPr>
          <w:noProof/>
        </w:rPr>
      </w:pPr>
      <w:r>
        <w:rPr>
          <w:noProof/>
        </w:rPr>
        <w:br w:type="page"/>
      </w:r>
    </w:p>
    <w:p w14:paraId="7629692F" w14:textId="77777777" w:rsidR="00D97581" w:rsidRDefault="0060377B">
      <w:pPr>
        <w:pStyle w:val="Heading2"/>
        <w:rPr>
          <w:noProof/>
        </w:rPr>
      </w:pPr>
      <w:r>
        <w:rPr>
          <w:noProof/>
        </w:rPr>
        <w:t>Furnizarea de ajutor umanitar și asigurarea securității alimentare</w:t>
      </w:r>
    </w:p>
    <w:p w14:paraId="2DB52796" w14:textId="77777777" w:rsidR="00D97581" w:rsidRDefault="0060377B">
      <w:pPr>
        <w:rPr>
          <w:noProof/>
        </w:rPr>
      </w:pPr>
      <w:r w:rsidRPr="00AC11E0">
        <w:rPr>
          <w:rStyle w:val="Bold"/>
          <w:noProof/>
        </w:rPr>
        <w:t>În 2025, UE a furnizat asistență umanitară în valoare de aproximativ 2,6 miliarde EUR prin intermediul programului de ajutor umanitar.</w:t>
      </w:r>
      <w:r>
        <w:rPr>
          <w:noProof/>
        </w:rPr>
        <w:t xml:space="preserve"> UE a răspuns nevoilor umanitare ale persoanelor care se confruntă, de exemplu, cu </w:t>
      </w:r>
      <w:bookmarkStart w:id="21" w:name="_Hlk229242724"/>
      <w:r>
        <w:rPr>
          <w:noProof/>
        </w:rPr>
        <w:t>pericole naturale și dezastre provocate de om, cu consecințele conflictelor, cu încălcări ale drepturilor omului, cu violență sexuală și bazată pe gen, cu strămutarea forțată, cu insecuritate alimentară acută și cu sărăcie extremă</w:t>
      </w:r>
      <w:bookmarkEnd w:id="21"/>
      <w:r>
        <w:rPr>
          <w:noProof/>
        </w:rPr>
        <w:t>.</w:t>
      </w:r>
    </w:p>
    <w:p w14:paraId="19BC748B" w14:textId="77777777" w:rsidR="00D97581" w:rsidRDefault="0060377B">
      <w:pPr>
        <w:rPr>
          <w:noProof/>
        </w:rPr>
      </w:pPr>
      <w:r w:rsidRPr="00AC11E0">
        <w:rPr>
          <w:rStyle w:val="Bold"/>
          <w:noProof/>
        </w:rPr>
        <w:t>O prioritate deosebită în 2025 a fost răspunsul UE la nevoile poporului palestinian.</w:t>
      </w:r>
      <w:r>
        <w:rPr>
          <w:noProof/>
        </w:rPr>
        <w:t xml:space="preserve"> În cadrul programului de ajutor umanitar, 220 de milioane EUR au fost angajate pentru a răspunde nevoilor Palestinei</w:t>
      </w:r>
      <w:r>
        <w:rPr>
          <w:rFonts w:ascii="Calibri" w:hAnsi="Calibri"/>
          <w:noProof/>
        </w:rPr>
        <w:t> </w:t>
      </w:r>
      <w:r>
        <w:rPr>
          <w:noProof/>
        </w:rPr>
        <w:t>(</w:t>
      </w:r>
      <w:r>
        <w:rPr>
          <w:rStyle w:val="FootnoteReference"/>
          <w:noProof/>
        </w:rPr>
        <w:footnoteReference w:id="22"/>
      </w:r>
      <w:r>
        <w:rPr>
          <w:noProof/>
        </w:rPr>
        <w:t>). În plus, UE a oferit ajutor pentru:</w:t>
      </w:r>
    </w:p>
    <w:p w14:paraId="6DCFC42C" w14:textId="77777777" w:rsidR="00D97581" w:rsidRDefault="0060377B">
      <w:pPr>
        <w:pStyle w:val="ListBulletorangeLevel1"/>
        <w:rPr>
          <w:noProof/>
        </w:rPr>
      </w:pPr>
      <w:r>
        <w:rPr>
          <w:noProof/>
        </w:rPr>
        <w:t>criza din Sudan (273 de milioane EUR);</w:t>
      </w:r>
    </w:p>
    <w:p w14:paraId="56A5B75B" w14:textId="77777777" w:rsidR="00D97581" w:rsidRDefault="0060377B">
      <w:pPr>
        <w:pStyle w:val="ListBulletorangeLevel1"/>
        <w:rPr>
          <w:noProof/>
        </w:rPr>
      </w:pPr>
      <w:r>
        <w:rPr>
          <w:noProof/>
        </w:rPr>
        <w:t>regiunea Marilor Lacuri Africane (129 de milioane EUR);</w:t>
      </w:r>
    </w:p>
    <w:p w14:paraId="2E780323" w14:textId="77777777" w:rsidR="00D97581" w:rsidRDefault="0060377B">
      <w:pPr>
        <w:pStyle w:val="ListBulletorangeLevel1"/>
        <w:rPr>
          <w:noProof/>
        </w:rPr>
      </w:pPr>
      <w:r>
        <w:rPr>
          <w:noProof/>
        </w:rPr>
        <w:t xml:space="preserve">țările din centrul regiunii Sahel, și anume Burkina Faso, Niger și Mali (124 de milioane EUR); </w:t>
      </w:r>
    </w:p>
    <w:p w14:paraId="4D1D30D4" w14:textId="77777777" w:rsidR="00D97581" w:rsidRDefault="0060377B">
      <w:pPr>
        <w:pStyle w:val="ListBulletorangeLevel1"/>
        <w:rPr>
          <w:noProof/>
        </w:rPr>
      </w:pPr>
      <w:r>
        <w:rPr>
          <w:noProof/>
        </w:rPr>
        <w:t>Myanmar/Birmania (55 de milioane EUR);</w:t>
      </w:r>
    </w:p>
    <w:p w14:paraId="73E70A0E" w14:textId="77777777" w:rsidR="00D97581" w:rsidRDefault="0060377B">
      <w:pPr>
        <w:pStyle w:val="ListBulletorangeLevel1"/>
        <w:rPr>
          <w:noProof/>
        </w:rPr>
      </w:pPr>
      <w:r>
        <w:rPr>
          <w:noProof/>
        </w:rPr>
        <w:t>Venezuela (52 de milioane EUR);</w:t>
      </w:r>
    </w:p>
    <w:p w14:paraId="0179C183" w14:textId="77777777" w:rsidR="00D97581" w:rsidRDefault="0060377B">
      <w:pPr>
        <w:pStyle w:val="ListBulletorangeLevel1"/>
        <w:rPr>
          <w:noProof/>
        </w:rPr>
      </w:pPr>
      <w:r>
        <w:rPr>
          <w:noProof/>
        </w:rPr>
        <w:t>Refugiați rohingya în tabăra de refugiați Cox’s Bazar din Bangladesh (aproape 39 de milioane EUR).</w:t>
      </w:r>
    </w:p>
    <w:p w14:paraId="37016CF9" w14:textId="77777777" w:rsidR="00D97581" w:rsidRDefault="0060377B">
      <w:pPr>
        <w:rPr>
          <w:noProof/>
        </w:rPr>
      </w:pPr>
      <w:r w:rsidRPr="00AC11E0">
        <w:rPr>
          <w:rStyle w:val="Bold"/>
          <w:noProof/>
        </w:rPr>
        <w:t>ReliefEU</w:t>
      </w:r>
      <w:r>
        <w:rPr>
          <w:noProof/>
        </w:rPr>
        <w:t xml:space="preserve"> a alocat</w:t>
      </w:r>
      <w:r>
        <w:rPr>
          <w:rFonts w:ascii="Calibri" w:hAnsi="Calibri"/>
          <w:noProof/>
        </w:rPr>
        <w:t xml:space="preserve"> </w:t>
      </w:r>
      <w:r>
        <w:rPr>
          <w:noProof/>
        </w:rPr>
        <w:t>110</w:t>
      </w:r>
      <w:r>
        <w:rPr>
          <w:rFonts w:ascii="Calibri" w:hAnsi="Calibri"/>
          <w:noProof/>
        </w:rPr>
        <w:t xml:space="preserve"> </w:t>
      </w:r>
      <w:r>
        <w:rPr>
          <w:noProof/>
        </w:rPr>
        <w:t>milioane EUR pentru operațiuni în 2025, utilizând o finanțare umanitară de urgență de primă linie în valoare totală de 53,5 milioane EUR în 60 de țări. Finanțarea ReliefEU a fost mobilizată de 118 ori. Capacitățile ReliefEU au răspuns la 20 de crize din 18 țări cu servicii logistice și servicii de transport multimodal.</w:t>
      </w:r>
    </w:p>
    <w:p w14:paraId="4CBE50A4" w14:textId="77777777" w:rsidR="00D97581" w:rsidRPr="00AC11E0" w:rsidRDefault="0060377B">
      <w:pPr>
        <w:pStyle w:val="Heading1"/>
        <w:spacing w:before="360"/>
        <w:rPr>
          <w:noProof/>
        </w:rPr>
      </w:pPr>
      <w:bookmarkStart w:id="22" w:name="_Toc231479441"/>
      <w:r w:rsidRPr="00AC11E0">
        <w:rPr>
          <w:noProof/>
        </w:rPr>
        <w:t>Contribuția bugetului UE la prioritățile orizontale</w:t>
      </w:r>
      <w:bookmarkEnd w:id="22"/>
    </w:p>
    <w:p w14:paraId="3C28941F" w14:textId="77777777" w:rsidR="00D97581" w:rsidRPr="00AC11E0" w:rsidRDefault="0060377B">
      <w:pPr>
        <w:rPr>
          <w:rStyle w:val="Bold"/>
          <w:noProof/>
        </w:rPr>
      </w:pPr>
      <w:r w:rsidRPr="00AC11E0">
        <w:rPr>
          <w:rStyle w:val="Bold"/>
          <w:noProof/>
        </w:rPr>
        <w:t>Bugetul UE oferă o valoare adăugată europeană clară, dincolo de ceea ce s-ar realiza prin acțiunea individuală a statelor membre.</w:t>
      </w:r>
      <w:r>
        <w:rPr>
          <w:noProof/>
        </w:rPr>
        <w:t xml:space="preserve"> Toate fondurile și programele UE au continuat să înregistreze progrese în direcția atingerii obiectivelor lor în 2025 și, împreună, au oferit un sprijin puternic pentru o serie de priorități transversale, cum ar fi tranziția verde și cea digitală. În cursul anului, se estimează că aproape</w:t>
      </w:r>
      <w:r>
        <w:rPr>
          <w:rFonts w:ascii="Calibri" w:hAnsi="Calibri"/>
          <w:noProof/>
        </w:rPr>
        <w:t xml:space="preserve"> </w:t>
      </w:r>
      <w:r>
        <w:rPr>
          <w:noProof/>
        </w:rPr>
        <w:t>64</w:t>
      </w:r>
      <w:r>
        <w:rPr>
          <w:rFonts w:ascii="Calibri" w:hAnsi="Calibri"/>
          <w:noProof/>
        </w:rPr>
        <w:t xml:space="preserve"> </w:t>
      </w:r>
      <w:r>
        <w:rPr>
          <w:noProof/>
        </w:rPr>
        <w:t>de miliarde EUR au fost puse la dispoziție pentru a sprijini obiectivele climatice, peste</w:t>
      </w:r>
      <w:r>
        <w:rPr>
          <w:rFonts w:ascii="Calibri" w:hAnsi="Calibri"/>
          <w:noProof/>
        </w:rPr>
        <w:t xml:space="preserve"> </w:t>
      </w:r>
      <w:r>
        <w:rPr>
          <w:noProof/>
        </w:rPr>
        <w:t>15</w:t>
      </w:r>
      <w:r>
        <w:rPr>
          <w:rFonts w:ascii="Calibri" w:hAnsi="Calibri"/>
          <w:noProof/>
        </w:rPr>
        <w:t xml:space="preserve"> </w:t>
      </w:r>
      <w:r>
        <w:rPr>
          <w:noProof/>
        </w:rPr>
        <w:t>miliarde EUR au vizat obiective în materie de biodiversitate, peste</w:t>
      </w:r>
      <w:r>
        <w:rPr>
          <w:rFonts w:ascii="Calibri" w:hAnsi="Calibri"/>
          <w:noProof/>
        </w:rPr>
        <w:t xml:space="preserve"> </w:t>
      </w:r>
      <w:r>
        <w:rPr>
          <w:noProof/>
        </w:rPr>
        <w:t>19</w:t>
      </w:r>
      <w:r>
        <w:rPr>
          <w:rFonts w:ascii="Calibri" w:hAnsi="Calibri"/>
          <w:noProof/>
        </w:rPr>
        <w:t xml:space="preserve"> </w:t>
      </w:r>
      <w:r>
        <w:rPr>
          <w:noProof/>
        </w:rPr>
        <w:t>miliarde EUR au fost alocate priorităților digitale și aproape</w:t>
      </w:r>
      <w:r>
        <w:rPr>
          <w:rFonts w:ascii="Calibri" w:hAnsi="Calibri"/>
          <w:noProof/>
        </w:rPr>
        <w:t xml:space="preserve"> </w:t>
      </w:r>
      <w:r>
        <w:rPr>
          <w:noProof/>
        </w:rPr>
        <w:t>38</w:t>
      </w:r>
      <w:r>
        <w:rPr>
          <w:rFonts w:ascii="Calibri" w:hAnsi="Calibri"/>
          <w:noProof/>
        </w:rPr>
        <w:t xml:space="preserve"> </w:t>
      </w:r>
      <w:r>
        <w:rPr>
          <w:noProof/>
        </w:rPr>
        <w:t>de miliarde EUR au sprijinit egalitatea de gen</w:t>
      </w:r>
      <w:r>
        <w:rPr>
          <w:rFonts w:ascii="Calibri" w:hAnsi="Calibri"/>
          <w:noProof/>
        </w:rPr>
        <w:t> </w:t>
      </w:r>
      <w:r>
        <w:rPr>
          <w:noProof/>
        </w:rPr>
        <w:t>(</w:t>
      </w:r>
      <w:r>
        <w:rPr>
          <w:rStyle w:val="FootnoteReference"/>
          <w:noProof/>
        </w:rPr>
        <w:footnoteReference w:id="23"/>
      </w:r>
      <w:r>
        <w:rPr>
          <w:noProof/>
        </w:rPr>
        <w:t>).</w:t>
      </w:r>
    </w:p>
    <w:p w14:paraId="7BC73C5B" w14:textId="77777777" w:rsidR="00D97581" w:rsidRDefault="0060377B">
      <w:pPr>
        <w:pStyle w:val="ImageTitle"/>
        <w:rPr>
          <w:noProof/>
        </w:rPr>
      </w:pPr>
      <w:r>
        <w:rPr>
          <w:noProof/>
        </w:rPr>
        <w:t>Alocarea din bugetul UE și din NextGenerationEU pentru prioritățile orizontale în 2025 (procent din bugetul total și sume estimate în milioane EUR)</w:t>
      </w:r>
    </w:p>
    <w:p w14:paraId="256359C2" w14:textId="41E43AF1" w:rsidR="00D97581" w:rsidRPr="00AC11E0" w:rsidRDefault="00834C3A">
      <w:pPr>
        <w:pStyle w:val="ImagePlaceholder"/>
        <w:rPr>
          <w:rStyle w:val="Bold"/>
          <w:noProof/>
        </w:rPr>
      </w:pPr>
      <w:r w:rsidRPr="00AC11E0">
        <w:rPr>
          <w:rStyle w:val="Bold"/>
          <w:noProof/>
          <w:lang w:val="en-GB"/>
        </w:rPr>
        <w:drawing>
          <wp:inline distT="0" distB="0" distL="0" distR="0" wp14:anchorId="35CD9E2D" wp14:editId="2D22B979">
            <wp:extent cx="5425200" cy="1695600"/>
            <wp:effectExtent l="0" t="0" r="4445" b="0"/>
            <wp:docPr id="117605692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425200" cy="1695600"/>
                    </a:xfrm>
                    <a:prstGeom prst="rect">
                      <a:avLst/>
                    </a:prstGeom>
                    <a:noFill/>
                  </pic:spPr>
                </pic:pic>
              </a:graphicData>
            </a:graphic>
          </wp:inline>
        </w:drawing>
      </w:r>
    </w:p>
    <w:p w14:paraId="6F773420" w14:textId="77777777" w:rsidR="00D97581" w:rsidRDefault="0060377B">
      <w:pPr>
        <w:pStyle w:val="ImageSource"/>
        <w:keepNext w:val="0"/>
        <w:rPr>
          <w:noProof/>
        </w:rPr>
      </w:pPr>
      <w:bookmarkStart w:id="23" w:name="_Hlk167878878"/>
      <w:r w:rsidRPr="00AC11E0">
        <w:rPr>
          <w:rStyle w:val="Italic"/>
          <w:noProof/>
        </w:rPr>
        <w:t>Sursa:</w:t>
      </w:r>
      <w:r>
        <w:rPr>
          <w:noProof/>
        </w:rPr>
        <w:t xml:space="preserve"> Comisia Europeană.</w:t>
      </w:r>
    </w:p>
    <w:tbl>
      <w:tblPr>
        <w:tblStyle w:val="TableBoxBlueBackground"/>
        <w:tblW w:w="9060" w:type="dxa"/>
        <w:shd w:val="clear" w:color="auto" w:fill="E1EBFF"/>
        <w:tblLook w:val="0480" w:firstRow="0" w:lastRow="0" w:firstColumn="1" w:lastColumn="0" w:noHBand="0" w:noVBand="1"/>
      </w:tblPr>
      <w:tblGrid>
        <w:gridCol w:w="9060"/>
      </w:tblGrid>
      <w:tr w:rsidR="00D97581" w14:paraId="036B3F0F" w14:textId="77777777">
        <w:trPr>
          <w:cantSplit/>
          <w:trHeight w:val="20"/>
        </w:trPr>
        <w:tc>
          <w:tcPr>
            <w:tcW w:w="9060" w:type="dxa"/>
          </w:tcPr>
          <w:bookmarkEnd w:id="23"/>
          <w:p w14:paraId="4B17A8DC" w14:textId="77777777" w:rsidR="00D97581" w:rsidRPr="00AC11E0" w:rsidRDefault="0060377B">
            <w:pPr>
              <w:pStyle w:val="amprboxBLUEBoxTitle"/>
              <w:rPr>
                <w:rStyle w:val="Bold"/>
                <w:noProof/>
              </w:rPr>
            </w:pPr>
            <w:r w:rsidRPr="00AC11E0">
              <w:rPr>
                <w:rStyle w:val="Bold"/>
                <w:noProof/>
              </w:rPr>
              <w:t>Exemple de contribuții de la bugetul UE pentru prioritățile orizontale</w:t>
            </w:r>
          </w:p>
          <w:p w14:paraId="65B5D5DD" w14:textId="77777777" w:rsidR="00D97581" w:rsidRPr="00AC11E0" w:rsidRDefault="0060377B">
            <w:pPr>
              <w:pStyle w:val="amprboxBLUEtext"/>
              <w:rPr>
                <w:rStyle w:val="Bold"/>
                <w:noProof/>
              </w:rPr>
            </w:pPr>
            <w:r w:rsidRPr="00AC11E0">
              <w:rPr>
                <w:rStyle w:val="Bold"/>
                <w:noProof/>
              </w:rPr>
              <w:t>Climă</w:t>
            </w:r>
          </w:p>
          <w:p w14:paraId="0BDA663D" w14:textId="77777777" w:rsidR="00D97581" w:rsidRDefault="0060377B">
            <w:pPr>
              <w:pStyle w:val="amprboxBLUEbulletlist"/>
              <w:rPr>
                <w:noProof/>
              </w:rPr>
            </w:pPr>
            <w:r>
              <w:rPr>
                <w:noProof/>
              </w:rPr>
              <w:t>În cadrul misiunii „Orașe” a programului Orizont Europa, 103 orașe s-au angajat în mod oficial să atingă neutralitatea climatică, cu o reducere preconizată a emisiilor de dioxid de carbon egală cu aproximativ 6,2 % din totalul UE în 2023.</w:t>
            </w:r>
          </w:p>
          <w:p w14:paraId="5490FBAA" w14:textId="77777777" w:rsidR="00D97581" w:rsidRDefault="0060377B">
            <w:pPr>
              <w:pStyle w:val="amprboxBLUEbulletlist"/>
              <w:rPr>
                <w:noProof/>
              </w:rPr>
            </w:pPr>
            <w:r>
              <w:rPr>
                <w:noProof/>
              </w:rPr>
              <w:t>Până la mijlocul anului 2025, prin intermediul măsurilor din cadrul Mecanismului de redresare și reziliență au fost instalate în total 940</w:t>
            </w:r>
            <w:r>
              <w:rPr>
                <w:rFonts w:ascii="Calibri" w:hAnsi="Calibri"/>
                <w:noProof/>
              </w:rPr>
              <w:t> </w:t>
            </w:r>
            <w:r>
              <w:rPr>
                <w:noProof/>
              </w:rPr>
              <w:t>866 de puncte de realimentare și reîncărcare noi sau modernizate pentru vehicule nepoluante.</w:t>
            </w:r>
          </w:p>
          <w:p w14:paraId="591389DD" w14:textId="77777777" w:rsidR="00D97581" w:rsidRDefault="0060377B">
            <w:pPr>
              <w:pStyle w:val="amprboxBLUEbulletlist"/>
              <w:rPr>
                <w:noProof/>
              </w:rPr>
            </w:pPr>
            <w:r>
              <w:rPr>
                <w:noProof/>
              </w:rPr>
              <w:t xml:space="preserve">Se preconizează că cel puțin 81 de milioane de persoane din UE vor beneficia de măsuri de atenuare a schimbărilor climatice finanțate prin programele politicii de coeziune pentru protecția împotriva inundațiilor, a incendiilor de vegetație și a dezastrelor naturale, iar alte 26 de milioane de persoane vor beneficia de măsuri de îmbunătățire a calității aerului. </w:t>
            </w:r>
          </w:p>
          <w:p w14:paraId="5D9CCCB5" w14:textId="77777777" w:rsidR="00D97581" w:rsidRDefault="0060377B">
            <w:pPr>
              <w:pStyle w:val="amprboxBLUEbulletlist"/>
              <w:rPr>
                <w:noProof/>
              </w:rPr>
            </w:pPr>
            <w:r>
              <w:rPr>
                <w:noProof/>
              </w:rPr>
              <w:t>În cadrul politicii agricole comune, măsurile de îmbunătățire a sechestrării și stocării carbonului în soluri și biomasă au fost puse în aplicare pe 38 % din suprafața agricolă a UE.</w:t>
            </w:r>
          </w:p>
          <w:p w14:paraId="63662B65" w14:textId="77777777" w:rsidR="00D97581" w:rsidRDefault="0060377B">
            <w:pPr>
              <w:pStyle w:val="amprboxBLUEbulletlist"/>
              <w:rPr>
                <w:noProof/>
              </w:rPr>
            </w:pPr>
            <w:r>
              <w:rPr>
                <w:noProof/>
              </w:rPr>
              <w:t>Proiectele LIFE au realizat o reducere de 14,1 milioane de tone de dioxid de carbon echivalent pe an, economii anuale de energie primară de 8</w:t>
            </w:r>
            <w:r>
              <w:rPr>
                <w:rFonts w:ascii="Calibri" w:hAnsi="Calibri"/>
                <w:noProof/>
              </w:rPr>
              <w:t> </w:t>
            </w:r>
            <w:r>
              <w:rPr>
                <w:noProof/>
              </w:rPr>
              <w:t>332</w:t>
            </w:r>
            <w:r>
              <w:rPr>
                <w:rFonts w:ascii="Calibri" w:hAnsi="Calibri"/>
                <w:noProof/>
              </w:rPr>
              <w:t xml:space="preserve"> </w:t>
            </w:r>
            <w:r>
              <w:rPr>
                <w:noProof/>
              </w:rPr>
              <w:t>de gigawați-oră și o producție suplimentară de energie din surse regenerabile de 3</w:t>
            </w:r>
            <w:r>
              <w:rPr>
                <w:rFonts w:ascii="Calibri" w:hAnsi="Calibri"/>
                <w:noProof/>
              </w:rPr>
              <w:t> </w:t>
            </w:r>
            <w:r>
              <w:rPr>
                <w:noProof/>
              </w:rPr>
              <w:t>153 de gigawați-oră pe an. Vulnerabilitatea la schimbările climatice a fost redusă pentru peste 3,5 milioane de cetățeni.</w:t>
            </w:r>
          </w:p>
          <w:p w14:paraId="619BB441" w14:textId="77777777" w:rsidR="00D97581" w:rsidRDefault="0060377B">
            <w:pPr>
              <w:pStyle w:val="amprboxBLUEbulletlist"/>
              <w:rPr>
                <w:noProof/>
              </w:rPr>
            </w:pPr>
            <w:r>
              <w:rPr>
                <w:noProof/>
              </w:rPr>
              <w:t>În cadrul Instrumentului de vecinătate, cooperare pentru dezvoltare și cooperare internațională – „Europa globală”, programul EU4Climate pentru reziliență (17 milioane EUR) sprijină adaptarea la schimbările climatice la nivel municipal prin sprijin tehnic și proiecte-pilot. Acesta ajută țările Parteneriatului estic să își îndeplinească angajamentele asumate în temeiul Acordului de la Paris și să se alinieze la legislația UE.</w:t>
            </w:r>
          </w:p>
          <w:p w14:paraId="2D5F1767" w14:textId="77777777" w:rsidR="00D97581" w:rsidRPr="00AC11E0" w:rsidRDefault="0060377B">
            <w:pPr>
              <w:pStyle w:val="amprboxBLUEtext"/>
              <w:rPr>
                <w:rStyle w:val="Bold"/>
                <w:noProof/>
              </w:rPr>
            </w:pPr>
            <w:r w:rsidRPr="00AC11E0">
              <w:rPr>
                <w:rStyle w:val="Bold"/>
                <w:noProof/>
              </w:rPr>
              <w:t>Biodiversitate</w:t>
            </w:r>
          </w:p>
          <w:p w14:paraId="34119293" w14:textId="77777777" w:rsidR="00D97581" w:rsidRDefault="0060377B">
            <w:pPr>
              <w:pStyle w:val="amprboxBLUEbulletlist"/>
              <w:rPr>
                <w:noProof/>
              </w:rPr>
            </w:pPr>
            <w:r>
              <w:rPr>
                <w:noProof/>
              </w:rPr>
              <w:t>Politica de coeziune a sprijinit proiecte care acoperă aproximativ 65 de milioane de hectare de teren pentru protecția împotriva incendiilor de vegetație.</w:t>
            </w:r>
          </w:p>
          <w:p w14:paraId="2130E82C" w14:textId="77777777" w:rsidR="00D97581" w:rsidRDefault="0060377B">
            <w:pPr>
              <w:pStyle w:val="amprboxBLUEbulletlist"/>
              <w:rPr>
                <w:noProof/>
              </w:rPr>
            </w:pPr>
            <w:r>
              <w:rPr>
                <w:noProof/>
              </w:rPr>
              <w:t>Serviciile de monitorizare Copernicus contribuie la monitorizarea schimbărilor din ecosisteme și a pierderii biodiversității, în sprijinul Strategiei UE privind biodiversitatea, al Regulamentului UE privind refacerea naturii, al Convenției privind diversitatea biologică și al raportării cu privire la obiectivele de dezvoltare durabilă ale Organizației Națiunilor Unite.</w:t>
            </w:r>
          </w:p>
          <w:p w14:paraId="6C47A07F" w14:textId="77777777" w:rsidR="00D97581" w:rsidRDefault="0060377B">
            <w:pPr>
              <w:pStyle w:val="amprboxBLUEbulletlist"/>
              <w:rPr>
                <w:noProof/>
              </w:rPr>
            </w:pPr>
            <w:r>
              <w:rPr>
                <w:noProof/>
              </w:rPr>
              <w:t>În cadrul programului LIFE, pierderea biodiversității a fost oprită sau inversată pe 2</w:t>
            </w:r>
            <w:r>
              <w:rPr>
                <w:rFonts w:ascii="Calibri" w:hAnsi="Calibri"/>
                <w:noProof/>
              </w:rPr>
              <w:t> </w:t>
            </w:r>
            <w:r>
              <w:rPr>
                <w:noProof/>
              </w:rPr>
              <w:t>048</w:t>
            </w:r>
            <w:r>
              <w:rPr>
                <w:rFonts w:ascii="Calibri" w:hAnsi="Calibri"/>
                <w:noProof/>
              </w:rPr>
              <w:t> </w:t>
            </w:r>
            <w:r>
              <w:rPr>
                <w:noProof/>
              </w:rPr>
              <w:t>647 de hectare de habitate, iar 557 de specii au beneficiat de eforturi de conservare.</w:t>
            </w:r>
          </w:p>
          <w:p w14:paraId="12E5110A" w14:textId="77777777" w:rsidR="00D97581" w:rsidRDefault="0060377B">
            <w:pPr>
              <w:pStyle w:val="amprboxBLUEbulletlist"/>
              <w:rPr>
                <w:noProof/>
              </w:rPr>
            </w:pPr>
            <w:r>
              <w:rPr>
                <w:noProof/>
              </w:rPr>
              <w:t>Un total de 2</w:t>
            </w:r>
            <w:r>
              <w:rPr>
                <w:rFonts w:ascii="Calibri" w:hAnsi="Calibri"/>
                <w:noProof/>
              </w:rPr>
              <w:t> </w:t>
            </w:r>
            <w:r>
              <w:rPr>
                <w:noProof/>
              </w:rPr>
              <w:t>691 de inițiative care contribuie la o stare ecologică bună au fost selectate între 2022 și 2024 în cadrul Fondului european pentru afaceri maritime, pescuit și acvacultură.</w:t>
            </w:r>
          </w:p>
          <w:p w14:paraId="78CB6B7F" w14:textId="77777777" w:rsidR="00D97581" w:rsidRPr="00AC11E0" w:rsidRDefault="0060377B">
            <w:pPr>
              <w:pStyle w:val="amprboxBLUEtext"/>
              <w:rPr>
                <w:rStyle w:val="Bold"/>
                <w:noProof/>
              </w:rPr>
            </w:pPr>
            <w:r w:rsidRPr="00AC11E0">
              <w:rPr>
                <w:rStyle w:val="Bold"/>
                <w:noProof/>
              </w:rPr>
              <w:t>Sectorul digital</w:t>
            </w:r>
          </w:p>
          <w:p w14:paraId="2EE7D030" w14:textId="77777777" w:rsidR="00D97581" w:rsidRDefault="0060377B">
            <w:pPr>
              <w:pStyle w:val="amprboxBLUEbulletlist"/>
              <w:rPr>
                <w:noProof/>
              </w:rPr>
            </w:pPr>
            <w:r>
              <w:rPr>
                <w:noProof/>
              </w:rPr>
              <w:t xml:space="preserve">Până la sfârșitul anului 2025, încă 20 de milioane de locuințe au avut acces la bandă largă prin intermediul rețelelor de foarte mare capacitate datorită investițiilor finanțate prin Mecanismul de redresare și reziliență, InvestEU și Fondul de coeziune. </w:t>
            </w:r>
          </w:p>
          <w:p w14:paraId="0E2A8E64" w14:textId="77777777" w:rsidR="00D97581" w:rsidRDefault="0060377B">
            <w:pPr>
              <w:pStyle w:val="amprboxBLUEbulletlist"/>
              <w:rPr>
                <w:noProof/>
              </w:rPr>
            </w:pPr>
            <w:r>
              <w:rPr>
                <w:noProof/>
              </w:rPr>
              <w:t>Peste 51</w:t>
            </w:r>
            <w:r>
              <w:rPr>
                <w:rFonts w:ascii="Calibri" w:hAnsi="Calibri"/>
                <w:noProof/>
              </w:rPr>
              <w:t> </w:t>
            </w:r>
            <w:r>
              <w:rPr>
                <w:noProof/>
              </w:rPr>
              <w:t>000 de întreprinderi și aproape 20</w:t>
            </w:r>
            <w:r>
              <w:rPr>
                <w:rFonts w:ascii="Calibri" w:hAnsi="Calibri"/>
                <w:noProof/>
              </w:rPr>
              <w:t> </w:t>
            </w:r>
            <w:r>
              <w:rPr>
                <w:noProof/>
              </w:rPr>
              <w:t xml:space="preserve">000 de instituții publice au fost selectate pentru a primi sprijin în cadrul fondurilor politicii de coeziune pentru dezvoltarea de produse, servicii și procese digitale. </w:t>
            </w:r>
          </w:p>
          <w:p w14:paraId="11A55AB6" w14:textId="77777777" w:rsidR="00D97581" w:rsidRDefault="0060377B">
            <w:pPr>
              <w:pStyle w:val="amprboxBLUEbulletlist"/>
              <w:spacing w:after="0"/>
              <w:rPr>
                <w:noProof/>
              </w:rPr>
            </w:pPr>
            <w:r>
              <w:rPr>
                <w:noProof/>
              </w:rPr>
              <w:t>O capacitate suplimentară de 10 362 de terabiți pe secundă a fost creată de rețele magistrale, inclusiv prin cabluri submarine care au fost instalate prin Mecanismul pentru interconectarea Europei până la sfârșitul anului 2025.</w:t>
            </w:r>
          </w:p>
          <w:p w14:paraId="0F95BD6E" w14:textId="77777777" w:rsidR="00D97581" w:rsidRDefault="00D97581">
            <w:pPr>
              <w:spacing w:before="0" w:after="0"/>
              <w:rPr>
                <w:noProof/>
              </w:rPr>
            </w:pPr>
          </w:p>
          <w:p w14:paraId="7E90D91C" w14:textId="77777777" w:rsidR="00D97581" w:rsidRDefault="0060377B">
            <w:pPr>
              <w:pStyle w:val="amprboxBLUEtext"/>
              <w:keepNext/>
              <w:rPr>
                <w:noProof/>
              </w:rPr>
            </w:pPr>
            <w:r w:rsidRPr="00AC11E0">
              <w:rPr>
                <w:rStyle w:val="Bold"/>
                <w:noProof/>
              </w:rPr>
              <w:t>Egalitatea de gen</w:t>
            </w:r>
          </w:p>
          <w:p w14:paraId="15E5F133" w14:textId="77777777" w:rsidR="00D97581" w:rsidRDefault="0060377B">
            <w:pPr>
              <w:pStyle w:val="amprboxBLUEbulletlist"/>
              <w:rPr>
                <w:noProof/>
              </w:rPr>
            </w:pPr>
            <w:r>
              <w:rPr>
                <w:noProof/>
              </w:rPr>
              <w:t>În 2025, 19 % din bugetul UE a contribuit la promovarea egalității de gen.</w:t>
            </w:r>
          </w:p>
          <w:p w14:paraId="3162E5E7" w14:textId="77777777" w:rsidR="00D97581" w:rsidRDefault="0060377B">
            <w:pPr>
              <w:pStyle w:val="amprboxBLUEbulletlist"/>
              <w:rPr>
                <w:noProof/>
              </w:rPr>
            </w:pPr>
            <w:r>
              <w:rPr>
                <w:noProof/>
              </w:rPr>
              <w:t>În cursul anului, programul Europa digitală a finanțat activități de creștere a numărului de femei în domeniul tehnologiei informației și comunicațiilor. De exemplu, a sprijinit activități de informare, servicii de consultanță și ateliere pentru a atrage mai multe femei în acest sector. În plus, proiectele de înființare a patru academii de competențe sectoriale în domeniul tehnologiilor cuantice, al inteligenței artificiale, al semiconductorilor și al lumilor virtuale au promovat în mod specific participarea femeilor la aceste academii.</w:t>
            </w:r>
          </w:p>
          <w:p w14:paraId="3A1AA77C" w14:textId="77777777" w:rsidR="00D97581" w:rsidRDefault="0060377B">
            <w:pPr>
              <w:pStyle w:val="amprboxBLUEbulletlist"/>
              <w:rPr>
                <w:noProof/>
              </w:rPr>
            </w:pPr>
            <w:r>
              <w:rPr>
                <w:noProof/>
              </w:rPr>
              <w:t>Planurile din cadrul Mecanismului de redresare și reziliență includ 123 de măsuri relevante din punctul de vedere al genului, 72 de investiții și 51 de reforme. Aceste măsuri includ 207 jaloane și ținte din 25 de planuri, dintre care 117 au fost deja evaluate ca fiind atinse, iar 35 au fost raportate de statele membre ca fiind finalizate.</w:t>
            </w:r>
          </w:p>
          <w:p w14:paraId="2B980E59" w14:textId="77777777" w:rsidR="00D97581" w:rsidRDefault="0060377B">
            <w:pPr>
              <w:pStyle w:val="amprboxBLUEbulletlist"/>
              <w:rPr>
                <w:noProof/>
                <w:spacing w:val="1"/>
              </w:rPr>
            </w:pPr>
            <w:r>
              <w:rPr>
                <w:noProof/>
              </w:rPr>
              <w:t>Orizont Europa impune ca organismele publice, organizațiile de cercetare și instituțiile de învățământ superior din statele membre și din țările asociate să dispună de un plan privind egalitatea de gen ca o condiție de eligibilitate.</w:t>
            </w:r>
          </w:p>
        </w:tc>
      </w:tr>
    </w:tbl>
    <w:p w14:paraId="445EC3F1" w14:textId="77777777" w:rsidR="00D97581" w:rsidRPr="00AC11E0" w:rsidRDefault="0060377B">
      <w:pPr>
        <w:pStyle w:val="Heading1"/>
        <w:rPr>
          <w:noProof/>
        </w:rPr>
      </w:pPr>
      <w:bookmarkStart w:id="24" w:name="_Toc168587561"/>
      <w:bookmarkStart w:id="25" w:name="_Toc231479442"/>
      <w:r w:rsidRPr="00AC11E0">
        <w:rPr>
          <w:noProof/>
        </w:rPr>
        <w:t>NextGenerationEU stimulează reformele și investițiile</w:t>
      </w:r>
      <w:bookmarkEnd w:id="24"/>
      <w:r w:rsidRPr="00AC11E0">
        <w:rPr>
          <w:noProof/>
        </w:rPr>
        <w:t xml:space="preserve"> prin intermediul planurilor de redresare și reziliență</w:t>
      </w:r>
      <w:bookmarkEnd w:id="25"/>
    </w:p>
    <w:p w14:paraId="028FD5D0" w14:textId="77777777" w:rsidR="00D97581" w:rsidRDefault="0060377B">
      <w:pPr>
        <w:rPr>
          <w:rFonts w:eastAsia="EC Square Sans Pro"/>
          <w:noProof/>
        </w:rPr>
      </w:pPr>
      <w:r w:rsidRPr="00AC11E0">
        <w:rPr>
          <w:rStyle w:val="Bold"/>
          <w:noProof/>
        </w:rPr>
        <w:t>În 2025, NextGenerationEU a continuat să sprijine redresarea economică prin reforme și investiții ale statelor membre în cadrul Mecanismului de redresare și reziliență.</w:t>
      </w:r>
      <w:r>
        <w:rPr>
          <w:noProof/>
        </w:rPr>
        <w:t xml:space="preserve"> Pachetul financiar total s-a ridicat l a</w:t>
      </w:r>
      <w:r>
        <w:rPr>
          <w:rFonts w:ascii="Calibri" w:hAnsi="Calibri"/>
          <w:noProof/>
        </w:rPr>
        <w:t xml:space="preserve"> </w:t>
      </w:r>
      <w:r>
        <w:rPr>
          <w:noProof/>
        </w:rPr>
        <w:t>637,1</w:t>
      </w:r>
      <w:r>
        <w:rPr>
          <w:rFonts w:ascii="Calibri" w:hAnsi="Calibri"/>
          <w:noProof/>
        </w:rPr>
        <w:t xml:space="preserve"> </w:t>
      </w:r>
      <w:r>
        <w:rPr>
          <w:noProof/>
        </w:rPr>
        <w:t>miliarde EUR la sfârșitul anului 2025, din care</w:t>
      </w:r>
      <w:r>
        <w:rPr>
          <w:rFonts w:ascii="Calibri" w:hAnsi="Calibri"/>
          <w:noProof/>
        </w:rPr>
        <w:t xml:space="preserve"> </w:t>
      </w:r>
      <w:r>
        <w:rPr>
          <w:noProof/>
        </w:rPr>
        <w:t>360</w:t>
      </w:r>
      <w:r>
        <w:rPr>
          <w:rFonts w:ascii="Calibri" w:hAnsi="Calibri"/>
          <w:noProof/>
        </w:rPr>
        <w:t xml:space="preserve"> </w:t>
      </w:r>
      <w:r>
        <w:rPr>
          <w:noProof/>
        </w:rPr>
        <w:t>de miliarde EUR sub formă de sprijin nerambursabil și</w:t>
      </w:r>
      <w:r>
        <w:rPr>
          <w:rFonts w:ascii="Calibri" w:hAnsi="Calibri"/>
          <w:noProof/>
        </w:rPr>
        <w:t xml:space="preserve"> </w:t>
      </w:r>
      <w:r>
        <w:rPr>
          <w:noProof/>
        </w:rPr>
        <w:t>277</w:t>
      </w:r>
      <w:r>
        <w:rPr>
          <w:rFonts w:ascii="Calibri" w:hAnsi="Calibri"/>
          <w:noProof/>
        </w:rPr>
        <w:t xml:space="preserve"> </w:t>
      </w:r>
      <w:r>
        <w:rPr>
          <w:noProof/>
        </w:rPr>
        <w:t>de miliarde EUR sub formă de împrumuturi. În 2025, Comisia a evaluat 34 de cereri de plată în valoare de 87,3 miliarde EUR (47,2 miliarde EUR sub formă de împrumuturi și 40,1 miliarde EUR sub formă de sprijin nerambursabil).</w:t>
      </w:r>
    </w:p>
    <w:p w14:paraId="630A3732" w14:textId="77777777" w:rsidR="00D97581" w:rsidRDefault="0060377B">
      <w:pPr>
        <w:rPr>
          <w:rFonts w:eastAsia="EC Square Sans Pro"/>
          <w:noProof/>
        </w:rPr>
      </w:pPr>
      <w:r w:rsidRPr="00AC11E0">
        <w:rPr>
          <w:rStyle w:val="Bold"/>
          <w:noProof/>
        </w:rPr>
        <w:t xml:space="preserve">Reformele sprijinite de Mecanismul de redresare și reziliență contribuie la reziliența economică pe termen lung a statelor membre </w:t>
      </w:r>
      <w:r>
        <w:rPr>
          <w:noProof/>
        </w:rPr>
        <w:t>și maximizează impactul pozitiv al investițiilor aferente din cadrul mecanismului. Astfel cum se reflectă în tabloul de bord privind redresarea și reziliența, mecanismul a sprijinit, de exemplu, modernizarea cadrelor de reglementare în sectoare-cheie (sectorul digital, al energiei, al transporturilor), îmbunătățirea procedurilor de autorizare și de achiziții publice și consolidarea statului de drept și a garanțiilor anticorupție (</w:t>
      </w:r>
      <w:r>
        <w:rPr>
          <w:rStyle w:val="FootnoteReference"/>
          <w:rFonts w:eastAsia="EC Square Sans Pro"/>
          <w:noProof/>
        </w:rPr>
        <w:footnoteReference w:id="24"/>
      </w:r>
      <w:r>
        <w:rPr>
          <w:noProof/>
        </w:rPr>
        <w:t>).</w:t>
      </w:r>
    </w:p>
    <w:p w14:paraId="19F46092" w14:textId="77777777" w:rsidR="00D97581" w:rsidRDefault="0060377B">
      <w:pPr>
        <w:suppressAutoHyphens w:val="0"/>
        <w:rPr>
          <w:rFonts w:eastAsia="EC Square Sans Pro"/>
          <w:noProof/>
        </w:rPr>
      </w:pPr>
      <w:r>
        <w:rPr>
          <w:noProof/>
        </w:rPr>
        <w:br w:type="page"/>
      </w:r>
    </w:p>
    <w:p w14:paraId="4F297EA1" w14:textId="77777777" w:rsidR="00D97581" w:rsidRDefault="0060377B">
      <w:pPr>
        <w:pStyle w:val="amprboxBLUEtext"/>
        <w:rPr>
          <w:noProof/>
        </w:rPr>
      </w:pPr>
      <w:r>
        <w:rPr>
          <w:noProof/>
        </w:rPr>
        <w:t>Mecanismul de redresare și reziliență a oferit un sprijin substanțial statelor membre legat de realizarea reformelor și a investițiilor și a remodelat guvernanța economică și coordonarea politicilor UE prin conceperea sa bazată pe performanță</w:t>
      </w:r>
      <w:r>
        <w:rPr>
          <w:rFonts w:ascii="Calibri" w:hAnsi="Calibri"/>
          <w:noProof/>
        </w:rPr>
        <w:t> </w:t>
      </w:r>
      <w:r>
        <w:rPr>
          <w:noProof/>
        </w:rPr>
        <w:t>(</w:t>
      </w:r>
      <w:r>
        <w:rPr>
          <w:rStyle w:val="FootnoteReference"/>
          <w:noProof/>
        </w:rPr>
        <w:footnoteReference w:id="25"/>
      </w:r>
      <w:r>
        <w:rPr>
          <w:noProof/>
        </w:rPr>
        <w:t>). În întreaga UE, mecanismul a adus o schimbare reală în viața oamenilor prin sprijinirea unor agende ambițioase de investiții în următoarele domenii</w:t>
      </w:r>
      <w:r>
        <w:rPr>
          <w:rFonts w:ascii="Calibri" w:hAnsi="Calibri"/>
          <w:noProof/>
        </w:rPr>
        <w:t> </w:t>
      </w:r>
      <w:r>
        <w:rPr>
          <w:noProof/>
        </w:rPr>
        <w:t>(</w:t>
      </w:r>
      <w:r>
        <w:rPr>
          <w:rStyle w:val="FootnoteReference"/>
          <w:noProof/>
        </w:rPr>
        <w:footnoteReference w:id="26"/>
      </w:r>
      <w:r>
        <w:rPr>
          <w:noProof/>
        </w:rPr>
        <w:t>):</w:t>
      </w:r>
    </w:p>
    <w:p w14:paraId="05EBCC2B" w14:textId="77777777" w:rsidR="00D97581" w:rsidRDefault="0060377B">
      <w:pPr>
        <w:pStyle w:val="amprboxBLUEbulletlist"/>
        <w:rPr>
          <w:noProof/>
        </w:rPr>
      </w:pPr>
      <w:r w:rsidRPr="00AC11E0">
        <w:rPr>
          <w:rStyle w:val="Bold"/>
          <w:noProof/>
        </w:rPr>
        <w:t>Tranziția verde.</w:t>
      </w:r>
      <w:r>
        <w:rPr>
          <w:noProof/>
        </w:rPr>
        <w:t xml:space="preserve"> Până la sfârșitul anului 2025, consumul anual de energie a fost redus cu 37,6 milioane de megawați oră și au fost instalate sau modernizate peste 940</w:t>
      </w:r>
      <w:r>
        <w:rPr>
          <w:rFonts w:ascii="Calibri" w:hAnsi="Calibri"/>
          <w:noProof/>
        </w:rPr>
        <w:t> </w:t>
      </w:r>
      <w:r>
        <w:rPr>
          <w:noProof/>
        </w:rPr>
        <w:t>866 de stații de realimentare și reîncărcare pentru vehicule nepoluante.</w:t>
      </w:r>
    </w:p>
    <w:p w14:paraId="420453C1" w14:textId="77777777" w:rsidR="00D97581" w:rsidRDefault="0060377B">
      <w:pPr>
        <w:pStyle w:val="amprboxBLUEbulletlist"/>
        <w:rPr>
          <w:noProof/>
        </w:rPr>
      </w:pPr>
      <w:r w:rsidRPr="00AC11E0">
        <w:rPr>
          <w:rStyle w:val="Bold"/>
          <w:noProof/>
        </w:rPr>
        <w:t>Tranziția digitală.</w:t>
      </w:r>
      <w:r>
        <w:rPr>
          <w:noProof/>
        </w:rPr>
        <w:t xml:space="preserve"> Până la sfârșitul anului 2025, aproximativ 20 de milioane de locuințe suplimentare au dobândit acces la rețele de internet de foarte mare capacitate, iar 2,4 miliarde de utilizatori (</w:t>
      </w:r>
      <w:r>
        <w:rPr>
          <w:rStyle w:val="FootnoteReference"/>
          <w:noProof/>
        </w:rPr>
        <w:footnoteReference w:id="27"/>
      </w:r>
      <w:r>
        <w:rPr>
          <w:noProof/>
        </w:rPr>
        <w:t>) foloseau servicii digitale publice noi sau îmbunătățite.</w:t>
      </w:r>
    </w:p>
    <w:p w14:paraId="3B0DED8D" w14:textId="77777777" w:rsidR="00D97581" w:rsidRDefault="0060377B">
      <w:pPr>
        <w:pStyle w:val="amprboxBLUEbulletlist"/>
        <w:rPr>
          <w:noProof/>
        </w:rPr>
      </w:pPr>
      <w:r w:rsidRPr="00AC11E0">
        <w:rPr>
          <w:rStyle w:val="Bold"/>
          <w:noProof/>
        </w:rPr>
        <w:t>Asistența medicală.</w:t>
      </w:r>
      <w:r>
        <w:rPr>
          <w:noProof/>
        </w:rPr>
        <w:t xml:space="preserve"> Capacitatea de asistență medicală a crescut, inclusiv în spitale, clinici, centrele de îngrijire ambulatorie și centrele de îngrijire specializată. Până la sfârșitul anului 2025, aproximativ 60,2 milioane de persoane aveau posibilitatea de a beneficia în fiecare an de o unitate de asistență medicală nouă sau modernizată.</w:t>
      </w:r>
    </w:p>
    <w:p w14:paraId="205F1D48" w14:textId="77777777" w:rsidR="00D97581" w:rsidRDefault="0060377B">
      <w:pPr>
        <w:pStyle w:val="amprboxBLUEbulletlist"/>
        <w:rPr>
          <w:noProof/>
        </w:rPr>
      </w:pPr>
      <w:r w:rsidRPr="00AC11E0">
        <w:rPr>
          <w:rStyle w:val="Bold"/>
          <w:noProof/>
        </w:rPr>
        <w:t>Educație și formare.</w:t>
      </w:r>
      <w:r>
        <w:rPr>
          <w:noProof/>
        </w:rPr>
        <w:t xml:space="preserve"> Aproximativ 30,7 milioane de persoane au participat la activități de educație și formare și aproape 3,5 milioane de persoane sunt încadrate în muncă sau sunt implicate în activități de căutare a unui loc de muncă datorită sprijinului primit prin intermediul mecanismului. În plus, </w:t>
      </w:r>
      <w:bookmarkStart w:id="26" w:name="_Hlk229245826"/>
      <w:r>
        <w:rPr>
          <w:noProof/>
        </w:rPr>
        <w:t>12,7 milioane de tineri cu vârste cuprinse între 15 și 29 de ani au primit sprijin</w:t>
      </w:r>
      <w:bookmarkEnd w:id="26"/>
      <w:r>
        <w:rPr>
          <w:noProof/>
        </w:rPr>
        <w:t>, în bani sau în natură (și anume sprijin pentru educație, formare și ocuparea forței de muncă).</w:t>
      </w:r>
    </w:p>
    <w:p w14:paraId="7BF30B93" w14:textId="77777777" w:rsidR="00D97581" w:rsidRDefault="0060377B">
      <w:pPr>
        <w:pStyle w:val="amprboxBLUEbulletlist"/>
        <w:rPr>
          <w:noProof/>
        </w:rPr>
      </w:pPr>
      <w:r w:rsidRPr="00AC11E0">
        <w:rPr>
          <w:rStyle w:val="Bold"/>
          <w:noProof/>
        </w:rPr>
        <w:t>Sprijin pentru întreprinderi.</w:t>
      </w:r>
      <w:r>
        <w:rPr>
          <w:noProof/>
        </w:rPr>
        <w:t xml:space="preserve"> Până la sfârșitul anului 2025, aproximativ 4,9 milioane de întreprinderi beneficiaseră de sprijin – monetar sau în natură – în cadrul mecanismului.</w:t>
      </w:r>
    </w:p>
    <w:p w14:paraId="360FFDFD" w14:textId="77777777" w:rsidR="00D97581" w:rsidRDefault="0060377B">
      <w:pPr>
        <w:shd w:val="clear" w:color="auto" w:fill="FFFFFF" w:themeFill="background1"/>
        <w:rPr>
          <w:rFonts w:eastAsia="EC Square Sans Pro"/>
          <w:noProof/>
        </w:rPr>
      </w:pPr>
      <w:r w:rsidRPr="00AC11E0">
        <w:rPr>
          <w:rStyle w:val="Bold"/>
          <w:noProof/>
        </w:rPr>
        <w:t>REPowerEU oferă 57,6 miliarde EUR pentru investiții și reforme menite să ajute statele membre să economisească energie, să diversifice aprovizionarea cu energie și să producă energie curată.</w:t>
      </w:r>
      <w:r>
        <w:rPr>
          <w:noProof/>
        </w:rPr>
        <w:t xml:space="preserve"> Toate cele 27 de capitole privind REPowerEU au fost adoptate. Măsurile contribuie în continuare la economisirea energiei, la înlocuirea combustibililor fosili și la abordarea nevoilor în materie de securitate a aprovizionării, reducând în același timp dependența de combustibilii fosili din Rusia. În urma adoptării capitolelor privind REPowerEU, o sumă totală de 339,7 miliarde EUR</w:t>
      </w:r>
      <w:r>
        <w:rPr>
          <w:rFonts w:ascii="Calibri" w:hAnsi="Calibri"/>
          <w:noProof/>
        </w:rPr>
        <w:t> </w:t>
      </w:r>
      <w:r>
        <w:rPr>
          <w:noProof/>
        </w:rPr>
        <w:t>(</w:t>
      </w:r>
      <w:r>
        <w:rPr>
          <w:rStyle w:val="FootnoteReference"/>
          <w:rFonts w:eastAsia="EC Square Sans Pro"/>
          <w:noProof/>
        </w:rPr>
        <w:footnoteReference w:id="28"/>
      </w:r>
      <w:r>
        <w:rPr>
          <w:noProof/>
        </w:rPr>
        <w:t>) – peste 50 % din alocarea totală a statelor membre în cadrul Mecanismului de redresare și reziliență – a fost dedicată măsurilor care contribuie la pilonul „tranziția verde”.</w:t>
      </w:r>
    </w:p>
    <w:p w14:paraId="1E8FA8DB" w14:textId="77777777" w:rsidR="00D97581" w:rsidRDefault="0060377B">
      <w:pPr>
        <w:suppressAutoHyphens w:val="0"/>
        <w:rPr>
          <w:rFonts w:eastAsia="EC Square Sans Pro"/>
          <w:noProof/>
        </w:rPr>
      </w:pPr>
      <w:r>
        <w:rPr>
          <w:noProof/>
        </w:rPr>
        <w:br w:type="page"/>
      </w:r>
    </w:p>
    <w:p w14:paraId="084D9A27" w14:textId="77777777" w:rsidR="00D97581" w:rsidRDefault="0060377B">
      <w:pPr>
        <w:pStyle w:val="TableTitle"/>
        <w:spacing w:after="240"/>
        <w:rPr>
          <w:rFonts w:eastAsia="EC Square Sans Pro"/>
          <w:noProof/>
        </w:rPr>
      </w:pPr>
      <w:r>
        <w:rPr>
          <w:noProof/>
        </w:rPr>
        <w:t>Principalele angajamente în materie de climă și energie în cadrul componentei REPowerEU a Mecanismului de redresare și reziliență</w:t>
      </w:r>
    </w:p>
    <w:tbl>
      <w:tblPr>
        <w:tblStyle w:val="PlainTable1"/>
        <w:tblW w:w="5000" w:type="pct"/>
        <w:jc w:val="center"/>
        <w:tblBorders>
          <w:top w:val="none" w:sz="0" w:space="0" w:color="auto"/>
          <w:left w:val="none" w:sz="0" w:space="0" w:color="auto"/>
          <w:bottom w:val="none" w:sz="0" w:space="0" w:color="auto"/>
          <w:right w:val="none" w:sz="0" w:space="0" w:color="auto"/>
          <w:insideH w:val="none" w:sz="0" w:space="0" w:color="auto"/>
          <w:insideV w:val="single" w:sz="4" w:space="0" w:color="8C8C8C"/>
        </w:tblBorders>
        <w:tblCellMar>
          <w:left w:w="57" w:type="dxa"/>
          <w:right w:w="57" w:type="dxa"/>
        </w:tblCellMar>
        <w:tblLook w:val="0600" w:firstRow="0" w:lastRow="0" w:firstColumn="0" w:lastColumn="0" w:noHBand="1" w:noVBand="1"/>
      </w:tblPr>
      <w:tblGrid>
        <w:gridCol w:w="4535"/>
        <w:gridCol w:w="4536"/>
      </w:tblGrid>
      <w:tr w:rsidR="00D97581" w14:paraId="23BFDEF8" w14:textId="77777777" w:rsidTr="00D97581">
        <w:trPr>
          <w:trHeight w:val="850"/>
          <w:jc w:val="center"/>
        </w:trPr>
        <w:tc>
          <w:tcPr>
            <w:tcW w:w="4535" w:type="dxa"/>
            <w:shd w:val="clear" w:color="auto" w:fill="003399" w:themeFill="text2"/>
          </w:tcPr>
          <w:p w14:paraId="241F6D50" w14:textId="77777777" w:rsidR="00D97581" w:rsidRPr="00AC11E0" w:rsidRDefault="0060377B">
            <w:pPr>
              <w:spacing w:before="120" w:after="120" w:line="264" w:lineRule="auto"/>
              <w:jc w:val="center"/>
              <w:rPr>
                <w:b/>
                <w:caps/>
                <w:noProof/>
                <w:color w:val="FFFFFF" w:themeColor="background1"/>
              </w:rPr>
            </w:pPr>
            <w:r>
              <w:rPr>
                <w:b/>
                <w:caps/>
                <w:noProof/>
                <w:color w:val="FFFFFF" w:themeColor="background1"/>
                <w:lang w:val="en-GB"/>
              </w:rPr>
              <w:drawing>
                <wp:anchor distT="0" distB="0" distL="114300" distR="114300" simplePos="0" relativeHeight="251658240" behindDoc="0" locked="0" layoutInCell="1" allowOverlap="1" wp14:anchorId="57B15E97" wp14:editId="4A86A980">
                  <wp:simplePos x="0" y="0"/>
                  <wp:positionH relativeFrom="column">
                    <wp:posOffset>1270635</wp:posOffset>
                  </wp:positionH>
                  <wp:positionV relativeFrom="paragraph">
                    <wp:posOffset>65243</wp:posOffset>
                  </wp:positionV>
                  <wp:extent cx="219710" cy="266700"/>
                  <wp:effectExtent l="0" t="0" r="8890" b="0"/>
                  <wp:wrapNone/>
                  <wp:docPr id="72" name="Picture 72">
                    <a:extLst xmlns:a="http://schemas.openxmlformats.org/drawingml/2006/main">
                      <a:ext uri="{FF2B5EF4-FFF2-40B4-BE49-F238E27FC236}">
                        <a16:creationId xmlns:a16="http://schemas.microsoft.com/office/drawing/2014/main" id="{4F9CB781-89CF-1059-3CC5-07D84F346FBC}"/>
                      </a:ex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Picture 72">
                            <a:extLst>
                              <a:ext uri="{FF2B5EF4-FFF2-40B4-BE49-F238E27FC236}">
                                <a16:creationId xmlns:a16="http://schemas.microsoft.com/office/drawing/2014/main" id="{4F9CB781-89CF-1059-3CC5-07D84F346FBC}"/>
                              </a:ex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14="http://schemas.microsoft.com/office/drawing/2010/main" xmlns="" val="1"/>
                              </a:ext>
                            </a:extLst>
                          </pic:cNvPr>
                          <pic:cNvPicPr>
                            <a:picLocks noChangeAspect="1"/>
                          </pic:cNvPicPr>
                        </pic:nvPicPr>
                        <pic:blipFill>
                          <a:blip r:embed="rId47" cstate="print">
                            <a:extLst>
                              <a:ext uri="{28A0092B-C50C-407E-A947-70E740481C1C}">
                                <a14:useLocalDpi xmlns:a14="http://schemas.microsoft.com/office/drawing/2010/main" val="0"/>
                              </a:ext>
                            </a:extLst>
                          </a:blip>
                          <a:stretch>
                            <a:fillRect/>
                          </a:stretch>
                        </pic:blipFill>
                        <pic:spPr>
                          <a:xfrm>
                            <a:off x="0" y="0"/>
                            <a:ext cx="219710" cy="266700"/>
                          </a:xfrm>
                          <a:prstGeom prst="rect">
                            <a:avLst/>
                          </a:prstGeom>
                        </pic:spPr>
                      </pic:pic>
                    </a:graphicData>
                  </a:graphic>
                  <wp14:sizeRelH relativeFrom="margin">
                    <wp14:pctWidth>0</wp14:pctWidth>
                  </wp14:sizeRelH>
                  <wp14:sizeRelV relativeFrom="margin">
                    <wp14:pctHeight>0</wp14:pctHeight>
                  </wp14:sizeRelV>
                </wp:anchor>
              </w:drawing>
            </w:r>
          </w:p>
          <w:p w14:paraId="64B150CE" w14:textId="77777777" w:rsidR="00D97581" w:rsidRDefault="0060377B">
            <w:pPr>
              <w:spacing w:before="120" w:after="120" w:line="264" w:lineRule="auto"/>
              <w:jc w:val="center"/>
              <w:rPr>
                <w:b/>
                <w:noProof/>
                <w:color w:val="FFFFFF" w:themeColor="background1"/>
              </w:rPr>
            </w:pPr>
            <w:r w:rsidRPr="00AC11E0">
              <w:rPr>
                <w:b/>
                <w:noProof/>
                <w:color w:val="FFFFFF" w:themeColor="background1"/>
              </w:rPr>
              <w:t>Energie din surse regenerabile pentru toți</w:t>
            </w:r>
          </w:p>
        </w:tc>
        <w:tc>
          <w:tcPr>
            <w:tcW w:w="4536" w:type="dxa"/>
            <w:shd w:val="clear" w:color="auto" w:fill="003399" w:themeFill="text2"/>
          </w:tcPr>
          <w:p w14:paraId="0175D844" w14:textId="77777777" w:rsidR="00D97581" w:rsidRPr="00AC11E0" w:rsidRDefault="0060377B">
            <w:pPr>
              <w:spacing w:before="120" w:after="120" w:line="264" w:lineRule="auto"/>
              <w:jc w:val="center"/>
              <w:rPr>
                <w:b/>
                <w:caps/>
                <w:noProof/>
                <w:color w:val="FFFFFF" w:themeColor="background1"/>
              </w:rPr>
            </w:pPr>
            <w:r>
              <w:rPr>
                <w:b/>
                <w:caps/>
                <w:noProof/>
                <w:color w:val="FFFFFF" w:themeColor="background1"/>
                <w:lang w:val="en-GB"/>
              </w:rPr>
              <w:drawing>
                <wp:anchor distT="0" distB="0" distL="114300" distR="114300" simplePos="0" relativeHeight="251658241" behindDoc="0" locked="0" layoutInCell="1" allowOverlap="1" wp14:anchorId="2B215F2E" wp14:editId="3A4D2CB8">
                  <wp:simplePos x="0" y="0"/>
                  <wp:positionH relativeFrom="column">
                    <wp:posOffset>1276350</wp:posOffset>
                  </wp:positionH>
                  <wp:positionV relativeFrom="paragraph">
                    <wp:posOffset>49368</wp:posOffset>
                  </wp:positionV>
                  <wp:extent cx="274320" cy="276860"/>
                  <wp:effectExtent l="0" t="0" r="0" b="8890"/>
                  <wp:wrapNone/>
                  <wp:docPr id="74" name="Picture 74">
                    <a:extLst xmlns:a="http://schemas.openxmlformats.org/drawingml/2006/main">
                      <a:ext uri="{FF2B5EF4-FFF2-40B4-BE49-F238E27FC236}">
                        <a16:creationId xmlns:a16="http://schemas.microsoft.com/office/drawing/2014/main" id="{8022BA55-2300-17A7-EF77-1B1737B0A7D3}"/>
                      </a:ex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74">
                            <a:extLst>
                              <a:ext uri="{FF2B5EF4-FFF2-40B4-BE49-F238E27FC236}">
                                <a16:creationId xmlns:a16="http://schemas.microsoft.com/office/drawing/2014/main" id="{8022BA55-2300-17A7-EF77-1B1737B0A7D3}"/>
                              </a:ex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14="http://schemas.microsoft.com/office/drawing/2010/main" xmlns="" val="1"/>
                              </a:ext>
                            </a:extLst>
                          </pic:cNvPr>
                          <pic:cNvPicPr>
                            <a:picLocks noChangeAspect="1"/>
                          </pic:cNvPicPr>
                        </pic:nvPicPr>
                        <pic:blipFill>
                          <a:blip r:embed="rId48"/>
                          <a:stretch>
                            <a:fillRect/>
                          </a:stretch>
                        </pic:blipFill>
                        <pic:spPr>
                          <a:xfrm>
                            <a:off x="0" y="0"/>
                            <a:ext cx="274320" cy="276860"/>
                          </a:xfrm>
                          <a:prstGeom prst="rect">
                            <a:avLst/>
                          </a:prstGeom>
                        </pic:spPr>
                      </pic:pic>
                    </a:graphicData>
                  </a:graphic>
                  <wp14:sizeRelH relativeFrom="margin">
                    <wp14:pctWidth>0</wp14:pctWidth>
                  </wp14:sizeRelH>
                  <wp14:sizeRelV relativeFrom="margin">
                    <wp14:pctHeight>0</wp14:pctHeight>
                  </wp14:sizeRelV>
                </wp:anchor>
              </w:drawing>
            </w:r>
          </w:p>
          <w:p w14:paraId="20F64B9F" w14:textId="77777777" w:rsidR="00D97581" w:rsidRPr="00AC11E0" w:rsidRDefault="0060377B">
            <w:pPr>
              <w:spacing w:before="120" w:after="120" w:line="264" w:lineRule="auto"/>
              <w:jc w:val="center"/>
              <w:rPr>
                <w:b/>
                <w:noProof/>
                <w:color w:val="FFFFFF" w:themeColor="background1"/>
              </w:rPr>
            </w:pPr>
            <w:r w:rsidRPr="00AC11E0">
              <w:rPr>
                <w:b/>
                <w:noProof/>
                <w:color w:val="FFFFFF" w:themeColor="background1"/>
              </w:rPr>
              <w:t>Economisirea energiei</w:t>
            </w:r>
          </w:p>
        </w:tc>
      </w:tr>
      <w:tr w:rsidR="00D97581" w14:paraId="6F3D905D" w14:textId="77777777" w:rsidTr="00D97581">
        <w:trPr>
          <w:jc w:val="center"/>
        </w:trPr>
        <w:tc>
          <w:tcPr>
            <w:tcW w:w="4535" w:type="dxa"/>
          </w:tcPr>
          <w:p w14:paraId="12D984A9" w14:textId="0471D066" w:rsidR="00D97581" w:rsidRDefault="0060377B">
            <w:pPr>
              <w:pStyle w:val="Bulletforinfographic"/>
              <w:rPr>
                <w:noProof/>
              </w:rPr>
            </w:pPr>
            <w:r>
              <w:rPr>
                <w:noProof/>
              </w:rPr>
              <w:t>O parte semnificativă a Mecanismului de redresare și reziliență este dedicată energiei din surse regenerabile și infrastructurii energetice.</w:t>
            </w:r>
            <w:r w:rsidR="00F93FA4">
              <w:rPr>
                <w:noProof/>
              </w:rPr>
              <w:t xml:space="preserve"> </w:t>
            </w:r>
            <w:r w:rsidRPr="00AC11E0">
              <w:rPr>
                <w:rStyle w:val="BoldAccent1"/>
                <w:noProof/>
              </w:rPr>
              <w:t>67,6</w:t>
            </w:r>
            <w:r w:rsidRPr="00AC11E0">
              <w:rPr>
                <w:rStyle w:val="BoldAccent1"/>
                <w:rFonts w:ascii="Calibri" w:hAnsi="Calibri"/>
                <w:noProof/>
              </w:rPr>
              <w:t xml:space="preserve"> </w:t>
            </w:r>
            <w:r w:rsidRPr="00AC11E0">
              <w:rPr>
                <w:rStyle w:val="BoldAccent1"/>
                <w:noProof/>
              </w:rPr>
              <w:t>miliarde EUR</w:t>
            </w:r>
            <w:r w:rsidRPr="00AC11E0">
              <w:rPr>
                <w:rStyle w:val="BoldAccent1"/>
                <w:rFonts w:ascii="Calibri" w:hAnsi="Calibri"/>
                <w:noProof/>
              </w:rPr>
              <w:t> </w:t>
            </w:r>
            <w:r>
              <w:rPr>
                <w:noProof/>
              </w:rPr>
              <w:t>(</w:t>
            </w:r>
            <w:r>
              <w:rPr>
                <w:rStyle w:val="FootnoteReference"/>
                <w:noProof/>
              </w:rPr>
              <w:footnoteReference w:id="29"/>
            </w:r>
            <w:r>
              <w:rPr>
                <w:noProof/>
              </w:rPr>
              <w:t>)</w:t>
            </w:r>
            <w:r w:rsidRPr="00AC11E0">
              <w:rPr>
                <w:rStyle w:val="BoldAccent1"/>
                <w:noProof/>
              </w:rPr>
              <w:t xml:space="preserve"> sunt alocate acestei măsuri în cadrul mecanismului.</w:t>
            </w:r>
            <w:r>
              <w:rPr>
                <w:noProof/>
              </w:rPr>
              <w:t xml:space="preserve"> Aceasta reprezintă 20 % din costul total estimat al măsurilor din planurile de redresare și reziliență.</w:t>
            </w:r>
          </w:p>
          <w:p w14:paraId="3DC2F7D6" w14:textId="77777777" w:rsidR="00D97581" w:rsidRDefault="0060377B">
            <w:pPr>
              <w:pStyle w:val="Bulletforinfographic"/>
              <w:rPr>
                <w:noProof/>
              </w:rPr>
            </w:pPr>
            <w:r>
              <w:rPr>
                <w:noProof/>
              </w:rPr>
              <w:t xml:space="preserve">Se preconizează că Mecanismul de redresare și reziliență va crește capacitatea surselor regenerabile de energie cu peste </w:t>
            </w:r>
            <w:r w:rsidRPr="00AC11E0">
              <w:rPr>
                <w:rStyle w:val="BoldAccent1"/>
                <w:noProof/>
              </w:rPr>
              <w:t>61 de gigawați până în 2026</w:t>
            </w:r>
            <w:r w:rsidRPr="00AC11E0">
              <w:rPr>
                <w:b/>
                <w:noProof/>
              </w:rPr>
              <w:t>.</w:t>
            </w:r>
            <w:r>
              <w:rPr>
                <w:noProof/>
              </w:rPr>
              <w:t xml:space="preserve"> Aceasta corespunde unui procent de aproape 32 % din întreaga capacitate suplimentară de energie din surse regenerabile implementată în Europa în perioada 2021-2024 (</w:t>
            </w:r>
            <w:r>
              <w:rPr>
                <w:rStyle w:val="FootnoteReference"/>
                <w:noProof/>
              </w:rPr>
              <w:footnoteReference w:id="30"/>
            </w:r>
            <w:r>
              <w:rPr>
                <w:noProof/>
              </w:rPr>
              <w:t xml:space="preserve">). </w:t>
            </w:r>
          </w:p>
          <w:p w14:paraId="7BAAA3EB" w14:textId="77777777" w:rsidR="00D97581" w:rsidRDefault="00D97581">
            <w:pPr>
              <w:pStyle w:val="Bulletforinfographic"/>
              <w:numPr>
                <w:ilvl w:val="0"/>
                <w:numId w:val="0"/>
              </w:numPr>
              <w:ind w:left="170"/>
              <w:rPr>
                <w:noProof/>
              </w:rPr>
            </w:pPr>
          </w:p>
        </w:tc>
        <w:tc>
          <w:tcPr>
            <w:tcW w:w="4536" w:type="dxa"/>
          </w:tcPr>
          <w:p w14:paraId="5C5F685A" w14:textId="77777777" w:rsidR="00D97581" w:rsidRPr="00AC11E0" w:rsidRDefault="0060377B">
            <w:pPr>
              <w:pStyle w:val="Bulletforinfographic"/>
              <w:rPr>
                <w:rStyle w:val="BoldAccent1"/>
                <w:noProof/>
              </w:rPr>
            </w:pPr>
            <w:r>
              <w:rPr>
                <w:noProof/>
              </w:rPr>
              <w:t xml:space="preserve">Având în vedere consumul mediu de energie electrică al gospodăriilor, se preconizează că capacitatea din surse regenerabile sprijinită de Mecanismul de redresare și reziliență </w:t>
            </w:r>
            <w:r w:rsidRPr="00AC11E0">
              <w:rPr>
                <w:rStyle w:val="BoldAccent1"/>
                <w:noProof/>
              </w:rPr>
              <w:t>va genera suficientă energie electrică în fiecare an pentru a acoperi nevoile a aproximativ 40 de milioane de gospodării</w:t>
            </w:r>
            <w:r w:rsidRPr="00AC11E0">
              <w:rPr>
                <w:rStyle w:val="BoldAccent1"/>
                <w:rFonts w:ascii="Calibri" w:hAnsi="Calibri" w:cs="Calibri"/>
                <w:noProof/>
              </w:rPr>
              <w:t> </w:t>
            </w:r>
            <w:r>
              <w:rPr>
                <w:rStyle w:val="BoldAccent1"/>
                <w:b w:val="0"/>
                <w:noProof/>
              </w:rPr>
              <w:t>(</w:t>
            </w:r>
            <w:r w:rsidRPr="00AC11E0">
              <w:rPr>
                <w:rStyle w:val="FootnoteReference"/>
                <w:b/>
                <w:bCs/>
                <w:noProof/>
                <w:color w:val="003399" w:themeColor="text2"/>
              </w:rPr>
              <w:footnoteReference w:id="31"/>
            </w:r>
            <w:r>
              <w:rPr>
                <w:rStyle w:val="BoldAccent1"/>
                <w:b w:val="0"/>
                <w:noProof/>
              </w:rPr>
              <w:t>)</w:t>
            </w:r>
            <w:r w:rsidRPr="00AC11E0">
              <w:rPr>
                <w:rStyle w:val="BoldAccent1"/>
                <w:noProof/>
              </w:rPr>
              <w:t xml:space="preserve"> din întreaga UE</w:t>
            </w:r>
            <w:r w:rsidRPr="00AC11E0">
              <w:rPr>
                <w:b/>
                <w:noProof/>
              </w:rPr>
              <w:t>.</w:t>
            </w:r>
          </w:p>
          <w:p w14:paraId="533339CF" w14:textId="77777777" w:rsidR="00D97581" w:rsidRDefault="0060377B">
            <w:pPr>
              <w:pStyle w:val="Bulletforinfographic"/>
              <w:rPr>
                <w:noProof/>
              </w:rPr>
            </w:pPr>
            <w:r>
              <w:rPr>
                <w:noProof/>
              </w:rPr>
              <w:t xml:space="preserve">Planurile de redresare și reziliență vor înlocui </w:t>
            </w:r>
            <w:r w:rsidRPr="00AC11E0">
              <w:rPr>
                <w:rStyle w:val="BoldAccent1"/>
                <w:noProof/>
              </w:rPr>
              <w:t>peste 3 milioane de sisteme de încălzire și răcire</w:t>
            </w:r>
            <w:r>
              <w:rPr>
                <w:noProof/>
              </w:rPr>
              <w:t xml:space="preserve"> cu alternative durabile.</w:t>
            </w:r>
          </w:p>
        </w:tc>
      </w:tr>
      <w:tr w:rsidR="00D97581" w14:paraId="629ADC1F" w14:textId="77777777" w:rsidTr="00D97581">
        <w:trPr>
          <w:jc w:val="center"/>
        </w:trPr>
        <w:tc>
          <w:tcPr>
            <w:tcW w:w="4535" w:type="dxa"/>
            <w:shd w:val="clear" w:color="auto" w:fill="003399" w:themeFill="text2"/>
          </w:tcPr>
          <w:p w14:paraId="27D83BA5" w14:textId="77777777" w:rsidR="00D97581" w:rsidRPr="00AC11E0" w:rsidRDefault="0060377B">
            <w:pPr>
              <w:spacing w:before="120" w:after="120" w:line="264" w:lineRule="auto"/>
              <w:jc w:val="center"/>
              <w:rPr>
                <w:b/>
                <w:caps/>
                <w:noProof/>
                <w:color w:val="FFFFFF" w:themeColor="background1"/>
              </w:rPr>
            </w:pPr>
            <w:r>
              <w:rPr>
                <w:b/>
                <w:caps/>
                <w:noProof/>
                <w:color w:val="FFFFFF" w:themeColor="background1"/>
                <w:lang w:val="en-GB"/>
              </w:rPr>
              <w:drawing>
                <wp:anchor distT="0" distB="0" distL="114300" distR="114300" simplePos="0" relativeHeight="251658242" behindDoc="0" locked="0" layoutInCell="1" allowOverlap="1" wp14:anchorId="3DB973D9" wp14:editId="0E9E1FFB">
                  <wp:simplePos x="0" y="0"/>
                  <wp:positionH relativeFrom="column">
                    <wp:posOffset>1246505</wp:posOffset>
                  </wp:positionH>
                  <wp:positionV relativeFrom="paragraph">
                    <wp:posOffset>76673</wp:posOffset>
                  </wp:positionV>
                  <wp:extent cx="281305" cy="236220"/>
                  <wp:effectExtent l="0" t="0" r="4445" b="0"/>
                  <wp:wrapNone/>
                  <wp:docPr id="73" name="Picture 73">
                    <a:extLst xmlns:a="http://schemas.openxmlformats.org/drawingml/2006/main">
                      <a:ext uri="{FF2B5EF4-FFF2-40B4-BE49-F238E27FC236}">
                        <a16:creationId xmlns:a16="http://schemas.microsoft.com/office/drawing/2014/main" id="{6815A2B5-8E50-93C8-7808-73829DD6975B}"/>
                      </a:ex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a:extLst>
                              <a:ext uri="{FF2B5EF4-FFF2-40B4-BE49-F238E27FC236}">
                                <a16:creationId xmlns:a16="http://schemas.microsoft.com/office/drawing/2014/main" id="{6815A2B5-8E50-93C8-7808-73829DD6975B}"/>
                              </a:ex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14="http://schemas.microsoft.com/office/drawing/2010/main" xmlns="" val="1"/>
                              </a:ext>
                            </a:extLst>
                          </pic:cNvPr>
                          <pic:cNvPicPr>
                            <a:picLocks noChangeAspect="1"/>
                          </pic:cNvPicPr>
                        </pic:nvPicPr>
                        <pic:blipFill>
                          <a:blip r:embed="rId49"/>
                          <a:stretch>
                            <a:fillRect/>
                          </a:stretch>
                        </pic:blipFill>
                        <pic:spPr>
                          <a:xfrm>
                            <a:off x="0" y="0"/>
                            <a:ext cx="281305" cy="236220"/>
                          </a:xfrm>
                          <a:prstGeom prst="rect">
                            <a:avLst/>
                          </a:prstGeom>
                        </pic:spPr>
                      </pic:pic>
                    </a:graphicData>
                  </a:graphic>
                  <wp14:sizeRelH relativeFrom="margin">
                    <wp14:pctWidth>0</wp14:pctWidth>
                  </wp14:sizeRelH>
                  <wp14:sizeRelV relativeFrom="margin">
                    <wp14:pctHeight>0</wp14:pctHeight>
                  </wp14:sizeRelV>
                </wp:anchor>
              </w:drawing>
            </w:r>
          </w:p>
          <w:p w14:paraId="2D74E629" w14:textId="77777777" w:rsidR="00D97581" w:rsidRDefault="0060377B">
            <w:pPr>
              <w:spacing w:before="120" w:after="120" w:line="264" w:lineRule="auto"/>
              <w:jc w:val="center"/>
              <w:rPr>
                <w:b/>
                <w:noProof/>
                <w:color w:val="FFFFFF" w:themeColor="background1"/>
                <w:spacing w:val="-6"/>
              </w:rPr>
            </w:pPr>
            <w:r w:rsidRPr="00AC11E0">
              <w:rPr>
                <w:b/>
                <w:noProof/>
                <w:color w:val="FFFFFF" w:themeColor="background1"/>
              </w:rPr>
              <w:t>Creșterea competitivității industriei UE</w:t>
            </w:r>
          </w:p>
        </w:tc>
        <w:tc>
          <w:tcPr>
            <w:tcW w:w="4536" w:type="dxa"/>
            <w:shd w:val="clear" w:color="auto" w:fill="003399" w:themeFill="text2"/>
          </w:tcPr>
          <w:p w14:paraId="78AE75BA" w14:textId="77777777" w:rsidR="00D97581" w:rsidRPr="00AC11E0" w:rsidRDefault="0060377B">
            <w:pPr>
              <w:spacing w:before="120" w:after="120" w:line="264" w:lineRule="auto"/>
              <w:jc w:val="center"/>
              <w:rPr>
                <w:b/>
                <w:caps/>
                <w:noProof/>
                <w:color w:val="FFFFFF" w:themeColor="background1"/>
              </w:rPr>
            </w:pPr>
            <w:r>
              <w:rPr>
                <w:b/>
                <w:caps/>
                <w:noProof/>
                <w:color w:val="FFFFFF" w:themeColor="background1"/>
                <w:lang w:val="en-GB"/>
              </w:rPr>
              <w:drawing>
                <wp:anchor distT="0" distB="0" distL="114300" distR="114300" simplePos="0" relativeHeight="251658243" behindDoc="0" locked="0" layoutInCell="1" allowOverlap="1" wp14:anchorId="633D92FC" wp14:editId="4C3CAD3B">
                  <wp:simplePos x="0" y="0"/>
                  <wp:positionH relativeFrom="column">
                    <wp:posOffset>1323975</wp:posOffset>
                  </wp:positionH>
                  <wp:positionV relativeFrom="paragraph">
                    <wp:posOffset>91278</wp:posOffset>
                  </wp:positionV>
                  <wp:extent cx="167640" cy="227965"/>
                  <wp:effectExtent l="0" t="0" r="3810" b="635"/>
                  <wp:wrapNone/>
                  <wp:docPr id="75" name="Picture 75">
                    <a:extLst xmlns:a="http://schemas.openxmlformats.org/drawingml/2006/main">
                      <a:ext uri="{FF2B5EF4-FFF2-40B4-BE49-F238E27FC236}">
                        <a16:creationId xmlns:a16="http://schemas.microsoft.com/office/drawing/2014/main" id="{184A9B8D-8C3E-61F7-208C-BC7DE4F0B3F6}"/>
                      </a:ex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75">
                            <a:extLst>
                              <a:ext uri="{FF2B5EF4-FFF2-40B4-BE49-F238E27FC236}">
                                <a16:creationId xmlns:a16="http://schemas.microsoft.com/office/drawing/2014/main" id="{184A9B8D-8C3E-61F7-208C-BC7DE4F0B3F6}"/>
                              </a:ex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14="http://schemas.microsoft.com/office/drawing/2010/main" xmlns="" val="1"/>
                              </a:ext>
                            </a:extLst>
                          </pic:cNvPr>
                          <pic:cNvPicPr>
                            <a:picLocks noChangeAspect="1"/>
                          </pic:cNvPicPr>
                        </pic:nvPicPr>
                        <pic:blipFill>
                          <a:blip r:embed="rId50" cstate="print">
                            <a:extLst>
                              <a:ext uri="{28A0092B-C50C-407E-A947-70E740481C1C}">
                                <a14:useLocalDpi xmlns:a14="http://schemas.microsoft.com/office/drawing/2010/main" val="0"/>
                              </a:ext>
                            </a:extLst>
                          </a:blip>
                          <a:stretch>
                            <a:fillRect/>
                          </a:stretch>
                        </pic:blipFill>
                        <pic:spPr>
                          <a:xfrm>
                            <a:off x="0" y="0"/>
                            <a:ext cx="167640" cy="227965"/>
                          </a:xfrm>
                          <a:prstGeom prst="rect">
                            <a:avLst/>
                          </a:prstGeom>
                        </pic:spPr>
                      </pic:pic>
                    </a:graphicData>
                  </a:graphic>
                </wp:anchor>
              </w:drawing>
            </w:r>
          </w:p>
          <w:p w14:paraId="57E761AC" w14:textId="77777777" w:rsidR="00D97581" w:rsidRPr="00AC11E0" w:rsidRDefault="0060377B">
            <w:pPr>
              <w:spacing w:before="120" w:after="120" w:line="264" w:lineRule="auto"/>
              <w:jc w:val="center"/>
              <w:rPr>
                <w:b/>
                <w:noProof/>
                <w:color w:val="FFFFFF" w:themeColor="background1"/>
              </w:rPr>
            </w:pPr>
            <w:r w:rsidRPr="00AC11E0">
              <w:rPr>
                <w:b/>
                <w:noProof/>
                <w:color w:val="FFFFFF" w:themeColor="background1"/>
              </w:rPr>
              <w:t>Rețele energetice securizate pentru UE</w:t>
            </w:r>
          </w:p>
        </w:tc>
      </w:tr>
      <w:tr w:rsidR="00D97581" w14:paraId="0F9912E2" w14:textId="77777777" w:rsidTr="00D97581">
        <w:trPr>
          <w:jc w:val="center"/>
        </w:trPr>
        <w:tc>
          <w:tcPr>
            <w:tcW w:w="4535" w:type="dxa"/>
          </w:tcPr>
          <w:p w14:paraId="69FB8CE4" w14:textId="77777777" w:rsidR="00D97581" w:rsidRDefault="0060377B">
            <w:pPr>
              <w:pStyle w:val="Bulletforinfographic"/>
              <w:rPr>
                <w:noProof/>
              </w:rPr>
            </w:pPr>
            <w:r>
              <w:rPr>
                <w:noProof/>
              </w:rPr>
              <w:t xml:space="preserve">Se vor realiza </w:t>
            </w:r>
            <w:r w:rsidRPr="00AC11E0">
              <w:rPr>
                <w:rStyle w:val="BoldAccent1"/>
                <w:noProof/>
              </w:rPr>
              <w:t>investiții strategice în tehnologii curate</w:t>
            </w:r>
            <w:r w:rsidRPr="00AC11E0">
              <w:rPr>
                <w:b/>
                <w:noProof/>
              </w:rPr>
              <w:t xml:space="preserve"> </w:t>
            </w:r>
            <w:r>
              <w:rPr>
                <w:noProof/>
              </w:rPr>
              <w:t>în electrolizoare, baterii și panouri solare.</w:t>
            </w:r>
          </w:p>
          <w:p w14:paraId="7258FBCA" w14:textId="77777777" w:rsidR="00D97581" w:rsidRDefault="0060377B">
            <w:pPr>
              <w:pStyle w:val="Bulletforinfographic"/>
              <w:rPr>
                <w:noProof/>
              </w:rPr>
            </w:pPr>
            <w:r>
              <w:rPr>
                <w:noProof/>
              </w:rPr>
              <w:t xml:space="preserve">Energia electrică generată </w:t>
            </w:r>
            <w:r w:rsidRPr="00AC11E0">
              <w:rPr>
                <w:rStyle w:val="BoldAccent1"/>
                <w:noProof/>
              </w:rPr>
              <w:t>din investițiile Mecanismului de redresare și reziliență în energia din surse regenerabile ar putea înlocui aproape 15,8 miliarde de metri cubi de gaze fosile</w:t>
            </w:r>
            <w:r>
              <w:rPr>
                <w:noProof/>
              </w:rPr>
              <w:t>, echivalentul a peste 16 % din reducerea importurilor de gaze din Rusia realizată începând din 2021.</w:t>
            </w:r>
          </w:p>
        </w:tc>
        <w:tc>
          <w:tcPr>
            <w:tcW w:w="4536" w:type="dxa"/>
          </w:tcPr>
          <w:p w14:paraId="5AC062FA" w14:textId="77777777" w:rsidR="00D97581" w:rsidRDefault="0060377B">
            <w:pPr>
              <w:pStyle w:val="Bulletforinfographic"/>
              <w:rPr>
                <w:noProof/>
              </w:rPr>
            </w:pPr>
            <w:r>
              <w:rPr>
                <w:noProof/>
              </w:rPr>
              <w:t xml:space="preserve">Planurile de redresare și reziliență includ investiții în </w:t>
            </w:r>
            <w:r w:rsidRPr="00AC11E0">
              <w:rPr>
                <w:rStyle w:val="BoldAccent1"/>
                <w:noProof/>
              </w:rPr>
              <w:t>peste 21</w:t>
            </w:r>
            <w:r w:rsidRPr="00AC11E0">
              <w:rPr>
                <w:rStyle w:val="BoldAccent1"/>
                <w:rFonts w:ascii="Calibri" w:hAnsi="Calibri"/>
                <w:noProof/>
              </w:rPr>
              <w:t> </w:t>
            </w:r>
            <w:r w:rsidRPr="00AC11E0">
              <w:rPr>
                <w:rStyle w:val="BoldAccent1"/>
                <w:noProof/>
              </w:rPr>
              <w:t>000</w:t>
            </w:r>
            <w:r w:rsidRPr="00AC11E0">
              <w:rPr>
                <w:rStyle w:val="BoldAccent1"/>
                <w:rFonts w:ascii="Calibri" w:hAnsi="Calibri"/>
                <w:noProof/>
              </w:rPr>
              <w:t xml:space="preserve"> </w:t>
            </w:r>
            <w:r w:rsidRPr="00AC11E0">
              <w:rPr>
                <w:rStyle w:val="BoldAccent1"/>
                <w:noProof/>
              </w:rPr>
              <w:t>de megawați de capacitate suplimentară de transport și distribuție</w:t>
            </w:r>
            <w:r>
              <w:rPr>
                <w:rFonts w:ascii="Calibri" w:hAnsi="Calibri"/>
                <w:noProof/>
              </w:rPr>
              <w:t xml:space="preserve"> </w:t>
            </w:r>
            <w:r>
              <w:rPr>
                <w:noProof/>
              </w:rPr>
              <w:t>– suficientă pentru a asigura producția integrală a aproximativ 5</w:t>
            </w:r>
            <w:r>
              <w:rPr>
                <w:rFonts w:ascii="Calibri" w:hAnsi="Calibri"/>
                <w:noProof/>
              </w:rPr>
              <w:t> </w:t>
            </w:r>
            <w:r>
              <w:rPr>
                <w:noProof/>
              </w:rPr>
              <w:t>125 de turbine eoliene la mal noi.</w:t>
            </w:r>
          </w:p>
          <w:p w14:paraId="21A1EE8F" w14:textId="77777777" w:rsidR="00D97581" w:rsidRDefault="0060377B">
            <w:pPr>
              <w:pStyle w:val="Bulletforinfographic"/>
              <w:rPr>
                <w:noProof/>
              </w:rPr>
            </w:pPr>
            <w:r w:rsidRPr="00AC11E0">
              <w:rPr>
                <w:rStyle w:val="BoldAccent1"/>
                <w:noProof/>
              </w:rPr>
              <w:t>Peste 10</w:t>
            </w:r>
            <w:r w:rsidRPr="00AC11E0">
              <w:rPr>
                <w:rStyle w:val="BoldAccent1"/>
                <w:rFonts w:ascii="Calibri" w:hAnsi="Calibri"/>
                <w:noProof/>
              </w:rPr>
              <w:t> </w:t>
            </w:r>
            <w:r w:rsidRPr="00AC11E0">
              <w:rPr>
                <w:rStyle w:val="BoldAccent1"/>
                <w:noProof/>
              </w:rPr>
              <w:t>000 de kilometri de linii de transport și distribuție sunt în curs de consolidare sau construire</w:t>
            </w:r>
            <w:r w:rsidRPr="00AC11E0">
              <w:rPr>
                <w:b/>
                <w:noProof/>
              </w:rPr>
              <w:t xml:space="preserve"> </w:t>
            </w:r>
            <w:r>
              <w:rPr>
                <w:noProof/>
              </w:rPr>
              <w:t>– echivalentul aproximativ al încercuirii unui sfert de pământ sau al distanței de la Lisabona la Helsinki și înapoi.</w:t>
            </w:r>
          </w:p>
          <w:p w14:paraId="5C49A057" w14:textId="77777777" w:rsidR="00D97581" w:rsidRDefault="0060377B">
            <w:pPr>
              <w:pStyle w:val="Bulletforinfographic"/>
              <w:rPr>
                <w:noProof/>
              </w:rPr>
            </w:pPr>
            <w:r w:rsidRPr="00AC11E0">
              <w:rPr>
                <w:rStyle w:val="BoldAccent1"/>
                <w:noProof/>
              </w:rPr>
              <w:t>Proiectele transfrontaliere esențiale de infrastructură de gaze</w:t>
            </w:r>
            <w:r w:rsidRPr="00AC11E0">
              <w:rPr>
                <w:b/>
                <w:noProof/>
              </w:rPr>
              <w:t xml:space="preserve"> </w:t>
            </w:r>
            <w:r>
              <w:rPr>
                <w:noProof/>
              </w:rPr>
              <w:t>vor răspunde nevoilor imediate în materie de securitate a aprovizionării.</w:t>
            </w:r>
          </w:p>
        </w:tc>
      </w:tr>
    </w:tbl>
    <w:p w14:paraId="7E762371" w14:textId="77777777" w:rsidR="00D97581" w:rsidRDefault="0060377B">
      <w:pPr>
        <w:rPr>
          <w:rFonts w:eastAsia="EC Square Sans Pro"/>
          <w:noProof/>
        </w:rPr>
      </w:pPr>
      <w:r>
        <w:rPr>
          <w:noProof/>
        </w:rPr>
        <w:t>În 2025</w:t>
      </w:r>
      <w:r w:rsidRPr="00AC11E0">
        <w:rPr>
          <w:rStyle w:val="Bold"/>
          <w:noProof/>
        </w:rPr>
        <w:t>, statele membre și-au revizuit planurile din cadrul Mecanismului de redresare și reziliență pentru a se adapta la noile nevoi și pentru a simplifica jaloanele și țintele cu scopul de a facilita punerea în aplicare</w:t>
      </w:r>
      <w:r>
        <w:rPr>
          <w:rStyle w:val="Bold"/>
          <w:b w:val="0"/>
          <w:noProof/>
        </w:rPr>
        <w:t>, în conformitate cu comunicarea intitulată „NextGenerationEU – Calea către 2026”, publicată de Comisie (</w:t>
      </w:r>
      <w:r>
        <w:rPr>
          <w:rStyle w:val="FootnoteReference"/>
          <w:rFonts w:eastAsia="EC Square Sans Pro" w:cs="EC Square Sans Pro"/>
          <w:bCs/>
          <w:noProof/>
          <w:spacing w:val="1"/>
        </w:rPr>
        <w:footnoteReference w:id="32"/>
      </w:r>
      <w:r>
        <w:rPr>
          <w:rStyle w:val="Bold"/>
          <w:b w:val="0"/>
          <w:noProof/>
        </w:rPr>
        <w:t>).</w:t>
      </w:r>
      <w:r w:rsidRPr="00AC11E0">
        <w:rPr>
          <w:rStyle w:val="Bold"/>
          <w:noProof/>
        </w:rPr>
        <w:t xml:space="preserve"> </w:t>
      </w:r>
      <w:r>
        <w:rPr>
          <w:noProof/>
        </w:rPr>
        <w:t xml:space="preserve">În ansamblu, Comisia a evaluat pozitiv 50 de revizuiri ale deciziilor de punere în aplicare ale Consiliului, inclusiv 24 de modificări legate de efortul de simplificare. </w:t>
      </w:r>
    </w:p>
    <w:p w14:paraId="153AA0DC" w14:textId="77777777" w:rsidR="00D97581" w:rsidRDefault="0060377B">
      <w:pPr>
        <w:rPr>
          <w:rFonts w:eastAsia="EC Square Sans Pro"/>
          <w:noProof/>
        </w:rPr>
      </w:pPr>
      <w:r w:rsidRPr="00AC11E0">
        <w:rPr>
          <w:rStyle w:val="Bold"/>
          <w:noProof/>
        </w:rPr>
        <w:t>În aprilie 2026 fuseseră emise aproape 80,4 miliarde EUR sub formă de obligațiuni verzi NextGenerationEU.</w:t>
      </w:r>
      <w:r>
        <w:rPr>
          <w:noProof/>
        </w:rPr>
        <w:t xml:space="preserve"> Cea mai mare parte a acestor fonduri a fost utilizată pentru a efectua plăți către statele membre în cadrul Mecanismului de redresare și reziliență, Aceasta înseamnă că UE își menține poziția de unul dintre cei mai mari emitenți de obligațiuni verzi din lume. În decembrie 2023, Comisia a publicat primul raport de alocare a obligațiunilor verzi NextGenerationEU și primul raport privind impactul (</w:t>
      </w:r>
      <w:r>
        <w:rPr>
          <w:rStyle w:val="FootnoteReference"/>
          <w:rFonts w:eastAsia="EC Square Sans Pro"/>
          <w:noProof/>
        </w:rPr>
        <w:footnoteReference w:id="33"/>
      </w:r>
      <w:r>
        <w:rPr>
          <w:noProof/>
        </w:rPr>
        <w:t>), care confirmă angajamentul UE față de finanțarea durabilă. De atunci, acesta a fost un exercițiu anual, cel mai recent raport fiind publicat în decembrie 2025</w:t>
      </w:r>
      <w:r>
        <w:rPr>
          <w:rFonts w:ascii="Calibri" w:hAnsi="Calibri"/>
          <w:noProof/>
        </w:rPr>
        <w:t> </w:t>
      </w:r>
      <w:r>
        <w:rPr>
          <w:noProof/>
        </w:rPr>
        <w:t>(</w:t>
      </w:r>
      <w:r>
        <w:rPr>
          <w:rStyle w:val="FootnoteReference"/>
          <w:rFonts w:eastAsia="EC Square Sans Pro"/>
          <w:noProof/>
        </w:rPr>
        <w:footnoteReference w:id="34"/>
      </w:r>
      <w:r>
        <w:rPr>
          <w:noProof/>
        </w:rPr>
        <w:t>). Raportul arată că punerea în aplicare integrală a tuturor măsurilor finanțate prin obligațiunile verzi NextGenerationEU ar putea reduce emisiile de gaze cu efect de seră cu 53,4 milioane de tone pe an, ceea ce reprezintă 1,5 % din totalul acestor emisii în UE în 2022.</w:t>
      </w:r>
    </w:p>
    <w:p w14:paraId="0539E6AD" w14:textId="77777777" w:rsidR="00D97581" w:rsidRDefault="0060377B">
      <w:pPr>
        <w:rPr>
          <w:noProof/>
        </w:rPr>
      </w:pPr>
      <w:r>
        <w:rPr>
          <w:noProof/>
        </w:rPr>
        <w:t xml:space="preserve">În </w:t>
      </w:r>
      <w:r w:rsidRPr="00AC11E0">
        <w:rPr>
          <w:rStyle w:val="Bold"/>
          <w:noProof/>
        </w:rPr>
        <w:t>anexa</w:t>
      </w:r>
      <w:r w:rsidRPr="00AC11E0">
        <w:rPr>
          <w:rStyle w:val="Bold"/>
          <w:rFonts w:ascii="Calibri" w:hAnsi="Calibri" w:cs="Calibri"/>
          <w:noProof/>
        </w:rPr>
        <w:t> </w:t>
      </w:r>
      <w:r w:rsidRPr="00AC11E0">
        <w:rPr>
          <w:rStyle w:val="Bold"/>
          <w:noProof/>
        </w:rPr>
        <w:t xml:space="preserve">3 </w:t>
      </w:r>
      <w:r>
        <w:rPr>
          <w:noProof/>
        </w:rPr>
        <w:t xml:space="preserve">la prezentul </w:t>
      </w:r>
      <w:r w:rsidRPr="00AC11E0">
        <w:rPr>
          <w:rStyle w:val="Italic"/>
          <w:noProof/>
        </w:rPr>
        <w:t>Raport anual privind gestiunea și performanța bugetului UE</w:t>
      </w:r>
      <w:r w:rsidRPr="00AC11E0">
        <w:rPr>
          <w:i/>
          <w:noProof/>
        </w:rPr>
        <w:t xml:space="preserve"> </w:t>
      </w:r>
      <w:r>
        <w:rPr>
          <w:noProof/>
        </w:rPr>
        <w:t>se furnizează mai multe informații privind punerea în aplicare și gestionarea Mecanismului de redresare și reziliență.</w:t>
      </w:r>
    </w:p>
    <w:p w14:paraId="19532AA8" w14:textId="77777777" w:rsidR="00D97581" w:rsidRPr="00AC11E0" w:rsidRDefault="0060377B">
      <w:pPr>
        <w:pStyle w:val="Heading1"/>
        <w:rPr>
          <w:noProof/>
        </w:rPr>
      </w:pPr>
      <w:bookmarkStart w:id="27" w:name="_Toc168587562"/>
      <w:bookmarkStart w:id="28" w:name="_Toc231479443"/>
      <w:r w:rsidRPr="00AC11E0">
        <w:rPr>
          <w:noProof/>
        </w:rPr>
        <w:t>Instrumente eficace care garantează că bugetul UE este bine gestionat și protejat</w:t>
      </w:r>
      <w:bookmarkEnd w:id="27"/>
      <w:bookmarkEnd w:id="28"/>
    </w:p>
    <w:p w14:paraId="26981E2A" w14:textId="77777777" w:rsidR="00D97581" w:rsidRDefault="0060377B">
      <w:pPr>
        <w:rPr>
          <w:noProof/>
        </w:rPr>
      </w:pPr>
      <w:r w:rsidRPr="00AC11E0">
        <w:rPr>
          <w:rStyle w:val="Bold"/>
          <w:noProof/>
        </w:rPr>
        <w:t>Comisia acordă o cea mai mare importanță utilizării în mod optim a banilor contribuabililor,</w:t>
      </w:r>
      <w:r>
        <w:rPr>
          <w:noProof/>
        </w:rPr>
        <w:t xml:space="preserve"> fiind pe deplin dedicată angajamentului ca finanțarea să ajungă la beneficiarii vizați la costul corect și în conformitate cu normele aplicabile. Pentru a atinge acest obiectiv, Comisia se bazează pe o serie de instrumente care s-au dovedit a fi adecvate scopului de-a lungul anilor și care sunt în continuare eficace în contextul noilor provocări cu care se confruntă UE.</w:t>
      </w:r>
    </w:p>
    <w:p w14:paraId="34C9EE66" w14:textId="77777777" w:rsidR="00D97581" w:rsidRDefault="0060377B">
      <w:pPr>
        <w:pStyle w:val="Heading2"/>
        <w:rPr>
          <w:noProof/>
        </w:rPr>
      </w:pPr>
      <w:r>
        <w:rPr>
          <w:noProof/>
        </w:rPr>
        <w:t>Un lanț solid de răspundere</w:t>
      </w:r>
    </w:p>
    <w:p w14:paraId="41CBA149" w14:textId="77777777" w:rsidR="00D97581" w:rsidRDefault="0060377B">
      <w:pPr>
        <w:rPr>
          <w:noProof/>
        </w:rPr>
      </w:pPr>
      <w:r w:rsidRPr="00AC11E0">
        <w:rPr>
          <w:rStyle w:val="Bold"/>
          <w:noProof/>
        </w:rPr>
        <w:t>Sistemul de guvernanță și lanțul de răspundere ale Comisiei sunt adaptate structurii sale unice și rolului său.</w:t>
      </w:r>
      <w:r>
        <w:rPr>
          <w:noProof/>
        </w:rPr>
        <w:t xml:space="preserve"> Din punct de vedere politic, colegiul comisarilor este responsabil pentru gestionarea bugetului UE. Acesta deleagă gestionarea operațională curentă celor 52 de ordonatori de credite delegați (</w:t>
      </w:r>
      <w:r>
        <w:rPr>
          <w:rStyle w:val="FootnoteReference"/>
          <w:noProof/>
        </w:rPr>
        <w:footnoteReference w:id="35"/>
      </w:r>
      <w:r>
        <w:rPr>
          <w:noProof/>
        </w:rPr>
        <w:t>), care își gestionează și își conduc serviciile și sunt responsabili pentru partea din bugetul UE executată în serviciul lor.</w:t>
      </w:r>
    </w:p>
    <w:p w14:paraId="3BF74C61" w14:textId="77777777" w:rsidR="00D97581" w:rsidRDefault="0060377B">
      <w:pPr>
        <w:rPr>
          <w:noProof/>
        </w:rPr>
      </w:pPr>
      <w:r w:rsidRPr="00AC11E0">
        <w:rPr>
          <w:rStyle w:val="Bold"/>
          <w:noProof/>
        </w:rPr>
        <w:t>Rapoartele anuale de activitate demonstrează modul în care ordonatorii de credite delegați au obținut asigurarea</w:t>
      </w:r>
      <w:r w:rsidRPr="00AC11E0">
        <w:rPr>
          <w:b/>
          <w:noProof/>
        </w:rPr>
        <w:t xml:space="preserve"> </w:t>
      </w:r>
      <w:r>
        <w:rPr>
          <w:noProof/>
        </w:rPr>
        <w:t>că resursele care le-au fost alocate au fost utilizate în scopul avut în vedere, în conformitate cu principiul bunei gestiuni financiare și că procedurile de control instituite oferă garanțiile necesare în ceea ce privește legalitatea și regularitatea operațiunilor subiacente. În cazul în care ordonatorii de credite delegați identifică deficiențe, aceștia pot formula o declarație de asigurare cu rezerve.</w:t>
      </w:r>
    </w:p>
    <w:p w14:paraId="1939FD6E" w14:textId="77777777" w:rsidR="00D97581" w:rsidRDefault="0060377B">
      <w:pPr>
        <w:rPr>
          <w:noProof/>
        </w:rPr>
      </w:pPr>
      <w:r w:rsidRPr="00AC11E0">
        <w:rPr>
          <w:rStyle w:val="Bold"/>
          <w:noProof/>
        </w:rPr>
        <w:t>Asigurarea se bazează pe următoarele elemente:</w:t>
      </w:r>
      <w:r>
        <w:rPr>
          <w:noProof/>
        </w:rPr>
        <w:t xml:space="preserve"> (1) o evaluare a sistemului de control intern, inclusiv a măsurilor antifraudă; (2) rezultatele controalelor efectuate și evaluarea acestora cu privire la riscurile la care este expus serviciul lor, precum și măsurile de atenuare întreprinse; (3) măsurile preventive și corective pe care le-au aplicat ca urmare a controalelor efectuate, împreună cu statele membre în cazul gestiunii partajate; (4) observațiile și concluziile auditorului intern și ale Curții de Conturi și (5) măsurile de atenuare luate pentru a remedia deficiențele identificate, în special în domeniile cu risc mai mare.</w:t>
      </w:r>
    </w:p>
    <w:p w14:paraId="60BC36C8" w14:textId="77777777" w:rsidR="00D97581" w:rsidRDefault="0060377B">
      <w:pPr>
        <w:pStyle w:val="Heading2"/>
        <w:rPr>
          <w:noProof/>
        </w:rPr>
      </w:pPr>
      <w:r>
        <w:rPr>
          <w:noProof/>
        </w:rPr>
        <w:t>Un cadru de control intern și măsuri de combatere a fraudei care sunt actualizate în permanență și asigură securitatea cibernetică</w:t>
      </w:r>
    </w:p>
    <w:p w14:paraId="2F8E7DFC" w14:textId="77777777" w:rsidR="00D97581" w:rsidRDefault="0060377B">
      <w:pPr>
        <w:rPr>
          <w:noProof/>
        </w:rPr>
      </w:pPr>
      <w:r w:rsidRPr="00AC11E0">
        <w:rPr>
          <w:rStyle w:val="Bold"/>
          <w:noProof/>
        </w:rPr>
        <w:t>Cadrul de control intern al Comisiei este esențial pentru a asigura eficacitatea, eficiența și economia operațiunilor sale, precum și legalitatea și regularitatea acestora.</w:t>
      </w:r>
      <w:r>
        <w:rPr>
          <w:noProof/>
        </w:rPr>
        <w:t xml:space="preserve"> Acest lucru este valabil în special în contextul resurselor limitate și al numărului tot mai mare de priorități. În paralel, începând din 2024, Comisia a sporit, de asemenea, eficiența și eficacitatea operațiunilor de împrumut și de credit care stau la baza finanțării programelor de politică. Printre acestea se numără NextGenerationEU, sprijinul pentru Ucraina prin asistență macrofinanciară (asistență macrofinanciară Plus și Mecanismul de cooperare în materie de împrumuturi pentru Ucraina) și sprijinul continuu pentru alte țări învecinate. Comisia consideră că sistemele de control intern funcționează bine și că se pun în aplicare măsuri de atenuare adecvate în domeniile în care au fost identificate deficiențe.</w:t>
      </w:r>
    </w:p>
    <w:p w14:paraId="0883F289" w14:textId="77777777" w:rsidR="00D97581" w:rsidRDefault="0060377B">
      <w:pPr>
        <w:rPr>
          <w:noProof/>
        </w:rPr>
      </w:pPr>
      <w:r w:rsidRPr="00AC11E0">
        <w:rPr>
          <w:rStyle w:val="Bold"/>
          <w:noProof/>
        </w:rPr>
        <w:t>În ceea ce privește combaterea fraudei, Comisia a înregistrat progrese în punerea în aplicare a planului său de acțiune revizuit privind strategia antifraudă</w:t>
      </w:r>
      <w:r>
        <w:rPr>
          <w:rStyle w:val="Bold"/>
          <w:b w:val="0"/>
          <w:noProof/>
        </w:rPr>
        <w:t>,</w:t>
      </w:r>
      <w:r>
        <w:rPr>
          <w:noProof/>
        </w:rPr>
        <w:t xml:space="preserve"> care vizează prevenirea și combaterea fraudei. Majoritatea acțiunilor incluse în planul de acțiune din 2023 au fost puse în aplicare până la sfârșitul anului 2025. </w:t>
      </w:r>
      <w:r>
        <w:rPr>
          <w:rStyle w:val="Bold"/>
          <w:b w:val="0"/>
          <w:noProof/>
        </w:rPr>
        <w:t xml:space="preserve">Oficiul European de Luptă Antifraudă (OLAF) și-a continuat activitatea analitică strategică și activitățile de investigare </w:t>
      </w:r>
      <w:r>
        <w:rPr>
          <w:noProof/>
        </w:rPr>
        <w:t>și a inclus o evaluare calitativă actualizată a strategiilor naționale antifraudă în raportul său anual pe 2024 privind protecția intereselor financiare ale UE</w:t>
      </w:r>
      <w:r>
        <w:rPr>
          <w:rFonts w:ascii="Calibri" w:hAnsi="Calibri"/>
          <w:noProof/>
        </w:rPr>
        <w:t> </w:t>
      </w:r>
      <w:r>
        <w:rPr>
          <w:noProof/>
        </w:rPr>
        <w:t>(</w:t>
      </w:r>
      <w:r>
        <w:rPr>
          <w:rStyle w:val="FootnoteReference"/>
          <w:noProof/>
        </w:rPr>
        <w:footnoteReference w:id="36"/>
      </w:r>
      <w:r>
        <w:rPr>
          <w:noProof/>
        </w:rPr>
        <w:t>).</w:t>
      </w:r>
    </w:p>
    <w:p w14:paraId="48FC17E8" w14:textId="77777777" w:rsidR="00D97581" w:rsidRDefault="0060377B">
      <w:pPr>
        <w:rPr>
          <w:noProof/>
          <w:highlight w:val="lightGray"/>
        </w:rPr>
      </w:pPr>
      <w:r w:rsidRPr="00AC11E0">
        <w:rPr>
          <w:rStyle w:val="Bold"/>
          <w:noProof/>
        </w:rPr>
        <w:t>Securitatea, siguranța, securitatea cibernetică și continuitatea activității ocupă un loc important pe agenda Comisiei.</w:t>
      </w:r>
      <w:r>
        <w:rPr>
          <w:noProof/>
        </w:rPr>
        <w:t xml:space="preserve"> În 2025, astfel cum se prevede în Regulamentul privind securitatea cibernetică în instituțiile, organele, oficiile și agențiile UE</w:t>
      </w:r>
      <w:r>
        <w:rPr>
          <w:rFonts w:ascii="Calibri" w:hAnsi="Calibri"/>
          <w:noProof/>
        </w:rPr>
        <w:t> </w:t>
      </w:r>
      <w:r>
        <w:rPr>
          <w:noProof/>
        </w:rPr>
        <w:t>(</w:t>
      </w:r>
      <w:r>
        <w:rPr>
          <w:rStyle w:val="FootnoteReference"/>
          <w:noProof/>
        </w:rPr>
        <w:footnoteReference w:id="37"/>
      </w:r>
      <w:r>
        <w:rPr>
          <w:noProof/>
        </w:rPr>
        <w:t>), Comisia a efectuat o evaluare inițială a securității cibernetice, a efectuat o evaluare a maturității și a raportat cu privire la planul său de securitate cibernetică, bazându-se, prin urmare, pe cadrul intern existent de guvernanță, monitorizare și raportare în materie de securitate cibernetică și pe strategia corporativă de securitate cibernetică. Punerea în aplicare a primului ciclu complet de raportare prevăzut de regulament a contribuit la instituirea unui cadru cuprinzător și obligatoriu pentru a asigura un nivel comun ridicat de securitate cibernetică în toate entitățile UE, inclusiv obligații privind guvernanța, gestionarea riscurilor, raportarea incidentelor și cooperarea.</w:t>
      </w:r>
    </w:p>
    <w:p w14:paraId="0A2E0A95" w14:textId="77777777" w:rsidR="00D97581" w:rsidRDefault="0060377B">
      <w:pPr>
        <w:rPr>
          <w:noProof/>
          <w:highlight w:val="lightGray"/>
        </w:rPr>
      </w:pPr>
      <w:r w:rsidRPr="00AC11E0">
        <w:rPr>
          <w:rStyle w:val="Bold"/>
          <w:noProof/>
        </w:rPr>
        <w:t>În contextul geopolitic actual, suveranitatea digitală a devenit, de asemenea, un domeniu critic.</w:t>
      </w:r>
      <w:r>
        <w:rPr>
          <w:noProof/>
        </w:rPr>
        <w:t xml:space="preserve"> În noiembrie 2025, organismul de guvernanță corporativă a tehnologiei informației al Comisiei a aprobat un plan de acțiune privind suveranitatea digitală, care urmărește să sporească controlul asupra activelor digitale proprii ale Comisiei.</w:t>
      </w:r>
    </w:p>
    <w:p w14:paraId="2358ADCD" w14:textId="77777777" w:rsidR="00D97581" w:rsidRDefault="0060377B">
      <w:pPr>
        <w:pStyle w:val="Heading2"/>
        <w:rPr>
          <w:noProof/>
        </w:rPr>
      </w:pPr>
      <w:r>
        <w:rPr>
          <w:noProof/>
        </w:rPr>
        <w:t>Rezultatele controalelor confirmă că bugetul UE este bine protejat</w:t>
      </w:r>
    </w:p>
    <w:p w14:paraId="1C1069BE" w14:textId="77777777" w:rsidR="00D97581" w:rsidRDefault="0060377B">
      <w:pPr>
        <w:rPr>
          <w:noProof/>
          <w:highlight w:val="lightGray"/>
        </w:rPr>
      </w:pPr>
      <w:r w:rsidRPr="00AC11E0">
        <w:rPr>
          <w:rStyle w:val="Bold"/>
          <w:noProof/>
        </w:rPr>
        <w:t>Ca parte a strategiilor lor de control, în cadrul de control intern, Comisia și statele membre efectuează anual sute de mii de controale pentru a preveni, a detecta și a corecta erorile și deficiențele din sistemele de gestionare și control.</w:t>
      </w:r>
      <w:r>
        <w:rPr>
          <w:noProof/>
        </w:rPr>
        <w:t xml:space="preserve"> În ceea ce privește gestiunea partajată, Comisia se bazează pe verificările efectuate de autoritățile naționale și le supraveghează prin propriile controale și audituri, dacă este necesar. Acest lucru se realizează în conformitate cu principiul auditului unic, care raționalizează auditul și controlul și reduce la minimum sarcina de audit asupra beneficiarilor. În cadrul gestiunii indirecte, Comisia se bazează pe sistemele de control ale partenerilor de implementare, în timp ce, în cazul gestiunii directe, controalele sunt efectuate chiar de Comisie. În cazul Mecanismului de redresare și reziliență, verificările și controalele sunt efectuate pe baza repartizării responsabilităților între Comisie și statele membre.</w:t>
      </w:r>
    </w:p>
    <w:tbl>
      <w:tblPr>
        <w:tblW w:w="9092"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ook w:val="0620" w:firstRow="1" w:lastRow="0" w:firstColumn="0" w:lastColumn="0" w:noHBand="1" w:noVBand="1"/>
      </w:tblPr>
      <w:tblGrid>
        <w:gridCol w:w="4546"/>
        <w:gridCol w:w="4546"/>
      </w:tblGrid>
      <w:tr w:rsidR="00D97581" w14:paraId="24033FE8" w14:textId="77777777">
        <w:trPr>
          <w:trHeight w:val="167"/>
        </w:trPr>
        <w:tc>
          <w:tcPr>
            <w:tcW w:w="4546" w:type="dxa"/>
            <w:shd w:val="clear" w:color="auto" w:fill="008139" w:themeFill="accent1"/>
            <w:vAlign w:val="center"/>
          </w:tcPr>
          <w:p w14:paraId="3CB55073" w14:textId="77777777" w:rsidR="00D97581" w:rsidRDefault="0060377B">
            <w:pPr>
              <w:spacing w:before="120" w:after="120"/>
              <w:jc w:val="center"/>
              <w:rPr>
                <w:b/>
                <w:noProof/>
                <w:sz w:val="24"/>
                <w:szCs w:val="24"/>
              </w:rPr>
            </w:pPr>
            <w:r>
              <w:rPr>
                <w:b/>
                <w:noProof/>
                <w:color w:val="FFFFFF"/>
                <w:sz w:val="24"/>
                <w:shd w:val="clear" w:color="auto" w:fill="E6E6E6"/>
                <w:lang w:val="en-GB"/>
              </w:rPr>
              <w:drawing>
                <wp:anchor distT="0" distB="0" distL="114300" distR="114300" simplePos="0" relativeHeight="251658244" behindDoc="0" locked="0" layoutInCell="1" allowOverlap="1" wp14:anchorId="4ECE888C" wp14:editId="64595413">
                  <wp:simplePos x="0" y="0"/>
                  <wp:positionH relativeFrom="page">
                    <wp:posOffset>2414270</wp:posOffset>
                  </wp:positionH>
                  <wp:positionV relativeFrom="paragraph">
                    <wp:posOffset>47625</wp:posOffset>
                  </wp:positionV>
                  <wp:extent cx="189230" cy="262255"/>
                  <wp:effectExtent l="0" t="0" r="1270" b="4445"/>
                  <wp:wrapNone/>
                  <wp:docPr id="1010829888" name="Picture 1010829888">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14="http://schemas.microsoft.com/office/drawing/2010/main" xmlns:pic="http://schemas.openxmlformats.org/drawingml/2006/picture" xmlns="" val="1"/>
                      </a:ext>
                    </a:extLst>
                  </wp:docPr>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14="http://schemas.microsoft.com/office/drawing/2010/main" xmlns="" val="1"/>
                              </a:ext>
                            </a:extLst>
                          </pic:cNvPr>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89230" cy="262255"/>
                          </a:xfrm>
                          <a:prstGeom prst="rect">
                            <a:avLst/>
                          </a:prstGeom>
                          <a:noFill/>
                        </pic:spPr>
                      </pic:pic>
                    </a:graphicData>
                  </a:graphic>
                  <wp14:sizeRelH relativeFrom="margin">
                    <wp14:pctWidth>0</wp14:pctWidth>
                  </wp14:sizeRelH>
                  <wp14:sizeRelV relativeFrom="margin">
                    <wp14:pctHeight>0</wp14:pctHeight>
                  </wp14:sizeRelV>
                </wp:anchor>
              </w:drawing>
            </w:r>
            <w:r w:rsidRPr="00AC11E0">
              <w:rPr>
                <w:b/>
                <w:noProof/>
                <w:color w:val="FFFFFF"/>
                <w:sz w:val="24"/>
              </w:rPr>
              <w:t>În domeniul agriculturii</w:t>
            </w:r>
          </w:p>
        </w:tc>
        <w:tc>
          <w:tcPr>
            <w:tcW w:w="4546" w:type="dxa"/>
            <w:shd w:val="clear" w:color="auto" w:fill="003399" w:themeFill="text2"/>
            <w:vAlign w:val="center"/>
          </w:tcPr>
          <w:p w14:paraId="12DC2EFC" w14:textId="77777777" w:rsidR="00D97581" w:rsidRPr="00AC11E0" w:rsidRDefault="0060377B">
            <w:pPr>
              <w:spacing w:before="120" w:after="120"/>
              <w:jc w:val="center"/>
              <w:rPr>
                <w:b/>
                <w:bCs/>
                <w:noProof/>
                <w:sz w:val="24"/>
                <w:szCs w:val="24"/>
              </w:rPr>
            </w:pPr>
            <w:r>
              <w:rPr>
                <w:b/>
                <w:noProof/>
                <w:color w:val="FFFFFF"/>
                <w:sz w:val="24"/>
                <w:shd w:val="clear" w:color="auto" w:fill="E6E6E6"/>
                <w:lang w:val="en-GB"/>
              </w:rPr>
              <w:drawing>
                <wp:anchor distT="0" distB="0" distL="114300" distR="114300" simplePos="0" relativeHeight="251658245" behindDoc="0" locked="0" layoutInCell="1" allowOverlap="1" wp14:anchorId="51FB4859" wp14:editId="30136A4E">
                  <wp:simplePos x="0" y="0"/>
                  <wp:positionH relativeFrom="page">
                    <wp:posOffset>2360295</wp:posOffset>
                  </wp:positionH>
                  <wp:positionV relativeFrom="paragraph">
                    <wp:posOffset>86360</wp:posOffset>
                  </wp:positionV>
                  <wp:extent cx="236855" cy="236855"/>
                  <wp:effectExtent l="0" t="0" r="0" b="0"/>
                  <wp:wrapNone/>
                  <wp:docPr id="776105887" name="Picture 776105887">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14="http://schemas.microsoft.com/office/drawing/2010/main" xmlns:pic="http://schemas.openxmlformats.org/drawingml/2006/picture" xmlns="" val="1"/>
                      </a:ext>
                    </a:extLst>
                  </wp:docPr>
                  <wp:cNvGraphicFramePr/>
                  <a:graphic xmlns:a="http://schemas.openxmlformats.org/drawingml/2006/main">
                    <a:graphicData uri="http://schemas.openxmlformats.org/drawingml/2006/picture">
                      <pic:pic xmlns:pic="http://schemas.openxmlformats.org/drawingml/2006/picture">
                        <pic:nvPicPr>
                          <pic:cNvPr id="12" name="Picture 12">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14="http://schemas.microsoft.com/office/drawing/2010/main" xmlns="" val="1"/>
                              </a:ext>
                            </a:extLst>
                          </pic:cNvPr>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36855" cy="236855"/>
                          </a:xfrm>
                          <a:prstGeom prst="rect">
                            <a:avLst/>
                          </a:prstGeom>
                          <a:noFill/>
                        </pic:spPr>
                      </pic:pic>
                    </a:graphicData>
                  </a:graphic>
                  <wp14:sizeRelH relativeFrom="margin">
                    <wp14:pctWidth>0</wp14:pctWidth>
                  </wp14:sizeRelH>
                  <wp14:sizeRelV relativeFrom="margin">
                    <wp14:pctHeight>0</wp14:pctHeight>
                  </wp14:sizeRelV>
                </wp:anchor>
              </w:drawing>
            </w:r>
            <w:r w:rsidRPr="00AC11E0">
              <w:rPr>
                <w:b/>
                <w:noProof/>
                <w:color w:val="FFFFFF"/>
                <w:sz w:val="24"/>
              </w:rPr>
              <w:t>În domeniul coeziunii</w:t>
            </w:r>
          </w:p>
        </w:tc>
      </w:tr>
      <w:tr w:rsidR="00D97581" w14:paraId="287ABFD1" w14:textId="77777777">
        <w:trPr>
          <w:trHeight w:val="1231"/>
        </w:trPr>
        <w:tc>
          <w:tcPr>
            <w:tcW w:w="4546" w:type="dxa"/>
            <w:shd w:val="clear" w:color="auto" w:fill="E1EEE1"/>
          </w:tcPr>
          <w:p w14:paraId="2BB77043" w14:textId="48CFB6B2" w:rsidR="00D97581" w:rsidRPr="00AC11E0" w:rsidRDefault="0060377B">
            <w:pPr>
              <w:jc w:val="center"/>
              <w:rPr>
                <w:b/>
                <w:noProof/>
                <w:color w:val="0D0D0D"/>
              </w:rPr>
            </w:pPr>
            <w:r>
              <w:rPr>
                <w:noProof/>
                <w:color w:val="0D0D0D"/>
              </w:rPr>
              <w:t>Statele membre continuă să își consolideze</w:t>
            </w:r>
            <w:r w:rsidR="00F93FA4">
              <w:rPr>
                <w:noProof/>
                <w:color w:val="0D0D0D"/>
              </w:rPr>
              <w:t xml:space="preserve"> </w:t>
            </w:r>
            <w:r>
              <w:rPr>
                <w:noProof/>
              </w:rPr>
              <w:br/>
            </w:r>
            <w:r>
              <w:rPr>
                <w:noProof/>
                <w:color w:val="0D0D0D"/>
              </w:rPr>
              <w:t xml:space="preserve">controalele </w:t>
            </w:r>
            <w:r w:rsidRPr="00AC11E0">
              <w:rPr>
                <w:rStyle w:val="Italic"/>
                <w:noProof/>
              </w:rPr>
              <w:t xml:space="preserve">ex ante </w:t>
            </w:r>
            <w:r>
              <w:rPr>
                <w:noProof/>
                <w:color w:val="0D0D0D"/>
              </w:rPr>
              <w:t>extrem de automatizate și sistematice (de exemplu, prin utilizarea obligatorie a sistemului de monitorizare a suprafețelor). Comisia a examinat</w:t>
            </w:r>
            <w:r w:rsidR="00F93FA4">
              <w:rPr>
                <w:noProof/>
                <w:color w:val="0D0D0D"/>
              </w:rPr>
              <w:t xml:space="preserve"> </w:t>
            </w:r>
            <w:r>
              <w:rPr>
                <w:noProof/>
                <w:color w:val="0D0D0D"/>
              </w:rPr>
              <w:t xml:space="preserve">rapoartele și avizele anuale pentru toate cele </w:t>
            </w:r>
            <w:r w:rsidRPr="00AC11E0">
              <w:rPr>
                <w:rStyle w:val="Bold"/>
                <w:noProof/>
              </w:rPr>
              <w:t xml:space="preserve">72 </w:t>
            </w:r>
            <w:r>
              <w:rPr>
                <w:noProof/>
                <w:color w:val="0D0D0D"/>
              </w:rPr>
              <w:t xml:space="preserve">de agenții de plată și a efectuat </w:t>
            </w:r>
            <w:r w:rsidRPr="00AC11E0">
              <w:rPr>
                <w:rStyle w:val="Bold"/>
                <w:noProof/>
              </w:rPr>
              <w:t xml:space="preserve">45 </w:t>
            </w:r>
            <w:r>
              <w:rPr>
                <w:rStyle w:val="Bold"/>
                <w:b w:val="0"/>
                <w:noProof/>
              </w:rPr>
              <w:t xml:space="preserve">de </w:t>
            </w:r>
            <w:r w:rsidR="00765A89">
              <w:rPr>
                <w:rStyle w:val="Bold"/>
                <w:b w:val="0"/>
                <w:noProof/>
              </w:rPr>
              <w:br/>
            </w:r>
            <w:r>
              <w:rPr>
                <w:rStyle w:val="Bold"/>
                <w:b w:val="0"/>
                <w:noProof/>
              </w:rPr>
              <w:t xml:space="preserve">audituri </w:t>
            </w:r>
            <w:r>
              <w:rPr>
                <w:noProof/>
                <w:color w:val="0D0D0D"/>
              </w:rPr>
              <w:t>de conformitate</w:t>
            </w:r>
            <w:r w:rsidR="00F93FA4">
              <w:rPr>
                <w:noProof/>
                <w:color w:val="0D0D0D"/>
              </w:rPr>
              <w:t xml:space="preserve"> </w:t>
            </w:r>
            <w:r>
              <w:rPr>
                <w:noProof/>
              </w:rPr>
              <w:br/>
            </w:r>
            <w:r>
              <w:rPr>
                <w:noProof/>
                <w:color w:val="0D0D0D"/>
              </w:rPr>
              <w:t>în 21 de state membre</w:t>
            </w:r>
          </w:p>
        </w:tc>
        <w:tc>
          <w:tcPr>
            <w:tcW w:w="4546" w:type="dxa"/>
            <w:shd w:val="clear" w:color="auto" w:fill="F3F7FF" w:themeFill="background2"/>
          </w:tcPr>
          <w:p w14:paraId="375A9108" w14:textId="55149217" w:rsidR="00D97581" w:rsidRDefault="0060377B">
            <w:pPr>
              <w:jc w:val="center"/>
              <w:rPr>
                <w:noProof/>
                <w:highlight w:val="lightGray"/>
              </w:rPr>
            </w:pPr>
            <w:r>
              <w:rPr>
                <w:noProof/>
              </w:rPr>
              <w:t>Pentru perioada de programare 2014-2020,</w:t>
            </w:r>
            <w:r w:rsidR="00F93FA4">
              <w:rPr>
                <w:noProof/>
              </w:rPr>
              <w:t xml:space="preserve"> </w:t>
            </w:r>
            <w:r>
              <w:rPr>
                <w:noProof/>
              </w:rPr>
              <w:br/>
              <w:t xml:space="preserve">statele membre au auditat </w:t>
            </w:r>
            <w:r w:rsidRPr="00AC11E0">
              <w:rPr>
                <w:rStyle w:val="Bold"/>
                <w:noProof/>
              </w:rPr>
              <w:t>9</w:t>
            </w:r>
            <w:r w:rsidRPr="00AC11E0">
              <w:rPr>
                <w:rStyle w:val="Bold"/>
                <w:rFonts w:ascii="Calibri" w:hAnsi="Calibri" w:cs="Calibri"/>
                <w:noProof/>
              </w:rPr>
              <w:t> </w:t>
            </w:r>
            <w:r w:rsidRPr="00AC11E0">
              <w:rPr>
                <w:rStyle w:val="Bold"/>
                <w:noProof/>
              </w:rPr>
              <w:t>425</w:t>
            </w:r>
            <w:r>
              <w:rPr>
                <w:noProof/>
              </w:rPr>
              <w:t xml:space="preserve"> de (părți din)</w:t>
            </w:r>
            <w:r w:rsidR="00F93FA4">
              <w:rPr>
                <w:noProof/>
              </w:rPr>
              <w:t xml:space="preserve"> </w:t>
            </w:r>
            <w:r>
              <w:rPr>
                <w:noProof/>
              </w:rPr>
              <w:br/>
              <w:t xml:space="preserve">operațiuni, iar Comisia a examinat rapoartele și avizele anuale pentru </w:t>
            </w:r>
            <w:r w:rsidRPr="00AC11E0">
              <w:rPr>
                <w:rStyle w:val="Bold"/>
                <w:noProof/>
              </w:rPr>
              <w:t xml:space="preserve">441 </w:t>
            </w:r>
            <w:r>
              <w:rPr>
                <w:noProof/>
              </w:rPr>
              <w:t xml:space="preserve">de programe și a efectuat </w:t>
            </w:r>
            <w:r w:rsidRPr="00AC11E0">
              <w:rPr>
                <w:rStyle w:val="Bold"/>
                <w:noProof/>
              </w:rPr>
              <w:t xml:space="preserve">88 </w:t>
            </w:r>
            <w:r>
              <w:rPr>
                <w:rStyle w:val="Bold"/>
                <w:b w:val="0"/>
                <w:noProof/>
              </w:rPr>
              <w:t>de audituri</w:t>
            </w:r>
            <w:r>
              <w:rPr>
                <w:noProof/>
              </w:rPr>
              <w:t xml:space="preserve"> bazate pe riscuri.</w:t>
            </w:r>
          </w:p>
        </w:tc>
      </w:tr>
    </w:tbl>
    <w:p w14:paraId="081D7B96" w14:textId="66E57D07" w:rsidR="00D97581" w:rsidRDefault="0060377B">
      <w:pPr>
        <w:spacing w:before="480"/>
        <w:rPr>
          <w:noProof/>
        </w:rPr>
      </w:pPr>
      <w:r w:rsidRPr="00AC11E0">
        <w:rPr>
          <w:rStyle w:val="Bold"/>
          <w:noProof/>
        </w:rPr>
        <w:t>Ca urmare a acestor controale și audituri, în 2025 au fost puse în aplicare măsuri preventive și corective</w:t>
      </w:r>
      <w:r w:rsidR="00F93FA4" w:rsidRPr="00AC11E0">
        <w:rPr>
          <w:rStyle w:val="Bold"/>
          <w:noProof/>
        </w:rPr>
        <w:t xml:space="preserve"> </w:t>
      </w:r>
      <w:r>
        <w:rPr>
          <w:noProof/>
        </w:rPr>
        <w:br/>
      </w:r>
      <w:r w:rsidRPr="00AC11E0">
        <w:rPr>
          <w:rStyle w:val="Bold"/>
          <w:noProof/>
        </w:rPr>
        <w:t>în sumă de</w:t>
      </w:r>
      <w:r w:rsidRPr="00AC11E0">
        <w:rPr>
          <w:rStyle w:val="Bold"/>
          <w:rFonts w:ascii="Calibri" w:hAnsi="Calibri"/>
          <w:noProof/>
        </w:rPr>
        <w:t xml:space="preserve"> </w:t>
      </w:r>
      <w:r w:rsidRPr="00AC11E0">
        <w:rPr>
          <w:rStyle w:val="Bold"/>
          <w:noProof/>
        </w:rPr>
        <w:t>9</w:t>
      </w:r>
      <w:r w:rsidRPr="00AC11E0">
        <w:rPr>
          <w:rStyle w:val="Bold"/>
          <w:rFonts w:ascii="Calibri" w:hAnsi="Calibri"/>
          <w:noProof/>
        </w:rPr>
        <w:t> </w:t>
      </w:r>
      <w:r w:rsidRPr="00AC11E0">
        <w:rPr>
          <w:rStyle w:val="Bold"/>
          <w:noProof/>
        </w:rPr>
        <w:t>040</w:t>
      </w:r>
      <w:r w:rsidRPr="00AC11E0">
        <w:rPr>
          <w:rStyle w:val="Bold"/>
          <w:rFonts w:ascii="Calibri" w:hAnsi="Calibri"/>
          <w:noProof/>
        </w:rPr>
        <w:t xml:space="preserve"> de</w:t>
      </w:r>
      <w:r w:rsidRPr="00AC11E0">
        <w:rPr>
          <w:rStyle w:val="Bold"/>
          <w:noProof/>
        </w:rPr>
        <w:t xml:space="preserve"> milioane</w:t>
      </w:r>
      <w:r w:rsidRPr="00AC11E0">
        <w:rPr>
          <w:rStyle w:val="Bold"/>
          <w:rFonts w:ascii="Calibri" w:hAnsi="Calibri" w:cs="Calibri"/>
          <w:noProof/>
        </w:rPr>
        <w:t> </w:t>
      </w:r>
      <w:r w:rsidRPr="00AC11E0">
        <w:rPr>
          <w:rStyle w:val="Bold"/>
          <w:noProof/>
        </w:rPr>
        <w:t>EUR.</w:t>
      </w:r>
      <w:r>
        <w:rPr>
          <w:noProof/>
        </w:rPr>
        <w:t xml:space="preserve"> Valoarea erorilor prevenite ca urmare a controalelor și auditurilor efectuate înainte de efectuarea plăților se ridică la</w:t>
      </w:r>
      <w:r>
        <w:rPr>
          <w:rFonts w:ascii="Calibri" w:hAnsi="Calibri"/>
          <w:noProof/>
        </w:rPr>
        <w:t xml:space="preserve"> </w:t>
      </w:r>
      <w:r>
        <w:rPr>
          <w:noProof/>
        </w:rPr>
        <w:t>1</w:t>
      </w:r>
      <w:r>
        <w:rPr>
          <w:rFonts w:ascii="Calibri" w:hAnsi="Calibri"/>
          <w:noProof/>
        </w:rPr>
        <w:t> </w:t>
      </w:r>
      <w:r>
        <w:rPr>
          <w:noProof/>
        </w:rPr>
        <w:t>137</w:t>
      </w:r>
      <w:r>
        <w:rPr>
          <w:rFonts w:ascii="Calibri" w:hAnsi="Calibri"/>
          <w:noProof/>
        </w:rPr>
        <w:t xml:space="preserve"> </w:t>
      </w:r>
      <w:r>
        <w:rPr>
          <w:noProof/>
        </w:rPr>
        <w:t>de milioane EUR,</w:t>
      </w:r>
      <w:r w:rsidR="00F93FA4">
        <w:rPr>
          <w:noProof/>
        </w:rPr>
        <w:t xml:space="preserve"> </w:t>
      </w:r>
      <w:r>
        <w:rPr>
          <w:noProof/>
        </w:rPr>
        <w:br/>
        <w:t>iar valoarea corecțiilor puse în aplicare de Comisie și de statele membre ca urmare a controalelor și auditurilor efectuate după efectuarea plăților se ridică la</w:t>
      </w:r>
      <w:r>
        <w:rPr>
          <w:rFonts w:ascii="Calibri" w:hAnsi="Calibri"/>
          <w:noProof/>
        </w:rPr>
        <w:t xml:space="preserve"> </w:t>
      </w:r>
      <w:r>
        <w:rPr>
          <w:noProof/>
        </w:rPr>
        <w:t>7</w:t>
      </w:r>
      <w:r>
        <w:rPr>
          <w:rFonts w:ascii="Calibri" w:hAnsi="Calibri"/>
          <w:noProof/>
        </w:rPr>
        <w:t> </w:t>
      </w:r>
      <w:r>
        <w:rPr>
          <w:noProof/>
        </w:rPr>
        <w:t>903</w:t>
      </w:r>
      <w:r>
        <w:rPr>
          <w:rFonts w:ascii="Calibri" w:hAnsi="Calibri"/>
          <w:noProof/>
        </w:rPr>
        <w:t xml:space="preserve"> </w:t>
      </w:r>
      <w:r>
        <w:rPr>
          <w:noProof/>
        </w:rPr>
        <w:t>milioane EUR. Creșterea acesteia din urmă în comparație cu 2024, când suma a fost de</w:t>
      </w:r>
      <w:r>
        <w:rPr>
          <w:rFonts w:ascii="Calibri" w:hAnsi="Calibri"/>
          <w:noProof/>
        </w:rPr>
        <w:t xml:space="preserve"> </w:t>
      </w:r>
      <w:r>
        <w:rPr>
          <w:noProof/>
        </w:rPr>
        <w:t>1</w:t>
      </w:r>
      <w:r>
        <w:rPr>
          <w:rFonts w:ascii="Calibri" w:hAnsi="Calibri"/>
          <w:noProof/>
        </w:rPr>
        <w:t> </w:t>
      </w:r>
      <w:r>
        <w:rPr>
          <w:noProof/>
        </w:rPr>
        <w:t>475</w:t>
      </w:r>
      <w:r>
        <w:rPr>
          <w:rFonts w:ascii="Calibri" w:hAnsi="Calibri"/>
          <w:noProof/>
        </w:rPr>
        <w:t xml:space="preserve"> </w:t>
      </w:r>
      <w:r>
        <w:rPr>
          <w:noProof/>
        </w:rPr>
        <w:t>de milioane EUR, se datorează închiderii programelor operaționale din cadrul politicii de coeziune pentru perioada 2014-2020, reflectând în principal volumul ridicat de conturi prezentate în 2025 (ultimul exercițiu contabil) și capacitatea de corecție suplimentară aplicată la închidere.</w:t>
      </w:r>
    </w:p>
    <w:p w14:paraId="6E1AE7FB" w14:textId="77777777" w:rsidR="00D97581" w:rsidRDefault="0060377B">
      <w:pPr>
        <w:rPr>
          <w:noProof/>
        </w:rPr>
      </w:pPr>
      <w:r w:rsidRPr="00AC11E0">
        <w:rPr>
          <w:rStyle w:val="Bold"/>
          <w:noProof/>
        </w:rPr>
        <w:t>Rezultatele controalelor sunt prezentate la nivelul rubricilor individuale din cadrul financiar multianual (CFM),</w:t>
      </w:r>
      <w:r>
        <w:rPr>
          <w:noProof/>
        </w:rPr>
        <w:t xml:space="preserve"> reflectând diferitele abordări urmate pentru diferitele tipuri de cheltuieli.</w:t>
      </w:r>
    </w:p>
    <w:p w14:paraId="194274C2" w14:textId="7B5F41C7" w:rsidR="00D97581" w:rsidRDefault="0060377B">
      <w:pPr>
        <w:rPr>
          <w:noProof/>
        </w:rPr>
      </w:pPr>
      <w:r w:rsidRPr="00AC11E0">
        <w:rPr>
          <w:rStyle w:val="Bold"/>
          <w:noProof/>
        </w:rPr>
        <w:t>Pentru toate rubricile în care cheltuielile se bazează pe costuri – denumite și cheltuieli de conformitate– Comisia estimează riscul la momentul plății și riscul la închidere</w:t>
      </w:r>
      <w:r w:rsidRPr="00AC11E0">
        <w:rPr>
          <w:b/>
          <w:noProof/>
        </w:rPr>
        <w:t>.</w:t>
      </w:r>
      <w:r>
        <w:rPr>
          <w:noProof/>
        </w:rPr>
        <w:t xml:space="preserve"> Riscul la momentul plății măsoară</w:t>
      </w:r>
      <w:r w:rsidR="00F93FA4">
        <w:rPr>
          <w:noProof/>
        </w:rPr>
        <w:t xml:space="preserve"> </w:t>
      </w:r>
      <w:r>
        <w:rPr>
          <w:noProof/>
        </w:rPr>
        <w:br/>
        <w:t>riscul ca plățile efectuate să fie afectate de nereguli înainte de aplicarea oricărei corecții. Riscul la închidere reprezintă nivelul de eroare rămas la sfârșitul ciclului de programare, după ce au fost puse în aplicare toate controalele și toate corecțiile. Având în vedere caracterul multianual al programelor de finanțare, Comisia, împreună cu statele membre în cazul gestiunii partajate, depune un efort substanțial pentru a desfășura controale după efectuarea plăților și a aplica corecții până la închiderea programelor. Eforturile respective se reflectă în riscul estimat la închiderea programelor.</w:t>
      </w:r>
    </w:p>
    <w:p w14:paraId="2585F199" w14:textId="77777777" w:rsidR="00D97581" w:rsidRDefault="0060377B">
      <w:pPr>
        <w:rPr>
          <w:noProof/>
        </w:rPr>
      </w:pPr>
      <w:r w:rsidRPr="00AC11E0">
        <w:rPr>
          <w:rStyle w:val="Bold"/>
          <w:noProof/>
        </w:rPr>
        <w:t>În 2025, pentru cheltuielile de conformitate, riscul la închidere a fost sub 2</w:t>
      </w:r>
      <w:r w:rsidRPr="00AC11E0">
        <w:rPr>
          <w:rStyle w:val="Bold"/>
          <w:rFonts w:ascii="Calibri" w:hAnsi="Calibri" w:cs="Calibri"/>
          <w:noProof/>
        </w:rPr>
        <w:t> </w:t>
      </w:r>
      <w:r w:rsidRPr="00AC11E0">
        <w:rPr>
          <w:rStyle w:val="Bold"/>
          <w:noProof/>
        </w:rPr>
        <w:t xml:space="preserve">% pentru toate rubricile. </w:t>
      </w:r>
      <w:r>
        <w:rPr>
          <w:noProof/>
        </w:rPr>
        <w:t>Riscul la momentul plății a fost cu puțin peste 2 % pentru rubricile CFM care acoperă piața unică, inovarea și sectorul digital și coeziunea, reziliența și valorile și sub 2 % pentru alte rubrici ale CFM (a se vedea graficul de mai jos).</w:t>
      </w:r>
    </w:p>
    <w:p w14:paraId="1E923A20" w14:textId="77777777" w:rsidR="00D97581" w:rsidRDefault="0060377B">
      <w:pPr>
        <w:pStyle w:val="ImageTitle"/>
        <w:rPr>
          <w:noProof/>
        </w:rPr>
      </w:pPr>
      <w:r>
        <w:rPr>
          <w:noProof/>
        </w:rPr>
        <w:t xml:space="preserve">Prezentare generală a riscului la momentul plății și a riscului la închidere pentru cheltuielile de conformitate </w:t>
      </w:r>
    </w:p>
    <w:p w14:paraId="6ACC924C" w14:textId="4F1527DA" w:rsidR="00D97581" w:rsidRDefault="00834C3A">
      <w:pPr>
        <w:pStyle w:val="ImagePlaceholder"/>
        <w:rPr>
          <w:noProof/>
        </w:rPr>
      </w:pPr>
      <w:r>
        <w:rPr>
          <w:noProof/>
          <w:lang w:val="en-GB"/>
        </w:rPr>
        <w:drawing>
          <wp:inline distT="0" distB="0" distL="0" distR="0" wp14:anchorId="4F7E9178" wp14:editId="0BA8CBCB">
            <wp:extent cx="5104800" cy="4467600"/>
            <wp:effectExtent l="0" t="0" r="635" b="9525"/>
            <wp:docPr id="174469381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104800" cy="4467600"/>
                    </a:xfrm>
                    <a:prstGeom prst="rect">
                      <a:avLst/>
                    </a:prstGeom>
                    <a:noFill/>
                  </pic:spPr>
                </pic:pic>
              </a:graphicData>
            </a:graphic>
          </wp:inline>
        </w:drawing>
      </w:r>
    </w:p>
    <w:p w14:paraId="4515620C" w14:textId="77777777" w:rsidR="00D97581" w:rsidRDefault="0060377B">
      <w:pPr>
        <w:pStyle w:val="ImageSource"/>
        <w:keepNext w:val="0"/>
        <w:rPr>
          <w:noProof/>
        </w:rPr>
      </w:pPr>
      <w:r w:rsidRPr="00AC11E0">
        <w:rPr>
          <w:rStyle w:val="Italic"/>
          <w:noProof/>
        </w:rPr>
        <w:t>Sursa:</w:t>
      </w:r>
      <w:r>
        <w:rPr>
          <w:noProof/>
        </w:rPr>
        <w:t xml:space="preserve"> Rapoartele anuale de activitate ale Comisiei Europene pentru 2025 (situația la 22</w:t>
      </w:r>
      <w:r>
        <w:rPr>
          <w:rFonts w:ascii="Calibri" w:hAnsi="Calibri"/>
          <w:noProof/>
        </w:rPr>
        <w:t xml:space="preserve"> </w:t>
      </w:r>
      <w:r>
        <w:rPr>
          <w:noProof/>
        </w:rPr>
        <w:t>aprilie 2026).</w:t>
      </w:r>
    </w:p>
    <w:p w14:paraId="605F4AB0" w14:textId="77777777" w:rsidR="00D97581" w:rsidRDefault="0060377B">
      <w:pPr>
        <w:rPr>
          <w:noProof/>
        </w:rPr>
      </w:pPr>
      <w:r w:rsidRPr="00AC11E0">
        <w:rPr>
          <w:rStyle w:val="Bold"/>
          <w:noProof/>
        </w:rPr>
        <w:t>În ceea ce privește cheltuielile bazate pe performanță, există o evaluare calitativă a riscului în ceea ce privește legalitatea și regularitatea plăților efectuate, cheltuielile fiind grupate în trei categorii de risc: scăzut, mediu și ridicat</w:t>
      </w:r>
      <w:r w:rsidRPr="00AC11E0">
        <w:rPr>
          <w:b/>
          <w:noProof/>
        </w:rPr>
        <w:t>.</w:t>
      </w:r>
      <w:r>
        <w:rPr>
          <w:noProof/>
        </w:rPr>
        <w:t xml:space="preserve"> Începând din 2024, acest lucru a vizat plățile efectuate în cadrul noului model de performanță pentru politica agricolă comună pentru perioada 2023-2027, în cadrul rubricii Resurse naturale și mediu, în care accentul se pune pe funcționarea sistemelor existente în statele membre și pe auditurile de sistem, realizate atât de către autoritățile naționale de audit (</w:t>
      </w:r>
      <w:r>
        <w:rPr>
          <w:rStyle w:val="FootnoteReference"/>
          <w:rFonts w:eastAsiaTheme="majorEastAsia"/>
          <w:noProof/>
        </w:rPr>
        <w:footnoteReference w:id="38"/>
      </w:r>
      <w:r>
        <w:rPr>
          <w:noProof/>
        </w:rPr>
        <w:t>), cât și de către Comisie. Începând din 2025, acest lucru se aplică și cheltuielilor legate de mecanismele pentru Republica Moldova, Ucraina și Balcanii de Vest, de la rubrica Vecinătate și întreaga lume, unde plățile se bazează pe atingerea jaloanelor și a țintelor (etape în cazul mecanismelor), cum ar fi Mecanismul de redresare și reziliență (</w:t>
      </w:r>
      <w:r>
        <w:rPr>
          <w:rStyle w:val="FootnoteReference"/>
          <w:noProof/>
        </w:rPr>
        <w:footnoteReference w:id="39"/>
      </w:r>
      <w:r>
        <w:rPr>
          <w:noProof/>
        </w:rPr>
        <w:t>). Evaluarea se bazează în principal pe nivelul de risc asociat jaloanelor și țintelor plătite. Pot fi luate în considerare și alte elemente referitoare la situația sistemelor de gestiune și control utilizate în țările beneficiare. Chiar dacă abordarea nu produce rate de eroare, același nivel de protecție a bugetului UE împotriva erorilor este asigurat prin întreruperi, suspendări și corecții financiare care rezultă din controalele existente.</w:t>
      </w:r>
    </w:p>
    <w:p w14:paraId="42C12418" w14:textId="77777777" w:rsidR="00D97581" w:rsidRDefault="0060377B">
      <w:pPr>
        <w:rPr>
          <w:noProof/>
        </w:rPr>
      </w:pPr>
      <w:r w:rsidRPr="00AC11E0">
        <w:rPr>
          <w:rStyle w:val="Bold"/>
          <w:noProof/>
        </w:rPr>
        <w:t>În ceea ce privește resursele naturale și mediul, ponderea cheltuielilor cu risc scăzut a fost de 64</w:t>
      </w:r>
      <w:r w:rsidRPr="00AC11E0">
        <w:rPr>
          <w:rStyle w:val="Bold"/>
          <w:rFonts w:ascii="Calibri" w:hAnsi="Calibri" w:cs="Calibri"/>
          <w:noProof/>
        </w:rPr>
        <w:t> </w:t>
      </w:r>
      <w:r w:rsidRPr="00AC11E0">
        <w:rPr>
          <w:rStyle w:val="Bold"/>
          <w:noProof/>
        </w:rPr>
        <w:t xml:space="preserve">%. </w:t>
      </w:r>
      <w:r>
        <w:rPr>
          <w:noProof/>
        </w:rPr>
        <w:t>Aceasta se situează ușor sub media pentru perioada 2020-2024 (66,7 %) și reflectă, în general, îmbunătățirea evaluării sistemelor instituite de organismele de certificare, care au dobândit experiență în al doilea an de punere în aplicare a noului model de performanță.</w:t>
      </w:r>
    </w:p>
    <w:p w14:paraId="0692849D" w14:textId="77777777" w:rsidR="00D97581" w:rsidRDefault="0060377B">
      <w:pPr>
        <w:rPr>
          <w:noProof/>
        </w:rPr>
      </w:pPr>
      <w:r w:rsidRPr="00AC11E0">
        <w:rPr>
          <w:rStyle w:val="Bold"/>
          <w:noProof/>
        </w:rPr>
        <w:t>În ceea ce privește vecinătatea și întreaga lume, ponderea cheltuielilor cu risc scăzut a fost de aproape 90</w:t>
      </w:r>
      <w:r w:rsidRPr="00AC11E0">
        <w:rPr>
          <w:rStyle w:val="Bold"/>
          <w:rFonts w:ascii="Calibri" w:hAnsi="Calibri" w:cs="Calibri"/>
          <w:noProof/>
        </w:rPr>
        <w:t> </w:t>
      </w:r>
      <w:r w:rsidRPr="00AC11E0">
        <w:rPr>
          <w:rStyle w:val="Bold"/>
          <w:noProof/>
        </w:rPr>
        <w:t>%</w:t>
      </w:r>
      <w:r>
        <w:rPr>
          <w:rStyle w:val="Bold"/>
          <w:b w:val="0"/>
          <w:noProof/>
        </w:rPr>
        <w:t>,</w:t>
      </w:r>
      <w:r>
        <w:rPr>
          <w:noProof/>
        </w:rPr>
        <w:t xml:space="preserve"> ceea ce este în concordanță cu rezultatele din anii precedenți. În ceea ce privește Mecanismul pentru Ucraina</w:t>
      </w:r>
      <w:r>
        <w:rPr>
          <w:rFonts w:ascii="Calibri" w:hAnsi="Calibri"/>
          <w:noProof/>
        </w:rPr>
        <w:t> </w:t>
      </w:r>
      <w:r>
        <w:rPr>
          <w:noProof/>
        </w:rPr>
        <w:t>(</w:t>
      </w:r>
      <w:r>
        <w:rPr>
          <w:rStyle w:val="FootnoteReference"/>
          <w:noProof/>
        </w:rPr>
        <w:footnoteReference w:id="40"/>
      </w:r>
      <w:r>
        <w:rPr>
          <w:noProof/>
        </w:rPr>
        <w:t>), având în vedere stadiul incipient al ciclului de viață al instrumentului, progresele deja înregistrate în ceea ce privește punerea în aplicare, tipurile de jaloane și țintele prezentate pentru plăți și ținând seama de situația de pe teren, toate plățile au fost evaluate ca prezentând un risc scăzut.</w:t>
      </w:r>
    </w:p>
    <w:p w14:paraId="3DF630FC" w14:textId="77777777" w:rsidR="00D97581" w:rsidRDefault="0060377B">
      <w:pPr>
        <w:rPr>
          <w:noProof/>
        </w:rPr>
      </w:pPr>
      <w:r w:rsidRPr="00AC11E0">
        <w:rPr>
          <w:rStyle w:val="Bold"/>
          <w:noProof/>
        </w:rPr>
        <w:t>Pentru a asigura comparabilitatea cu anii precedenți la nivelul Comisiei, rezultatele controalelor sunt prezentate într-o imagine de ansamblu a ponderii cheltuielilor în fiecare dintre cele trei categorii de risc: scăzut, mediu și ridicat.</w:t>
      </w:r>
      <w:r>
        <w:rPr>
          <w:noProof/>
        </w:rPr>
        <w:t xml:space="preserve"> Dovezile colectate de Comisie prin controalele și auditurile sale, precum și cele ale statelor membre, permit gruparea cheltuielilor în trei categorii de risc, fie în funcție de riscul la momentul plății (scăzut, dacă este mai mic de 2,0 %, mediu, dacă este cuprins între 2,0 % și 2,5 %, sau ridicat, dacă depășește 2,5 %), fie în funcție de ponderea cheltuielilor evaluate ca risc scăzut, mediu sau ridicat pe baza metodologiei adaptate stabilite pentru plățile bazate pe performanță.</w:t>
      </w:r>
    </w:p>
    <w:p w14:paraId="28C204FF" w14:textId="77777777" w:rsidR="00D97581" w:rsidRDefault="0060377B">
      <w:pPr>
        <w:pStyle w:val="ImageTitle"/>
        <w:rPr>
          <w:noProof/>
        </w:rPr>
      </w:pPr>
      <w:r>
        <w:rPr>
          <w:noProof/>
        </w:rPr>
        <w:t>Cheltuielile pe categorii de risc</w:t>
      </w:r>
    </w:p>
    <w:p w14:paraId="36466F1F" w14:textId="5C54775D" w:rsidR="00D97581" w:rsidRDefault="00834C3A">
      <w:pPr>
        <w:pStyle w:val="ImagePlaceholder"/>
        <w:rPr>
          <w:noProof/>
        </w:rPr>
      </w:pPr>
      <w:r>
        <w:rPr>
          <w:noProof/>
          <w:lang w:val="en-GB"/>
        </w:rPr>
        <w:drawing>
          <wp:inline distT="0" distB="0" distL="0" distR="0" wp14:anchorId="3285669E" wp14:editId="659EE87C">
            <wp:extent cx="5432400" cy="2480400"/>
            <wp:effectExtent l="0" t="0" r="0" b="0"/>
            <wp:docPr id="164204167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432400" cy="2480400"/>
                    </a:xfrm>
                    <a:prstGeom prst="rect">
                      <a:avLst/>
                    </a:prstGeom>
                    <a:noFill/>
                  </pic:spPr>
                </pic:pic>
              </a:graphicData>
            </a:graphic>
          </wp:inline>
        </w:drawing>
      </w:r>
    </w:p>
    <w:p w14:paraId="4721D2DA" w14:textId="0425F20E" w:rsidR="00D97581" w:rsidRDefault="0060377B">
      <w:pPr>
        <w:pStyle w:val="ImageSource"/>
        <w:rPr>
          <w:noProof/>
        </w:rPr>
      </w:pPr>
      <w:r w:rsidRPr="00AC11E0">
        <w:rPr>
          <w:rStyle w:val="Italic"/>
          <w:noProof/>
        </w:rPr>
        <w:t>Sursa:</w:t>
      </w:r>
      <w:r>
        <w:rPr>
          <w:noProof/>
        </w:rPr>
        <w:t xml:space="preserve"> </w:t>
      </w:r>
      <w:r w:rsidR="004670B0">
        <w:rPr>
          <w:noProof/>
        </w:rPr>
        <w:t>R</w:t>
      </w:r>
      <w:r>
        <w:rPr>
          <w:noProof/>
        </w:rPr>
        <w:t>apoartele anuale de activitate ale Comisiei Europene pentru 2025.</w:t>
      </w:r>
    </w:p>
    <w:p w14:paraId="77A2BFD2" w14:textId="77777777" w:rsidR="00D97581" w:rsidRDefault="0060377B">
      <w:pPr>
        <w:rPr>
          <w:noProof/>
        </w:rPr>
      </w:pPr>
      <w:r w:rsidRPr="00AC11E0">
        <w:rPr>
          <w:rStyle w:val="Bold"/>
          <w:noProof/>
        </w:rPr>
        <w:t xml:space="preserve">Pe baza tuturor controalelor și auditurilor efectuate, Comisia dispune de dovezi detaliate și solide privind nivelul de risc diferențiat pentru cheltuielile din bugetul UE. </w:t>
      </w:r>
      <w:r>
        <w:rPr>
          <w:noProof/>
        </w:rPr>
        <w:t>Aceste dovezi sunt detaliate până la nivelul programelor în cazul politicii de coeziune; până la nivelul intervențiilor în cadrul agențiilor de plăți pentru cheltuielile bazate pe performanță în cazul resurselor naturale și până la nivelul plăților individuale pentru mecanisme. La rândul său, acest aspect face posibile abordarea și corectarea cu precizie a deficiențelor din segmentele de cheltuieli în care acestea apar, precum și concentrarea acțiunilor acolo unde sunt necesare.</w:t>
      </w:r>
    </w:p>
    <w:p w14:paraId="39A5D832" w14:textId="77777777" w:rsidR="00D97581" w:rsidRDefault="0060377B">
      <w:pPr>
        <w:rPr>
          <w:noProof/>
        </w:rPr>
      </w:pPr>
      <w:r w:rsidRPr="00AC11E0">
        <w:rPr>
          <w:rStyle w:val="Bold"/>
          <w:noProof/>
        </w:rPr>
        <w:t xml:space="preserve">Această abordare oferă Comisiei posibilitatea de a prezenta o imagine nuanțată a cheltuielilor gestionate. </w:t>
      </w:r>
      <w:r>
        <w:rPr>
          <w:rStyle w:val="Bold"/>
          <w:b w:val="0"/>
          <w:noProof/>
        </w:rPr>
        <w:t xml:space="preserve">Deși </w:t>
      </w:r>
      <w:r>
        <w:rPr>
          <w:noProof/>
        </w:rPr>
        <w:t>programele Orizont Europa și Europa digitală prezintă un risc la momentul plății de peste 2,5 %, 64,1 % din cheltuielile din cadrul rubricii Piața unică, inovare și sectorul digital se încadrează în categoriile cu risc scăzut sau mediu. În mod similar, deși pentru coeziune riscul global la momentul plății este de 2,7 % (</w:t>
      </w:r>
      <w:r>
        <w:rPr>
          <w:rStyle w:val="FootnoteReference"/>
          <w:noProof/>
        </w:rPr>
        <w:footnoteReference w:id="41"/>
      </w:r>
      <w:r>
        <w:rPr>
          <w:noProof/>
        </w:rPr>
        <w:t>), majoritatea programelor politicii de coeziune s-au încadrat în categoria de risc mediu în 2025. În plus, cadrul de control pe mai multe niveluri și de corecție al politicii de coeziune asigură faptul că riscul la închidere rămâne sub pragul de semnificație de 2 %. Comisia este în măsură să raporteze cu precizie programele din statele membre care prezintă un risc mediu (un risc la momentul plății cuprins între 2 % și 2,5 %) și un risc ridicat, cu un risc la momentul plății de peste 2,5 % sau cu deficiențe semnificative identificate</w:t>
      </w:r>
      <w:r>
        <w:rPr>
          <w:rFonts w:ascii="Calibri" w:hAnsi="Calibri"/>
          <w:noProof/>
        </w:rPr>
        <w:t> </w:t>
      </w:r>
      <w:r>
        <w:rPr>
          <w:noProof/>
        </w:rPr>
        <w:t>(</w:t>
      </w:r>
      <w:r>
        <w:rPr>
          <w:rStyle w:val="FootnoteReference"/>
          <w:noProof/>
        </w:rPr>
        <w:footnoteReference w:id="42"/>
      </w:r>
      <w:r>
        <w:rPr>
          <w:noProof/>
        </w:rPr>
        <w:t>). În mod similar, pentru resursele naturale în cazul cărora cheltuielile prezintă un risc scăzut în general, Comisia poate identifica intervențiile la nivelul agențiilor de plăți care sunt evaluate ca prezentând un risc mediu sau ridicat (</w:t>
      </w:r>
      <w:r>
        <w:rPr>
          <w:rStyle w:val="FootnoteReference"/>
          <w:noProof/>
        </w:rPr>
        <w:footnoteReference w:id="43"/>
      </w:r>
      <w:r>
        <w:rPr>
          <w:noProof/>
        </w:rPr>
        <w:t>). Toate cheltuielile rămase în cadrul celorlalte rubrici ale cadrului financiar multianual – migrație și gestionarea frontierelor, securitate și apărare, vecinătate și întreaga lume, precum și cheltuieli administrative – prezintă un risc scăzut sau mediu.</w:t>
      </w:r>
    </w:p>
    <w:p w14:paraId="2A63C836" w14:textId="77777777" w:rsidR="00D97581" w:rsidRDefault="0060377B">
      <w:pPr>
        <w:pStyle w:val="ImageTitle"/>
        <w:rPr>
          <w:noProof/>
        </w:rPr>
      </w:pPr>
      <w:r>
        <w:rPr>
          <w:noProof/>
        </w:rPr>
        <w:t>Clasificarea cheltuielilor de către Comisia Europeană în categorii de risc mai ridicat, mediu și mai scăzut, ca procent din totalul cheltuielilor relevante pentru 2025</w:t>
      </w:r>
    </w:p>
    <w:p w14:paraId="5104957C" w14:textId="3B93AAAA" w:rsidR="00D97581" w:rsidRDefault="001A792C">
      <w:pPr>
        <w:pStyle w:val="ImagePlaceholder"/>
        <w:rPr>
          <w:noProof/>
        </w:rPr>
      </w:pPr>
      <w:r>
        <w:rPr>
          <w:noProof/>
          <w:lang w:val="en-GB"/>
        </w:rPr>
        <w:drawing>
          <wp:inline distT="0" distB="0" distL="0" distR="0" wp14:anchorId="749CC54F" wp14:editId="08B6067F">
            <wp:extent cx="5518800" cy="4024800"/>
            <wp:effectExtent l="0" t="0" r="5715" b="0"/>
            <wp:docPr id="133353578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518800" cy="4024800"/>
                    </a:xfrm>
                    <a:prstGeom prst="rect">
                      <a:avLst/>
                    </a:prstGeom>
                    <a:noFill/>
                  </pic:spPr>
                </pic:pic>
              </a:graphicData>
            </a:graphic>
          </wp:inline>
        </w:drawing>
      </w:r>
    </w:p>
    <w:p w14:paraId="37E79608" w14:textId="756D81EA" w:rsidR="00D97581" w:rsidRDefault="0060377B">
      <w:pPr>
        <w:pStyle w:val="ImageSource"/>
        <w:rPr>
          <w:noProof/>
        </w:rPr>
      </w:pPr>
      <w:r w:rsidRPr="00AC11E0">
        <w:rPr>
          <w:rStyle w:val="Italic"/>
          <w:noProof/>
        </w:rPr>
        <w:t>Sursa:</w:t>
      </w:r>
      <w:r>
        <w:rPr>
          <w:noProof/>
        </w:rPr>
        <w:t xml:space="preserve"> </w:t>
      </w:r>
      <w:r w:rsidR="004670B0">
        <w:rPr>
          <w:noProof/>
        </w:rPr>
        <w:t>R</w:t>
      </w:r>
      <w:r>
        <w:rPr>
          <w:noProof/>
        </w:rPr>
        <w:t>apoartele anuale de activitate ale Comisiei Europene pentru 2025.</w:t>
      </w:r>
    </w:p>
    <w:p w14:paraId="4A737E88" w14:textId="77777777" w:rsidR="00D97581" w:rsidRDefault="0060377B">
      <w:pPr>
        <w:rPr>
          <w:noProof/>
          <w:highlight w:val="lightGray"/>
        </w:rPr>
      </w:pPr>
      <w:r w:rsidRPr="00AC11E0">
        <w:rPr>
          <w:rStyle w:val="Bold"/>
          <w:noProof/>
        </w:rPr>
        <w:t>Abordarea Comisiei cu privire la controlul fondurilor pe care le pune în aplicare reflectă rolul său specific.</w:t>
      </w:r>
      <w:r>
        <w:rPr>
          <w:noProof/>
        </w:rPr>
        <w:t xml:space="preserve"> Sarcina Comisiei, în calitate de administrator al bugetului UE pe o bază multianuală, este de a preveni erorile și, dacă este necesar, de a le corecta, de a recupera fondurile cheltuite în mod necuvenit și de a remedia deficiențele identificate. Abordarea Comisiei se bazează pe o perspectivă multianuală de gestionare și necesită furnizarea unor informații mai detaliate. Aceasta diferă de cea a Curții de Conturi, care este, prin definiție, anuală și adoptă perspectiva auditorului.</w:t>
      </w:r>
    </w:p>
    <w:p w14:paraId="4BCA0823" w14:textId="77777777" w:rsidR="00D97581" w:rsidRDefault="0060377B">
      <w:pPr>
        <w:rPr>
          <w:noProof/>
        </w:rPr>
      </w:pPr>
      <w:r w:rsidRPr="00AC11E0">
        <w:rPr>
          <w:rStyle w:val="Bold"/>
          <w:noProof/>
        </w:rPr>
        <w:t>În ceea ce privește cheltuielile din perioada 2023-2027 din cadrul politicii agricole comune, Curtea de Conturi continuă să aplice abordarea din anii precedenți.</w:t>
      </w:r>
      <w:r>
        <w:rPr>
          <w:noProof/>
        </w:rPr>
        <w:t xml:space="preserve"> Curtea de Conturi stabilește o rată de eroare pe baza auditurilor plăților către beneficiarii finali, verificând dacă acestea respectă normele stabilite de statele membre în planurile lor. Erorile identificate în cadrul plăților sunt analizate de Curtea de Conturi și pentru a identifica posibile deficiențe grave în sistemele de guvernanță din statele membre, care fac obiectul evaluării Comisiei. Prin urmare, abordarea Curții de Conturi este complementară celei a Comisiei.</w:t>
      </w:r>
    </w:p>
    <w:p w14:paraId="20A713AA" w14:textId="5D54F4C6" w:rsidR="00D97581" w:rsidRDefault="0060377B">
      <w:pPr>
        <w:spacing w:after="480"/>
        <w:rPr>
          <w:noProof/>
          <w:highlight w:val="lightGray"/>
        </w:rPr>
      </w:pPr>
      <w:r w:rsidRPr="00AC11E0">
        <w:rPr>
          <w:rStyle w:val="Bold"/>
          <w:noProof/>
        </w:rPr>
        <w:t xml:space="preserve">Comisia raportează în mod transparent cu privire la cheltuielile cu un nivel de risc ridicat, considerat semnificativ, care prezintă deficiențe majore în gestionarea fondurilor sau sunt însoțite de riscuri reputaționale. </w:t>
      </w:r>
      <w:r>
        <w:rPr>
          <w:noProof/>
        </w:rPr>
        <w:t>Acest lucru se realizează în rapoartele anuale de activitate ale fiecărui ordonator de credite delegat, prin exprimarea de rezerve în declarația de asigurare. Pentru 2025, există 32 de rezerve, 30 legate de cheltuielile din cadrul bugetului UE, cu un impact financiar total de 867 de milioane EUR, sau 0,5 % din cheltuielile totale, și două legate de Mecanismul de redresare și reziliență, cu un impact financiar de 343 de milioane EUR, reprezentând 0,8 % din cheltuielile totale din cadrul mecanismului în 2025. Rezervele constituie o piatră de temelie a lanțului de răspundere. Ele prezintă provocările și deficiențele întâlnite și sunt însoțite în mod sistematic de o descriere a măsurilor avute în vedere pentru soluționarea lor. De asemenea, se aplică corecții financiare adecvate.</w:t>
      </w:r>
    </w:p>
    <w:p w14:paraId="44AA1848" w14:textId="1F3F3BAE" w:rsidR="00D97581" w:rsidRDefault="00911D8E">
      <w:pPr>
        <w:spacing w:after="0"/>
        <w:rPr>
          <w:noProof/>
          <w:color w:val="003399" w:themeColor="text2"/>
          <w:sz w:val="22"/>
          <w:szCs w:val="22"/>
        </w:rPr>
      </w:pPr>
      <w:r>
        <w:rPr>
          <w:rStyle w:val="Bold"/>
          <w:noProof/>
          <w:lang w:val="en-GB"/>
        </w:rPr>
        <w:drawing>
          <wp:anchor distT="0" distB="0" distL="114300" distR="114300" simplePos="0" relativeHeight="251659269" behindDoc="0" locked="0" layoutInCell="1" allowOverlap="1" wp14:anchorId="1C263D73" wp14:editId="10ECFB4B">
            <wp:simplePos x="0" y="0"/>
            <wp:positionH relativeFrom="column">
              <wp:posOffset>-230505</wp:posOffset>
            </wp:positionH>
            <wp:positionV relativeFrom="paragraph">
              <wp:posOffset>100965</wp:posOffset>
            </wp:positionV>
            <wp:extent cx="2001600" cy="2055600"/>
            <wp:effectExtent l="0" t="0" r="0" b="1905"/>
            <wp:wrapSquare wrapText="bothSides"/>
            <wp:docPr id="5993637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001600" cy="2055600"/>
                    </a:xfrm>
                    <a:prstGeom prst="rect">
                      <a:avLst/>
                    </a:prstGeom>
                    <a:noFill/>
                  </pic:spPr>
                </pic:pic>
              </a:graphicData>
            </a:graphic>
            <wp14:sizeRelH relativeFrom="margin">
              <wp14:pctWidth>0</wp14:pctWidth>
            </wp14:sizeRelH>
            <wp14:sizeRelV relativeFrom="margin">
              <wp14:pctHeight>0</wp14:pctHeight>
            </wp14:sizeRelV>
          </wp:anchor>
        </w:drawing>
      </w:r>
      <w:r w:rsidR="0060377B" w:rsidRPr="00AC11E0">
        <w:rPr>
          <w:b/>
          <w:noProof/>
          <w:color w:val="003399" w:themeColor="text2"/>
          <w:sz w:val="22"/>
        </w:rPr>
        <w:t>Cauzele profunde ale erorilor</w:t>
      </w:r>
    </w:p>
    <w:p w14:paraId="4C724C7C" w14:textId="77777777" w:rsidR="00D97581" w:rsidRDefault="0060377B">
      <w:pPr>
        <w:pStyle w:val="BulletforinfographicVol1"/>
        <w:ind w:left="4395" w:hanging="4536"/>
        <w:rPr>
          <w:noProof/>
        </w:rPr>
      </w:pPr>
      <w:r>
        <w:rPr>
          <w:noProof/>
        </w:rPr>
        <w:t>Costuri neeligibile în cererile de decont.</w:t>
      </w:r>
    </w:p>
    <w:p w14:paraId="57ED1214" w14:textId="77777777" w:rsidR="00D97581" w:rsidRDefault="0060377B">
      <w:pPr>
        <w:pStyle w:val="BulletforinfographicVol1"/>
        <w:ind w:left="4395" w:hanging="4536"/>
        <w:rPr>
          <w:noProof/>
        </w:rPr>
      </w:pPr>
      <w:r>
        <w:rPr>
          <w:noProof/>
        </w:rPr>
        <w:t>Nerespectarea normelor naționale sau ale UE (achiziții publice, ajutoare de stat etc.).</w:t>
      </w:r>
    </w:p>
    <w:p w14:paraId="3CDB6BB9" w14:textId="77777777" w:rsidR="00D97581" w:rsidRDefault="0060377B">
      <w:pPr>
        <w:pStyle w:val="BulletforinfographicVol1"/>
        <w:ind w:left="4395" w:hanging="4536"/>
        <w:rPr>
          <w:noProof/>
        </w:rPr>
      </w:pPr>
      <w:r>
        <w:rPr>
          <w:noProof/>
        </w:rPr>
        <w:t>Neeligibilitatea unor participanți.</w:t>
      </w:r>
    </w:p>
    <w:p w14:paraId="48C0659C" w14:textId="77777777" w:rsidR="00D97581" w:rsidRDefault="0060377B">
      <w:pPr>
        <w:pStyle w:val="BulletforinfographicVol1"/>
        <w:ind w:left="4395" w:hanging="4536"/>
        <w:rPr>
          <w:noProof/>
        </w:rPr>
      </w:pPr>
      <w:r>
        <w:rPr>
          <w:noProof/>
        </w:rPr>
        <w:t>Lipsa documentelor justificative.</w:t>
      </w:r>
    </w:p>
    <w:p w14:paraId="1806DD81" w14:textId="77777777" w:rsidR="00D97581" w:rsidRDefault="0060377B">
      <w:pPr>
        <w:tabs>
          <w:tab w:val="num" w:pos="4111"/>
        </w:tabs>
        <w:suppressAutoHyphens w:val="0"/>
        <w:spacing w:before="120" w:after="0" w:line="240" w:lineRule="auto"/>
        <w:rPr>
          <w:rFonts w:ascii="Times New Roman" w:hAnsi="Times New Roman"/>
          <w:noProof/>
          <w:color w:val="DC3903"/>
          <w:sz w:val="22"/>
          <w:szCs w:val="22"/>
        </w:rPr>
      </w:pPr>
      <w:r w:rsidRPr="00AC11E0">
        <w:rPr>
          <w:b/>
          <w:noProof/>
          <w:color w:val="DC3903"/>
          <w:sz w:val="22"/>
        </w:rPr>
        <w:t>Măsuri de atenuare</w:t>
      </w:r>
    </w:p>
    <w:p w14:paraId="5A6C4A72" w14:textId="77777777" w:rsidR="00D97581" w:rsidRDefault="0060377B">
      <w:pPr>
        <w:pStyle w:val="BulletforinfographicVol1"/>
        <w:ind w:left="4395" w:hanging="4536"/>
        <w:rPr>
          <w:noProof/>
        </w:rPr>
      </w:pPr>
      <w:r>
        <w:rPr>
          <w:noProof/>
        </w:rPr>
        <w:t>Actualizare continuă a strategiilor de control.</w:t>
      </w:r>
    </w:p>
    <w:p w14:paraId="0770D42E" w14:textId="77777777" w:rsidR="00D97581" w:rsidRDefault="0060377B">
      <w:pPr>
        <w:pStyle w:val="BulletforinfographicVol1"/>
        <w:ind w:left="4395" w:hanging="4536"/>
        <w:rPr>
          <w:noProof/>
        </w:rPr>
      </w:pPr>
      <w:r>
        <w:rPr>
          <w:noProof/>
        </w:rPr>
        <w:t>Opțiuni simplificate în materie de costuri.</w:t>
      </w:r>
    </w:p>
    <w:p w14:paraId="0E88973F" w14:textId="77777777" w:rsidR="00D97581" w:rsidRDefault="0060377B">
      <w:pPr>
        <w:pStyle w:val="BulletforinfographicVol1"/>
        <w:ind w:left="4395" w:hanging="4536"/>
        <w:rPr>
          <w:noProof/>
        </w:rPr>
      </w:pPr>
      <w:r>
        <w:rPr>
          <w:noProof/>
        </w:rPr>
        <w:t>Acțiuni de sensibilizare.</w:t>
      </w:r>
    </w:p>
    <w:p w14:paraId="291EF7A6" w14:textId="77777777" w:rsidR="00D97581" w:rsidRDefault="0060377B">
      <w:pPr>
        <w:pStyle w:val="BulletforinfographicVol1"/>
        <w:ind w:left="4395" w:hanging="4536"/>
        <w:rPr>
          <w:noProof/>
        </w:rPr>
      </w:pPr>
      <w:r>
        <w:rPr>
          <w:noProof/>
        </w:rPr>
        <w:t>Orientări.</w:t>
      </w:r>
    </w:p>
    <w:p w14:paraId="240F51C8" w14:textId="77777777" w:rsidR="00D97581" w:rsidRDefault="0060377B">
      <w:pPr>
        <w:pStyle w:val="BulletforinfographicVol1"/>
        <w:ind w:left="4395" w:hanging="4536"/>
        <w:rPr>
          <w:noProof/>
        </w:rPr>
      </w:pPr>
      <w:r>
        <w:rPr>
          <w:noProof/>
        </w:rPr>
        <w:t>Formare.</w:t>
      </w:r>
    </w:p>
    <w:p w14:paraId="7AC11B27" w14:textId="77777777" w:rsidR="00D97581" w:rsidRDefault="0060377B">
      <w:pPr>
        <w:pStyle w:val="BulletforinfographicVol1"/>
        <w:ind w:left="4395" w:hanging="4536"/>
        <w:rPr>
          <w:noProof/>
        </w:rPr>
      </w:pPr>
      <w:r>
        <w:rPr>
          <w:noProof/>
        </w:rPr>
        <w:t>Soluții digitale.</w:t>
      </w:r>
    </w:p>
    <w:p w14:paraId="5D3B9B88" w14:textId="77777777" w:rsidR="00D97581" w:rsidRDefault="00D97581">
      <w:pPr>
        <w:suppressAutoHyphens w:val="0"/>
        <w:spacing w:before="0" w:after="0" w:line="240" w:lineRule="auto"/>
        <w:ind w:left="4536"/>
        <w:contextualSpacing/>
        <w:rPr>
          <w:noProof/>
          <w:highlight w:val="lightGray"/>
        </w:rPr>
      </w:pPr>
    </w:p>
    <w:p w14:paraId="52CA8DB1" w14:textId="77777777" w:rsidR="00D97581" w:rsidRDefault="0060377B">
      <w:pPr>
        <w:rPr>
          <w:noProof/>
        </w:rPr>
      </w:pPr>
      <w:r w:rsidRPr="00AC11E0">
        <w:rPr>
          <w:rStyle w:val="Bold"/>
          <w:noProof/>
        </w:rPr>
        <w:t>Comisia utilizează măsuri adecvate pentru a remedia principalele deficiențe identificate prin intermediul controalelor sale,</w:t>
      </w:r>
      <w:r>
        <w:rPr>
          <w:noProof/>
        </w:rPr>
        <w:t xml:space="preserve"> ținând seama de recomandările formulate de Parlament, de auditorul intern și de Curtea de Conturi.</w:t>
      </w:r>
    </w:p>
    <w:p w14:paraId="3FAA9E9C" w14:textId="77777777" w:rsidR="00D97581" w:rsidRDefault="0060377B">
      <w:pPr>
        <w:rPr>
          <w:noProof/>
        </w:rPr>
      </w:pPr>
      <w:r w:rsidRPr="00AC11E0">
        <w:rPr>
          <w:rStyle w:val="Bold"/>
          <w:noProof/>
        </w:rPr>
        <w:t>În plus, Comisia a ținut seama de lecțiile învățate, în special în ceea ce privește măsurile de simplificare, atunci când elaborează cadrul juridic pentru noile programe.</w:t>
      </w:r>
      <w:r>
        <w:rPr>
          <w:noProof/>
        </w:rPr>
        <w:t xml:space="preserve"> S-a procedat astfel, de exemplu, în ceea ce privește actele de bază pentru perioada de programare 2021-2027 și în propunerile pentru cadrul financiar multianual 2028-2034. După cum s-a explicat mai sus, impactul măsurilor de simplificare, cum ar fi utilizarea opțiunilor simplificate în materie de costuri, va crește în anii următori, când mai multe cheltuieli din perioada de programare 2021-2027 vor avea loc și vor fi fost verificate în conformitate cu normele pentru această perioadă de programare.</w:t>
      </w:r>
    </w:p>
    <w:p w14:paraId="0F93A250" w14:textId="77777777" w:rsidR="00D97581" w:rsidRDefault="0060377B">
      <w:pPr>
        <w:pStyle w:val="amprboxtext"/>
        <w:rPr>
          <w:noProof/>
        </w:rPr>
      </w:pPr>
      <w:r w:rsidRPr="00AC11E0">
        <w:rPr>
          <w:rStyle w:val="Bold"/>
          <w:noProof/>
        </w:rPr>
        <w:t>Pe baza celor de mai sus, Comisia consideră că, în 2025, bugetul UE a fost, în general, bine protejat. Acest lucru este confirmat de concluzia generală a auditoarei interne</w:t>
      </w:r>
      <w:r>
        <w:rPr>
          <w:noProof/>
        </w:rPr>
        <w:t> (</w:t>
      </w:r>
      <w:r>
        <w:rPr>
          <w:rStyle w:val="FootnoteReference"/>
          <w:noProof/>
        </w:rPr>
        <w:footnoteReference w:id="44"/>
      </w:r>
      <w:r>
        <w:rPr>
          <w:noProof/>
        </w:rPr>
        <w:t>), în care aceasta a considerat că, în cursul anului, Comisia a instituit proceduri de guvernanță, de gestionare a riscurilor și de control intern care, în ansamblu, sunt adecvate pentru a oferi o asigurare rezonabilă cu privire la realizarea obiectivelor sale financiare, cu excepția domeniilor de gestiune financiară cu privire la care ordonatorii de credite delegați au exprimat rezerve în declarațiile lor de asigurare.</w:t>
      </w:r>
      <w:r>
        <w:rPr>
          <w:noProof/>
        </w:rPr>
        <w:br w:type="page"/>
      </w:r>
    </w:p>
    <w:p w14:paraId="2DC69029" w14:textId="77777777" w:rsidR="00D97581" w:rsidRDefault="0060377B">
      <w:pPr>
        <w:pStyle w:val="Heading2"/>
        <w:rPr>
          <w:noProof/>
        </w:rPr>
      </w:pPr>
      <w:r>
        <w:rPr>
          <w:noProof/>
        </w:rPr>
        <w:t>Raportare transparentă</w:t>
      </w:r>
    </w:p>
    <w:p w14:paraId="3595381B" w14:textId="7B1ECA5A" w:rsidR="00D97581" w:rsidRDefault="0060377B">
      <w:pPr>
        <w:rPr>
          <w:noProof/>
        </w:rPr>
      </w:pPr>
      <w:r w:rsidRPr="00AC11E0">
        <w:rPr>
          <w:rStyle w:val="Bold"/>
          <w:noProof/>
        </w:rPr>
        <w:t>Comisia raportează în mod transparent cu privire la execuția operațională și bugetară a fondurilor pe care le gestionează și furnizează informații cu privire la beneficiarii și destinatarii fondurilor UE.</w:t>
      </w:r>
      <w:r w:rsidR="00F93FA4">
        <w:rPr>
          <w:noProof/>
        </w:rPr>
        <w:t xml:space="preserve"> </w:t>
      </w:r>
      <w:r>
        <w:rPr>
          <w:noProof/>
        </w:rPr>
        <w:br/>
        <w:t>Acest lucru se realizează printr-o gamă largă de rapoarte și baze de date accesibile publicului, câteva exemple în acest sens fiind</w:t>
      </w:r>
      <w:r w:rsidR="00F93FA4">
        <w:rPr>
          <w:noProof/>
        </w:rPr>
        <w:t xml:space="preserve"> </w:t>
      </w:r>
      <w:r>
        <w:rPr>
          <w:noProof/>
        </w:rPr>
        <w:br/>
        <w:t>prezentate mai jos.</w:t>
      </w:r>
    </w:p>
    <w:p w14:paraId="38963B07" w14:textId="77777777" w:rsidR="00D97581" w:rsidRDefault="0060377B">
      <w:pPr>
        <w:pStyle w:val="amprboxBLUEbulletlist"/>
        <w:rPr>
          <w:noProof/>
        </w:rPr>
      </w:pPr>
      <w:r w:rsidRPr="00AC11E0">
        <w:rPr>
          <w:rStyle w:val="Bold"/>
          <w:noProof/>
        </w:rPr>
        <w:t>Rapoartele financiare și de răspundere integrate</w:t>
      </w:r>
      <w:r w:rsidRPr="00AC11E0">
        <w:rPr>
          <w:b/>
          <w:noProof/>
        </w:rPr>
        <w:t xml:space="preserve"> </w:t>
      </w:r>
      <w:r>
        <w:rPr>
          <w:noProof/>
        </w:rPr>
        <w:t xml:space="preserve">ale Comisiei reunesc informații cuprinzătoare privind execuția, performanța, rezultatele, buna gestiune financiară și protecția bugetului UE. Acestea includ conturile consolidate finale, prezentul </w:t>
      </w:r>
      <w:r w:rsidRPr="00AC11E0">
        <w:rPr>
          <w:rStyle w:val="Italic"/>
          <w:noProof/>
        </w:rPr>
        <w:t>Raport anual privind gestiunea și performanța bugetului UE</w:t>
      </w:r>
      <w:r>
        <w:rPr>
          <w:noProof/>
        </w:rPr>
        <w:t>, prognoza pe termen lung a viitoarelor intrări și ieșiri, raportul anual de audit intern și raportul privind acțiunile întreprinse în urma descărcării de gestiune.</w:t>
      </w:r>
    </w:p>
    <w:p w14:paraId="76633F80" w14:textId="77777777" w:rsidR="00D97581" w:rsidRDefault="0060377B">
      <w:pPr>
        <w:pStyle w:val="amprboxBLUEbulletlist"/>
        <w:rPr>
          <w:noProof/>
        </w:rPr>
      </w:pPr>
      <w:r>
        <w:rPr>
          <w:noProof/>
        </w:rPr>
        <w:t xml:space="preserve">În </w:t>
      </w:r>
      <w:r w:rsidRPr="00AC11E0">
        <w:rPr>
          <w:rStyle w:val="Bold"/>
          <w:noProof/>
        </w:rPr>
        <w:t>rapoartele anuale de activitate</w:t>
      </w:r>
      <w:r>
        <w:rPr>
          <w:noProof/>
        </w:rPr>
        <w:t>, ordonatorii de credite delegați din toate cele 52 de servicii ale Comisiei raportează cu privire la progresele înregistrate în îndeplinirea obiectivelor legate de execuția fondurilor. Aceștia raportează cu privire la rezultatele controalelor, la deficiențele identificate în sistemele de control intern și la măsurile luate pentru remedierea acestora. De asemenea, menționează în mod transparent în declarația lor de asigurare rezervele privind cheltuielile sau veniturile cu risc ridicat.</w:t>
      </w:r>
    </w:p>
    <w:p w14:paraId="58880809" w14:textId="77777777" w:rsidR="00D97581" w:rsidRDefault="0060377B">
      <w:pPr>
        <w:pStyle w:val="amprboxBLUEbulletlist"/>
        <w:rPr>
          <w:noProof/>
        </w:rPr>
      </w:pPr>
      <w:r>
        <w:rPr>
          <w:noProof/>
        </w:rPr>
        <w:t xml:space="preserve">Portalul web al </w:t>
      </w:r>
      <w:r w:rsidRPr="00AC11E0">
        <w:rPr>
          <w:rStyle w:val="Bold"/>
          <w:noProof/>
        </w:rPr>
        <w:t xml:space="preserve">sistemului de transparență financiară </w:t>
      </w:r>
      <w:r>
        <w:rPr>
          <w:noProof/>
        </w:rPr>
        <w:t>este deschis membrilor publicului care sunt interesați să afle cine a primit finanțare de la bugetul UE și de la Fondul european de dezvoltare și sumele primite în cadrul gestiunii directe, precum și angajamentele pentru entitățile cărora li s-a încredințat gestionarea bugetului UE în cadrul gestiunii indirecte.</w:t>
      </w:r>
    </w:p>
    <w:p w14:paraId="75A928E4" w14:textId="77777777" w:rsidR="00D97581" w:rsidRDefault="0060377B">
      <w:pPr>
        <w:pStyle w:val="amprboxBLUEbulletlist"/>
        <w:rPr>
          <w:noProof/>
        </w:rPr>
      </w:pPr>
      <w:r w:rsidRPr="00AC11E0">
        <w:rPr>
          <w:rStyle w:val="Bold"/>
          <w:noProof/>
        </w:rPr>
        <w:t xml:space="preserve">Tabloul de bord al obligațiunilor verzi NextGenerationEU </w:t>
      </w:r>
      <w:r>
        <w:rPr>
          <w:noProof/>
        </w:rPr>
        <w:t>oferă o imagine de ansamblu în timp real a măsurilor finanțate prin obligațiunile verzi NextGenerationEU și a cheltuielilor conexe. Aceste date demonstrează că activitatea Comisiei de emitere a obligațiunilor verzi respectă cele mai înalte standarde și cele mai bune practici de piață. În fiecare an, Comisia publică un raport privind alocarea și impactul obligațiunilor verzi NextGenerationEU, în care se arată modul în care au fost utilizate veniturile din obligațiunile verzi și se prezintă evaluarea impactului asupra climei al măsurilor finanțate de acestea, împreună cu gradul de respectare a taxonomiei UE.</w:t>
      </w:r>
    </w:p>
    <w:p w14:paraId="7592BB0B" w14:textId="77777777" w:rsidR="00D97581" w:rsidRDefault="0060377B">
      <w:pPr>
        <w:pStyle w:val="amprboxBLUEbulletlist"/>
        <w:rPr>
          <w:noProof/>
        </w:rPr>
      </w:pPr>
      <w:r w:rsidRPr="00AC11E0">
        <w:rPr>
          <w:rStyle w:val="Bold"/>
          <w:noProof/>
        </w:rPr>
        <w:t>Kohesio</w:t>
      </w:r>
      <w:r>
        <w:rPr>
          <w:rFonts w:ascii="Calibri" w:hAnsi="Calibri"/>
          <w:noProof/>
        </w:rPr>
        <w:t> </w:t>
      </w:r>
      <w:r>
        <w:rPr>
          <w:noProof/>
        </w:rPr>
        <w:t>(</w:t>
      </w:r>
      <w:r>
        <w:rPr>
          <w:rStyle w:val="FootnoteReference"/>
          <w:noProof/>
        </w:rPr>
        <w:footnoteReference w:id="45"/>
      </w:r>
      <w:r>
        <w:rPr>
          <w:noProof/>
        </w:rPr>
        <w:t>)</w:t>
      </w:r>
      <w:r w:rsidRPr="00AC11E0">
        <w:rPr>
          <w:rStyle w:val="Bold"/>
          <w:noProof/>
        </w:rPr>
        <w:t>, platforma publică pentru vizibilitatea și transparența fondurilor politicii de coeziune,</w:t>
      </w:r>
      <w:r>
        <w:rPr>
          <w:noProof/>
        </w:rPr>
        <w:t xml:space="preserve"> include listele de operațiuni care beneficiază de finanțare din partea UE publicate de toate statele membre pentru perioadele de programare 2014-2020 și 2021-2027 în conformitate cu dispozițiile de reglementare aplicabile.</w:t>
      </w:r>
    </w:p>
    <w:p w14:paraId="191E9DE5" w14:textId="77777777" w:rsidR="00D97581" w:rsidRDefault="0060377B">
      <w:pPr>
        <w:pStyle w:val="amprboxBLUEbulletlist"/>
        <w:rPr>
          <w:noProof/>
        </w:rPr>
      </w:pPr>
      <w:r>
        <w:rPr>
          <w:noProof/>
        </w:rPr>
        <w:t xml:space="preserve">În ceea ce privește </w:t>
      </w:r>
      <w:r w:rsidRPr="00AC11E0">
        <w:rPr>
          <w:rStyle w:val="Bold"/>
          <w:noProof/>
        </w:rPr>
        <w:t>resursele naturale</w:t>
      </w:r>
      <w:r>
        <w:rPr>
          <w:noProof/>
        </w:rPr>
        <w:t xml:space="preserve">, transparența informațiilor se realizează la nivelul statelor membre prin dezvoltarea și gestionarea sistemelor naționale și, după caz, a bazelor de date accesibile prin internet, de exemplu pentru identificarea parcelelor de teren pentru fondurile agricole, precum și prin publicarea periodică a beneficiarilor fondurilor pentru </w:t>
      </w:r>
      <w:hyperlink r:id="rId57" w:anchor="bycountry">
        <w:r w:rsidR="00D97581" w:rsidRPr="00765A89">
          <w:rPr>
            <w:rStyle w:val="Hyperlink"/>
            <w:noProof/>
          </w:rPr>
          <w:t xml:space="preserve">agricultură </w:t>
        </w:r>
      </w:hyperlink>
      <w:r>
        <w:rPr>
          <w:noProof/>
        </w:rPr>
        <w:t xml:space="preserve">și </w:t>
      </w:r>
      <w:hyperlink r:id="rId58">
        <w:r w:rsidR="00D97581" w:rsidRPr="00765A89">
          <w:rPr>
            <w:rStyle w:val="Hyperlink"/>
            <w:noProof/>
          </w:rPr>
          <w:t>afaceri maritime, pescuit și acvacultură</w:t>
        </w:r>
      </w:hyperlink>
      <w:r>
        <w:rPr>
          <w:noProof/>
        </w:rPr>
        <w:t>.</w:t>
      </w:r>
    </w:p>
    <w:p w14:paraId="469C0846" w14:textId="77777777" w:rsidR="00D97581" w:rsidRDefault="0060377B">
      <w:pPr>
        <w:pStyle w:val="amprboxBLUEbulletlist"/>
        <w:rPr>
          <w:noProof/>
        </w:rPr>
      </w:pPr>
      <w:r>
        <w:rPr>
          <w:noProof/>
        </w:rPr>
        <w:t xml:space="preserve">În ceea ce privește </w:t>
      </w:r>
      <w:r w:rsidRPr="00AC11E0">
        <w:rPr>
          <w:rStyle w:val="Bold"/>
          <w:noProof/>
        </w:rPr>
        <w:t>mecanismele pentru Republica Moldova, Ucraina și Balcanii de Vest</w:t>
      </w:r>
      <w:r>
        <w:rPr>
          <w:noProof/>
        </w:rPr>
        <w:t>, în 2025 au fost stabilite tablouri de bord pentru planurile respective, care oferă un acces ușor al publicului la evaluarea reformelor, astfel cum se reflectă în deciziile care stau la baza plăților.</w:t>
      </w:r>
    </w:p>
    <w:p w14:paraId="6AF6341A" w14:textId="77777777" w:rsidR="00D97581" w:rsidRDefault="0060377B">
      <w:pPr>
        <w:pStyle w:val="amprboxBLUEbulletlist"/>
        <w:keepLines/>
        <w:rPr>
          <w:noProof/>
        </w:rPr>
      </w:pPr>
      <w:r>
        <w:rPr>
          <w:noProof/>
        </w:rPr>
        <w:t xml:space="preserve">În ceea ce privește </w:t>
      </w:r>
      <w:r w:rsidRPr="00AC11E0">
        <w:rPr>
          <w:rStyle w:val="Bold"/>
          <w:noProof/>
        </w:rPr>
        <w:t>Mecanismul de redresare și reziliență</w:t>
      </w:r>
      <w:r>
        <w:rPr>
          <w:noProof/>
        </w:rPr>
        <w:t>, tabloul de bord prezintă datele raportate de statele membre cu privire la cei 100 de destinatari finali care primesc cea mai mare sumă de finanțare pentru punerea în aplicare a măsurilor din cadrul mecanismului. Datele sunt actualizate de două ori pe an. Site-ul mecanismului include, de asemenea, o hartă a proiectelor care oferă exemple de reforme și investiții sprijinite de Mecanismul de redresare și reziliență în diferitele state membre. În 2025, pentru a spori și mai mult transparența, au fost puse la dispoziție în tabloul de bord datele privind toate măsurile și toate jaloanele și țintele.</w:t>
      </w:r>
    </w:p>
    <w:p w14:paraId="0239BF03" w14:textId="77777777" w:rsidR="00D97581" w:rsidRDefault="0060377B">
      <w:pPr>
        <w:pStyle w:val="Heading2"/>
        <w:rPr>
          <w:noProof/>
        </w:rPr>
      </w:pPr>
      <w:r>
        <w:rPr>
          <w:noProof/>
        </w:rPr>
        <w:t>În ceea ce privește Mecanismul de redresare și reziliență din cadrul NextGenerationEU, rezultatele controalelor confirmă atingerea în mod satisfăcător a tuturor jaloanelor și țintelor pentru plățile efectuate în 2025</w:t>
      </w:r>
    </w:p>
    <w:p w14:paraId="7C61896A" w14:textId="77777777" w:rsidR="00D97581" w:rsidRDefault="0060377B">
      <w:pPr>
        <w:rPr>
          <w:noProof/>
        </w:rPr>
      </w:pPr>
      <w:r w:rsidRPr="00AC11E0">
        <w:rPr>
          <w:rStyle w:val="Bold"/>
          <w:noProof/>
        </w:rPr>
        <w:t>În ceea ce privește Mecanismul de redresare și reziliență, Comisia a instituit un mediu de control specific.</w:t>
      </w:r>
      <w:r>
        <w:rPr>
          <w:noProof/>
        </w:rPr>
        <w:t xml:space="preserve"> Acest sistem de control asigură atât faptul că statele membre instituie un sistem eficace de control pentru protecția intereselor financiare ale UE în conformitate cu cerințele Regulamentului privind Mecanismul de redresare și reziliență (</w:t>
      </w:r>
      <w:r>
        <w:rPr>
          <w:rStyle w:val="FootnoteReference"/>
          <w:noProof/>
        </w:rPr>
        <w:footnoteReference w:id="46"/>
      </w:r>
      <w:r>
        <w:rPr>
          <w:noProof/>
        </w:rPr>
        <w:t>), cât și faptul că plățile către statele membre sunt conforme cu legile și reglementările în vigoare.</w:t>
      </w:r>
    </w:p>
    <w:p w14:paraId="44E1919C" w14:textId="77777777" w:rsidR="00D97581" w:rsidRDefault="0060377B">
      <w:pPr>
        <w:rPr>
          <w:noProof/>
        </w:rPr>
      </w:pPr>
      <w:r w:rsidRPr="00AC11E0">
        <w:rPr>
          <w:rStyle w:val="Bold"/>
          <w:noProof/>
        </w:rPr>
        <w:t>Toate jaloanele de audit și de control</w:t>
      </w:r>
      <w:r w:rsidRPr="00AC11E0">
        <w:rPr>
          <w:rStyle w:val="Bold"/>
          <w:rFonts w:ascii="Calibri" w:hAnsi="Calibri" w:cs="Calibri"/>
          <w:noProof/>
        </w:rPr>
        <w:t> </w:t>
      </w:r>
      <w:r w:rsidRPr="00AC11E0">
        <w:rPr>
          <w:rStyle w:val="Bold"/>
          <w:noProof/>
        </w:rPr>
        <w:t>au fost evaluate ca fiind atinse pentru toate statele membre care au primit o plat</w:t>
      </w:r>
      <w:r w:rsidRPr="00AC11E0">
        <w:rPr>
          <w:rStyle w:val="Bold"/>
          <w:rFonts w:cs="EC Square Sans Pro"/>
          <w:noProof/>
        </w:rPr>
        <w:t>ă</w:t>
      </w:r>
      <w:r w:rsidRPr="00AC11E0">
        <w:rPr>
          <w:rStyle w:val="Bold"/>
          <w:noProof/>
        </w:rPr>
        <w:t xml:space="preserve"> p</w:t>
      </w:r>
      <w:r w:rsidRPr="00AC11E0">
        <w:rPr>
          <w:rStyle w:val="Bold"/>
          <w:rFonts w:cs="EC Square Sans Pro"/>
          <w:noProof/>
        </w:rPr>
        <w:t>â</w:t>
      </w:r>
      <w:r w:rsidRPr="00AC11E0">
        <w:rPr>
          <w:rStyle w:val="Bold"/>
          <w:noProof/>
        </w:rPr>
        <w:t>n</w:t>
      </w:r>
      <w:r w:rsidRPr="00AC11E0">
        <w:rPr>
          <w:rStyle w:val="Bold"/>
          <w:rFonts w:cs="EC Square Sans Pro"/>
          <w:noProof/>
        </w:rPr>
        <w:t>ă</w:t>
      </w:r>
      <w:r w:rsidRPr="00AC11E0">
        <w:rPr>
          <w:rStyle w:val="Bold"/>
          <w:noProof/>
        </w:rPr>
        <w:t xml:space="preserve"> la sf</w:t>
      </w:r>
      <w:r w:rsidRPr="00AC11E0">
        <w:rPr>
          <w:rStyle w:val="Bold"/>
          <w:rFonts w:cs="EC Square Sans Pro"/>
          <w:noProof/>
        </w:rPr>
        <w:t>â</w:t>
      </w:r>
      <w:r w:rsidRPr="00AC11E0">
        <w:rPr>
          <w:rStyle w:val="Bold"/>
          <w:noProof/>
        </w:rPr>
        <w:t>r</w:t>
      </w:r>
      <w:r w:rsidRPr="00AC11E0">
        <w:rPr>
          <w:rStyle w:val="Bold"/>
          <w:rFonts w:cs="EC Square Sans Pro"/>
          <w:noProof/>
        </w:rPr>
        <w:t>ș</w:t>
      </w:r>
      <w:r w:rsidRPr="00AC11E0">
        <w:rPr>
          <w:rStyle w:val="Bold"/>
          <w:noProof/>
        </w:rPr>
        <w:t>itul anului 2025</w:t>
      </w:r>
      <w:r w:rsidRPr="00AC11E0">
        <w:rPr>
          <w:b/>
          <w:noProof/>
        </w:rPr>
        <w:t xml:space="preserve"> </w:t>
      </w:r>
      <w:r>
        <w:rPr>
          <w:noProof/>
        </w:rPr>
        <w:t>și care au adăugat astfel de jaloane în planul lor național. S-a acordat o atenție deosebită îndeplinirii acestor jaloane în ceea ce privește măsurile luate de statele membre pentru a asigura un sistem adecvat de audit și control pentru protecția intereselor financiare ale UE. În urma unei evaluări aprofundate în cursul revizuirii planurilor de redresare și reziliență, Comisia a propus noi jaloane de audit și control acolo unde acest lucru a fost considerat necesar</w:t>
      </w:r>
      <w:r>
        <w:rPr>
          <w:rFonts w:ascii="Calibri" w:hAnsi="Calibri"/>
          <w:noProof/>
        </w:rPr>
        <w:t> </w:t>
      </w:r>
      <w:r>
        <w:rPr>
          <w:noProof/>
        </w:rPr>
        <w:t>(</w:t>
      </w:r>
      <w:r>
        <w:rPr>
          <w:rStyle w:val="FootnoteReference"/>
          <w:noProof/>
        </w:rPr>
        <w:footnoteReference w:id="47"/>
      </w:r>
      <w:r>
        <w:rPr>
          <w:noProof/>
        </w:rPr>
        <w:t>). Sistemele de control din statele membre s-au îmbunătățit semnificativ de la lansarea Mecanismului de redresare și reziliență, 56 de jaloane de audit și control (din 83) fiind evaluate ca fiind atinse în mod satisfăcător. Restul de 27, care corespund unui stat membru, vor fi evaluate după depunerea cererilor de plată corespunzătoare. Statele membre nu pot primi plăți, cu excepția prefinanțării, până când nu sunt îndeplinite jaloanele de audit și control.</w:t>
      </w:r>
    </w:p>
    <w:p w14:paraId="1C9BE005" w14:textId="77777777" w:rsidR="00D97581" w:rsidRDefault="0060377B">
      <w:pPr>
        <w:rPr>
          <w:rFonts w:eastAsia="Calibri"/>
          <w:noProof/>
        </w:rPr>
      </w:pPr>
      <w:r w:rsidRPr="00AC11E0">
        <w:rPr>
          <w:rStyle w:val="Bold"/>
          <w:noProof/>
        </w:rPr>
        <w:t>În 2025, Comisia a efectuat patru audituri de sistem privind protejarea intereselor financiare ale UE</w:t>
      </w:r>
      <w:r w:rsidRPr="00AC11E0">
        <w:rPr>
          <w:rStyle w:val="Bold"/>
          <w:rFonts w:ascii="Calibri" w:hAnsi="Calibri" w:cs="Calibri"/>
          <w:noProof/>
        </w:rPr>
        <w:t> </w:t>
      </w:r>
      <w:r>
        <w:rPr>
          <w:noProof/>
        </w:rPr>
        <w:t>(</w:t>
      </w:r>
      <w:r>
        <w:rPr>
          <w:rStyle w:val="FootnoteReference"/>
          <w:rFonts w:asciiTheme="minorHAnsi" w:eastAsia="Calibri" w:hAnsiTheme="minorHAnsi" w:cs="Calibri"/>
          <w:bCs/>
          <w:noProof/>
        </w:rPr>
        <w:footnoteReference w:id="48"/>
      </w:r>
      <w:r>
        <w:rPr>
          <w:noProof/>
        </w:rPr>
        <w:t>)</w:t>
      </w:r>
      <w:r w:rsidRPr="00AC11E0">
        <w:rPr>
          <w:rStyle w:val="Bold"/>
          <w:noProof/>
        </w:rPr>
        <w:t>. Până la sfârșitul lunii mai 2026, Comisia efectuase 36 de audituri de sistem, care acopereau toate statele membre.</w:t>
      </w:r>
      <w:r>
        <w:rPr>
          <w:noProof/>
        </w:rPr>
        <w:t xml:space="preserve"> În cursul acestor audituri, Comisia a verificat, de asemenea, dacă statele membre și-au respectat obligația de a verifica periodic respectarea normelor aplicabile, în special a normelor privind achizițiile publice și ajutoarele de stat, inclusiv eficacitatea acestor controale, și dacă dispun de proceduri pentru a evita dubla finanțare între Mecanismul de redresare și reziliență și alte programe ale UE. S-a observat o îmbunătățire generală a implementării sistemelor de control intern în cadrul organismelor de implementare și de coordonare auditate. Statele membre pun în aplicare îmbunătățirile necesare care decurg din constatările auditului. În unele cazuri, jaloanele de audit și control au oferit un stimulent suplimentar pentru ca statele membre să pună în aplicare acțiuni care să răspundă recomandărilor auditului în timp util.</w:t>
      </w:r>
    </w:p>
    <w:p w14:paraId="22EDEB32" w14:textId="77777777" w:rsidR="00D97581" w:rsidRDefault="0060377B">
      <w:pPr>
        <w:rPr>
          <w:noProof/>
        </w:rPr>
      </w:pPr>
      <w:r w:rsidRPr="00AC11E0">
        <w:rPr>
          <w:rStyle w:val="Bold"/>
          <w:noProof/>
          <w:color w:val="000000" w:themeColor="text1"/>
        </w:rPr>
        <w:t>În ceea ce privește legalitatea și regularitatea, rezultatele controalelor Comisiei confirmă atingerea în mod satisfăcător a tuturor jaloanelor și țintelor pentru plățile efectuate în 2025</w:t>
      </w:r>
      <w:r w:rsidRPr="00AC11E0">
        <w:rPr>
          <w:rStyle w:val="Bold"/>
          <w:noProof/>
        </w:rPr>
        <w:t>.</w:t>
      </w:r>
      <w:r>
        <w:rPr>
          <w:noProof/>
        </w:rPr>
        <w:t xml:space="preserve"> Aceste rezultate se bazează pe evaluarea atentă de către Comisie</w:t>
      </w:r>
      <w:r>
        <w:rPr>
          <w:rFonts w:ascii="Calibri" w:hAnsi="Calibri"/>
          <w:noProof/>
        </w:rPr>
        <w:t> </w:t>
      </w:r>
      <w:r>
        <w:rPr>
          <w:noProof/>
        </w:rPr>
        <w:t>(</w:t>
      </w:r>
      <w:r>
        <w:rPr>
          <w:rStyle w:val="FootnoteReference"/>
          <w:noProof/>
        </w:rPr>
        <w:footnoteReference w:id="49"/>
      </w:r>
      <w:r>
        <w:rPr>
          <w:noProof/>
        </w:rPr>
        <w:t>) a dovezilor furnizate de statele membre pentru a justifica atingerea jaloanelor și a țintelor, precum și pe declarațiile de gestiune și rezumatele de audit care însoțesc fiecare cerere de plată înainte de efectuarea plății. Au putut fi astfel identificate un număr foarte mic de jaloane și ținte (11 din 1</w:t>
      </w:r>
      <w:r>
        <w:rPr>
          <w:rFonts w:ascii="Calibri" w:hAnsi="Calibri"/>
          <w:noProof/>
        </w:rPr>
        <w:t> </w:t>
      </w:r>
      <w:r>
        <w:rPr>
          <w:noProof/>
        </w:rPr>
        <w:t>174 evaluate) care nu fuseseră atinse la momentul depunerii cererilor de plată și pentru care s-au aplicat suspendări ale plăților în cuantum de</w:t>
      </w:r>
      <w:r>
        <w:rPr>
          <w:rFonts w:ascii="Calibri" w:hAnsi="Calibri"/>
          <w:noProof/>
        </w:rPr>
        <w:t xml:space="preserve"> </w:t>
      </w:r>
      <w:r>
        <w:rPr>
          <w:noProof/>
        </w:rPr>
        <w:t>1</w:t>
      </w:r>
      <w:r>
        <w:rPr>
          <w:rFonts w:ascii="Calibri" w:hAnsi="Calibri"/>
          <w:noProof/>
        </w:rPr>
        <w:t> </w:t>
      </w:r>
      <w:r>
        <w:rPr>
          <w:noProof/>
        </w:rPr>
        <w:t>737,5</w:t>
      </w:r>
      <w:r>
        <w:rPr>
          <w:rFonts w:ascii="Calibri" w:hAnsi="Calibri"/>
          <w:noProof/>
        </w:rPr>
        <w:t xml:space="preserve"> </w:t>
      </w:r>
      <w:r>
        <w:rPr>
          <w:noProof/>
        </w:rPr>
        <w:t>milioane EUR</w:t>
      </w:r>
      <w:r>
        <w:rPr>
          <w:rFonts w:ascii="Calibri" w:hAnsi="Calibri"/>
          <w:noProof/>
        </w:rPr>
        <w:t> </w:t>
      </w:r>
      <w:r>
        <w:rPr>
          <w:noProof/>
        </w:rPr>
        <w:t>(</w:t>
      </w:r>
      <w:r>
        <w:rPr>
          <w:rStyle w:val="FootnoteReference"/>
          <w:noProof/>
        </w:rPr>
        <w:footnoteReference w:id="50"/>
      </w:r>
      <w:r>
        <w:rPr>
          <w:noProof/>
        </w:rPr>
        <w:t>). Această evaluare a fost completată prin audituri la fața locului (</w:t>
      </w:r>
      <w:r>
        <w:rPr>
          <w:rStyle w:val="FootnoteReference"/>
          <w:noProof/>
        </w:rPr>
        <w:footnoteReference w:id="51"/>
      </w:r>
      <w:r>
        <w:rPr>
          <w:noProof/>
        </w:rPr>
        <w:t>) după ce plățile fuseseră efectuate. Atingerea altor două ținte în mod satisfăcător</w:t>
      </w:r>
      <w:r>
        <w:rPr>
          <w:rFonts w:ascii="Calibri" w:hAnsi="Calibri"/>
          <w:noProof/>
        </w:rPr>
        <w:t> </w:t>
      </w:r>
      <w:r>
        <w:rPr>
          <w:noProof/>
        </w:rPr>
        <w:t>(</w:t>
      </w:r>
      <w:r>
        <w:rPr>
          <w:rStyle w:val="FootnoteReference"/>
          <w:noProof/>
        </w:rPr>
        <w:footnoteReference w:id="52"/>
      </w:r>
      <w:r>
        <w:rPr>
          <w:noProof/>
        </w:rPr>
        <w:t xml:space="preserve">) a fost pusă sub semnul întrebării, </w:t>
      </w:r>
      <w:r w:rsidRPr="00AC11E0">
        <w:rPr>
          <w:i/>
          <w:noProof/>
        </w:rPr>
        <w:t>a posteriori</w:t>
      </w:r>
      <w:r>
        <w:rPr>
          <w:noProof/>
        </w:rPr>
        <w:t>, după analizarea rezultatelor auditului Curții de Conturi în contextul declarației sale de asigurare pentru 2025. Plata corespunzătoare a fost considerată ca prezentând un risc ridicat.</w:t>
      </w:r>
    </w:p>
    <w:p w14:paraId="1C64ACAA" w14:textId="77777777" w:rsidR="00D97581" w:rsidRDefault="0060377B">
      <w:pPr>
        <w:spacing w:after="300"/>
        <w:rPr>
          <w:noProof/>
        </w:rPr>
      </w:pPr>
      <w:r w:rsidRPr="00AC11E0">
        <w:rPr>
          <w:rStyle w:val="Bold"/>
          <w:noProof/>
        </w:rPr>
        <w:t xml:space="preserve">Ordonatorul de credite delegat competent a raportat că a obținut o asigurare rezonabilă cu privire la legalitatea și regularitatea plăților efectuate în 2025 </w:t>
      </w:r>
      <w:r>
        <w:rPr>
          <w:noProof/>
        </w:rPr>
        <w:t>pentru Mecanismul de redresare și reziliență, pe baza rezultatelor controalelor efectuate, cu excepția unei plăți considerate ca prezentând un risc ridicat pentru care a fost emisă o rezervă. Comisia a concluzionat că toate celelalte plăți efectuate în 2025 au fost considerate ca prezentând un nivel scăzut sau mediu de risc de eroare. Pe lângă acestea, în ceea ce privește conformitatea cu toate normele aplicabile a utilizării fondurilor și obligația de a corecta cazurile de fraudă, corupție, conflict de interese sau încălcare gravă a unei obligații care rezultă din acordurile de finanțare și de împrumut, s-a constatat că un stat membru</w:t>
      </w:r>
      <w:r>
        <w:rPr>
          <w:rFonts w:ascii="Calibri" w:hAnsi="Calibri"/>
          <w:noProof/>
        </w:rPr>
        <w:t> (</w:t>
      </w:r>
      <w:r>
        <w:rPr>
          <w:rStyle w:val="FootnoteReference"/>
          <w:rFonts w:ascii="Calibri" w:hAnsi="Calibri" w:cs="Calibri"/>
          <w:noProof/>
        </w:rPr>
        <w:footnoteReference w:id="53"/>
      </w:r>
      <w:r>
        <w:rPr>
          <w:rFonts w:ascii="Calibri" w:hAnsi="Calibri"/>
          <w:noProof/>
        </w:rPr>
        <w:t>)</w:t>
      </w:r>
      <w:r>
        <w:rPr>
          <w:noProof/>
        </w:rPr>
        <w:t xml:space="preserve"> se află la un nivel ridicat de risc pentru care a fost menținută o rezervă. Toate celelalte state membre au fost evaluate fie la un nivel mediu de risc, fie la un nivel de risc scăzut.</w:t>
      </w:r>
    </w:p>
    <w:p w14:paraId="5D40C4E1" w14:textId="77777777" w:rsidR="00D97581" w:rsidRPr="00AC11E0" w:rsidRDefault="0060377B">
      <w:pPr>
        <w:pStyle w:val="Heading1"/>
        <w:rPr>
          <w:noProof/>
        </w:rPr>
      </w:pPr>
      <w:bookmarkStart w:id="29" w:name="_Toc168587563"/>
      <w:bookmarkStart w:id="30" w:name="_Toc231479444"/>
      <w:r w:rsidRPr="00AC11E0">
        <w:rPr>
          <w:noProof/>
        </w:rPr>
        <w:t xml:space="preserve">Regimul de condiționalitate contribuie în continuare la protecția </w:t>
      </w:r>
      <w:r w:rsidRPr="00AC11E0">
        <w:rPr>
          <w:noProof/>
        </w:rPr>
        <w:br/>
        <w:t>intereselor financiare ale UE</w:t>
      </w:r>
      <w:bookmarkEnd w:id="29"/>
      <w:bookmarkEnd w:id="30"/>
    </w:p>
    <w:p w14:paraId="18CDE4C0" w14:textId="77777777" w:rsidR="00D97581" w:rsidRDefault="0060377B">
      <w:pPr>
        <w:rPr>
          <w:noProof/>
        </w:rPr>
      </w:pPr>
      <w:r w:rsidRPr="00AC11E0">
        <w:rPr>
          <w:rStyle w:val="Bold"/>
          <w:noProof/>
        </w:rPr>
        <w:t>Începând din 2021, odată cu intrarea în vigoare a Regulamentului privind condiționalitatea</w:t>
      </w:r>
      <w:r>
        <w:rPr>
          <w:rFonts w:ascii="Calibri" w:hAnsi="Calibri"/>
          <w:noProof/>
        </w:rPr>
        <w:t> </w:t>
      </w:r>
      <w:r w:rsidRPr="00AC11E0">
        <w:rPr>
          <w:b/>
          <w:noProof/>
        </w:rPr>
        <w:t>(</w:t>
      </w:r>
      <w:r>
        <w:rPr>
          <w:rStyle w:val="FootnoteReference"/>
          <w:noProof/>
        </w:rPr>
        <w:footnoteReference w:id="54"/>
      </w:r>
      <w:r w:rsidRPr="00AC11E0">
        <w:rPr>
          <w:b/>
          <w:noProof/>
        </w:rPr>
        <w:t>)</w:t>
      </w:r>
      <w:r w:rsidRPr="00AC11E0">
        <w:rPr>
          <w:rStyle w:val="Bold"/>
          <w:noProof/>
        </w:rPr>
        <w:t>, bugetul UE beneficiază de un nivel suplimentar de protecție atunci când încălcările principiilor statului de drept într-un stat membru afectează sau riscă să afecteze grav interesele financiare ale UE într-un mod suficient de direct.</w:t>
      </w:r>
      <w:r>
        <w:rPr>
          <w:noProof/>
        </w:rPr>
        <w:t xml:space="preserve"> Statul de drept este una dintre valorile fundamentale ale UE, iar respectarea sa este esențială și pentru buna gestiune financiară a bugetului UE, precum și pentru utilizarea eficace a finanțării din partea UE. Regulamentul privind condiționalitatea completează alte instrumente și proceduri menite să protejeze bugetul UE, de exemplu verificările și auditurile sau corecțiile financiare efectuate în baza normelor sectoriale, inclusiv cele instituite prin Regulamentul privind Mecanismul de redresare și reziliență</w:t>
      </w:r>
      <w:r>
        <w:rPr>
          <w:rFonts w:ascii="Calibri" w:hAnsi="Calibri"/>
          <w:noProof/>
        </w:rPr>
        <w:t> </w:t>
      </w:r>
      <w:r>
        <w:rPr>
          <w:noProof/>
        </w:rPr>
        <w:t>(</w:t>
      </w:r>
      <w:r>
        <w:rPr>
          <w:rStyle w:val="FootnoteReference"/>
          <w:noProof/>
        </w:rPr>
        <w:footnoteReference w:id="55"/>
      </w:r>
      <w:r>
        <w:rPr>
          <w:noProof/>
        </w:rPr>
        <w:t>) și prin Regulamentul privind dispozițiile comune</w:t>
      </w:r>
      <w:r>
        <w:rPr>
          <w:rFonts w:ascii="Calibri" w:hAnsi="Calibri"/>
          <w:noProof/>
        </w:rPr>
        <w:t> </w:t>
      </w:r>
      <w:r>
        <w:rPr>
          <w:noProof/>
        </w:rPr>
        <w:t>(</w:t>
      </w:r>
      <w:r>
        <w:rPr>
          <w:rStyle w:val="FootnoteReference"/>
          <w:noProof/>
        </w:rPr>
        <w:footnoteReference w:id="56"/>
      </w:r>
      <w:r>
        <w:rPr>
          <w:noProof/>
        </w:rPr>
        <w:t>), care reglementează mai multe fonduri și programe ale UE, sau investigațiile efectuate de Oficiul European de Luptă Antifraudă.</w:t>
      </w:r>
    </w:p>
    <w:p w14:paraId="2DCD5AA4" w14:textId="77777777" w:rsidR="00D97581" w:rsidRDefault="0060377B">
      <w:pPr>
        <w:rPr>
          <w:noProof/>
        </w:rPr>
      </w:pPr>
      <w:r w:rsidRPr="00AC11E0">
        <w:rPr>
          <w:rStyle w:val="Bold"/>
          <w:noProof/>
        </w:rPr>
        <w:t>Regulamentul privind condiționalitatea permite Uniunii Europene să ia măsuri pentru a proteja bugetul UE, de exemplu prin suspendarea plăților sau prin corecții financiare.</w:t>
      </w:r>
      <w:r>
        <w:rPr>
          <w:noProof/>
        </w:rPr>
        <w:t xml:space="preserve"> În cazul în care condițiile stabilite de regulamentul menționat sunt îndeplinite, Comisia trebuie să propună Consiliului să adopte măsuri adecvate și proporționale în raport cu statul membru vizat. Consiliul decide cu majoritate calificată cu privire la adoptarea măsurilor. În cazul în care se adoptă măsuri, ar trebui să fie afectat numai statul membru vizat: programele relevante ale UE ar trebui să continue să fie puse în aplicare, iar statul membru trebuie în continuare să își îndeplinească obligațiile, inclusiv pe cele privind plata destinatarilor finali.</w:t>
      </w:r>
    </w:p>
    <w:p w14:paraId="3A1B0498" w14:textId="77777777" w:rsidR="00D97581" w:rsidRDefault="0060377B">
      <w:pPr>
        <w:rPr>
          <w:noProof/>
        </w:rPr>
      </w:pPr>
      <w:r w:rsidRPr="00AC11E0">
        <w:rPr>
          <w:rStyle w:val="Bold"/>
          <w:noProof/>
        </w:rPr>
        <w:t>În 2025, Comisia a continuat să monitorizeze situația din toate statele membre și au rămas în vigoare măsuri de protecție în ceea ce privește Ungaria.</w:t>
      </w:r>
      <w:r>
        <w:rPr>
          <w:noProof/>
        </w:rPr>
        <w:t xml:space="preserve"> În urma procedurii lansate în decembrie 2022 pentru a impune măsuri de protecție, Comisia a reevaluat situația Ungariei la sfârșitul anului 2023 și la sfârșitul anului 2024 și a concluzionat că bugetul UE a rămas la același nivel de risc. Prin urmare, Comisia nu a propus nicio ridicare sau adaptare a măsurilor de protecție. În 2025, Ungaria nu a notificat noi măsuri de remediere pentru a aborda problemele identificate de Consiliu</w:t>
      </w:r>
      <w:r>
        <w:rPr>
          <w:rFonts w:ascii="Calibri" w:hAnsi="Calibri"/>
          <w:noProof/>
        </w:rPr>
        <w:t> </w:t>
      </w:r>
      <w:r>
        <w:rPr>
          <w:noProof/>
        </w:rPr>
        <w:t>(</w:t>
      </w:r>
      <w:r>
        <w:rPr>
          <w:rStyle w:val="FootnoteReference"/>
          <w:noProof/>
        </w:rPr>
        <w:footnoteReference w:id="57"/>
      </w:r>
      <w:r>
        <w:rPr>
          <w:noProof/>
        </w:rPr>
        <w:t>).</w:t>
      </w:r>
    </w:p>
    <w:p w14:paraId="398C0BD8" w14:textId="77777777" w:rsidR="00D97581" w:rsidRPr="00AC11E0" w:rsidRDefault="0060377B">
      <w:pPr>
        <w:pStyle w:val="Heading1"/>
        <w:rPr>
          <w:noProof/>
        </w:rPr>
      </w:pPr>
      <w:bookmarkStart w:id="31" w:name="_Toc168587564"/>
      <w:bookmarkStart w:id="32" w:name="_Toc231479445"/>
      <w:r w:rsidRPr="00AC11E0">
        <w:rPr>
          <w:noProof/>
        </w:rPr>
        <w:t>Concluzie privind gestiunea</w:t>
      </w:r>
      <w:bookmarkEnd w:id="31"/>
      <w:bookmarkEnd w:id="32"/>
    </w:p>
    <w:p w14:paraId="4CAF2207" w14:textId="77777777" w:rsidR="00D97581" w:rsidRDefault="0060377B">
      <w:pPr>
        <w:rPr>
          <w:noProof/>
        </w:rPr>
      </w:pPr>
      <w:r w:rsidRPr="00AC11E0">
        <w:rPr>
          <w:rStyle w:val="Bold"/>
          <w:noProof/>
        </w:rPr>
        <w:t>Comisia se asigură că bugetul UE este în serviciul cetățenilor UE.</w:t>
      </w:r>
      <w:r>
        <w:rPr>
          <w:noProof/>
        </w:rPr>
        <w:t xml:space="preserve"> Datorită instrumentelor eficace existente și gestiunii proactive a bugetului UE, bugetul a îndeplinit obiectivele și a contribuit la răspunsul la numeroase provocări neprevăzute. Comisia a oferit beneficiarilor, partenerilor de implementare și statelor membre gradul necesar de flexibilitate pentru a răspunde unor circumstanțe neprevăzute, asigurând totodată buna gestiune financiară și menținând un nivel adecvat de asigurare cu privire la gestionarea bugetului UE.</w:t>
      </w:r>
    </w:p>
    <w:p w14:paraId="75B94819" w14:textId="77777777" w:rsidR="00D97581" w:rsidRDefault="0060377B">
      <w:pPr>
        <w:rPr>
          <w:noProof/>
        </w:rPr>
      </w:pPr>
      <w:r w:rsidRPr="00AC11E0">
        <w:rPr>
          <w:rStyle w:val="Bold"/>
          <w:noProof/>
        </w:rPr>
        <w:t xml:space="preserve">Flexibilitatea și buna gestiune financiară fac parte integrantă din propunerea privind cadrul financiar multianual de după 2027. </w:t>
      </w:r>
      <w:r>
        <w:rPr>
          <w:noProof/>
        </w:rPr>
        <w:t>Bugetul UE trebuie să continue să asigure un echilibru între previzibilitatea pentru investițiile pe termen lung și flexibilitatea pentru a răspunde crizelor, dar complexitatea actuală și rigiditatea structurală a bugetului UE sunt inadecvate pentru un mediu geopolitic extrem de volatil, în care este imposibil să se prevadă în prezent prioritățile de mâine. Va fi nevoie de un buget mult mai raționalizat și mai flexibil pentru viitor, care să continue, de asemenea, să ofere previzibilitate și stabilitate, împreună cu controale financiare solide, care constituie pietrele de temelie ale bugetului UE.</w:t>
      </w:r>
    </w:p>
    <w:p w14:paraId="600FD3F4" w14:textId="77777777" w:rsidR="00D97581" w:rsidRDefault="0060377B">
      <w:pPr>
        <w:rPr>
          <w:noProof/>
        </w:rPr>
      </w:pPr>
      <w:r w:rsidRPr="00AC11E0">
        <w:rPr>
          <w:rStyle w:val="Bold"/>
          <w:noProof/>
        </w:rPr>
        <w:t>Pentru 2025, toți ordonatorii de credite delegați au oferit o asigurare rezonabilă, cu rezerve, în situațiile în care acest lucru a fost necesar.</w:t>
      </w:r>
      <w:r>
        <w:rPr>
          <w:noProof/>
        </w:rPr>
        <w:t xml:space="preserve"> Rapoartele anuale de activitate demonstrează că toate serviciile Comisiei au instituit sisteme solide de control intern și furnizează elemente care demonstrează acțiunile întreprinse pentru abordarea problemelor și a deficiențelor identificate, pentru îmbunătățirea eficienței din punctul de vedere al costurilor, pentru o simplificare sporită a normelor și pentru protejarea în mod adecvat a bugetului de fraudă, erori și nereguli.</w:t>
      </w:r>
    </w:p>
    <w:p w14:paraId="5A430EA2" w14:textId="77777777" w:rsidR="00D97581" w:rsidRDefault="0060377B">
      <w:pPr>
        <w:rPr>
          <w:rStyle w:val="Bold"/>
          <w:b w:val="0"/>
          <w:bCs/>
          <w:noProof/>
        </w:rPr>
      </w:pPr>
      <w:r w:rsidRPr="00AC11E0">
        <w:rPr>
          <w:rStyle w:val="Bold"/>
          <w:noProof/>
        </w:rPr>
        <w:t>Auditoarea internă, în avizul său general</w:t>
      </w:r>
      <w:r>
        <w:rPr>
          <w:rStyle w:val="Bold"/>
          <w:b w:val="0"/>
          <w:noProof/>
        </w:rPr>
        <w:t>, a considerat că, în 2025, Comisia a instituit proceduri de guvernanță, de gestionare a riscurilor și de control intern care, în ansamblu, sunt adecvate pentru a oferi o asigurare rezonabilă cu privire la realizarea obiectivelor sale financiare, cu excepția domeniilor de gestiune financiară cu privire la care ordonatorii de credite delegați au exprimat rezerve în declarațiile lor de asigurare.</w:t>
      </w:r>
    </w:p>
    <w:p w14:paraId="59953245" w14:textId="77777777" w:rsidR="00D97581" w:rsidRDefault="0060377B">
      <w:pPr>
        <w:suppressAutoHyphens w:val="0"/>
        <w:rPr>
          <w:rStyle w:val="Bold"/>
          <w:b w:val="0"/>
          <w:bCs/>
          <w:noProof/>
        </w:rPr>
      </w:pPr>
      <w:r>
        <w:rPr>
          <w:noProof/>
        </w:rPr>
        <w:br w:type="page"/>
      </w:r>
    </w:p>
    <w:p w14:paraId="4BB65D9A" w14:textId="77777777" w:rsidR="00D97581" w:rsidRDefault="00D97581">
      <w:pPr>
        <w:rPr>
          <w:rStyle w:val="Bold"/>
          <w:b w:val="0"/>
          <w:bCs/>
          <w:noProof/>
        </w:rPr>
      </w:pPr>
    </w:p>
    <w:p w14:paraId="2E31C34C" w14:textId="77777777" w:rsidR="00D97581" w:rsidRPr="00AC11E0" w:rsidRDefault="0060377B">
      <w:pPr>
        <w:pStyle w:val="amprboxBLUEtext"/>
        <w:rPr>
          <w:rStyle w:val="Bold"/>
          <w:noProof/>
        </w:rPr>
      </w:pPr>
      <w:r w:rsidRPr="00AC11E0">
        <w:rPr>
          <w:rStyle w:val="Bold"/>
          <w:noProof/>
        </w:rPr>
        <w:t xml:space="preserve">Pe baza asigurărilor și a rezervelor din rapoartele anuale de activitate, ținând seama de opinia </w:t>
      </w:r>
      <w:bookmarkStart w:id="33" w:name="_Hlk166057004"/>
      <w:r w:rsidRPr="00AC11E0">
        <w:rPr>
          <w:rStyle w:val="Bold"/>
          <w:noProof/>
        </w:rPr>
        <w:t>auditoarei interne</w:t>
      </w:r>
      <w:bookmarkEnd w:id="33"/>
      <w:r w:rsidRPr="00AC11E0">
        <w:rPr>
          <w:rStyle w:val="Bold"/>
          <w:noProof/>
        </w:rPr>
        <w:t xml:space="preserve">, colegiul comisarilor adoptă prezentul </w:t>
      </w:r>
      <w:r w:rsidRPr="00AC11E0">
        <w:rPr>
          <w:rStyle w:val="BoldItalic"/>
          <w:noProof/>
        </w:rPr>
        <w:t>Raport anual privind gestiunea și performanța bugetului UE</w:t>
      </w:r>
      <w:r w:rsidRPr="00AC11E0">
        <w:rPr>
          <w:rStyle w:val="BoldItalic"/>
          <w:rFonts w:ascii="Calibri" w:hAnsi="Calibri" w:cs="Calibri"/>
          <w:noProof/>
        </w:rPr>
        <w:t> </w:t>
      </w:r>
      <w:r w:rsidRPr="00AC11E0">
        <w:rPr>
          <w:rStyle w:val="BoldItalic"/>
          <w:rFonts w:cs="EC Square Sans Pro"/>
          <w:noProof/>
        </w:rPr>
        <w:t>–</w:t>
      </w:r>
      <w:r w:rsidRPr="00AC11E0">
        <w:rPr>
          <w:rStyle w:val="BoldItalic"/>
          <w:rFonts w:ascii="Calibri" w:hAnsi="Calibri" w:cs="Calibri"/>
          <w:noProof/>
        </w:rPr>
        <w:t> </w:t>
      </w:r>
      <w:r w:rsidRPr="00AC11E0">
        <w:rPr>
          <w:rStyle w:val="BoldItalic"/>
          <w:noProof/>
        </w:rPr>
        <w:t>exerci</w:t>
      </w:r>
      <w:r w:rsidRPr="00AC11E0">
        <w:rPr>
          <w:rStyle w:val="BoldItalic"/>
          <w:rFonts w:cs="EC Square Sans Pro"/>
          <w:noProof/>
        </w:rPr>
        <w:t>ț</w:t>
      </w:r>
      <w:r w:rsidRPr="00AC11E0">
        <w:rPr>
          <w:rStyle w:val="BoldItalic"/>
          <w:noProof/>
        </w:rPr>
        <w:t>iul financiar</w:t>
      </w:r>
      <w:r w:rsidRPr="00AC11E0">
        <w:rPr>
          <w:rStyle w:val="BoldItalic"/>
          <w:rFonts w:ascii="Calibri" w:hAnsi="Calibri" w:cs="Calibri"/>
          <w:noProof/>
        </w:rPr>
        <w:t> </w:t>
      </w:r>
      <w:r w:rsidRPr="00AC11E0">
        <w:rPr>
          <w:rStyle w:val="BoldItalic"/>
          <w:noProof/>
        </w:rPr>
        <w:t xml:space="preserve">2025 </w:t>
      </w:r>
      <w:r>
        <w:rPr>
          <w:noProof/>
        </w:rPr>
        <w:t xml:space="preserve">și </w:t>
      </w:r>
      <w:r w:rsidRPr="00AC11E0">
        <w:rPr>
          <w:rStyle w:val="Bold"/>
          <w:noProof/>
        </w:rPr>
        <w:t>își asumă responsabilitatea politică generală pentru gestionarea bugetului UE.</w:t>
      </w:r>
    </w:p>
    <w:p w14:paraId="461E1918" w14:textId="77777777" w:rsidR="00D97581" w:rsidRDefault="00D97581">
      <w:pPr>
        <w:rPr>
          <w:noProof/>
        </w:rPr>
      </w:pPr>
    </w:p>
    <w:sectPr w:rsidR="00D97581">
      <w:headerReference w:type="even" r:id="rId59"/>
      <w:headerReference w:type="default" r:id="rId60"/>
      <w:footerReference w:type="even" r:id="rId61"/>
      <w:footerReference w:type="default" r:id="rId62"/>
      <w:headerReference w:type="first" r:id="rId63"/>
      <w:footerReference w:type="first" r:id="rId64"/>
      <w:endnotePr>
        <w:pos w:val="sectEnd"/>
        <w:numFmt w:val="lowerLetter"/>
      </w:endnotePr>
      <w:pgSz w:w="11907" w:h="16839" w:code="9"/>
      <w:pgMar w:top="1418" w:right="1418" w:bottom="1418" w:left="1418" w:header="680" w:footer="567" w:gutter="0"/>
      <w:cols w:space="720"/>
      <w:docGrid w:linePitch="326" w:charSpace="106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8FFE72" w14:textId="77777777" w:rsidR="00C85814" w:rsidRDefault="00C85814">
      <w:pPr>
        <w:spacing w:before="0" w:after="0" w:line="240" w:lineRule="auto"/>
      </w:pPr>
      <w:r>
        <w:separator/>
      </w:r>
    </w:p>
  </w:endnote>
  <w:endnote w:type="continuationSeparator" w:id="0">
    <w:p w14:paraId="344AD23F" w14:textId="77777777" w:rsidR="00C85814" w:rsidRDefault="00C85814">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EC Square Sans Pro">
    <w:altName w:val="Cambria"/>
    <w:charset w:val="00"/>
    <w:family w:val="swiss"/>
    <w:pitch w:val="variable"/>
    <w:sig w:usb0="2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EC Square Sans Pro Medium">
    <w:altName w:val="Calibri"/>
    <w:charset w:val="00"/>
    <w:family w:val="swiss"/>
    <w:pitch w:val="variable"/>
    <w:sig w:usb0="20000287" w:usb1="00000001"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EC Square Sans Cond Pro">
    <w:charset w:val="00"/>
    <w:family w:val="swiss"/>
    <w:pitch w:val="variable"/>
    <w:sig w:usb0="2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Tunga">
    <w:panose1 w:val="00000400000000000000"/>
    <w:charset w:val="01"/>
    <w:family w:val="roman"/>
    <w:pitch w:val="variable"/>
  </w:font>
  <w:font w:name="+mn-ea">
    <w:altName w:val="Cambria"/>
    <w:panose1 w:val="00000000000000000000"/>
    <w:charset w:val="00"/>
    <w:family w:val="roman"/>
    <w:notTrueType/>
    <w:pitch w:val="default"/>
  </w:font>
  <w:font w:name="+mn-cs">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0EFE75" w14:textId="08C2E6A4" w:rsidR="008C2729" w:rsidRPr="008C2729" w:rsidRDefault="008C2729" w:rsidP="008C2729">
    <w:pPr>
      <w:pStyle w:val="FooterCoverPage"/>
      <w:rPr>
        <w:rFonts w:ascii="Arial" w:hAnsi="Arial" w:cs="Arial"/>
        <w:b/>
        <w:sz w:val="48"/>
      </w:rPr>
    </w:pPr>
    <w:r w:rsidRPr="008C2729">
      <w:rPr>
        <w:rFonts w:ascii="Arial" w:hAnsi="Arial" w:cs="Arial"/>
        <w:b/>
        <w:sz w:val="48"/>
      </w:rPr>
      <w:t>RO</w:t>
    </w:r>
    <w:r w:rsidRPr="008C2729">
      <w:rPr>
        <w:rFonts w:ascii="Arial" w:hAnsi="Arial" w:cs="Arial"/>
        <w:b/>
        <w:sz w:val="48"/>
      </w:rPr>
      <w:tab/>
    </w:r>
    <w:r w:rsidRPr="008C2729">
      <w:rPr>
        <w:rFonts w:ascii="Arial" w:hAnsi="Arial" w:cs="Arial"/>
        <w:b/>
        <w:sz w:val="48"/>
      </w:rPr>
      <w:tab/>
    </w:r>
    <w:r w:rsidRPr="008C2729">
      <w:tab/>
    </w:r>
    <w:r w:rsidRPr="008C2729">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C9525D" w14:textId="3B2D5168" w:rsidR="008C2729" w:rsidRPr="008C2729" w:rsidRDefault="008C2729" w:rsidP="008C2729">
    <w:pPr>
      <w:pStyle w:val="FooterCoverPage"/>
      <w:rPr>
        <w:rFonts w:ascii="Arial" w:hAnsi="Arial" w:cs="Arial"/>
        <w:b/>
        <w:sz w:val="48"/>
      </w:rPr>
    </w:pPr>
    <w:r w:rsidRPr="008C2729">
      <w:rPr>
        <w:rFonts w:ascii="Arial" w:hAnsi="Arial" w:cs="Arial"/>
        <w:b/>
        <w:sz w:val="48"/>
      </w:rPr>
      <w:t>RO</w:t>
    </w:r>
    <w:r w:rsidRPr="008C2729">
      <w:rPr>
        <w:rFonts w:ascii="Arial" w:hAnsi="Arial" w:cs="Arial"/>
        <w:b/>
        <w:sz w:val="48"/>
      </w:rPr>
      <w:tab/>
    </w:r>
    <w:r w:rsidRPr="008C2729">
      <w:rPr>
        <w:rFonts w:ascii="Arial" w:hAnsi="Arial" w:cs="Arial"/>
        <w:b/>
        <w:sz w:val="48"/>
      </w:rPr>
      <w:tab/>
    </w:r>
    <w:r w:rsidRPr="008C2729">
      <w:tab/>
    </w:r>
    <w:r w:rsidRPr="008C2729">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F521CD" w14:textId="77777777" w:rsidR="008C2729" w:rsidRPr="008C2729" w:rsidRDefault="008C2729" w:rsidP="008C2729">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70D3E0" w14:textId="77777777" w:rsidR="00D97581" w:rsidRDefault="00D97581">
    <w:pPr>
      <w:pStyle w:val="amprFooter-Left"/>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CBA728" w14:textId="77777777" w:rsidR="00D97581" w:rsidRDefault="00D97581">
    <w:pPr>
      <w:pStyle w:val="amprFooter-Right"/>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A756B" w14:textId="77777777" w:rsidR="00D97581" w:rsidRDefault="00D9758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D6F3AA" w14:textId="77777777" w:rsidR="00D97581" w:rsidRDefault="0060377B">
    <w:pPr>
      <w:pStyle w:val="amprFooter-Left"/>
      <w:tabs>
        <w:tab w:val="left" w:pos="2467"/>
      </w:tabs>
    </w:pPr>
    <w:r>
      <w:fldChar w:fldCharType="begin"/>
    </w:r>
    <w:r>
      <w:instrText xml:space="preserve"> PAGE   \* MERGEFORMAT </w:instrText>
    </w:r>
    <w:r>
      <w:fldChar w:fldCharType="separate"/>
    </w:r>
    <w:r>
      <w:t>3</w:t>
    </w:r>
    <w:r>
      <w:fldChar w:fldCharType="end"/>
    </w:r>
    <w:r>
      <w:tab/>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535A49" w14:textId="5FF8203F" w:rsidR="00D97581" w:rsidRDefault="0060377B">
    <w:pPr>
      <w:pStyle w:val="amprFooter-Right"/>
    </w:pPr>
    <w:r>
      <w:fldChar w:fldCharType="begin"/>
    </w:r>
    <w:r>
      <w:instrText xml:space="preserve"> PAGE   \* MERGEFORMAT </w:instrText>
    </w:r>
    <w:r>
      <w:fldChar w:fldCharType="separate"/>
    </w:r>
    <w:r w:rsidR="008C2729">
      <w:rPr>
        <w:noProof/>
      </w:rPr>
      <w:t>3</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F96EAC" w14:textId="77777777" w:rsidR="00D97581" w:rsidRDefault="00D97581">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C4BB27" w14:textId="77777777" w:rsidR="00D97581" w:rsidRDefault="00D97581">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284B9F" w14:textId="77777777" w:rsidR="00D97581" w:rsidRDefault="00D97581">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A25E72" w14:textId="77777777" w:rsidR="00D97581" w:rsidRDefault="00D97581">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0ABF7F" w14:textId="77777777" w:rsidR="00D97581" w:rsidRDefault="0060377B">
    <w:pPr>
      <w:pStyle w:val="amprFooter-Left"/>
    </w:pPr>
    <w:r>
      <w:fldChar w:fldCharType="begin"/>
    </w:r>
    <w:r>
      <w:instrText xml:space="preserve"> PAGE   \* MERGEFORMAT </w:instrText>
    </w:r>
    <w:r>
      <w:fldChar w:fldCharType="separate"/>
    </w:r>
    <w:r>
      <w:t>5</w:t>
    </w:r>
    <w: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9AEACA" w14:textId="741A3DF6" w:rsidR="00D97581" w:rsidRDefault="0060377B">
    <w:pPr>
      <w:pStyle w:val="amprFooter-Right"/>
    </w:pPr>
    <w:r>
      <w:fldChar w:fldCharType="begin"/>
    </w:r>
    <w:r>
      <w:instrText xml:space="preserve"> PAGE   \* MERGEFORMAT </w:instrText>
    </w:r>
    <w:r>
      <w:fldChar w:fldCharType="separate"/>
    </w:r>
    <w:r w:rsidR="008C2729">
      <w:rPr>
        <w:noProof/>
      </w:rPr>
      <w:t>8</w:t>
    </w:r>
    <w: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FAD804" w14:textId="77777777" w:rsidR="00D97581" w:rsidRDefault="00D975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207785" w14:textId="77777777" w:rsidR="00C85814" w:rsidRDefault="00C85814">
      <w:pPr>
        <w:spacing w:before="0" w:after="0" w:line="240" w:lineRule="auto"/>
      </w:pPr>
      <w:r>
        <w:separator/>
      </w:r>
    </w:p>
  </w:footnote>
  <w:footnote w:type="continuationSeparator" w:id="0">
    <w:p w14:paraId="26121B0C" w14:textId="77777777" w:rsidR="00C85814" w:rsidRDefault="00C85814">
      <w:pPr>
        <w:spacing w:before="0" w:after="0" w:line="240" w:lineRule="auto"/>
      </w:pPr>
      <w:r>
        <w:continuationSeparator/>
      </w:r>
    </w:p>
  </w:footnote>
  <w:footnote w:id="1">
    <w:p w14:paraId="47AD88A9" w14:textId="77777777" w:rsidR="00D97581" w:rsidRDefault="0060377B">
      <w:pPr>
        <w:pStyle w:val="FootnoteText"/>
      </w:pPr>
      <w:r>
        <w:t>(</w:t>
      </w:r>
      <w:r>
        <w:rPr>
          <w:rStyle w:val="FootnoteReference"/>
        </w:rPr>
        <w:footnoteRef/>
      </w:r>
      <w:r>
        <w:t>)</w:t>
      </w:r>
      <w:r>
        <w:tab/>
        <w:t>Procedura anuală de descărcare de gestiune este procedura prin care Parlamentul și Consiliul își dau aprobarea finală pentru execuția bugetară aferentă unui anumit an și trag la răspundere Comisia, din punct de vedere politic pentru execuția bugetului UE (</w:t>
      </w:r>
      <w:hyperlink r:id="rId1" w:history="1">
        <w:r w:rsidR="00D97581" w:rsidRPr="00765A89">
          <w:rPr>
            <w:rStyle w:val="Hyperlink"/>
          </w:rPr>
          <w:t>https://commission.europa.eu/strategy-and-policy/eu-budget/how-it-works/annual-lifecycle/assessment/discharge-procedure_en</w:t>
        </w:r>
      </w:hyperlink>
      <w:r>
        <w:t>).</w:t>
      </w:r>
    </w:p>
  </w:footnote>
  <w:footnote w:id="2">
    <w:p w14:paraId="67609C0D" w14:textId="77777777" w:rsidR="00D97581" w:rsidRDefault="0060377B">
      <w:pPr>
        <w:pStyle w:val="FootnoteText"/>
        <w:rPr>
          <w:szCs w:val="18"/>
        </w:rPr>
      </w:pPr>
      <w:r>
        <w:t>(</w:t>
      </w:r>
      <w:r>
        <w:rPr>
          <w:rStyle w:val="FootnoteReference"/>
        </w:rPr>
        <w:footnoteRef/>
      </w:r>
      <w:r>
        <w:t>)</w:t>
      </w:r>
      <w:r>
        <w:tab/>
        <w:t>Articolul 318 din Tratatul privind funcționarea Uniunii Europene (JO C</w:t>
      </w:r>
      <w:r>
        <w:rPr>
          <w:rFonts w:ascii="Calibri" w:hAnsi="Calibri"/>
        </w:rPr>
        <w:t xml:space="preserve"> </w:t>
      </w:r>
      <w:r>
        <w:t>202, 7.6.2016, p.</w:t>
      </w:r>
      <w:r>
        <w:rPr>
          <w:rFonts w:ascii="Calibri" w:hAnsi="Calibri"/>
        </w:rPr>
        <w:t> </w:t>
      </w:r>
      <w:r>
        <w:t xml:space="preserve">186, </w:t>
      </w:r>
      <w:hyperlink r:id="rId2" w:history="1">
        <w:r w:rsidR="00D97581" w:rsidRPr="00765A89">
          <w:rPr>
            <w:rStyle w:val="Hyperlink"/>
          </w:rPr>
          <w:t>http://data.europa.eu/eli/treaty/tfeu_2016/art_318/oj</w:t>
        </w:r>
      </w:hyperlink>
      <w:r>
        <w:t>).</w:t>
      </w:r>
    </w:p>
  </w:footnote>
  <w:footnote w:id="3">
    <w:p w14:paraId="004F84B4" w14:textId="77777777" w:rsidR="00D97581" w:rsidRDefault="0060377B">
      <w:pPr>
        <w:pStyle w:val="FootnoteText"/>
      </w:pPr>
      <w:r>
        <w:t>(</w:t>
      </w:r>
      <w:r>
        <w:rPr>
          <w:rStyle w:val="FootnoteReference"/>
        </w:rPr>
        <w:footnoteRef/>
      </w:r>
      <w:r>
        <w:t>)</w:t>
      </w:r>
      <w:r>
        <w:tab/>
        <w:t xml:space="preserve">Articolul 253 alineatul (1) literele (b) și (e) din Regulamentul (UE, Euratom) 2024/2509 al Parlamentului European și al Consiliului din 23 septembrie 2024 privind normele financiare aplicabile bugetului general al Uniunii (JO L, 2024/2509, 26.9.2024, ELI: </w:t>
      </w:r>
      <w:hyperlink r:id="rId3" w:history="1">
        <w:r w:rsidR="00D97581" w:rsidRPr="00765A89">
          <w:rPr>
            <w:rStyle w:val="Hyperlink"/>
          </w:rPr>
          <w:t>http://data.europa.eu/eli/reg/2024/2509/oj</w:t>
        </w:r>
      </w:hyperlink>
      <w:r>
        <w:t>).</w:t>
      </w:r>
    </w:p>
  </w:footnote>
  <w:footnote w:id="4">
    <w:p w14:paraId="05A2A90A" w14:textId="77777777" w:rsidR="00D97581" w:rsidRDefault="0060377B">
      <w:pPr>
        <w:pStyle w:val="FootnoteText"/>
      </w:pPr>
      <w:r>
        <w:t>(</w:t>
      </w:r>
      <w:r>
        <w:rPr>
          <w:rStyle w:val="FootnoteReference"/>
        </w:rPr>
        <w:footnoteRef/>
      </w:r>
      <w:r>
        <w:t>)</w:t>
      </w:r>
      <w:r>
        <w:tab/>
        <w:t>Articolul 253 din Regulamentul financiar.</w:t>
      </w:r>
    </w:p>
  </w:footnote>
  <w:footnote w:id="5">
    <w:p w14:paraId="4C3B883A" w14:textId="77777777" w:rsidR="00D97581" w:rsidRDefault="0060377B">
      <w:pPr>
        <w:pStyle w:val="FootnoteText"/>
      </w:pPr>
      <w:r>
        <w:t>(</w:t>
      </w:r>
      <w:r>
        <w:rPr>
          <w:rStyle w:val="FootnoteReference"/>
        </w:rPr>
        <w:footnoteRef/>
      </w:r>
      <w:r>
        <w:t>)</w:t>
      </w:r>
      <w:r>
        <w:tab/>
        <w:t>Articolul 252 din Regulamentul financiar.</w:t>
      </w:r>
    </w:p>
  </w:footnote>
  <w:footnote w:id="6">
    <w:p w14:paraId="22E5E5A3" w14:textId="77777777" w:rsidR="00D97581" w:rsidRDefault="0060377B">
      <w:pPr>
        <w:pStyle w:val="FootnoteText"/>
      </w:pPr>
      <w:r>
        <w:t>(</w:t>
      </w:r>
      <w:r>
        <w:rPr>
          <w:rStyle w:val="FootnoteReference"/>
        </w:rPr>
        <w:footnoteRef/>
      </w:r>
      <w:r>
        <w:t>)</w:t>
      </w:r>
      <w:r>
        <w:tab/>
        <w:t>Articolul 253 alineatul (1) litera (c) din Regulamentul financiar.</w:t>
      </w:r>
    </w:p>
  </w:footnote>
  <w:footnote w:id="7">
    <w:p w14:paraId="68A75343" w14:textId="77777777" w:rsidR="00D97581" w:rsidRDefault="0060377B">
      <w:pPr>
        <w:pStyle w:val="FootnoteText"/>
      </w:pPr>
      <w:r>
        <w:t>(</w:t>
      </w:r>
      <w:r>
        <w:rPr>
          <w:rStyle w:val="FootnoteReference"/>
        </w:rPr>
        <w:footnoteRef/>
      </w:r>
      <w:r>
        <w:t>)</w:t>
      </w:r>
      <w:r>
        <w:tab/>
        <w:t>Articolul 118 alineatul (8) din Regulamentul financiar.</w:t>
      </w:r>
    </w:p>
  </w:footnote>
  <w:footnote w:id="8">
    <w:p w14:paraId="76322241" w14:textId="77777777" w:rsidR="00D97581" w:rsidRDefault="0060377B">
      <w:pPr>
        <w:pStyle w:val="FootnoteText"/>
        <w:rPr>
          <w:highlight w:val="lightGray"/>
        </w:rPr>
      </w:pPr>
      <w:r>
        <w:t>(</w:t>
      </w:r>
      <w:r>
        <w:rPr>
          <w:rStyle w:val="FootnoteReference"/>
        </w:rPr>
        <w:footnoteRef/>
      </w:r>
      <w:r>
        <w:t>)</w:t>
      </w:r>
      <w:r>
        <w:tab/>
        <w:t>Articolul 267 alineatul (3) din Regulamentul financiar.</w:t>
      </w:r>
    </w:p>
  </w:footnote>
  <w:footnote w:id="9">
    <w:p w14:paraId="7C590D8C" w14:textId="77777777" w:rsidR="00D97581" w:rsidRDefault="0060377B">
      <w:pPr>
        <w:pStyle w:val="FootnoteText"/>
      </w:pPr>
      <w:r>
        <w:t>(</w:t>
      </w:r>
      <w:r>
        <w:rPr>
          <w:rStyle w:val="FootnoteReference"/>
        </w:rPr>
        <w:footnoteRef/>
      </w:r>
      <w:r>
        <w:t>)</w:t>
      </w:r>
      <w:r>
        <w:tab/>
        <w:t xml:space="preserve">Această sumă include 190,9 miliarde EUR din bugetul final adoptat; </w:t>
      </w:r>
      <w:r>
        <w:rPr>
          <w:rFonts w:ascii="Calibri" w:hAnsi="Calibri"/>
        </w:rPr>
        <w:t>1,6</w:t>
      </w:r>
      <w:r>
        <w:t xml:space="preserve"> miliarde EUR din credite reportate sau puse din nou la dispoziție din 2024. și 14,1 miliarde EUR din credite provenite din veniturile alocate (din care 0,4 miliarde EUR din NextGenerationEU).</w:t>
      </w:r>
    </w:p>
  </w:footnote>
  <w:footnote w:id="10">
    <w:p w14:paraId="7F69B076" w14:textId="77777777" w:rsidR="00D97581" w:rsidRDefault="0060377B">
      <w:pPr>
        <w:pStyle w:val="FootnoteText"/>
      </w:pPr>
      <w:r>
        <w:t>(</w:t>
      </w:r>
      <w:r>
        <w:rPr>
          <w:rStyle w:val="FootnoteReference"/>
        </w:rPr>
        <w:footnoteRef/>
      </w:r>
      <w:r>
        <w:t>)</w:t>
      </w:r>
      <w:r>
        <w:tab/>
        <w:t xml:space="preserve">Comunicare a Comisiei către Parlamentul European, Consiliul European, Consiliu, Comitetul Economic și Social European și Comitetul Regiunilor - O Busolă pentru competitivitatea UE, COM(2025) 30 final din 29 ianuarie 2025, </w:t>
      </w:r>
      <w:hyperlink r:id="rId4" w:history="1">
        <w:r w:rsidR="00D97581" w:rsidRPr="00765A89">
          <w:rPr>
            <w:rStyle w:val="Hyperlink"/>
          </w:rPr>
          <w:t>https://eur-lex.europa.eu/legal-content/RO/TXT/?uri=CELEX:52025DC0030</w:t>
        </w:r>
      </w:hyperlink>
      <w:r>
        <w:t xml:space="preserve">. </w:t>
      </w:r>
    </w:p>
  </w:footnote>
  <w:footnote w:id="11">
    <w:p w14:paraId="14A3A1C5" w14:textId="77777777" w:rsidR="00D97581" w:rsidRDefault="0060377B">
      <w:pPr>
        <w:pStyle w:val="FootnoteText"/>
      </w:pPr>
      <w:r>
        <w:t>(</w:t>
      </w:r>
      <w:r>
        <w:rPr>
          <w:rStyle w:val="FootnoteReference"/>
        </w:rPr>
        <w:footnoteRef/>
      </w:r>
      <w:r>
        <w:t>)</w:t>
      </w:r>
      <w:r>
        <w:tab/>
        <w:t>Comunicare a Comisiei către Parlamentul European, Consiliu, Banca Centrală Europeană, Comitetul Economic și Social European, Comitetul Regiunilor și Banca Europeană de Investiții, Semestrul european 2026 – pachetul de primăvară, COM(2026)</w:t>
      </w:r>
      <w:r>
        <w:rPr>
          <w:rFonts w:ascii="Calibri" w:hAnsi="Calibri"/>
        </w:rPr>
        <w:t> 200</w:t>
      </w:r>
      <w:r>
        <w:t xml:space="preserve"> final din 3 iunie 2026, </w:t>
      </w:r>
      <w:hyperlink r:id="rId5" w:history="1">
        <w:r w:rsidR="00D97581" w:rsidRPr="00765A89">
          <w:rPr>
            <w:rStyle w:val="Hyperlink"/>
          </w:rPr>
          <w:t>https://eur-lex.europa.eu/legal-content/RO/TXT/?uri=COM%3A2026%3A200%3AFIN&amp;qid=1780494235578</w:t>
        </w:r>
      </w:hyperlink>
      <w:r>
        <w:t>.</w:t>
      </w:r>
    </w:p>
  </w:footnote>
  <w:footnote w:id="12">
    <w:p w14:paraId="6481C2A1" w14:textId="77777777" w:rsidR="00D97581" w:rsidRDefault="0060377B">
      <w:pPr>
        <w:pStyle w:val="FootnoteText"/>
      </w:pPr>
      <w:r>
        <w:t>(</w:t>
      </w:r>
      <w:r>
        <w:rPr>
          <w:rStyle w:val="FootnoteReference"/>
        </w:rPr>
        <w:footnoteRef/>
      </w:r>
      <w:r>
        <w:t>)</w:t>
      </w:r>
      <w:r>
        <w:tab/>
        <w:t xml:space="preserve">Comisia Europeană: Direcția Generală Buget, site-ul platformei Tehnologii strategice pentru Europa, </w:t>
      </w:r>
      <w:hyperlink r:id="rId6" w:history="1">
        <w:r w:rsidR="00D97581" w:rsidRPr="00765A89">
          <w:rPr>
            <w:rStyle w:val="Hyperlink"/>
          </w:rPr>
          <w:t>https://strategic-technologies.europa.eu/index_en</w:t>
        </w:r>
      </w:hyperlink>
      <w:r>
        <w:t>.</w:t>
      </w:r>
    </w:p>
  </w:footnote>
  <w:footnote w:id="13">
    <w:p w14:paraId="61147FF1" w14:textId="77777777" w:rsidR="00D97581" w:rsidRDefault="0060377B">
      <w:pPr>
        <w:pStyle w:val="FootnoteText"/>
      </w:pPr>
      <w:r>
        <w:t>(</w:t>
      </w:r>
      <w:r>
        <w:rPr>
          <w:rStyle w:val="FootnoteReference"/>
        </w:rPr>
        <w:footnoteRef/>
      </w:r>
      <w:r>
        <w:t>)</w:t>
      </w:r>
      <w:r>
        <w:tab/>
        <w:t>Comisia Europeană: Direcția Generală Buget, „</w:t>
      </w:r>
      <w:r w:rsidRPr="00AC11E0">
        <w:rPr>
          <w:i/>
        </w:rPr>
        <w:t>STEP documents</w:t>
      </w:r>
      <w:r>
        <w:t xml:space="preserve">” (Documente STEP), site-ul platformei Tehnologii strategice pentru Europa, </w:t>
      </w:r>
      <w:hyperlink r:id="rId7" w:history="1">
        <w:r w:rsidR="00D97581" w:rsidRPr="00765A89">
          <w:rPr>
            <w:rStyle w:val="Hyperlink"/>
          </w:rPr>
          <w:t>https://strategic-technologies.europa.eu/about/step-documents_en</w:t>
        </w:r>
      </w:hyperlink>
      <w:r>
        <w:t>.</w:t>
      </w:r>
    </w:p>
  </w:footnote>
  <w:footnote w:id="14">
    <w:p w14:paraId="6A7D1824" w14:textId="77777777" w:rsidR="00D97581" w:rsidRDefault="0060377B">
      <w:pPr>
        <w:pStyle w:val="FootnoteText"/>
      </w:pPr>
      <w:r>
        <w:t>(</w:t>
      </w:r>
      <w:r>
        <w:rPr>
          <w:rStyle w:val="FootnoteReference"/>
        </w:rPr>
        <w:footnoteRef/>
      </w:r>
      <w:r>
        <w:t>)</w:t>
      </w:r>
      <w:r>
        <w:tab/>
        <w:t>Raport al Comisiei către Parlamentul European și Consiliu – Investiții în competitivitatea și în poziția de lider tehnologic a UE, COM(2025)</w:t>
      </w:r>
      <w:r>
        <w:rPr>
          <w:rFonts w:ascii="Calibri" w:hAnsi="Calibri"/>
        </w:rPr>
        <w:t xml:space="preserve"> </w:t>
      </w:r>
      <w:r>
        <w:t>421 final din 16</w:t>
      </w:r>
      <w:r>
        <w:rPr>
          <w:rFonts w:ascii="Calibri" w:hAnsi="Calibri"/>
        </w:rPr>
        <w:t xml:space="preserve"> </w:t>
      </w:r>
      <w:r>
        <w:t xml:space="preserve">iulie 2025, </w:t>
      </w:r>
      <w:hyperlink r:id="rId8" w:history="1">
        <w:r w:rsidR="00D97581" w:rsidRPr="00765A89">
          <w:rPr>
            <w:rStyle w:val="Hyperlink"/>
          </w:rPr>
          <w:t>https://eur-lex.europa.eu/legal-content/RO/TXT/?uri=CELEX%3A52025DC0421&amp;qid=1778335917845</w:t>
        </w:r>
      </w:hyperlink>
      <w:r>
        <w:t>.</w:t>
      </w:r>
    </w:p>
  </w:footnote>
  <w:footnote w:id="15">
    <w:p w14:paraId="5C1403E1" w14:textId="77777777" w:rsidR="00D97581" w:rsidRDefault="0060377B">
      <w:pPr>
        <w:pStyle w:val="FootnoteText"/>
      </w:pPr>
      <w:r>
        <w:t>(</w:t>
      </w:r>
      <w:r>
        <w:rPr>
          <w:rStyle w:val="FootnoteReference"/>
        </w:rPr>
        <w:footnoteRef/>
      </w:r>
      <w:r>
        <w:t>)</w:t>
      </w:r>
      <w:r>
        <w:tab/>
        <w:t xml:space="preserve">Comisia Europeană: Direcția Generală Politică Regională și Urbană, „Fondul european pentru afaceri maritime, pescuit și acvacultură (FEAMPA)”, site-ul Comisiei Europene, </w:t>
      </w:r>
      <w:hyperlink r:id="rId9" w:anchor="realizări" w:history="1">
        <w:r w:rsidR="00D97581" w:rsidRPr="00765A89">
          <w:rPr>
            <w:rStyle w:val="Hyperlink"/>
          </w:rPr>
          <w:t>https://cohesiondata.ec.europa.eu/funds/emfaf/21-27#achievements</w:t>
        </w:r>
      </w:hyperlink>
      <w:r>
        <w:t>.</w:t>
      </w:r>
    </w:p>
  </w:footnote>
  <w:footnote w:id="16">
    <w:p w14:paraId="06E5B0AC" w14:textId="77777777" w:rsidR="00D97581" w:rsidRDefault="0060377B">
      <w:pPr>
        <w:pStyle w:val="FootnoteText"/>
      </w:pPr>
      <w:r>
        <w:t>(</w:t>
      </w:r>
      <w:r>
        <w:rPr>
          <w:rStyle w:val="FootnoteReference"/>
        </w:rPr>
        <w:footnoteRef/>
      </w:r>
      <w:r>
        <w:t>)</w:t>
      </w:r>
      <w:r>
        <w:tab/>
        <w:t>Comisia Europeană: Centrul Comun de Cercetare, „</w:t>
      </w:r>
      <w:r w:rsidRPr="00AC11E0">
        <w:rPr>
          <w:i/>
        </w:rPr>
        <w:t>2025 was EU’s most destructive wildfire season on record</w:t>
      </w:r>
      <w:r>
        <w:t xml:space="preserve">” (2025 a fost cel mai distructiv sezon de incendii de vegetație din UE înregistrat vreodată), site-ul Comisiei Europene, 31 martie 2026, </w:t>
      </w:r>
      <w:hyperlink r:id="rId10" w:history="1">
        <w:r w:rsidR="00D97581" w:rsidRPr="00765A89">
          <w:rPr>
            <w:rStyle w:val="Hyperlink"/>
          </w:rPr>
          <w:t>https://joint-research-centre.ec.europa.eu/jrc-news-and-updates/2025-was-eus-most-destructive-wildfire-season-record-2026-03-31_en</w:t>
        </w:r>
      </w:hyperlink>
      <w:r>
        <w:t>.</w:t>
      </w:r>
    </w:p>
  </w:footnote>
  <w:footnote w:id="17">
    <w:p w14:paraId="34B77979" w14:textId="77777777" w:rsidR="00D97581" w:rsidRDefault="0060377B">
      <w:pPr>
        <w:pStyle w:val="FootnoteText"/>
      </w:pPr>
      <w:r>
        <w:t>(</w:t>
      </w:r>
      <w:r>
        <w:rPr>
          <w:rStyle w:val="FootnoteReference"/>
        </w:rPr>
        <w:footnoteRef/>
      </w:r>
      <w:r>
        <w:t>)</w:t>
      </w:r>
      <w:r>
        <w:tab/>
        <w:t xml:space="preserve">Regulamentul (UE) 2026/467 al Parlamentului European și al Consiliului din 24 februarie 2026 de punere în aplicare a unei cooperări consolidate în ceea ce privește instituirea împrumutului pentru sprijinirea Ucrainei pentru 2026 și 2027 (JO L, 2026/467, 26.2.2026, ELI: </w:t>
      </w:r>
      <w:hyperlink r:id="rId11" w:history="1">
        <w:r w:rsidR="00D97581" w:rsidRPr="00765A89">
          <w:rPr>
            <w:rStyle w:val="Hyperlink"/>
          </w:rPr>
          <w:t>http://data.europa.eu/eli/reg/2026/467/oj</w:t>
        </w:r>
      </w:hyperlink>
      <w:r>
        <w:t>).</w:t>
      </w:r>
    </w:p>
  </w:footnote>
  <w:footnote w:id="18">
    <w:p w14:paraId="7DBBD944" w14:textId="77777777" w:rsidR="00D97581" w:rsidRDefault="0060377B">
      <w:pPr>
        <w:pStyle w:val="FootnoteText"/>
      </w:pPr>
      <w:r>
        <w:t>(*)</w:t>
      </w:r>
      <w:r>
        <w:tab/>
        <w:t>Această denumire nu aduce atingere pozițiilor privind statutul și este conformă cu RCSONU 1244/1999, precum și cu Avizul CIJ privind Declarația de independență a Kosovo.</w:t>
      </w:r>
    </w:p>
  </w:footnote>
  <w:footnote w:id="19">
    <w:p w14:paraId="2A8AFC64" w14:textId="77777777" w:rsidR="00D97581" w:rsidRDefault="0060377B">
      <w:pPr>
        <w:pStyle w:val="FootnoteText"/>
      </w:pPr>
      <w:r>
        <w:t>(</w:t>
      </w:r>
      <w:r>
        <w:rPr>
          <w:rStyle w:val="FootnoteReference"/>
        </w:rPr>
        <w:footnoteRef/>
      </w:r>
      <w:r>
        <w:t>)</w:t>
      </w:r>
      <w:r>
        <w:tab/>
        <w:t>Decizia de punere în aplicare a Comisiei din 30.9.2025 privind finanțarea măsurii speciale în favoarea Siriei pentru 2025, C(2025)</w:t>
      </w:r>
      <w:r>
        <w:rPr>
          <w:rFonts w:ascii="Calibri" w:hAnsi="Calibri"/>
        </w:rPr>
        <w:t xml:space="preserve"> </w:t>
      </w:r>
      <w:r>
        <w:t xml:space="preserve">6539 final, </w:t>
      </w:r>
      <w:hyperlink r:id="rId12" w:history="1">
        <w:r w:rsidR="00D97581" w:rsidRPr="00765A89">
          <w:rPr>
            <w:rStyle w:val="Hyperlink"/>
          </w:rPr>
          <w:t>https://north-africa-middle-east-gulf.ec.europa.eu/commission-implementing-decision-financing-special-measure-favour-syria-2025_en</w:t>
        </w:r>
      </w:hyperlink>
      <w:r>
        <w:t>.</w:t>
      </w:r>
    </w:p>
  </w:footnote>
  <w:footnote w:id="20">
    <w:p w14:paraId="31015761" w14:textId="77777777" w:rsidR="00D97581" w:rsidRDefault="0060377B">
      <w:pPr>
        <w:pStyle w:val="FootnoteText"/>
      </w:pPr>
      <w:r>
        <w:t>(</w:t>
      </w:r>
      <w:r>
        <w:rPr>
          <w:rStyle w:val="FootnoteReference"/>
        </w:rPr>
        <w:footnoteRef/>
      </w:r>
      <w:r>
        <w:t>)</w:t>
      </w:r>
      <w:r>
        <w:tab/>
        <w:t>Comisia Europeană: Direcția Generală Parteneriate Internaționale, „</w:t>
      </w:r>
      <w:r w:rsidRPr="00AC11E0">
        <w:rPr>
          <w:i/>
        </w:rPr>
        <w:t>Building WASH facilities in schools in Uganda</w:t>
      </w:r>
      <w:r>
        <w:t xml:space="preserve">” (Construirea de instalații WASH în școlile din Uganda), site-ul Comisiei Europene, </w:t>
      </w:r>
      <w:hyperlink r:id="rId13" w:history="1">
        <w:r w:rsidR="00D97581" w:rsidRPr="00765A89">
          <w:rPr>
            <w:rStyle w:val="Hyperlink"/>
          </w:rPr>
          <w:t>https://international-partnerships.ec.europa.eu/policies/global-gateway/building-wash-facilities-schools-uganda_en</w:t>
        </w:r>
      </w:hyperlink>
      <w:r>
        <w:t>.</w:t>
      </w:r>
    </w:p>
  </w:footnote>
  <w:footnote w:id="21">
    <w:p w14:paraId="1B81EFEB" w14:textId="77777777" w:rsidR="00D97581" w:rsidRDefault="0060377B">
      <w:pPr>
        <w:pStyle w:val="FootnoteText"/>
      </w:pPr>
      <w:r>
        <w:t>(</w:t>
      </w:r>
      <w:r>
        <w:rPr>
          <w:rStyle w:val="FootnoteReference"/>
        </w:rPr>
        <w:footnoteRef/>
      </w:r>
      <w:r>
        <w:t>)</w:t>
      </w:r>
      <w:r>
        <w:tab/>
        <w:t>Comisia Europeană: Direcția Generală Parteneriate Internaționale, „</w:t>
      </w:r>
      <w:r w:rsidRPr="00AC11E0">
        <w:rPr>
          <w:i/>
        </w:rPr>
        <w:t>AfricaConnect4 in sub-Saharan Africa</w:t>
      </w:r>
      <w:r>
        <w:t xml:space="preserve">” (AfricaConnect4 în Africa Subsahariană), site-ul Comisiei Europene, </w:t>
      </w:r>
      <w:hyperlink r:id="rId14" w:history="1">
        <w:r w:rsidR="00D97581" w:rsidRPr="00765A89">
          <w:rPr>
            <w:rStyle w:val="Hyperlink"/>
          </w:rPr>
          <w:t>https://international-partnerships.ec.europa.eu/policies/global-gateway/africaconnect4-sub-saharan-africa_en</w:t>
        </w:r>
      </w:hyperlink>
      <w:r>
        <w:t>.</w:t>
      </w:r>
    </w:p>
  </w:footnote>
  <w:footnote w:id="22">
    <w:p w14:paraId="62DDCF61" w14:textId="77777777" w:rsidR="00D97581" w:rsidRDefault="0060377B">
      <w:pPr>
        <w:pStyle w:val="FootnoteText"/>
      </w:pPr>
      <w:r>
        <w:t>(</w:t>
      </w:r>
      <w:r>
        <w:rPr>
          <w:rStyle w:val="FootnoteReference"/>
        </w:rPr>
        <w:footnoteRef/>
      </w:r>
      <w:r>
        <w:t>)</w:t>
      </w:r>
      <w:r>
        <w:tab/>
        <w:t>Această denumire nu trebuie interpretată ca o recunoaștere a statului Palestina și nu aduce atingere poziției fiecărui stat membru în parte pe această temă.</w:t>
      </w:r>
    </w:p>
  </w:footnote>
  <w:footnote w:id="23">
    <w:p w14:paraId="7269A13D" w14:textId="77777777" w:rsidR="00D97581" w:rsidRDefault="0060377B">
      <w:pPr>
        <w:pStyle w:val="FootnoteText"/>
        <w:rPr>
          <w:highlight w:val="lightGray"/>
        </w:rPr>
      </w:pPr>
      <w:r>
        <w:t>(</w:t>
      </w:r>
      <w:r>
        <w:rPr>
          <w:rStyle w:val="FootnoteReference"/>
        </w:rPr>
        <w:footnoteRef/>
      </w:r>
      <w:r>
        <w:t>)</w:t>
      </w:r>
      <w:r>
        <w:tab/>
        <w:t>Cifre bazate pe bugetul final adoptat al UE, NextGenerationEU și angajamentele puse din nou la dispoziție în conformitate cu articolul 15 alineatul (3) din Regulamentul financiar. Sprijinul acordat diferitelor priorități nu ar trebui agregat, deoarece, în unele cazuri, aceeași intervenție poate contribui la mai multe priorități.</w:t>
      </w:r>
    </w:p>
  </w:footnote>
  <w:footnote w:id="24">
    <w:p w14:paraId="595B9BAB" w14:textId="77777777" w:rsidR="00D97581" w:rsidRDefault="0060377B">
      <w:pPr>
        <w:pStyle w:val="FootnoteText"/>
        <w:rPr>
          <w:szCs w:val="18"/>
        </w:rPr>
      </w:pPr>
      <w:r>
        <w:t>(</w:t>
      </w:r>
      <w:r>
        <w:rPr>
          <w:rStyle w:val="FootnoteReference"/>
        </w:rPr>
        <w:footnoteRef/>
      </w:r>
      <w:r>
        <w:t>)</w:t>
      </w:r>
      <w:r>
        <w:tab/>
        <w:t>Comisia Europeană: Direcția Generală Afaceri Economice și Financiare și Secretariatul General, „</w:t>
      </w:r>
      <w:r w:rsidRPr="00AC11E0">
        <w:rPr>
          <w:i/>
        </w:rPr>
        <w:t>Recovery and resilience scoreboard</w:t>
      </w:r>
      <w:r>
        <w:t>” (Tabloul de bord privind redresarea și reziliența), site-ul Comisiei Europene, 9</w:t>
      </w:r>
      <w:r>
        <w:rPr>
          <w:rFonts w:ascii="Calibri" w:hAnsi="Calibri"/>
        </w:rPr>
        <w:t xml:space="preserve"> </w:t>
      </w:r>
      <w:r>
        <w:t xml:space="preserve">mai 2026, </w:t>
      </w:r>
      <w:hyperlink r:id="rId15" w:history="1">
        <w:r w:rsidR="00D97581" w:rsidRPr="00765A89">
          <w:rPr>
            <w:rStyle w:val="Hyperlink"/>
          </w:rPr>
          <w:t>https://ec.europa.eu/economy_finance/recovery-and-resilience-scoreboard/index.html</w:t>
        </w:r>
      </w:hyperlink>
      <w:r>
        <w:t>.</w:t>
      </w:r>
    </w:p>
  </w:footnote>
  <w:footnote w:id="25">
    <w:p w14:paraId="2A6FC85D" w14:textId="77777777" w:rsidR="00D97581" w:rsidRDefault="0060377B">
      <w:pPr>
        <w:pStyle w:val="FootnoteText"/>
      </w:pPr>
      <w:r>
        <w:t>(</w:t>
      </w:r>
      <w:r>
        <w:rPr>
          <w:rStyle w:val="FootnoteReference"/>
        </w:rPr>
        <w:footnoteRef/>
      </w:r>
      <w:r>
        <w:t>)</w:t>
      </w:r>
      <w:r>
        <w:tab/>
        <w:t xml:space="preserve">Comunicare a Comisiei către Parlamentul European, Consiliu, Banca Centrală Europeană, Comitetul Economic și Social European, Comitetul Regiunilor și Banca Europeană de Investiții, Semestrul european 2026 – pachetul de primăvară, COM(2026) 200 final din 3 iunie 2026, </w:t>
      </w:r>
      <w:hyperlink r:id="rId16" w:history="1">
        <w:r w:rsidR="00D97581" w:rsidRPr="00765A89">
          <w:rPr>
            <w:rStyle w:val="Hyperlink"/>
          </w:rPr>
          <w:t>https://eur-lex.europa.eu/legal-content/RO/TXT/?uri=COM%3A2026%3A200%3AFIN&amp;qid=1780494235578</w:t>
        </w:r>
      </w:hyperlink>
      <w:r>
        <w:t xml:space="preserve">. </w:t>
      </w:r>
    </w:p>
  </w:footnote>
  <w:footnote w:id="26">
    <w:p w14:paraId="1D665813" w14:textId="77777777" w:rsidR="00D97581" w:rsidRDefault="0060377B">
      <w:pPr>
        <w:pStyle w:val="FootnoteText"/>
        <w:rPr>
          <w:highlight w:val="lightGray"/>
        </w:rPr>
      </w:pPr>
      <w:r>
        <w:t>(</w:t>
      </w:r>
      <w:r>
        <w:rPr>
          <w:rStyle w:val="FootnoteReference"/>
        </w:rPr>
        <w:footnoteRef/>
      </w:r>
      <w:r>
        <w:t>)</w:t>
      </w:r>
      <w:r>
        <w:tab/>
        <w:t>Aceste informații se bazează pe datele raportate de statele membre în contextul raportării bianuale privind indicatorii comuni. Mai multe informații și date sunt disponibile în tabloul de bord privind redresarea și reziliența (a se vedea nota de subsol</w:t>
      </w:r>
      <w:r>
        <w:rPr>
          <w:rFonts w:ascii="Calibri" w:hAnsi="Calibri"/>
        </w:rPr>
        <w:t xml:space="preserve"> </w:t>
      </w:r>
      <w:r>
        <w:t>24).</w:t>
      </w:r>
    </w:p>
  </w:footnote>
  <w:footnote w:id="27">
    <w:p w14:paraId="7A4DA4E5" w14:textId="77777777" w:rsidR="00D97581" w:rsidRDefault="0060377B">
      <w:pPr>
        <w:pStyle w:val="FootnoteText"/>
      </w:pPr>
      <w:r>
        <w:t>(</w:t>
      </w:r>
      <w:r>
        <w:rPr>
          <w:rStyle w:val="FootnoteReference"/>
        </w:rPr>
        <w:footnoteRef/>
      </w:r>
      <w:r>
        <w:t>)</w:t>
      </w:r>
      <w:r>
        <w:tab/>
        <w:t>Acest indicator calculează numărul total de utilizări, nu numărul de indivizi unici.</w:t>
      </w:r>
    </w:p>
  </w:footnote>
  <w:footnote w:id="28">
    <w:p w14:paraId="0FBBD6C9" w14:textId="77777777" w:rsidR="00D97581" w:rsidRDefault="0060377B">
      <w:pPr>
        <w:pStyle w:val="FootnoteText"/>
      </w:pPr>
      <w:r>
        <w:t>(</w:t>
      </w:r>
      <w:r>
        <w:rPr>
          <w:rStyle w:val="FootnoteReference"/>
        </w:rPr>
        <w:footnoteRef/>
      </w:r>
      <w:r>
        <w:t>)</w:t>
      </w:r>
      <w:r>
        <w:tab/>
        <w:t>Această cifră indică costurile estimate pe baza metodologiei de marcare a pilonilor pentru tabloul de bord privind redresarea și reziliența (a se vedea nota de subsol</w:t>
      </w:r>
      <w:r>
        <w:rPr>
          <w:rFonts w:ascii="Calibri" w:hAnsi="Calibri"/>
        </w:rPr>
        <w:t xml:space="preserve"> </w:t>
      </w:r>
      <w:r>
        <w:t>24)</w:t>
      </w:r>
      <w:r>
        <w:rPr>
          <w:rFonts w:ascii="Calibri" w:hAnsi="Calibri"/>
        </w:rPr>
        <w:t xml:space="preserve"> </w:t>
      </w:r>
      <w:r>
        <w:t>și corespunde măsurilor alocate pilonului „tranziția verde” ca pilon de politică primar sau secundar.</w:t>
      </w:r>
    </w:p>
  </w:footnote>
  <w:footnote w:id="29">
    <w:p w14:paraId="342B9E95" w14:textId="77777777" w:rsidR="00D97581" w:rsidRDefault="0060377B">
      <w:pPr>
        <w:pStyle w:val="FootnoteText"/>
      </w:pPr>
      <w:r>
        <w:t>(</w:t>
      </w:r>
      <w:r>
        <w:rPr>
          <w:rStyle w:val="FootnoteReference"/>
        </w:rPr>
        <w:footnoteRef/>
      </w:r>
      <w:r>
        <w:t>)</w:t>
      </w:r>
      <w:r>
        <w:tab/>
        <w:t>Cu excepția cazului în care se prevede altfel, cifrele pentru energia din surse regenerabile și infrastructură prezentate în această analiză tematică se bazează pe metodologia de marcare a pilonilor pentru tabloul de bord privind redresarea și reziliența și corespund măsurilor alocate domeniului de politică „Energie din surse regenerabile &amp; Rețele” ca domeniu de politică primar sau secundar în septembrie 2025.</w:t>
      </w:r>
    </w:p>
  </w:footnote>
  <w:footnote w:id="30">
    <w:p w14:paraId="086F9180" w14:textId="77777777" w:rsidR="00D97581" w:rsidRDefault="0060377B">
      <w:pPr>
        <w:pStyle w:val="FootnoteText"/>
      </w:pPr>
      <w:r>
        <w:t>(</w:t>
      </w:r>
      <w:r>
        <w:rPr>
          <w:rStyle w:val="FootnoteReference"/>
        </w:rPr>
        <w:footnoteRef/>
      </w:r>
      <w:r>
        <w:t>)</w:t>
      </w:r>
      <w:r>
        <w:tab/>
        <w:t>Pe baza capacității totale de energie din surse regenerabile a UE-27 disponibile în statisticile IRENA din 2025 privind capacitatea de energie din surse regenerabile. Din 2021, în UE-27 au fost utilizați 191,33</w:t>
      </w:r>
      <w:r>
        <w:rPr>
          <w:rFonts w:ascii="Calibri" w:hAnsi="Calibri"/>
        </w:rPr>
        <w:t xml:space="preserve"> </w:t>
      </w:r>
      <w:r>
        <w:t>gigawați de energie din surse regenerabile.</w:t>
      </w:r>
    </w:p>
  </w:footnote>
  <w:footnote w:id="31">
    <w:p w14:paraId="3B2D8709" w14:textId="77777777" w:rsidR="00D97581" w:rsidRDefault="0060377B">
      <w:pPr>
        <w:pStyle w:val="FootnoteText"/>
      </w:pPr>
      <w:r>
        <w:t>(</w:t>
      </w:r>
      <w:r>
        <w:rPr>
          <w:rStyle w:val="FootnoteReference"/>
        </w:rPr>
        <w:footnoteRef/>
      </w:r>
      <w:r>
        <w:t>)</w:t>
      </w:r>
      <w:r>
        <w:tab/>
        <w:t>Conform Eurostat (2025), numărul de gospodării în funcție de componența gospodăriei.</w:t>
      </w:r>
    </w:p>
  </w:footnote>
  <w:footnote w:id="32">
    <w:p w14:paraId="5CA22C33" w14:textId="77777777" w:rsidR="00D97581" w:rsidRDefault="0060377B">
      <w:pPr>
        <w:pStyle w:val="FootnoteText"/>
      </w:pPr>
      <w:r>
        <w:t>(</w:t>
      </w:r>
      <w:r>
        <w:rPr>
          <w:rStyle w:val="FootnoteReference"/>
        </w:rPr>
        <w:footnoteRef/>
      </w:r>
      <w:r>
        <w:t>)</w:t>
      </w:r>
      <w:r>
        <w:tab/>
      </w:r>
      <w:r>
        <w:rPr>
          <w:rFonts w:asciiTheme="minorHAnsi" w:hAnsiTheme="minorHAnsi"/>
        </w:rPr>
        <w:t>Comunicare a Comisiei către Parlamentul European și Consiliu</w:t>
      </w:r>
      <w:r>
        <w:rPr>
          <w:rFonts w:ascii="Calibri" w:hAnsi="Calibri"/>
        </w:rPr>
        <w:t> –</w:t>
      </w:r>
      <w:r>
        <w:rPr>
          <w:rFonts w:asciiTheme="minorHAnsi" w:hAnsiTheme="minorHAnsi"/>
        </w:rPr>
        <w:t xml:space="preserve"> NextGenerationEU</w:t>
      </w:r>
      <w:r>
        <w:rPr>
          <w:rFonts w:ascii="Calibri" w:hAnsi="Calibri"/>
        </w:rPr>
        <w:t xml:space="preserve"> – </w:t>
      </w:r>
      <w:r>
        <w:rPr>
          <w:rFonts w:asciiTheme="minorHAnsi" w:hAnsiTheme="minorHAnsi"/>
        </w:rPr>
        <w:t>Calea către 2026, COM(2025)</w:t>
      </w:r>
      <w:r>
        <w:rPr>
          <w:rFonts w:ascii="Calibri" w:hAnsi="Calibri"/>
        </w:rPr>
        <w:t xml:space="preserve"> </w:t>
      </w:r>
      <w:r>
        <w:rPr>
          <w:rFonts w:asciiTheme="minorHAnsi" w:hAnsiTheme="minorHAnsi"/>
        </w:rPr>
        <w:t>310 final/2 din 4</w:t>
      </w:r>
      <w:r>
        <w:rPr>
          <w:rFonts w:ascii="Calibri" w:hAnsi="Calibri"/>
        </w:rPr>
        <w:t xml:space="preserve"> </w:t>
      </w:r>
      <w:r>
        <w:rPr>
          <w:rFonts w:asciiTheme="minorHAnsi" w:hAnsiTheme="minorHAnsi"/>
        </w:rPr>
        <w:t xml:space="preserve">iunie 2025, </w:t>
      </w:r>
      <w:hyperlink r:id="rId17" w:history="1">
        <w:r w:rsidR="00D97581" w:rsidRPr="00765A89">
          <w:rPr>
            <w:rStyle w:val="Hyperlink"/>
            <w:rFonts w:asciiTheme="minorHAnsi" w:hAnsiTheme="minorHAnsi"/>
          </w:rPr>
          <w:t>https://eur-lex.europa.eu/legal-content/RO/TXT/?uri=celex:52025DC0310</w:t>
        </w:r>
      </w:hyperlink>
      <w:r>
        <w:t>.</w:t>
      </w:r>
    </w:p>
  </w:footnote>
  <w:footnote w:id="33">
    <w:p w14:paraId="548688C0" w14:textId="77777777" w:rsidR="00D97581" w:rsidRDefault="0060377B">
      <w:pPr>
        <w:pStyle w:val="FootnoteText"/>
      </w:pPr>
      <w:r>
        <w:t>(</w:t>
      </w:r>
      <w:r>
        <w:rPr>
          <w:rStyle w:val="FootnoteReference"/>
        </w:rPr>
        <w:footnoteRef/>
      </w:r>
      <w:r>
        <w:t>)</w:t>
      </w:r>
      <w:r>
        <w:tab/>
        <w:t xml:space="preserve">Comisia Europeană: Direcția Generală Buget, </w:t>
      </w:r>
      <w:r w:rsidRPr="00AC11E0">
        <w:rPr>
          <w:i/>
        </w:rPr>
        <w:t xml:space="preserve">Green bonds – Impact and allocation report – NGEU report 2023 </w:t>
      </w:r>
      <w:r>
        <w:t xml:space="preserve">(Obligațiunile verzi - raport privind impactul și alocarea - raportul NEGEU pentru 2023), Oficiul pentru Publicații al Uniunii Europene, Luxemburg, 2023, </w:t>
      </w:r>
      <w:hyperlink r:id="rId18" w:history="1">
        <w:r w:rsidR="00D97581" w:rsidRPr="00765A89">
          <w:rPr>
            <w:rStyle w:val="Hyperlink"/>
          </w:rPr>
          <w:t>https://op.europa.eu/ro/publication-detail/-/publication/a07eed09-94b8-11ee-b164-01aa75ed71a1</w:t>
        </w:r>
      </w:hyperlink>
      <w:r>
        <w:t>.</w:t>
      </w:r>
    </w:p>
  </w:footnote>
  <w:footnote w:id="34">
    <w:p w14:paraId="483920FD" w14:textId="77777777" w:rsidR="00D97581" w:rsidRDefault="0060377B">
      <w:pPr>
        <w:pStyle w:val="FootnoteText"/>
      </w:pPr>
      <w:r>
        <w:t>(</w:t>
      </w:r>
      <w:r>
        <w:rPr>
          <w:rStyle w:val="FootnoteReference"/>
        </w:rPr>
        <w:footnoteRef/>
      </w:r>
      <w:r>
        <w:t>)</w:t>
      </w:r>
      <w:r>
        <w:tab/>
        <w:t xml:space="preserve">Comisia Europeană: Direcția Generală Buget, </w:t>
      </w:r>
      <w:r w:rsidRPr="00AC11E0">
        <w:rPr>
          <w:i/>
        </w:rPr>
        <w:t xml:space="preserve">NGEU Green Bonds Allocation and Impact Report 2025 </w:t>
      </w:r>
      <w:r>
        <w:t xml:space="preserve">(Obligațiunile verzi NGEU, Raport privind alocarea și impactul pentru 2025), Oficiul pentru Publicații al Uniunii Europene, Luxemburg, 2025, </w:t>
      </w:r>
      <w:hyperlink r:id="rId19" w:history="1">
        <w:r w:rsidR="00D97581" w:rsidRPr="00765A89">
          <w:rPr>
            <w:rStyle w:val="Hyperlink"/>
          </w:rPr>
          <w:t>https://op.europa.eu/ro/publication-detail/-/publication/1fbc79dc-dbbe-11f0-8da2-01aa75ed71a1/language-en</w:t>
        </w:r>
      </w:hyperlink>
      <w:r>
        <w:t>.</w:t>
      </w:r>
    </w:p>
  </w:footnote>
  <w:footnote w:id="35">
    <w:p w14:paraId="52B371AF" w14:textId="77777777" w:rsidR="00D97581" w:rsidRDefault="0060377B">
      <w:pPr>
        <w:pStyle w:val="FootnoteText"/>
      </w:pPr>
      <w:r>
        <w:t>(</w:t>
      </w:r>
      <w:r>
        <w:rPr>
          <w:rStyle w:val="FootnoteReference"/>
        </w:rPr>
        <w:footnoteRef/>
      </w:r>
      <w:r>
        <w:t>)</w:t>
      </w:r>
      <w:r>
        <w:tab/>
        <w:t>Termenul „ordonatori de credite delegați” se referă la directorii generali ai serviciilor Comisiei și la șefii agențiilor executive, ai oficiilor, ai serviciilor, ai grupurilor operative etc. Articolul</w:t>
      </w:r>
      <w:r>
        <w:rPr>
          <w:rFonts w:ascii="Calibri" w:hAnsi="Calibri"/>
        </w:rPr>
        <w:t> </w:t>
      </w:r>
      <w:r>
        <w:t>74 alineatul (1) din Regulamentul financiar prevede că „[î]n instituția Uniunii în cauză, ordonatorul de credite răspunde de execuția veniturilor și a cheltuielilor în conformitate cu principiul bunei gestiuni financiare, inclusiv prin asigurarea raportării privind performanța, și de asigurarea respectării cerințelor de legalitate și regularitate și de egalitate de tratament al destinatarilor”.</w:t>
      </w:r>
    </w:p>
  </w:footnote>
  <w:footnote w:id="36">
    <w:p w14:paraId="491D365E" w14:textId="77777777" w:rsidR="00D97581" w:rsidRDefault="0060377B">
      <w:pPr>
        <w:pStyle w:val="FootnoteText"/>
      </w:pPr>
      <w:r>
        <w:t>(</w:t>
      </w:r>
      <w:r>
        <w:rPr>
          <w:rStyle w:val="FootnoteReference"/>
        </w:rPr>
        <w:footnoteRef/>
      </w:r>
      <w:r>
        <w:t>)</w:t>
      </w:r>
      <w:r>
        <w:tab/>
        <w:t>Raport al Comisiei către Consiliu și Parlamentul European</w:t>
      </w:r>
      <w:r>
        <w:rPr>
          <w:rFonts w:ascii="Calibri" w:hAnsi="Calibri"/>
        </w:rPr>
        <w:t xml:space="preserve"> </w:t>
      </w:r>
      <w:r>
        <w:t>– Al 36-lea raport anual privind protejarea intereselor financiare ale Uniunii Europene și combaterea fraudei</w:t>
      </w:r>
      <w:r>
        <w:rPr>
          <w:rFonts w:ascii="Calibri" w:hAnsi="Calibri"/>
        </w:rPr>
        <w:t xml:space="preserve"> </w:t>
      </w:r>
      <w:r>
        <w:t>– 2024, COM(2025)</w:t>
      </w:r>
      <w:r>
        <w:rPr>
          <w:rFonts w:ascii="Calibri" w:hAnsi="Calibri"/>
        </w:rPr>
        <w:t xml:space="preserve"> </w:t>
      </w:r>
      <w:r>
        <w:t>426 final din 25</w:t>
      </w:r>
      <w:r>
        <w:rPr>
          <w:rFonts w:ascii="Calibri" w:hAnsi="Calibri"/>
        </w:rPr>
        <w:t xml:space="preserve"> </w:t>
      </w:r>
      <w:r>
        <w:t xml:space="preserve">iulie 2025, </w:t>
      </w:r>
      <w:hyperlink r:id="rId20" w:history="1">
        <w:r w:rsidR="00D97581" w:rsidRPr="00765A89">
          <w:rPr>
            <w:rStyle w:val="Hyperlink"/>
          </w:rPr>
          <w:t>https://eur-lex.europa.eu/legal-content/RO/TXT/?uri=celex:52025DC0426</w:t>
        </w:r>
      </w:hyperlink>
      <w:r>
        <w:t>.</w:t>
      </w:r>
    </w:p>
  </w:footnote>
  <w:footnote w:id="37">
    <w:p w14:paraId="00BB8E4B" w14:textId="77777777" w:rsidR="00D97581" w:rsidRDefault="0060377B">
      <w:pPr>
        <w:pStyle w:val="FootnoteText"/>
      </w:pPr>
      <w:r>
        <w:t>(</w:t>
      </w:r>
      <w:r>
        <w:rPr>
          <w:rStyle w:val="FootnoteReference"/>
        </w:rPr>
        <w:footnoteRef/>
      </w:r>
      <w:r>
        <w:t>)</w:t>
      </w:r>
      <w:r>
        <w:tab/>
        <w:t xml:space="preserve">Regulamentul (UE, Euratom) 2023/2841 al Parlamentului European și al Consiliului din 13 decembrie 2023 privind măsuri pentru un nivel comun ridicat de securitate cibernetică în instituțiile, organele, oficiile și agențiile Uniunii, JO L, 2023/2841, 18.12.2023, ELI: </w:t>
      </w:r>
      <w:hyperlink r:id="rId21" w:history="1">
        <w:r w:rsidR="00D97581" w:rsidRPr="00765A89">
          <w:rPr>
            <w:rStyle w:val="Hyperlink"/>
          </w:rPr>
          <w:t>http://data.europa.eu/eli/reg/2023/2841/oj</w:t>
        </w:r>
      </w:hyperlink>
      <w:r>
        <w:t>), care a intrat în vigoare în ianuarie 2024.</w:t>
      </w:r>
    </w:p>
  </w:footnote>
  <w:footnote w:id="38">
    <w:p w14:paraId="364E7411" w14:textId="77777777" w:rsidR="00D97581" w:rsidRDefault="0060377B">
      <w:pPr>
        <w:pStyle w:val="FootnoteText"/>
      </w:pPr>
      <w:r>
        <w:t>(</w:t>
      </w:r>
      <w:r>
        <w:rPr>
          <w:rStyle w:val="FootnoteReference"/>
        </w:rPr>
        <w:footnoteRef/>
      </w:r>
      <w:r>
        <w:t>)</w:t>
      </w:r>
      <w:r>
        <w:tab/>
        <w:t>Organisme de certificare pentru agricultură.</w:t>
      </w:r>
    </w:p>
  </w:footnote>
  <w:footnote w:id="39">
    <w:p w14:paraId="7AC77914" w14:textId="77777777" w:rsidR="00D97581" w:rsidRDefault="0060377B">
      <w:pPr>
        <w:pStyle w:val="FootnoteText"/>
      </w:pPr>
      <w:r>
        <w:t>(</w:t>
      </w:r>
      <w:r>
        <w:rPr>
          <w:rStyle w:val="FootnoteReference"/>
        </w:rPr>
        <w:footnoteRef/>
      </w:r>
      <w:r>
        <w:t>)</w:t>
      </w:r>
      <w:r>
        <w:tab/>
        <w:t>Mecanismul de reformă și creștere pentru Republica Moldova, Mecanismul pentru Ucraina și Mecanismul de reformă și creștere pentru Balcanii de Vest.</w:t>
      </w:r>
    </w:p>
  </w:footnote>
  <w:footnote w:id="40">
    <w:p w14:paraId="517CF5D1" w14:textId="77777777" w:rsidR="00D97581" w:rsidRDefault="0060377B">
      <w:pPr>
        <w:pStyle w:val="FootnoteText"/>
      </w:pPr>
      <w:r>
        <w:t>(</w:t>
      </w:r>
      <w:r>
        <w:rPr>
          <w:rStyle w:val="FootnoteReference"/>
        </w:rPr>
        <w:footnoteRef/>
      </w:r>
      <w:r>
        <w:t>)</w:t>
      </w:r>
      <w:r>
        <w:tab/>
        <w:t>În 2025, plățile au constat în împrumuturi acordate tuturor mecanismelor, din operațiunile de împrumut ale Comisiei, și în finanțare nerambursabilă, numai a Ucrainei, de la bugetul UE.</w:t>
      </w:r>
    </w:p>
  </w:footnote>
  <w:footnote w:id="41">
    <w:p w14:paraId="41EF2F03" w14:textId="77777777" w:rsidR="00D97581" w:rsidRDefault="0060377B">
      <w:pPr>
        <w:pStyle w:val="FootnoteText"/>
      </w:pPr>
      <w:r>
        <w:t>(</w:t>
      </w:r>
      <w:r>
        <w:rPr>
          <w:rStyle w:val="FootnoteReference"/>
        </w:rPr>
        <w:footnoteRef/>
      </w:r>
      <w:r>
        <w:t>)</w:t>
      </w:r>
      <w:r>
        <w:tab/>
        <w:t>Pentru rubrica Coeziune, reziliență și valori, care este mai amplă decât coeziunea, riscul la momentul plății este de 2,3 %. Numai pentru coeziune, a se vedea și volumul III, anexa 5, tabelul B, aceasta este de 2,71 %.</w:t>
      </w:r>
    </w:p>
  </w:footnote>
  <w:footnote w:id="42">
    <w:p w14:paraId="0FEB6900" w14:textId="77777777" w:rsidR="00D97581" w:rsidRDefault="0060377B">
      <w:pPr>
        <w:pStyle w:val="FootnoteText"/>
      </w:pPr>
      <w:r>
        <w:t>(</w:t>
      </w:r>
      <w:r>
        <w:rPr>
          <w:rStyle w:val="FootnoteReference"/>
        </w:rPr>
        <w:footnoteRef/>
      </w:r>
      <w:r>
        <w:t>)</w:t>
      </w:r>
      <w:r>
        <w:tab/>
        <w:t>În 2025 au fost formulate rezerve pentru politica de coeziune în legătură cu 68 de programe din 17 state membre și din Regatul Unit, atât pentru perioada de programare 2014-2020, cât și pentru perioada de programare 2021-2027.</w:t>
      </w:r>
    </w:p>
  </w:footnote>
  <w:footnote w:id="43">
    <w:p w14:paraId="5527CF7C" w14:textId="77777777" w:rsidR="00D97581" w:rsidRDefault="0060377B">
      <w:pPr>
        <w:pStyle w:val="FootnoteText"/>
        <w:rPr>
          <w:highlight w:val="yellow"/>
        </w:rPr>
      </w:pPr>
      <w:r>
        <w:t>(</w:t>
      </w:r>
      <w:r>
        <w:rPr>
          <w:rStyle w:val="FootnoteReference"/>
        </w:rPr>
        <w:footnoteRef/>
      </w:r>
      <w:r>
        <w:t>)</w:t>
      </w:r>
      <w:r>
        <w:tab/>
        <w:t>În 2025, în ceea ce privește cheltuielile din cadrul noului model bazat pe performanță, 82 de intervenții din 34 de agenții de plăți din 25 de state membre fac obiectul unor rezerve.</w:t>
      </w:r>
    </w:p>
  </w:footnote>
  <w:footnote w:id="44">
    <w:p w14:paraId="734FA182" w14:textId="77777777" w:rsidR="00D97581" w:rsidRDefault="0060377B">
      <w:pPr>
        <w:pStyle w:val="FootnoteText"/>
      </w:pPr>
      <w:r>
        <w:t>(</w:t>
      </w:r>
      <w:r>
        <w:rPr>
          <w:rStyle w:val="FootnoteReference"/>
        </w:rPr>
        <w:footnoteRef/>
      </w:r>
      <w:r>
        <w:t>)</w:t>
      </w:r>
      <w:r>
        <w:tab/>
        <w:t>A se vedea anexa 2, secțiunea 3.2 „Activitatea Serviciului de Audit Intern și concluzia generală a acestuia”.</w:t>
      </w:r>
    </w:p>
  </w:footnote>
  <w:footnote w:id="45">
    <w:p w14:paraId="50F3F3C8" w14:textId="77777777" w:rsidR="00D97581" w:rsidRDefault="0060377B">
      <w:pPr>
        <w:pStyle w:val="FootnoteText"/>
        <w:rPr>
          <w:szCs w:val="18"/>
        </w:rPr>
      </w:pPr>
      <w:r>
        <w:t>(</w:t>
      </w:r>
      <w:r>
        <w:rPr>
          <w:rStyle w:val="FootnoteReference"/>
        </w:rPr>
        <w:footnoteRef/>
      </w:r>
      <w:r>
        <w:t>)</w:t>
      </w:r>
      <w:r>
        <w:tab/>
      </w:r>
      <w:hyperlink r:id="rId22" w:history="1">
        <w:r w:rsidR="00D97581" w:rsidRPr="00765A89">
          <w:rPr>
            <w:rStyle w:val="Hyperlink"/>
          </w:rPr>
          <w:t>https://kohesio.eu/</w:t>
        </w:r>
      </w:hyperlink>
      <w:r>
        <w:t>.</w:t>
      </w:r>
    </w:p>
  </w:footnote>
  <w:footnote w:id="46">
    <w:p w14:paraId="39DC2DBA" w14:textId="77777777" w:rsidR="00D97581" w:rsidRDefault="0060377B">
      <w:pPr>
        <w:pStyle w:val="FootnoteText"/>
      </w:pPr>
      <w:r>
        <w:t>(</w:t>
      </w:r>
      <w:r>
        <w:rPr>
          <w:rStyle w:val="FootnoteReference"/>
        </w:rPr>
        <w:footnoteRef/>
      </w:r>
      <w:r>
        <w:t>)</w:t>
      </w:r>
      <w:r>
        <w:tab/>
        <w:t>Regulamentul (UE) 2021/241 al Parlamentului European și al Consiliului din 12 februarie 2021 de instituire a Mecanismului de redresare și reziliență (JO L</w:t>
      </w:r>
      <w:r>
        <w:rPr>
          <w:rFonts w:ascii="Calibri" w:hAnsi="Calibri"/>
        </w:rPr>
        <w:t xml:space="preserve"> </w:t>
      </w:r>
      <w:r>
        <w:t>57, 18.2.2021, p.</w:t>
      </w:r>
      <w:r>
        <w:rPr>
          <w:rFonts w:ascii="Calibri" w:hAnsi="Calibri"/>
        </w:rPr>
        <w:t> </w:t>
      </w:r>
      <w:r>
        <w:t>17, ELI:</w:t>
      </w:r>
      <w:r>
        <w:rPr>
          <w:rFonts w:ascii="Calibri" w:hAnsi="Calibri"/>
        </w:rPr>
        <w:t xml:space="preserve"> </w:t>
      </w:r>
      <w:hyperlink r:id="rId23" w:tooltip="Oferă acces la acest document prin identificatorul său uniform de resurse ELI." w:history="1">
        <w:r w:rsidR="00D97581" w:rsidRPr="00765A89">
          <w:rPr>
            <w:rStyle w:val="Hyperlink"/>
          </w:rPr>
          <w:t>http://data.europa.eu/eli/reg/2021/241/oj</w:t>
        </w:r>
      </w:hyperlink>
      <w:r>
        <w:t>).</w:t>
      </w:r>
    </w:p>
  </w:footnote>
  <w:footnote w:id="47">
    <w:p w14:paraId="4ED30BE4" w14:textId="77777777" w:rsidR="00D97581" w:rsidRDefault="0060377B">
      <w:pPr>
        <w:pStyle w:val="FootnoteText"/>
      </w:pPr>
      <w:r>
        <w:t>(</w:t>
      </w:r>
      <w:r>
        <w:rPr>
          <w:rStyle w:val="FootnoteReference"/>
        </w:rPr>
        <w:footnoteRef/>
      </w:r>
      <w:r>
        <w:t>)</w:t>
      </w:r>
      <w:r>
        <w:tab/>
        <w:t>Zece jaloane și ținte de audit și control au fost adăugate în șapte planuri de redresare și reziliență revizuite în 2023 și unul în 2025.</w:t>
      </w:r>
    </w:p>
  </w:footnote>
  <w:footnote w:id="48">
    <w:p w14:paraId="117C0312" w14:textId="77777777" w:rsidR="00D97581" w:rsidRDefault="0060377B">
      <w:pPr>
        <w:pStyle w:val="FootnoteText"/>
      </w:pPr>
      <w:r>
        <w:t>(</w:t>
      </w:r>
      <w:r>
        <w:rPr>
          <w:rStyle w:val="FootnoteReference"/>
        </w:rPr>
        <w:footnoteRef/>
      </w:r>
      <w:r>
        <w:t>)</w:t>
      </w:r>
      <w:r>
        <w:tab/>
        <w:t xml:space="preserve">În ceea ce privește </w:t>
      </w:r>
      <w:r>
        <w:rPr>
          <w:color w:val="000000" w:themeColor="text1"/>
        </w:rPr>
        <w:t>Irlanda, Spania, Franța, Polonia, Finlanda și Suedia.</w:t>
      </w:r>
    </w:p>
  </w:footnote>
  <w:footnote w:id="49">
    <w:p w14:paraId="5D8E89D3" w14:textId="77777777" w:rsidR="00D97581" w:rsidRDefault="0060377B">
      <w:pPr>
        <w:pStyle w:val="FootnoteText"/>
      </w:pPr>
      <w:r>
        <w:t>(</w:t>
      </w:r>
      <w:r>
        <w:rPr>
          <w:rStyle w:val="FootnoteReference"/>
        </w:rPr>
        <w:footnoteRef/>
      </w:r>
      <w:r>
        <w:t>)</w:t>
      </w:r>
      <w:r>
        <w:tab/>
        <w:t>În evaluarea sa, Comisia păstrează o marjă de apreciere în ceea ce privește un număr limitat de circumstanțe în care pot fi acceptate abateri minime legate de cuantumuri, cerințe formale, calendar sau fond.</w:t>
      </w:r>
    </w:p>
  </w:footnote>
  <w:footnote w:id="50">
    <w:p w14:paraId="404A5E03" w14:textId="77777777" w:rsidR="00D97581" w:rsidRDefault="0060377B">
      <w:pPr>
        <w:pStyle w:val="FootnoteText"/>
        <w:rPr>
          <w:highlight w:val="green"/>
        </w:rPr>
      </w:pPr>
      <w:r>
        <w:t>(</w:t>
      </w:r>
      <w:r>
        <w:rPr>
          <w:rStyle w:val="FootnoteReference"/>
        </w:rPr>
        <w:footnoteRef/>
      </w:r>
      <w:r>
        <w:t>)</w:t>
      </w:r>
      <w:r>
        <w:tab/>
        <w:t>România (șase jaloane și ținte,</w:t>
      </w:r>
      <w:r>
        <w:rPr>
          <w:rFonts w:ascii="Calibri" w:hAnsi="Calibri"/>
        </w:rPr>
        <w:t xml:space="preserve"> </w:t>
      </w:r>
      <w:r>
        <w:t>869,8</w:t>
      </w:r>
      <w:r>
        <w:rPr>
          <w:rFonts w:ascii="Calibri" w:hAnsi="Calibri"/>
        </w:rPr>
        <w:t xml:space="preserve"> </w:t>
      </w:r>
      <w:r>
        <w:t>milioane EUR), Spania (două jaloane și ținte,</w:t>
      </w:r>
      <w:r>
        <w:rPr>
          <w:rFonts w:ascii="Calibri" w:hAnsi="Calibri"/>
        </w:rPr>
        <w:t xml:space="preserve"> </w:t>
      </w:r>
      <w:r>
        <w:t>500,3</w:t>
      </w:r>
      <w:r>
        <w:rPr>
          <w:rFonts w:ascii="Calibri" w:hAnsi="Calibri"/>
        </w:rPr>
        <w:t xml:space="preserve"> </w:t>
      </w:r>
      <w:r>
        <w:t>milioane EUR), Bulgaria (trei jaloane și ținte,</w:t>
      </w:r>
      <w:r>
        <w:rPr>
          <w:rFonts w:ascii="Calibri" w:hAnsi="Calibri"/>
        </w:rPr>
        <w:t xml:space="preserve"> </w:t>
      </w:r>
      <w:r>
        <w:t>367,4</w:t>
      </w:r>
      <w:r>
        <w:rPr>
          <w:rFonts w:ascii="Calibri" w:hAnsi="Calibri"/>
        </w:rPr>
        <w:t xml:space="preserve"> </w:t>
      </w:r>
      <w:r>
        <w:t>milioane EUR). În conformitate cu metodologia adoptată în februarie 2023 în Comunicarea Comisiei către Parlamentul European și Consiliu – Mecanismul de redresare și reziliență: situația după doi ani - Un instrument unic aflat în centrul transformării verzi și digitale a UE, COM(2023)</w:t>
      </w:r>
      <w:r>
        <w:rPr>
          <w:rFonts w:ascii="Calibri" w:hAnsi="Calibri"/>
        </w:rPr>
        <w:t xml:space="preserve"> </w:t>
      </w:r>
      <w:r>
        <w:t>99 final, 21</w:t>
      </w:r>
      <w:r>
        <w:rPr>
          <w:rFonts w:ascii="Calibri" w:hAnsi="Calibri"/>
        </w:rPr>
        <w:t xml:space="preserve"> </w:t>
      </w:r>
      <w:r>
        <w:t xml:space="preserve">februarie 2023, </w:t>
      </w:r>
      <w:hyperlink r:id="rId24" w:history="1">
        <w:r w:rsidR="00D97581" w:rsidRPr="00765A89">
          <w:rPr>
            <w:rStyle w:val="Hyperlink"/>
          </w:rPr>
          <w:t>https://eur-lex.europa.eu/legal-content/RO/TXT/?uri=CELEX%3A52023DC0099</w:t>
        </w:r>
      </w:hyperlink>
      <w:r>
        <w:t>.</w:t>
      </w:r>
    </w:p>
  </w:footnote>
  <w:footnote w:id="51">
    <w:p w14:paraId="00056452" w14:textId="77777777" w:rsidR="00D97581" w:rsidRDefault="0060377B">
      <w:pPr>
        <w:pStyle w:val="FootnoteText"/>
        <w:rPr>
          <w:highlight w:val="lightGray"/>
        </w:rPr>
      </w:pPr>
      <w:r>
        <w:t>(</w:t>
      </w:r>
      <w:r>
        <w:rPr>
          <w:rStyle w:val="FootnoteReference"/>
        </w:rPr>
        <w:footnoteRef/>
      </w:r>
      <w:r>
        <w:t>)</w:t>
      </w:r>
      <w:r>
        <w:tab/>
        <w:t>În 2025, Comisia a efectuat 23 de audituri privind jaloanele și țintele (unele dintre acestea au fost combinate și cu audituri de sistem). Aceste audituri se efectuează prin raportare la riscuri, acoperind de obicei 100 % din jaloanele și țintele cu grad de risc ridicat, împreună cu unele jaloane și ținte cu risc mediu.</w:t>
      </w:r>
    </w:p>
  </w:footnote>
  <w:footnote w:id="52">
    <w:p w14:paraId="69E65F59" w14:textId="77777777" w:rsidR="00D97581" w:rsidRDefault="0060377B">
      <w:pPr>
        <w:pStyle w:val="FootnoteText"/>
      </w:pPr>
      <w:r>
        <w:t>(</w:t>
      </w:r>
      <w:r>
        <w:rPr>
          <w:rStyle w:val="FootnoteReference"/>
        </w:rPr>
        <w:footnoteRef/>
      </w:r>
      <w:r>
        <w:t>)</w:t>
      </w:r>
      <w:r>
        <w:tab/>
        <w:t>Pentru a 3-a plată către Polonia, a fost introdusă o rezervă financiară cu un impact financiar în valoare de 326,1 milioane EUR, reprezentând 0,72 % din cuantumul total al sprijinului nerambursabil plătit în 2025.</w:t>
      </w:r>
    </w:p>
  </w:footnote>
  <w:footnote w:id="53">
    <w:p w14:paraId="45E4D710" w14:textId="77777777" w:rsidR="00D97581" w:rsidRDefault="0060377B">
      <w:pPr>
        <w:pStyle w:val="FootnoteText"/>
      </w:pPr>
      <w:r>
        <w:t>(</w:t>
      </w:r>
      <w:r>
        <w:rPr>
          <w:rStyle w:val="FootnoteReference"/>
        </w:rPr>
        <w:footnoteRef/>
      </w:r>
      <w:r>
        <w:t>)</w:t>
      </w:r>
      <w:r>
        <w:tab/>
        <w:t xml:space="preserve">Cazuri de conflicte de interese detectate în cursul auditurilor din 2024, cu un impact financiar în valoare de 16,85 </w:t>
      </w:r>
      <w:r>
        <w:rPr>
          <w:rFonts w:ascii="Calibri" w:hAnsi="Calibri"/>
        </w:rPr>
        <w:t xml:space="preserve">milioane </w:t>
      </w:r>
      <w:r>
        <w:t xml:space="preserve">EUR, reprezentând 0,04 % din cuantumul total al sprijinului nerambursabil plătit în 2025. </w:t>
      </w:r>
    </w:p>
  </w:footnote>
  <w:footnote w:id="54">
    <w:p w14:paraId="771B6091" w14:textId="77777777" w:rsidR="00D97581" w:rsidRDefault="0060377B">
      <w:pPr>
        <w:pStyle w:val="FootnoteText"/>
      </w:pPr>
      <w:r>
        <w:t>(</w:t>
      </w:r>
      <w:r>
        <w:rPr>
          <w:rStyle w:val="FootnoteReference"/>
        </w:rPr>
        <w:footnoteRef/>
      </w:r>
      <w:r>
        <w:t>)</w:t>
      </w:r>
      <w:r>
        <w:tab/>
        <w:t>Regulamentul (UE, Euratom) 2020/2092 al Parlamentului European și al Consiliului din 16 decembrie 2020 privind un regim general de condiționalitate pentru protecția bugetului Uniunii, JO L</w:t>
      </w:r>
      <w:r>
        <w:rPr>
          <w:rFonts w:ascii="Calibri" w:hAnsi="Calibri"/>
        </w:rPr>
        <w:t> </w:t>
      </w:r>
      <w:r>
        <w:t xml:space="preserve">433I, 22.12.2020, ELI: </w:t>
      </w:r>
      <w:hyperlink r:id="rId25" w:history="1">
        <w:r w:rsidR="00D97581" w:rsidRPr="00765A89">
          <w:rPr>
            <w:rStyle w:val="Hyperlink"/>
          </w:rPr>
          <w:t>http://data.europa.eu/eli/reg/2020/2092/oj</w:t>
        </w:r>
      </w:hyperlink>
      <w:r>
        <w:t>).</w:t>
      </w:r>
    </w:p>
  </w:footnote>
  <w:footnote w:id="55">
    <w:p w14:paraId="7054A01F" w14:textId="77777777" w:rsidR="00D97581" w:rsidRDefault="0060377B">
      <w:pPr>
        <w:pStyle w:val="FootnoteText"/>
      </w:pPr>
      <w:r>
        <w:t>(</w:t>
      </w:r>
      <w:r>
        <w:rPr>
          <w:rStyle w:val="FootnoteReference"/>
        </w:rPr>
        <w:footnoteRef/>
      </w:r>
      <w:r>
        <w:t>)</w:t>
      </w:r>
      <w:r>
        <w:tab/>
        <w:t xml:space="preserve">Regulamentul (UE) 2021/241 al Parlamentului European și al Consiliului din 12 februarie 2021 de instituire a Mecanismului de redresare și reziliență, JO L 57, 18.2.2021, ELI: </w:t>
      </w:r>
      <w:hyperlink r:id="rId26" w:history="1">
        <w:r w:rsidR="00D97581" w:rsidRPr="00765A89">
          <w:rPr>
            <w:rStyle w:val="Hyperlink"/>
          </w:rPr>
          <w:t>http://data.europa.eu/eli/reg/2021/241/oj</w:t>
        </w:r>
      </w:hyperlink>
      <w:r>
        <w:t>).</w:t>
      </w:r>
    </w:p>
  </w:footnote>
  <w:footnote w:id="56">
    <w:p w14:paraId="798FB26E" w14:textId="77777777" w:rsidR="00D97581" w:rsidRDefault="0060377B">
      <w:pPr>
        <w:pStyle w:val="FootnoteText"/>
      </w:pPr>
      <w:r>
        <w:t>(</w:t>
      </w:r>
      <w:r>
        <w:rPr>
          <w:rStyle w:val="FootnoteReference"/>
        </w:rPr>
        <w:footnoteRef/>
      </w:r>
      <w:r>
        <w:t>)</w:t>
      </w:r>
      <w:r>
        <w:tab/>
        <w:t xml:space="preserve">Regulamentul (UE) 2021/1060 al Parlamentului European și al Consiliului din 24 iunie 2021 de stabilire a dispozițiilor comune privind Fondul european de dezvoltare regională, Fondul social european Plus, Fondul de coeziune, Fondul pentru o tranziție justă și Fondul european pentru afaceri maritime, pescuit și acvacultură și de stabilire a normelor financiare aplicabile acestor fonduri, precum și Fondului pentru azil, migrație și integrare, Fondului pentru securitate internă și Instrumentului de sprijin financiar pentru managementul frontierelor și politica de vize, JO L 231, 30.6.2021, ELI: </w:t>
      </w:r>
      <w:hyperlink r:id="rId27" w:history="1">
        <w:r w:rsidR="00D97581" w:rsidRPr="00765A89">
          <w:rPr>
            <w:rStyle w:val="Hyperlink"/>
          </w:rPr>
          <w:t>http://data.europa.eu/eli/reg/2021/1060/oj</w:t>
        </w:r>
      </w:hyperlink>
      <w:r>
        <w:t>).</w:t>
      </w:r>
    </w:p>
  </w:footnote>
  <w:footnote w:id="57">
    <w:p w14:paraId="18BD18D4" w14:textId="77777777" w:rsidR="00D97581" w:rsidRDefault="0060377B">
      <w:pPr>
        <w:pStyle w:val="FootnoteText"/>
      </w:pPr>
      <w:r>
        <w:t>(</w:t>
      </w:r>
      <w:r>
        <w:rPr>
          <w:rStyle w:val="FootnoteReference"/>
        </w:rPr>
        <w:footnoteRef/>
      </w:r>
      <w:r>
        <w:t>)</w:t>
      </w:r>
      <w:r>
        <w:tab/>
        <w:t xml:space="preserve">Decizia de punere în aplicare (UE) 2022/2506 a Consiliului din 15 decembrie 2022 privind măsurile de protecție a bugetului Uniunii împotriva încălcărilor principiilor statului de drept în Ungaria (JO L 325, 20.12.2022, ELI: </w:t>
      </w:r>
      <w:hyperlink r:id="rId28" w:history="1">
        <w:r w:rsidR="00D97581" w:rsidRPr="00765A89">
          <w:rPr>
            <w:rStyle w:val="Hyperlink"/>
          </w:rPr>
          <w:t>http://data.europa.eu/eli/dec_impl/2022/2506/oj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547ED7" w14:textId="77777777" w:rsidR="008C2729" w:rsidRPr="008C2729" w:rsidRDefault="008C2729" w:rsidP="008C2729">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2E33B1" w14:textId="77777777" w:rsidR="008C2729" w:rsidRPr="008C2729" w:rsidRDefault="008C2729" w:rsidP="008C2729">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6DC5FF" w14:textId="77777777" w:rsidR="008C2729" w:rsidRPr="008C2729" w:rsidRDefault="008C2729" w:rsidP="008C2729">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C5DAA1" w14:textId="77777777" w:rsidR="00D97581" w:rsidRDefault="00D9758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343AA2" w14:textId="77777777" w:rsidR="00D97581" w:rsidRDefault="00D9758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CF5BAB" w14:textId="77777777" w:rsidR="00D97581" w:rsidRDefault="00D9758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5F8D20" w14:textId="77777777" w:rsidR="00D97581" w:rsidRDefault="0060377B">
    <w:pPr>
      <w:pStyle w:val="amprHeader-Left"/>
    </w:pPr>
    <w:r>
      <w:rPr>
        <w:noProof/>
        <w:lang w:val="en-GB" w:eastAsia="en-GB"/>
      </w:rPr>
      <mc:AlternateContent>
        <mc:Choice Requires="wps">
          <w:drawing>
            <wp:anchor distT="0" distB="0" distL="114300" distR="114300" simplePos="0" relativeHeight="251658240" behindDoc="0" locked="1" layoutInCell="1" allowOverlap="1" wp14:anchorId="05B70A3C" wp14:editId="5A105811">
              <wp:simplePos x="0" y="0"/>
              <wp:positionH relativeFrom="page">
                <wp:align>left</wp:align>
              </wp:positionH>
              <wp:positionV relativeFrom="page">
                <wp:align>top</wp:align>
              </wp:positionV>
              <wp:extent cx="7621200" cy="212400"/>
              <wp:effectExtent l="0" t="0" r="0" b="0"/>
              <wp:wrapNone/>
              <wp:docPr id="3" name="Rectangle 3">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7621200" cy="212400"/>
                      </a:xfrm>
                      <a:prstGeom prst="rect">
                        <a:avLst/>
                      </a:prstGeom>
                      <a:solidFill>
                        <a:srgbClr val="DE600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1A1DB694">
            <v:rect id="Rectangle 3" style="position:absolute;margin-left:0;margin-top:0;width:600.1pt;height:16.7pt;z-index:251656704;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alt="&quot;&quot;" o:spid="_x0000_s1026" fillcolor="#de6002"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" w14:anchorId="08E3232A">
              <o:lock v:ext="edit" aspectratio="t"/>
              <w10:wrap anchorx="page" anchory="page"/>
              <w10:anchorlock/>
            </v:rect>
          </w:pict>
        </mc:Fallback>
      </mc:AlternateContent>
    </w:r>
    <w:r>
      <w:t>Raport anual privind gestiunea și performanța bugetului UE</w:t>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CB5C6B" w14:textId="77777777" w:rsidR="00D97581" w:rsidRDefault="0060377B">
    <w:pPr>
      <w:pStyle w:val="amprHeader-Right"/>
    </w:pPr>
    <w:r>
      <w:t>Exercițiul financiar 202</w:t>
    </w:r>
    <w:r>
      <w:rPr>
        <w:noProof/>
        <w:lang w:val="en-GB" w:eastAsia="en-GB"/>
      </w:rPr>
      <mc:AlternateContent>
        <mc:Choice Requires="wps">
          <w:drawing>
            <wp:anchor distT="0" distB="0" distL="114300" distR="114300" simplePos="0" relativeHeight="251658242" behindDoc="0" locked="1" layoutInCell="1" allowOverlap="1" wp14:anchorId="400F6DD3" wp14:editId="2AF515D7">
              <wp:simplePos x="0" y="0"/>
              <wp:positionH relativeFrom="page">
                <wp:align>left</wp:align>
              </wp:positionH>
              <wp:positionV relativeFrom="page">
                <wp:align>top</wp:align>
              </wp:positionV>
              <wp:extent cx="7621200" cy="212400"/>
              <wp:effectExtent l="0" t="0" r="0" b="0"/>
              <wp:wrapNone/>
              <wp:docPr id="18" name="Rectangle 18">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 val="1"/>
                  </a:ext>
                </a:extLst>
              </wp:docPr>
              <wp:cNvGraphicFramePr/>
              <a:graphic xmlns:a="http://schemas.openxmlformats.org/drawingml/2006/main">
                <a:graphicData uri="http://schemas.microsoft.com/office/word/2010/wordprocessingShape">
                  <wps:wsp>
                    <wps:cNvSpPr/>
                    <wps:spPr>
                      <a:xfrm>
                        <a:off x="0" y="0"/>
                        <a:ext cx="7621200" cy="212400"/>
                      </a:xfrm>
                      <a:prstGeom prst="rect">
                        <a:avLst/>
                      </a:prstGeom>
                      <a:solidFill>
                        <a:srgbClr val="DE600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578E5947">
            <v:rect id="Rectangle 18" style="position:absolute;margin-left:0;margin-top:0;width:600.1pt;height:16.7pt;z-index:251658752;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alt="&quot;&quot;" o:spid="_x0000_s1026" fillcolor="#de6002"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" w14:anchorId="484688E9">
              <w10:wrap anchorx="page" anchory="page"/>
              <w10:anchorlock/>
            </v:rect>
          </w:pict>
        </mc:Fallback>
      </mc:AlternateContent>
    </w:r>
    <w:r>
      <w:rPr>
        <w:noProof/>
        <w:lang w:val="en-GB" w:eastAsia="en-GB"/>
      </w:rPr>
      <mc:AlternateContent>
        <mc:Choice Requires="wps">
          <w:drawing>
            <wp:anchor distT="0" distB="0" distL="114300" distR="114300" simplePos="0" relativeHeight="251658241" behindDoc="0" locked="0" layoutInCell="1" allowOverlap="1" wp14:anchorId="175398F2" wp14:editId="7D1F4C75">
              <wp:simplePos x="0" y="0"/>
              <wp:positionH relativeFrom="column">
                <wp:posOffset>-46990</wp:posOffset>
              </wp:positionH>
              <wp:positionV relativeFrom="paragraph">
                <wp:posOffset>-1474113</wp:posOffset>
              </wp:positionV>
              <wp:extent cx="112395" cy="471805"/>
              <wp:effectExtent l="0" t="0" r="1905" b="4445"/>
              <wp:wrapNone/>
              <wp:docPr id="21" name="Rectangle 21"/>
              <wp:cNvGraphicFramePr/>
              <a:graphic xmlns:a="http://schemas.openxmlformats.org/drawingml/2006/main">
                <a:graphicData uri="http://schemas.microsoft.com/office/word/2010/wordprocessingShape">
                  <wps:wsp>
                    <wps:cNvSpPr/>
                    <wps:spPr>
                      <a:xfrm>
                        <a:off x="0" y="0"/>
                        <a:ext cx="112395" cy="471805"/>
                      </a:xfrm>
                      <a:prstGeom prst="rect">
                        <a:avLst/>
                      </a:prstGeom>
                      <a:solidFill>
                        <a:srgbClr val="3FB29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11DC0858">
            <v:rect id="Rectangle 21" style="position:absolute;margin-left:-3.7pt;margin-top:-116.05pt;width:8.85pt;height:37.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3fb296"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" w14:anchorId="0CD02D34"/>
          </w:pict>
        </mc:Fallback>
      </mc:AlternateContent>
    </w:r>
    <w:r>
      <w:t>5</w: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49EEEB" w14:textId="77777777" w:rsidR="00D97581" w:rsidRDefault="00D9758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50D272" w14:textId="77777777" w:rsidR="00D97581" w:rsidRDefault="00D97581">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8FE618" w14:textId="77777777" w:rsidR="00D97581" w:rsidRDefault="00D97581">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7A2960" w14:textId="77777777" w:rsidR="00D97581" w:rsidRDefault="00D97581">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616930" w14:textId="77777777" w:rsidR="00D97581" w:rsidRDefault="0060377B">
    <w:pPr>
      <w:pStyle w:val="amprHeader-Left"/>
    </w:pPr>
    <w:r>
      <w:rPr>
        <w:noProof/>
        <w:lang w:val="en-GB" w:eastAsia="en-GB"/>
      </w:rPr>
      <mc:AlternateContent>
        <mc:Choice Requires="wps">
          <w:drawing>
            <wp:anchor distT="0" distB="0" distL="114300" distR="114300" simplePos="0" relativeHeight="251658243" behindDoc="0" locked="1" layoutInCell="1" allowOverlap="1" wp14:anchorId="34C52ED3" wp14:editId="0BA2141F">
              <wp:simplePos x="0" y="0"/>
              <wp:positionH relativeFrom="page">
                <wp:align>left</wp:align>
              </wp:positionH>
              <wp:positionV relativeFrom="page">
                <wp:align>top</wp:align>
              </wp:positionV>
              <wp:extent cx="7621200" cy="212400"/>
              <wp:effectExtent l="0" t="0" r="0" b="0"/>
              <wp:wrapNone/>
              <wp:docPr id="267360752" name="Rectangle 267360752">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 val="1"/>
                  </a:ext>
                </a:extLst>
              </wp:docPr>
              <wp:cNvGraphicFramePr/>
              <a:graphic xmlns:a="http://schemas.openxmlformats.org/drawingml/2006/main">
                <a:graphicData uri="http://schemas.microsoft.com/office/word/2010/wordprocessingShape">
                  <wps:wsp>
                    <wps:cNvSpPr/>
                    <wps:spPr>
                      <a:xfrm>
                        <a:off x="0" y="0"/>
                        <a:ext cx="7621200" cy="212400"/>
                      </a:xfrm>
                      <a:prstGeom prst="rect">
                        <a:avLst/>
                      </a:prstGeom>
                      <a:solidFill>
                        <a:srgbClr val="DE600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4A8E95B2">
            <v:rect id="Rectangle 267360752" style="position:absolute;margin-left:0;margin-top:0;width:600.1pt;height:16.7pt;z-index:25166080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alt="&quot;&quot;" o:spid="_x0000_s1026" fillcolor="#de6002"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" w14:anchorId="6FF1F15E">
              <w10:wrap anchorx="page" anchory="page"/>
              <w10:anchorlock/>
            </v:rect>
          </w:pict>
        </mc:Fallback>
      </mc:AlternateContent>
    </w:r>
    <w:r>
      <w:t>Raport anual privind gestiunea și performanța bugetului UE</w:t>
    </w: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7D5465" w14:textId="77777777" w:rsidR="00D97581" w:rsidRDefault="0060377B">
    <w:pPr>
      <w:pStyle w:val="amprHeader-Right"/>
    </w:pPr>
    <w:r>
      <w:t>Exercițiul financiar 202</w:t>
    </w:r>
    <w:r>
      <w:rPr>
        <w:noProof/>
        <w:lang w:val="en-GB" w:eastAsia="en-GB"/>
      </w:rPr>
      <mc:AlternateContent>
        <mc:Choice Requires="wps">
          <w:drawing>
            <wp:anchor distT="0" distB="0" distL="114300" distR="114300" simplePos="0" relativeHeight="251658245" behindDoc="0" locked="1" layoutInCell="1" allowOverlap="1" wp14:anchorId="63EA96F7" wp14:editId="39AE7A4A">
              <wp:simplePos x="0" y="0"/>
              <wp:positionH relativeFrom="page">
                <wp:align>left</wp:align>
              </wp:positionH>
              <wp:positionV relativeFrom="page">
                <wp:align>top</wp:align>
              </wp:positionV>
              <wp:extent cx="7621200" cy="212400"/>
              <wp:effectExtent l="0" t="0" r="0" b="0"/>
              <wp:wrapNone/>
              <wp:docPr id="2098810862" name="Rectangle 2098810862">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 val="1"/>
                  </a:ext>
                </a:extLst>
              </wp:docPr>
              <wp:cNvGraphicFramePr/>
              <a:graphic xmlns:a="http://schemas.openxmlformats.org/drawingml/2006/main">
                <a:graphicData uri="http://schemas.microsoft.com/office/word/2010/wordprocessingShape">
                  <wps:wsp>
                    <wps:cNvSpPr/>
                    <wps:spPr>
                      <a:xfrm>
                        <a:off x="0" y="0"/>
                        <a:ext cx="7621200" cy="212400"/>
                      </a:xfrm>
                      <a:prstGeom prst="rect">
                        <a:avLst/>
                      </a:prstGeom>
                      <a:solidFill>
                        <a:srgbClr val="DE600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5D421AE1">
            <v:rect id="Rectangle 2098810862" style="position:absolute;margin-left:0;margin-top:0;width:600.1pt;height:16.7pt;z-index:251663872;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alt="&quot;&quot;" o:spid="_x0000_s1026" fillcolor="#de6002"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" w14:anchorId="5F555761">
              <w10:wrap anchorx="page" anchory="page"/>
              <w10:anchorlock/>
            </v:rect>
          </w:pict>
        </mc:Fallback>
      </mc:AlternateContent>
    </w:r>
    <w:r>
      <w:rPr>
        <w:noProof/>
        <w:lang w:val="en-GB" w:eastAsia="en-GB"/>
      </w:rPr>
      <mc:AlternateContent>
        <mc:Choice Requires="wps">
          <w:drawing>
            <wp:anchor distT="0" distB="0" distL="114300" distR="114300" simplePos="0" relativeHeight="251658244" behindDoc="0" locked="0" layoutInCell="1" allowOverlap="1" wp14:anchorId="75964CAF" wp14:editId="2208D3AE">
              <wp:simplePos x="0" y="0"/>
              <wp:positionH relativeFrom="column">
                <wp:posOffset>-46990</wp:posOffset>
              </wp:positionH>
              <wp:positionV relativeFrom="paragraph">
                <wp:posOffset>-1474113</wp:posOffset>
              </wp:positionV>
              <wp:extent cx="112395" cy="471805"/>
              <wp:effectExtent l="0" t="0" r="1905" b="4445"/>
              <wp:wrapNone/>
              <wp:docPr id="608576727" name="Rectangle 608576727"/>
              <wp:cNvGraphicFramePr/>
              <a:graphic xmlns:a="http://schemas.openxmlformats.org/drawingml/2006/main">
                <a:graphicData uri="http://schemas.microsoft.com/office/word/2010/wordprocessingShape">
                  <wps:wsp>
                    <wps:cNvSpPr/>
                    <wps:spPr>
                      <a:xfrm>
                        <a:off x="0" y="0"/>
                        <a:ext cx="112395" cy="471805"/>
                      </a:xfrm>
                      <a:prstGeom prst="rect">
                        <a:avLst/>
                      </a:prstGeom>
                      <a:solidFill>
                        <a:srgbClr val="3FB29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45EBD288">
            <v:rect id="Rectangle 608576727" style="position:absolute;margin-left:-3.7pt;margin-top:-116.05pt;width:8.85pt;height:37.1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3fb296"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" w14:anchorId="10FB1FC4"/>
          </w:pict>
        </mc:Fallback>
      </mc:AlternateContent>
    </w:r>
    <w:r>
      <w:t>5</w:t>
    </w: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4CBBE4" w14:textId="77777777" w:rsidR="00D97581" w:rsidRDefault="00D975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72A0CD3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4CC912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BBCB8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E165B3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4AC9FF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E88C06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FD4480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200095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18ACCACE"/>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1A70941"/>
    <w:multiLevelType w:val="multilevel"/>
    <w:tmpl w:val="51742060"/>
    <w:lvl w:ilvl="0">
      <w:start w:val="1"/>
      <w:numFmt w:val="bullet"/>
      <w:lvlText w:val=""/>
      <w:lvlJc w:val="left"/>
      <w:pPr>
        <w:tabs>
          <w:tab w:val="num" w:pos="397"/>
        </w:tabs>
        <w:ind w:left="794" w:hanging="397"/>
      </w:pPr>
      <w:rPr>
        <w:rFonts w:ascii="Symbol" w:hAnsi="Symbol" w:hint="default"/>
        <w:color w:val="FFFFFF" w:themeColor="background1"/>
      </w:rPr>
    </w:lvl>
    <w:lvl w:ilvl="1">
      <w:start w:val="1"/>
      <w:numFmt w:val="bullet"/>
      <w:lvlText w:val="—"/>
      <w:lvlJc w:val="left"/>
      <w:pPr>
        <w:tabs>
          <w:tab w:val="num" w:pos="1191"/>
        </w:tabs>
        <w:ind w:left="1587" w:hanging="396"/>
      </w:pPr>
      <w:rPr>
        <w:rFonts w:ascii="Times New Roman" w:hAnsi="Times New Roman" w:cs="Times New Roman" w:hint="default"/>
        <w:color w:val="DE6002" w:themeColor="accent2"/>
        <w:sz w:val="20"/>
      </w:rPr>
    </w:lvl>
    <w:lvl w:ilvl="2">
      <w:start w:val="1"/>
      <w:numFmt w:val="bullet"/>
      <w:lvlText w:val=""/>
      <w:lvlJc w:val="left"/>
      <w:pPr>
        <w:tabs>
          <w:tab w:val="num" w:pos="1984"/>
        </w:tabs>
        <w:ind w:left="2381" w:hanging="397"/>
      </w:pPr>
      <w:rPr>
        <w:rFonts w:ascii="Wingdings" w:hAnsi="Wingdings" w:hint="default"/>
        <w:color w:val="DE6002" w:themeColor="accent2"/>
      </w:rPr>
    </w:lvl>
    <w:lvl w:ilvl="3">
      <w:start w:val="1"/>
      <w:numFmt w:val="bullet"/>
      <w:lvlText w:val=""/>
      <w:lvlJc w:val="left"/>
      <w:pPr>
        <w:tabs>
          <w:tab w:val="num" w:pos="2665"/>
        </w:tabs>
        <w:ind w:left="3005" w:hanging="340"/>
      </w:pPr>
      <w:rPr>
        <w:rFonts w:ascii="Wingdings 3" w:hAnsi="Wingdings 3" w:hint="default"/>
        <w:color w:val="DE6002" w:themeColor="accent2"/>
      </w:rPr>
    </w:lvl>
    <w:lvl w:ilvl="4">
      <w:numFmt w:val="none"/>
      <w:lvlText w:val=""/>
      <w:lvlJc w:val="left"/>
      <w:pPr>
        <w:ind w:left="0" w:firstLine="0"/>
      </w:pPr>
      <w:rPr>
        <w:rFonts w:hint="default"/>
      </w:rPr>
    </w:lvl>
    <w:lvl w:ilvl="5">
      <w:numFmt w:val="none"/>
      <w:lvlText w:val=""/>
      <w:lvlJc w:val="left"/>
      <w:pPr>
        <w:ind w:left="0" w:firstLine="0"/>
      </w:pPr>
      <w:rPr>
        <w:rFonts w:hint="default"/>
      </w:rPr>
    </w:lvl>
    <w:lvl w:ilvl="6">
      <w:numFmt w:val="none"/>
      <w:lvlText w:val=""/>
      <w:lvlJc w:val="left"/>
      <w:pPr>
        <w:ind w:left="0" w:firstLine="0"/>
      </w:pPr>
      <w:rPr>
        <w:rFonts w:hint="default"/>
      </w:rPr>
    </w:lvl>
    <w:lvl w:ilvl="7">
      <w:numFmt w:val="none"/>
      <w:lvlText w:val=""/>
      <w:lvlJc w:val="left"/>
      <w:pPr>
        <w:ind w:left="0" w:firstLine="0"/>
      </w:pPr>
      <w:rPr>
        <w:rFonts w:hint="default"/>
      </w:rPr>
    </w:lvl>
    <w:lvl w:ilvl="8">
      <w:numFmt w:val="none"/>
      <w:lvlText w:val=""/>
      <w:lvlJc w:val="left"/>
      <w:pPr>
        <w:ind w:left="0" w:firstLine="0"/>
      </w:pPr>
      <w:rPr>
        <w:rFonts w:hint="default"/>
      </w:rPr>
    </w:lvl>
  </w:abstractNum>
  <w:abstractNum w:abstractNumId="10" w15:restartNumberingAfterBreak="0">
    <w:nsid w:val="07E32EC3"/>
    <w:multiLevelType w:val="multilevel"/>
    <w:tmpl w:val="62C6A488"/>
    <w:numStyleLink w:val="ListBulletLIST"/>
  </w:abstractNum>
  <w:abstractNum w:abstractNumId="11" w15:restartNumberingAfterBreak="0">
    <w:nsid w:val="07FD1C5A"/>
    <w:multiLevelType w:val="multilevel"/>
    <w:tmpl w:val="08090023"/>
    <w:styleLink w:val="1ai"/>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09687F6E"/>
    <w:multiLevelType w:val="multilevel"/>
    <w:tmpl w:val="1B9A6BE2"/>
    <w:name w:val="ListNumberNumbering"/>
    <w:lvl w:ilvl="0">
      <w:start w:val="1"/>
      <w:numFmt w:val="decimal"/>
      <w:lvlText w:val="%1."/>
      <w:lvlJc w:val="left"/>
      <w:pPr>
        <w:ind w:left="794" w:hanging="397"/>
      </w:pPr>
      <w:rPr>
        <w:rFonts w:hint="default"/>
      </w:rPr>
    </w:lvl>
    <w:lvl w:ilvl="1">
      <w:start w:val="1"/>
      <w:numFmt w:val="decimal"/>
      <w:lvlText w:val="%1.%2."/>
      <w:lvlJc w:val="left"/>
      <w:pPr>
        <w:ind w:left="1587" w:hanging="510"/>
      </w:pPr>
      <w:rPr>
        <w:rFonts w:hint="default"/>
      </w:rPr>
    </w:lvl>
    <w:lvl w:ilvl="2">
      <w:start w:val="1"/>
      <w:numFmt w:val="decimal"/>
      <w:lvlText w:val="%1.%2.%3."/>
      <w:lvlJc w:val="left"/>
      <w:pPr>
        <w:ind w:left="2381" w:hanging="680"/>
      </w:pPr>
      <w:rPr>
        <w:rFonts w:hint="default"/>
      </w:rPr>
    </w:lvl>
    <w:lvl w:ilvl="3">
      <w:start w:val="1"/>
      <w:numFmt w:val="decimal"/>
      <w:lvlText w:val="%1.%2.%3.%4."/>
      <w:lvlJc w:val="left"/>
      <w:pPr>
        <w:ind w:left="3175" w:hanging="794"/>
      </w:pPr>
      <w:rPr>
        <w:rFonts w:hint="default"/>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0C0E27CC"/>
    <w:multiLevelType w:val="multilevel"/>
    <w:tmpl w:val="1A3CB24E"/>
    <w:name w:val="Numbered_with_indent_LIST"/>
    <w:styleLink w:val="NumberedwithindentLIST"/>
    <w:lvl w:ilvl="0">
      <w:start w:val="1"/>
      <w:numFmt w:val="decimal"/>
      <w:lvlText w:val="%1."/>
      <w:lvlJc w:val="left"/>
      <w:pPr>
        <w:ind w:left="794" w:hanging="397"/>
      </w:pPr>
      <w:rPr>
        <w:rFonts w:hint="default"/>
      </w:rPr>
    </w:lvl>
    <w:lvl w:ilvl="1">
      <w:start w:val="1"/>
      <w:numFmt w:val="decimal"/>
      <w:lvlText w:val="%1.%2."/>
      <w:lvlJc w:val="left"/>
      <w:pPr>
        <w:ind w:left="1587" w:hanging="510"/>
      </w:pPr>
      <w:rPr>
        <w:rFonts w:hint="default"/>
      </w:rPr>
    </w:lvl>
    <w:lvl w:ilvl="2">
      <w:start w:val="1"/>
      <w:numFmt w:val="decimal"/>
      <w:lvlText w:val="%1.%2.%3."/>
      <w:lvlJc w:val="left"/>
      <w:pPr>
        <w:ind w:left="2381" w:hanging="680"/>
      </w:pPr>
      <w:rPr>
        <w:rFonts w:hint="default"/>
      </w:rPr>
    </w:lvl>
    <w:lvl w:ilvl="3">
      <w:start w:val="1"/>
      <w:numFmt w:val="decimal"/>
      <w:lvlText w:val="%1.%2.%3.%4."/>
      <w:lvlJc w:val="left"/>
      <w:pPr>
        <w:ind w:left="3175" w:hanging="794"/>
      </w:pPr>
      <w:rPr>
        <w:rFonts w:hint="default"/>
      </w:rPr>
    </w:lvl>
    <w:lvl w:ilvl="4">
      <w:numFmt w:val="none"/>
      <w:lvlText w:val=""/>
      <w:lvlJc w:val="left"/>
      <w:pPr>
        <w:ind w:left="0" w:firstLine="0"/>
      </w:pPr>
      <w:rPr>
        <w:rFonts w:hint="default"/>
      </w:rPr>
    </w:lvl>
    <w:lvl w:ilvl="5">
      <w:numFmt w:val="none"/>
      <w:lvlText w:val=""/>
      <w:lvlJc w:val="left"/>
      <w:pPr>
        <w:ind w:left="0" w:firstLine="0"/>
      </w:pPr>
      <w:rPr>
        <w:rFonts w:hint="default"/>
      </w:rPr>
    </w:lvl>
    <w:lvl w:ilvl="6">
      <w:numFmt w:val="none"/>
      <w:lvlText w:val=""/>
      <w:lvlJc w:val="left"/>
      <w:pPr>
        <w:ind w:left="0" w:firstLine="0"/>
      </w:pPr>
      <w:rPr>
        <w:rFonts w:hint="default"/>
      </w:rPr>
    </w:lvl>
    <w:lvl w:ilvl="7">
      <w:numFmt w:val="none"/>
      <w:lvlText w:val=""/>
      <w:lvlJc w:val="left"/>
      <w:pPr>
        <w:ind w:left="0" w:firstLine="0"/>
      </w:pPr>
      <w:rPr>
        <w:rFonts w:hint="default"/>
      </w:rPr>
    </w:lvl>
    <w:lvl w:ilvl="8">
      <w:numFmt w:val="none"/>
      <w:lvlText w:val=""/>
      <w:lvlJc w:val="left"/>
      <w:pPr>
        <w:ind w:left="0" w:firstLine="0"/>
      </w:pPr>
      <w:rPr>
        <w:rFonts w:hint="default"/>
      </w:rPr>
    </w:lvl>
  </w:abstractNum>
  <w:abstractNum w:abstractNumId="14" w15:restartNumberingAfterBreak="0">
    <w:nsid w:val="11153D01"/>
    <w:multiLevelType w:val="multilevel"/>
    <w:tmpl w:val="1D4C4A96"/>
    <w:name w:val="HeadingNumbering"/>
    <w:lvl w:ilvl="0">
      <w:start w:val="1"/>
      <w:numFmt w:val="decimal"/>
      <w:pStyle w:val="HeadingNumbered1"/>
      <w:lvlText w:val="%1."/>
      <w:lvlJc w:val="left"/>
      <w:pPr>
        <w:ind w:left="850" w:hanging="850"/>
      </w:pPr>
      <w:rPr>
        <w:rFonts w:hint="default"/>
      </w:rPr>
    </w:lvl>
    <w:lvl w:ilvl="1">
      <w:start w:val="1"/>
      <w:numFmt w:val="decimal"/>
      <w:pStyle w:val="HeadingNumbered2"/>
      <w:lvlText w:val="%1.%2."/>
      <w:lvlJc w:val="left"/>
      <w:pPr>
        <w:ind w:left="850" w:hanging="850"/>
      </w:pPr>
      <w:rPr>
        <w:rFonts w:hint="default"/>
      </w:rPr>
    </w:lvl>
    <w:lvl w:ilvl="2">
      <w:start w:val="1"/>
      <w:numFmt w:val="decimal"/>
      <w:pStyle w:val="HeadingNumbered3"/>
      <w:lvlText w:val="%1.%2.%3."/>
      <w:lvlJc w:val="left"/>
      <w:pPr>
        <w:ind w:left="850" w:hanging="850"/>
      </w:pPr>
      <w:rPr>
        <w:rFonts w:ascii="Calibri" w:hAnsi="Calibri" w:hint="default"/>
      </w:rPr>
    </w:lvl>
    <w:lvl w:ilvl="3">
      <w:start w:val="1"/>
      <w:numFmt w:val="decimal"/>
      <w:pStyle w:val="HeadingNumbered4"/>
      <w:lvlText w:val="%4)"/>
      <w:lvlJc w:val="left"/>
      <w:pPr>
        <w:ind w:left="850" w:hanging="340"/>
      </w:pPr>
      <w:rPr>
        <w:rFonts w:ascii="Calibri" w:hAnsi="Calibri" w:hint="default"/>
      </w:rPr>
    </w:lvl>
    <w:lvl w:ilvl="4">
      <w:start w:val="1"/>
      <w:numFmt w:val="lowerLetter"/>
      <w:pStyle w:val="HeadingNumbered5"/>
      <w:lvlText w:val="%5)"/>
      <w:lvlJc w:val="left"/>
      <w:pPr>
        <w:ind w:left="1191" w:hanging="341"/>
      </w:pPr>
      <w:rPr>
        <w:rFonts w:ascii="Calibri" w:hAnsi="Calibri" w:hint="default"/>
      </w:rPr>
    </w:lvl>
    <w:lvl w:ilvl="5">
      <w:start w:val="1"/>
      <w:numFmt w:val="lowerRoman"/>
      <w:pStyle w:val="HeadingNumbered6"/>
      <w:lvlText w:val="(%6)"/>
      <w:lvlJc w:val="left"/>
      <w:pPr>
        <w:ind w:left="1531" w:hanging="340"/>
      </w:pPr>
      <w:rPr>
        <w:rFonts w:ascii="Calibri" w:hAnsi="Calibri" w:hint="default"/>
      </w:rPr>
    </w:lvl>
    <w:lvl w:ilvl="6">
      <w:numFmt w:val="none"/>
      <w:pStyle w:val="HeadingNumbered7"/>
      <w:lvlText w:val=""/>
      <w:lvlJc w:val="left"/>
    </w:lvl>
    <w:lvl w:ilvl="7">
      <w:numFmt w:val="none"/>
      <w:pStyle w:val="HeadingNumbered8"/>
      <w:lvlText w:val=""/>
      <w:lvlJc w:val="left"/>
    </w:lvl>
    <w:lvl w:ilvl="8">
      <w:numFmt w:val="none"/>
      <w:pStyle w:val="HeadingNumbered9"/>
      <w:lvlText w:val=""/>
      <w:lvlJc w:val="left"/>
    </w:lvl>
  </w:abstractNum>
  <w:abstractNum w:abstractNumId="15" w15:restartNumberingAfterBreak="0">
    <w:nsid w:val="11153D02"/>
    <w:multiLevelType w:val="multilevel"/>
    <w:tmpl w:val="1E0CFBE8"/>
    <w:name w:val="ListNumberNonindentedNumbering"/>
    <w:lvl w:ilvl="0">
      <w:start w:val="1"/>
      <w:numFmt w:val="decimal"/>
      <w:pStyle w:val="ListNumberNonindented"/>
      <w:lvlText w:val="%1."/>
      <w:lvlJc w:val="left"/>
      <w:pPr>
        <w:ind w:left="397" w:hanging="397"/>
      </w:pPr>
      <w:rPr>
        <w:rFonts w:hint="default"/>
      </w:rPr>
    </w:lvl>
    <w:lvl w:ilvl="1">
      <w:start w:val="1"/>
      <w:numFmt w:val="decimal"/>
      <w:pStyle w:val="ListNumberNonindentedLevel2"/>
      <w:lvlText w:val="%1.%2."/>
      <w:lvlJc w:val="left"/>
      <w:pPr>
        <w:ind w:left="624" w:hanging="624"/>
      </w:pPr>
      <w:rPr>
        <w:rFonts w:hint="default"/>
      </w:rPr>
    </w:lvl>
    <w:lvl w:ilvl="2">
      <w:start w:val="1"/>
      <w:numFmt w:val="decimal"/>
      <w:pStyle w:val="ListNumberNonindentedLevel3"/>
      <w:lvlText w:val="%1.%2.%3."/>
      <w:lvlJc w:val="left"/>
      <w:pPr>
        <w:ind w:left="850" w:hanging="850"/>
      </w:pPr>
      <w:rPr>
        <w:rFonts w:hint="default"/>
      </w:rPr>
    </w:lvl>
    <w:lvl w:ilvl="3">
      <w:start w:val="1"/>
      <w:numFmt w:val="decimal"/>
      <w:pStyle w:val="ListNumberNonindentedLevel4"/>
      <w:lvlText w:val="%1.%2.%3.%4."/>
      <w:lvlJc w:val="left"/>
      <w:pPr>
        <w:ind w:left="1077" w:hanging="1077"/>
      </w:pPr>
      <w:rPr>
        <w:rFonts w:hint="default"/>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11153D03"/>
    <w:multiLevelType w:val="multilevel"/>
    <w:tmpl w:val="111E0B03"/>
    <w:name w:val="ListMixedNumbering3"/>
    <w:lvl w:ilvl="0">
      <w:start w:val="1"/>
      <w:numFmt w:val="decimal"/>
      <w:pStyle w:val="ListMixed"/>
      <w:lvlText w:val="%1."/>
      <w:lvlJc w:val="left"/>
      <w:pPr>
        <w:ind w:left="794" w:hanging="397"/>
      </w:pPr>
      <w:rPr>
        <w:rFonts w:hint="default"/>
      </w:rPr>
    </w:lvl>
    <w:lvl w:ilvl="1">
      <w:start w:val="1"/>
      <w:numFmt w:val="lowerLetter"/>
      <w:pStyle w:val="ListMixedLevel2"/>
      <w:lvlText w:val="%2."/>
      <w:lvlJc w:val="left"/>
      <w:pPr>
        <w:tabs>
          <w:tab w:val="num" w:pos="1191"/>
        </w:tabs>
        <w:ind w:left="1587" w:hanging="396"/>
      </w:pPr>
      <w:rPr>
        <w:rFonts w:hint="default"/>
      </w:rPr>
    </w:lvl>
    <w:lvl w:ilvl="2">
      <w:start w:val="1"/>
      <w:numFmt w:val="lowerRoman"/>
      <w:pStyle w:val="ListMixedLevel3"/>
      <w:lvlText w:val="(%3)"/>
      <w:lvlJc w:val="left"/>
      <w:pPr>
        <w:tabs>
          <w:tab w:val="num" w:pos="1984"/>
        </w:tabs>
        <w:ind w:left="2381" w:hanging="39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11183D01"/>
    <w:multiLevelType w:val="multilevel"/>
    <w:tmpl w:val="977052E4"/>
    <w:name w:val="LabelledNumberHeadingNumbering"/>
    <w:lvl w:ilvl="0">
      <w:start w:val="1"/>
      <w:numFmt w:val="decimal"/>
      <w:pStyle w:val="Heading2LabelledNumber"/>
      <w:lvlText w:val="%1)"/>
      <w:lvlJc w:val="left"/>
      <w:pPr>
        <w:ind w:left="357" w:hanging="357"/>
      </w:pPr>
      <w:rPr>
        <w:rFonts w:hint="default"/>
      </w:rPr>
    </w:lvl>
    <w:lvl w:ilvl="1">
      <w:start w:val="1"/>
      <w:numFmt w:val="decimal"/>
      <w:lvlText w:val="%1)"/>
      <w:lvlJc w:val="left"/>
      <w:pPr>
        <w:ind w:left="357" w:hanging="357"/>
      </w:pPr>
      <w:rPr>
        <w:rFonts w:hint="default"/>
      </w:rPr>
    </w:lvl>
    <w:lvl w:ilvl="2">
      <w:start w:val="1"/>
      <w:numFmt w:val="decimal"/>
      <w:lvlText w:val="%1)"/>
      <w:lvlJc w:val="left"/>
      <w:pPr>
        <w:ind w:left="357" w:hanging="357"/>
      </w:pPr>
      <w:rPr>
        <w:rFonts w:hint="default"/>
      </w:rPr>
    </w:lvl>
    <w:lvl w:ilvl="3">
      <w:start w:val="1"/>
      <w:numFmt w:val="decimal"/>
      <w:lvlText w:val="%1)"/>
      <w:lvlJc w:val="left"/>
      <w:pPr>
        <w:ind w:left="357" w:hanging="357"/>
      </w:pPr>
      <w:rPr>
        <w:rFonts w:hint="default"/>
      </w:rPr>
    </w:lvl>
    <w:lvl w:ilvl="4">
      <w:start w:val="1"/>
      <w:numFmt w:val="decimal"/>
      <w:lvlText w:val="%1)"/>
      <w:lvlJc w:val="left"/>
      <w:pPr>
        <w:ind w:left="357" w:hanging="357"/>
      </w:pPr>
      <w:rPr>
        <w:rFonts w:hint="default"/>
      </w:rPr>
    </w:lvl>
    <w:lvl w:ilvl="5">
      <w:start w:val="1"/>
      <w:numFmt w:val="decimal"/>
      <w:lvlText w:val="%1)"/>
      <w:lvlJc w:val="left"/>
      <w:pPr>
        <w:ind w:left="357" w:hanging="357"/>
      </w:pPr>
      <w:rPr>
        <w:rFonts w:hint="default"/>
      </w:rPr>
    </w:lvl>
    <w:lvl w:ilvl="6">
      <w:start w:val="1"/>
      <w:numFmt w:val="decimal"/>
      <w:lvlText w:val="%1)"/>
      <w:lvlJc w:val="left"/>
      <w:pPr>
        <w:ind w:left="357" w:hanging="357"/>
      </w:pPr>
      <w:rPr>
        <w:rFonts w:hint="default"/>
      </w:rPr>
    </w:lvl>
    <w:lvl w:ilvl="7">
      <w:start w:val="1"/>
      <w:numFmt w:val="decimal"/>
      <w:lvlText w:val="%1)"/>
      <w:lvlJc w:val="left"/>
      <w:pPr>
        <w:ind w:left="357" w:hanging="357"/>
      </w:pPr>
      <w:rPr>
        <w:rFonts w:hint="default"/>
      </w:rPr>
    </w:lvl>
    <w:lvl w:ilvl="8">
      <w:start w:val="1"/>
      <w:numFmt w:val="decimal"/>
      <w:lvlText w:val="%1)"/>
      <w:lvlJc w:val="left"/>
      <w:pPr>
        <w:ind w:left="357" w:hanging="357"/>
      </w:pPr>
      <w:rPr>
        <w:rFonts w:hint="default"/>
      </w:rPr>
    </w:lvl>
  </w:abstractNum>
  <w:abstractNum w:abstractNumId="18" w15:restartNumberingAfterBreak="0">
    <w:nsid w:val="11183D02"/>
    <w:multiLevelType w:val="multilevel"/>
    <w:tmpl w:val="C228EC04"/>
    <w:name w:val="LabelledLetterHeadingNumbering"/>
    <w:lvl w:ilvl="0">
      <w:start w:val="1"/>
      <w:numFmt w:val="upperLetter"/>
      <w:pStyle w:val="Heading2LabelledLetter"/>
      <w:lvlText w:val="%1."/>
      <w:lvlJc w:val="left"/>
      <w:pPr>
        <w:ind w:left="357" w:hanging="357"/>
      </w:pPr>
      <w:rPr>
        <w:rFonts w:hint="default"/>
      </w:rPr>
    </w:lvl>
    <w:lvl w:ilvl="1">
      <w:start w:val="1"/>
      <w:numFmt w:val="upperLetter"/>
      <w:lvlText w:val="%1."/>
      <w:lvlJc w:val="left"/>
      <w:pPr>
        <w:ind w:left="357" w:hanging="357"/>
      </w:pPr>
      <w:rPr>
        <w:rFonts w:hint="default"/>
      </w:rPr>
    </w:lvl>
    <w:lvl w:ilvl="2">
      <w:start w:val="1"/>
      <w:numFmt w:val="upperLetter"/>
      <w:lvlText w:val="%1."/>
      <w:lvlJc w:val="left"/>
      <w:pPr>
        <w:ind w:left="357" w:hanging="357"/>
      </w:pPr>
      <w:rPr>
        <w:rFonts w:hint="default"/>
      </w:rPr>
    </w:lvl>
    <w:lvl w:ilvl="3">
      <w:start w:val="1"/>
      <w:numFmt w:val="upperLetter"/>
      <w:lvlText w:val="%1."/>
      <w:lvlJc w:val="left"/>
      <w:pPr>
        <w:ind w:left="357" w:hanging="357"/>
      </w:pPr>
      <w:rPr>
        <w:rFonts w:hint="default"/>
      </w:rPr>
    </w:lvl>
    <w:lvl w:ilvl="4">
      <w:start w:val="1"/>
      <w:numFmt w:val="upperLetter"/>
      <w:lvlText w:val="%1."/>
      <w:lvlJc w:val="left"/>
      <w:pPr>
        <w:ind w:left="357" w:hanging="357"/>
      </w:pPr>
      <w:rPr>
        <w:rFonts w:hint="default"/>
      </w:rPr>
    </w:lvl>
    <w:lvl w:ilvl="5">
      <w:start w:val="1"/>
      <w:numFmt w:val="upperLetter"/>
      <w:lvlText w:val="%1."/>
      <w:lvlJc w:val="left"/>
      <w:pPr>
        <w:ind w:left="357" w:hanging="357"/>
      </w:pPr>
      <w:rPr>
        <w:rFonts w:hint="default"/>
      </w:rPr>
    </w:lvl>
    <w:lvl w:ilvl="6">
      <w:start w:val="1"/>
      <w:numFmt w:val="upperLetter"/>
      <w:lvlText w:val="%1."/>
      <w:lvlJc w:val="left"/>
      <w:pPr>
        <w:ind w:left="357" w:hanging="357"/>
      </w:pPr>
      <w:rPr>
        <w:rFonts w:hint="default"/>
      </w:rPr>
    </w:lvl>
    <w:lvl w:ilvl="7">
      <w:start w:val="1"/>
      <w:numFmt w:val="upperLetter"/>
      <w:lvlText w:val="%1."/>
      <w:lvlJc w:val="left"/>
      <w:pPr>
        <w:ind w:left="357" w:hanging="357"/>
      </w:pPr>
      <w:rPr>
        <w:rFonts w:hint="default"/>
      </w:rPr>
    </w:lvl>
    <w:lvl w:ilvl="8">
      <w:start w:val="1"/>
      <w:numFmt w:val="upperLetter"/>
      <w:lvlText w:val="%1."/>
      <w:lvlJc w:val="left"/>
      <w:pPr>
        <w:ind w:left="357" w:hanging="357"/>
      </w:pPr>
      <w:rPr>
        <w:rFonts w:hint="default"/>
      </w:rPr>
    </w:lvl>
  </w:abstractNum>
  <w:abstractNum w:abstractNumId="19" w15:restartNumberingAfterBreak="0">
    <w:nsid w:val="12AF0196"/>
    <w:multiLevelType w:val="multilevel"/>
    <w:tmpl w:val="460ED356"/>
    <w:styleLink w:val="amprHLISTNumberedheadings"/>
    <w:lvl w:ilvl="0">
      <w:start w:val="1"/>
      <w:numFmt w:val="bullet"/>
      <w:lvlText w:val="•"/>
      <w:lvlJc w:val="left"/>
      <w:pPr>
        <w:ind w:left="794" w:hanging="397"/>
      </w:pPr>
      <w:rPr>
        <w:rFonts w:ascii="Calibri" w:hAnsi="Calibri" w:hint="default"/>
      </w:rPr>
    </w:lvl>
    <w:lvl w:ilvl="1">
      <w:start w:val="1"/>
      <w:numFmt w:val="bullet"/>
      <w:lvlText w:val="—"/>
      <w:lvlJc w:val="left"/>
      <w:pPr>
        <w:ind w:left="1588" w:hanging="397"/>
      </w:pPr>
      <w:rPr>
        <w:rFonts w:ascii="Times New Roman" w:hAnsi="Times New Roman" w:cs="Times New Roman" w:hint="default"/>
      </w:rPr>
    </w:lvl>
    <w:lvl w:ilvl="2">
      <w:start w:val="1"/>
      <w:numFmt w:val="bullet"/>
      <w:lvlText w:val=""/>
      <w:lvlJc w:val="left"/>
      <w:pPr>
        <w:ind w:left="2155" w:hanging="355"/>
      </w:pPr>
      <w:rPr>
        <w:rFonts w:ascii="Wingdings" w:hAnsi="Wingdings" w:hint="default"/>
      </w:rPr>
    </w:lvl>
    <w:lvl w:ilvl="3">
      <w:start w:val="1"/>
      <w:numFmt w:val="bullet"/>
      <w:lvlText w:val=""/>
      <w:lvlJc w:val="left"/>
      <w:pPr>
        <w:ind w:left="2875" w:hanging="355"/>
      </w:pPr>
      <w:rPr>
        <w:rFonts w:ascii="Symbol" w:hAnsi="Symbol" w:hint="default"/>
      </w:rPr>
    </w:lvl>
    <w:lvl w:ilvl="4">
      <w:start w:val="1"/>
      <w:numFmt w:val="bullet"/>
      <w:lvlText w:val="o"/>
      <w:lvlJc w:val="left"/>
      <w:pPr>
        <w:ind w:left="3595" w:hanging="355"/>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170F5D36"/>
    <w:multiLevelType w:val="multilevel"/>
    <w:tmpl w:val="78248A56"/>
    <w:numStyleLink w:val="amprLISTblackbullets"/>
  </w:abstractNum>
  <w:abstractNum w:abstractNumId="21" w15:restartNumberingAfterBreak="0">
    <w:nsid w:val="1BA53D75"/>
    <w:multiLevelType w:val="multilevel"/>
    <w:tmpl w:val="A17E0B58"/>
    <w:name w:val="ListAbcNumbering"/>
    <w:lvl w:ilvl="0">
      <w:start w:val="1"/>
      <w:numFmt w:val="lowerLetter"/>
      <w:pStyle w:val="Listabc"/>
      <w:lvlText w:val="%1)"/>
      <w:lvlJc w:val="left"/>
      <w:pPr>
        <w:tabs>
          <w:tab w:val="num" w:pos="397"/>
        </w:tabs>
        <w:ind w:left="794" w:hanging="397"/>
      </w:pPr>
      <w:rPr>
        <w:rFonts w:hint="default"/>
      </w:rPr>
    </w:lvl>
    <w:lvl w:ilvl="1">
      <w:start w:val="1"/>
      <w:numFmt w:val="bullet"/>
      <w:pStyle w:val="ListabcLevel2"/>
      <w:lvlText w:val="—"/>
      <w:lvlJc w:val="left"/>
      <w:pPr>
        <w:tabs>
          <w:tab w:val="num" w:pos="1191"/>
        </w:tabs>
        <w:ind w:left="1587" w:hanging="396"/>
      </w:pPr>
      <w:rPr>
        <w:rFonts w:hint="default"/>
      </w:rPr>
    </w:lvl>
    <w:lvl w:ilvl="2">
      <w:start w:val="1"/>
      <w:numFmt w:val="lowerRoman"/>
      <w:pStyle w:val="ListabcLevel3"/>
      <w:lvlText w:val="%3)"/>
      <w:lvlJc w:val="left"/>
      <w:pPr>
        <w:tabs>
          <w:tab w:val="num" w:pos="1984"/>
        </w:tabs>
        <w:ind w:left="2381" w:hanging="397"/>
      </w:pPr>
      <w:rPr>
        <w:rFonts w:asciiTheme="minorHAnsi" w:hAnsiTheme="minorHAnsi"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1C47181D"/>
    <w:multiLevelType w:val="multilevel"/>
    <w:tmpl w:val="78248A56"/>
    <w:styleLink w:val="amprLISTblackbullets"/>
    <w:lvl w:ilvl="0">
      <w:start w:val="1"/>
      <w:numFmt w:val="bullet"/>
      <w:pStyle w:val="ListBullet-Black"/>
      <w:lvlText w:val=""/>
      <w:lvlJc w:val="left"/>
      <w:pPr>
        <w:ind w:left="714" w:hanging="357"/>
      </w:pPr>
      <w:rPr>
        <w:rFonts w:ascii="Symbol" w:hAnsi="Symbol" w:hint="default"/>
        <w:color w:val="008139" w:themeColor="accent1"/>
      </w:rPr>
    </w:lvl>
    <w:lvl w:ilvl="1">
      <w:start w:val="1"/>
      <w:numFmt w:val="bullet"/>
      <w:lvlText w:val="—"/>
      <w:lvlJc w:val="left"/>
      <w:pPr>
        <w:ind w:left="1435" w:hanging="358"/>
      </w:pPr>
      <w:rPr>
        <w:rFonts w:ascii="EC Square Sans Pro" w:hAnsi="EC Square Sans Pro" w:hint="default"/>
        <w:color w:val="008139" w:themeColor="accent1"/>
      </w:rPr>
    </w:lvl>
    <w:lvl w:ilvl="2">
      <w:start w:val="1"/>
      <w:numFmt w:val="bullet"/>
      <w:lvlText w:val=""/>
      <w:lvlJc w:val="left"/>
      <w:pPr>
        <w:ind w:left="2155" w:hanging="358"/>
      </w:pPr>
      <w:rPr>
        <w:rFonts w:ascii="Wingdings" w:hAnsi="Wingdings" w:hint="default"/>
      </w:rPr>
    </w:lvl>
    <w:lvl w:ilvl="3">
      <w:start w:val="1"/>
      <w:numFmt w:val="bullet"/>
      <w:lvlText w:val=""/>
      <w:lvlJc w:val="left"/>
      <w:pPr>
        <w:ind w:left="2875" w:hanging="358"/>
      </w:pPr>
      <w:rPr>
        <w:rFonts w:ascii="Symbol" w:hAnsi="Symbol" w:hint="default"/>
      </w:rPr>
    </w:lvl>
    <w:lvl w:ilvl="4">
      <w:start w:val="1"/>
      <w:numFmt w:val="bullet"/>
      <w:lvlText w:val="o"/>
      <w:lvlJc w:val="left"/>
      <w:pPr>
        <w:ind w:left="3595" w:hanging="357"/>
      </w:pPr>
      <w:rPr>
        <w:rFonts w:ascii="Courier New" w:hAnsi="Courier New" w:hint="default"/>
      </w:rPr>
    </w:lvl>
    <w:lvl w:ilvl="5">
      <w:start w:val="1"/>
      <w:numFmt w:val="bullet"/>
      <w:lvlText w:val=""/>
      <w:lvlJc w:val="left"/>
      <w:pPr>
        <w:ind w:left="4093" w:hanging="360"/>
      </w:pPr>
      <w:rPr>
        <w:rFonts w:ascii="Wingdings" w:hAnsi="Wingdings" w:hint="default"/>
      </w:rPr>
    </w:lvl>
    <w:lvl w:ilvl="6">
      <w:start w:val="1"/>
      <w:numFmt w:val="bullet"/>
      <w:lvlText w:val=""/>
      <w:lvlJc w:val="left"/>
      <w:pPr>
        <w:ind w:left="4813" w:hanging="360"/>
      </w:pPr>
      <w:rPr>
        <w:rFonts w:ascii="Symbol" w:hAnsi="Symbol" w:hint="default"/>
      </w:rPr>
    </w:lvl>
    <w:lvl w:ilvl="7">
      <w:start w:val="1"/>
      <w:numFmt w:val="bullet"/>
      <w:lvlText w:val="o"/>
      <w:lvlJc w:val="left"/>
      <w:pPr>
        <w:ind w:left="5533" w:hanging="360"/>
      </w:pPr>
      <w:rPr>
        <w:rFonts w:ascii="Courier New" w:hAnsi="Courier New" w:cs="Courier New" w:hint="default"/>
      </w:rPr>
    </w:lvl>
    <w:lvl w:ilvl="8">
      <w:start w:val="1"/>
      <w:numFmt w:val="bullet"/>
      <w:lvlText w:val=""/>
      <w:lvlJc w:val="left"/>
      <w:pPr>
        <w:ind w:left="6253" w:hanging="360"/>
      </w:pPr>
      <w:rPr>
        <w:rFonts w:ascii="Wingdings" w:hAnsi="Wingdings" w:hint="default"/>
      </w:rPr>
    </w:lvl>
  </w:abstractNum>
  <w:abstractNum w:abstractNumId="23" w15:restartNumberingAfterBreak="0">
    <w:nsid w:val="1D0451EB"/>
    <w:multiLevelType w:val="multilevel"/>
    <w:tmpl w:val="62C6A488"/>
    <w:numStyleLink w:val="ListBulletLIST"/>
  </w:abstractNum>
  <w:abstractNum w:abstractNumId="24" w15:restartNumberingAfterBreak="0">
    <w:nsid w:val="207A11E0"/>
    <w:multiLevelType w:val="multilevel"/>
    <w:tmpl w:val="62C6A488"/>
    <w:numStyleLink w:val="ListBulletLIST"/>
  </w:abstractNum>
  <w:abstractNum w:abstractNumId="25" w15:restartNumberingAfterBreak="0">
    <w:nsid w:val="258649B9"/>
    <w:multiLevelType w:val="multilevel"/>
    <w:tmpl w:val="7A0A32AA"/>
    <w:name w:val="ListBulletNumbering"/>
    <w:lvl w:ilvl="0">
      <w:start w:val="1"/>
      <w:numFmt w:val="bullet"/>
      <w:lvlText w:val="•"/>
      <w:lvlJc w:val="left"/>
      <w:pPr>
        <w:tabs>
          <w:tab w:val="num" w:pos="397"/>
        </w:tabs>
        <w:ind w:left="794" w:hanging="397"/>
      </w:pPr>
      <w:rPr>
        <w:rFonts w:asciiTheme="minorHAnsi" w:hAnsiTheme="minorHAnsi" w:hint="default"/>
        <w:color w:val="DE6002" w:themeColor="accent2"/>
      </w:rPr>
    </w:lvl>
    <w:lvl w:ilvl="1">
      <w:start w:val="1"/>
      <w:numFmt w:val="bullet"/>
      <w:lvlText w:val="—"/>
      <w:lvlJc w:val="left"/>
      <w:pPr>
        <w:tabs>
          <w:tab w:val="num" w:pos="1191"/>
        </w:tabs>
        <w:ind w:left="1587" w:hanging="396"/>
      </w:pPr>
      <w:rPr>
        <w:rFonts w:ascii="Times New Roman" w:hAnsi="Times New Roman" w:hint="default"/>
        <w:color w:val="DE6002" w:themeColor="accent2"/>
        <w:sz w:val="20"/>
      </w:rPr>
    </w:lvl>
    <w:lvl w:ilvl="2">
      <w:start w:val="1"/>
      <w:numFmt w:val="bullet"/>
      <w:lvlText w:val=""/>
      <w:lvlJc w:val="left"/>
      <w:pPr>
        <w:tabs>
          <w:tab w:val="num" w:pos="1984"/>
        </w:tabs>
        <w:ind w:left="2381" w:hanging="397"/>
      </w:pPr>
      <w:rPr>
        <w:rFonts w:ascii="Wingdings" w:hAnsi="Wingdings" w:hint="default"/>
        <w:color w:val="DE6002" w:themeColor="accent2"/>
      </w:rPr>
    </w:lvl>
    <w:lvl w:ilvl="3">
      <w:start w:val="1"/>
      <w:numFmt w:val="bullet"/>
      <w:lvlText w:val=""/>
      <w:lvlJc w:val="left"/>
      <w:pPr>
        <w:tabs>
          <w:tab w:val="num" w:pos="2665"/>
        </w:tabs>
        <w:ind w:left="3005" w:hanging="340"/>
      </w:pPr>
      <w:rPr>
        <w:rFonts w:ascii="Wingdings 3" w:hAnsi="Wingdings 3" w:hint="default"/>
        <w:color w:val="DE6002" w:themeColor="accent2"/>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6" w15:restartNumberingAfterBreak="0">
    <w:nsid w:val="25F7317D"/>
    <w:multiLevelType w:val="multilevel"/>
    <w:tmpl w:val="993AF3DA"/>
    <w:name w:val="ListMixedNumbering22"/>
    <w:lvl w:ilvl="0">
      <w:start w:val="1"/>
      <w:numFmt w:val="decimal"/>
      <w:lvlText w:val="%1."/>
      <w:lvlJc w:val="left"/>
      <w:pPr>
        <w:ind w:left="794" w:hanging="397"/>
      </w:pPr>
      <w:rPr>
        <w:rFonts w:hint="default"/>
      </w:rPr>
    </w:lvl>
    <w:lvl w:ilvl="1">
      <w:start w:val="1"/>
      <w:numFmt w:val="lowerLetter"/>
      <w:lvlText w:val="%2."/>
      <w:lvlJc w:val="left"/>
      <w:pPr>
        <w:tabs>
          <w:tab w:val="num" w:pos="1191"/>
        </w:tabs>
        <w:ind w:left="1587" w:hanging="396"/>
      </w:pPr>
      <w:rPr>
        <w:rFonts w:hint="default"/>
      </w:rPr>
    </w:lvl>
    <w:lvl w:ilvl="2">
      <w:start w:val="1"/>
      <w:numFmt w:val="lowerRoman"/>
      <w:lvlText w:val="(%3)"/>
      <w:lvlJc w:val="left"/>
      <w:pPr>
        <w:tabs>
          <w:tab w:val="num" w:pos="1984"/>
        </w:tabs>
        <w:ind w:left="2381" w:hanging="39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7" w15:restartNumberingAfterBreak="0">
    <w:nsid w:val="26B40D2D"/>
    <w:multiLevelType w:val="multilevel"/>
    <w:tmpl w:val="62C6A488"/>
    <w:styleLink w:val="ListBulletLIST"/>
    <w:lvl w:ilvl="0">
      <w:start w:val="1"/>
      <w:numFmt w:val="bullet"/>
      <w:pStyle w:val="ListBullet"/>
      <w:lvlText w:val="•"/>
      <w:lvlJc w:val="left"/>
      <w:pPr>
        <w:tabs>
          <w:tab w:val="num" w:pos="397"/>
        </w:tabs>
        <w:ind w:left="794" w:hanging="397"/>
      </w:pPr>
      <w:rPr>
        <w:rFonts w:ascii="Calibri" w:hAnsi="Calibri" w:hint="default"/>
        <w:color w:val="DC3903"/>
      </w:rPr>
    </w:lvl>
    <w:lvl w:ilvl="1">
      <w:start w:val="1"/>
      <w:numFmt w:val="bullet"/>
      <w:lvlText w:val="—"/>
      <w:lvlJc w:val="left"/>
      <w:pPr>
        <w:tabs>
          <w:tab w:val="num" w:pos="1361"/>
        </w:tabs>
        <w:ind w:left="1361" w:hanging="397"/>
      </w:pPr>
      <w:rPr>
        <w:rFonts w:ascii="Times New Roman" w:hAnsi="Times New Roman" w:cs="Times New Roman" w:hint="default"/>
        <w:color w:val="DC3903"/>
        <w:sz w:val="20"/>
      </w:rPr>
    </w:lvl>
    <w:lvl w:ilvl="2">
      <w:start w:val="1"/>
      <w:numFmt w:val="bullet"/>
      <w:lvlText w:val=""/>
      <w:lvlJc w:val="left"/>
      <w:pPr>
        <w:tabs>
          <w:tab w:val="num" w:pos="1928"/>
        </w:tabs>
        <w:ind w:left="1928" w:hanging="397"/>
      </w:pPr>
      <w:rPr>
        <w:rFonts w:ascii="Wingdings" w:hAnsi="Wingdings" w:hint="default"/>
        <w:color w:val="DC3903"/>
      </w:rPr>
    </w:lvl>
    <w:lvl w:ilvl="3">
      <w:start w:val="1"/>
      <w:numFmt w:val="bullet"/>
      <w:lvlText w:val=""/>
      <w:lvlJc w:val="left"/>
      <w:pPr>
        <w:tabs>
          <w:tab w:val="num" w:pos="2495"/>
        </w:tabs>
        <w:ind w:left="2495" w:hanging="397"/>
      </w:pPr>
      <w:rPr>
        <w:rFonts w:ascii="Wingdings 3" w:hAnsi="Wingdings 3" w:hint="default"/>
        <w:color w:val="DC3903"/>
      </w:rPr>
    </w:lvl>
    <w:lvl w:ilvl="4">
      <w:numFmt w:val="none"/>
      <w:lvlText w:val=""/>
      <w:lvlJc w:val="left"/>
      <w:pPr>
        <w:ind w:left="0" w:firstLine="0"/>
      </w:pPr>
      <w:rPr>
        <w:rFonts w:hint="default"/>
      </w:rPr>
    </w:lvl>
    <w:lvl w:ilvl="5">
      <w:numFmt w:val="none"/>
      <w:lvlText w:val=""/>
      <w:lvlJc w:val="left"/>
      <w:pPr>
        <w:ind w:left="0" w:firstLine="0"/>
      </w:pPr>
      <w:rPr>
        <w:rFonts w:hint="default"/>
      </w:rPr>
    </w:lvl>
    <w:lvl w:ilvl="6">
      <w:numFmt w:val="none"/>
      <w:lvlText w:val=""/>
      <w:lvlJc w:val="left"/>
      <w:pPr>
        <w:ind w:left="0" w:firstLine="0"/>
      </w:pPr>
      <w:rPr>
        <w:rFonts w:hint="default"/>
      </w:rPr>
    </w:lvl>
    <w:lvl w:ilvl="7">
      <w:numFmt w:val="none"/>
      <w:lvlText w:val=""/>
      <w:lvlJc w:val="left"/>
      <w:pPr>
        <w:ind w:left="0" w:firstLine="0"/>
      </w:pPr>
      <w:rPr>
        <w:rFonts w:hint="default"/>
      </w:rPr>
    </w:lvl>
    <w:lvl w:ilvl="8">
      <w:numFmt w:val="none"/>
      <w:lvlText w:val=""/>
      <w:lvlJc w:val="left"/>
      <w:pPr>
        <w:ind w:left="0" w:firstLine="0"/>
      </w:pPr>
      <w:rPr>
        <w:rFonts w:hint="default"/>
      </w:rPr>
    </w:lvl>
  </w:abstractNum>
  <w:abstractNum w:abstractNumId="28" w15:restartNumberingAfterBreak="0">
    <w:nsid w:val="28724556"/>
    <w:multiLevelType w:val="multilevel"/>
    <w:tmpl w:val="C694B9AC"/>
    <w:name w:val="List_Bullet_AMPR"/>
    <w:styleLink w:val="ListBulletblueLIST"/>
    <w:lvl w:ilvl="0">
      <w:start w:val="1"/>
      <w:numFmt w:val="bullet"/>
      <w:pStyle w:val="ListBulletblueLevel1"/>
      <w:lvlText w:val="•"/>
      <w:lvlJc w:val="left"/>
      <w:pPr>
        <w:tabs>
          <w:tab w:val="num" w:pos="397"/>
        </w:tabs>
        <w:ind w:left="397" w:hanging="397"/>
      </w:pPr>
      <w:rPr>
        <w:rFonts w:ascii="Calibri" w:hAnsi="Calibri" w:hint="default"/>
        <w:color w:val="003399" w:themeColor="text2"/>
      </w:rPr>
    </w:lvl>
    <w:lvl w:ilvl="1">
      <w:start w:val="1"/>
      <w:numFmt w:val="bullet"/>
      <w:lvlText w:val="—"/>
      <w:lvlJc w:val="left"/>
      <w:pPr>
        <w:tabs>
          <w:tab w:val="num" w:pos="1361"/>
        </w:tabs>
        <w:ind w:left="964" w:hanging="397"/>
      </w:pPr>
      <w:rPr>
        <w:rFonts w:ascii="Times New Roman" w:hAnsi="Times New Roman" w:cs="Times New Roman" w:hint="default"/>
        <w:color w:val="003399" w:themeColor="text2"/>
        <w:sz w:val="20"/>
      </w:rPr>
    </w:lvl>
    <w:lvl w:ilvl="2">
      <w:start w:val="1"/>
      <w:numFmt w:val="bullet"/>
      <w:lvlText w:val=""/>
      <w:lvlJc w:val="left"/>
      <w:pPr>
        <w:tabs>
          <w:tab w:val="num" w:pos="1928"/>
        </w:tabs>
        <w:ind w:left="1531" w:hanging="397"/>
      </w:pPr>
      <w:rPr>
        <w:rFonts w:ascii="Wingdings" w:hAnsi="Wingdings" w:hint="default"/>
        <w:color w:val="003399" w:themeColor="text2"/>
      </w:rPr>
    </w:lvl>
    <w:lvl w:ilvl="3">
      <w:start w:val="1"/>
      <w:numFmt w:val="bullet"/>
      <w:lvlText w:val=""/>
      <w:lvlJc w:val="left"/>
      <w:pPr>
        <w:tabs>
          <w:tab w:val="num" w:pos="2495"/>
        </w:tabs>
        <w:ind w:left="2098" w:hanging="397"/>
      </w:pPr>
      <w:rPr>
        <w:rFonts w:ascii="Wingdings 3" w:hAnsi="Wingdings 3" w:hint="default"/>
        <w:color w:val="003399" w:themeColor="text2"/>
      </w:rPr>
    </w:lvl>
    <w:lvl w:ilvl="4">
      <w:numFmt w:val="none"/>
      <w:lvlText w:val=""/>
      <w:lvlJc w:val="left"/>
      <w:pPr>
        <w:ind w:left="0" w:firstLine="0"/>
      </w:pPr>
      <w:rPr>
        <w:rFonts w:hint="default"/>
      </w:rPr>
    </w:lvl>
    <w:lvl w:ilvl="5">
      <w:numFmt w:val="none"/>
      <w:lvlText w:val=""/>
      <w:lvlJc w:val="left"/>
      <w:pPr>
        <w:ind w:left="0" w:firstLine="0"/>
      </w:pPr>
      <w:rPr>
        <w:rFonts w:hint="default"/>
      </w:rPr>
    </w:lvl>
    <w:lvl w:ilvl="6">
      <w:numFmt w:val="none"/>
      <w:lvlText w:val=""/>
      <w:lvlJc w:val="left"/>
      <w:pPr>
        <w:ind w:left="0" w:firstLine="0"/>
      </w:pPr>
      <w:rPr>
        <w:rFonts w:hint="default"/>
      </w:rPr>
    </w:lvl>
    <w:lvl w:ilvl="7">
      <w:numFmt w:val="none"/>
      <w:lvlText w:val=""/>
      <w:lvlJc w:val="left"/>
      <w:pPr>
        <w:ind w:left="0" w:firstLine="0"/>
      </w:pPr>
      <w:rPr>
        <w:rFonts w:hint="default"/>
      </w:rPr>
    </w:lvl>
    <w:lvl w:ilvl="8">
      <w:numFmt w:val="none"/>
      <w:lvlText w:val=""/>
      <w:lvlJc w:val="left"/>
      <w:pPr>
        <w:ind w:left="0" w:firstLine="0"/>
      </w:pPr>
      <w:rPr>
        <w:rFonts w:hint="default"/>
      </w:rPr>
    </w:lvl>
  </w:abstractNum>
  <w:abstractNum w:abstractNumId="29" w15:restartNumberingAfterBreak="0">
    <w:nsid w:val="296D7217"/>
    <w:multiLevelType w:val="multilevel"/>
    <w:tmpl w:val="054A53EC"/>
    <w:name w:val="ListNumberNonindentedNumbering3"/>
    <w:lvl w:ilvl="0">
      <w:start w:val="1"/>
      <w:numFmt w:val="bullet"/>
      <w:lvlText w:val="•"/>
      <w:lvlJc w:val="left"/>
      <w:pPr>
        <w:tabs>
          <w:tab w:val="num" w:pos="397"/>
        </w:tabs>
        <w:ind w:left="794" w:hanging="397"/>
      </w:pPr>
      <w:rPr>
        <w:rFonts w:ascii="Calibri" w:hAnsi="Calibri" w:hint="default"/>
        <w:color w:val="008139" w:themeColor="accent1"/>
      </w:rPr>
    </w:lvl>
    <w:lvl w:ilvl="1">
      <w:start w:val="1"/>
      <w:numFmt w:val="bullet"/>
      <w:lvlText w:val="—"/>
      <w:lvlJc w:val="left"/>
      <w:pPr>
        <w:tabs>
          <w:tab w:val="num" w:pos="1191"/>
        </w:tabs>
        <w:ind w:left="1587" w:hanging="396"/>
      </w:pPr>
      <w:rPr>
        <w:rFonts w:ascii="Times New Roman" w:hAnsi="Times New Roman" w:cs="Times New Roman" w:hint="default"/>
        <w:color w:val="008139" w:themeColor="accent1"/>
        <w:sz w:val="20"/>
      </w:rPr>
    </w:lvl>
    <w:lvl w:ilvl="2">
      <w:start w:val="1"/>
      <w:numFmt w:val="bullet"/>
      <w:lvlText w:val=""/>
      <w:lvlJc w:val="left"/>
      <w:pPr>
        <w:tabs>
          <w:tab w:val="num" w:pos="1984"/>
        </w:tabs>
        <w:ind w:left="2381" w:hanging="397"/>
      </w:pPr>
      <w:rPr>
        <w:rFonts w:ascii="Wingdings" w:hAnsi="Wingdings" w:hint="default"/>
        <w:color w:val="008139" w:themeColor="accent1"/>
      </w:rPr>
    </w:lvl>
    <w:lvl w:ilvl="3">
      <w:start w:val="1"/>
      <w:numFmt w:val="bullet"/>
      <w:lvlText w:val=""/>
      <w:lvlJc w:val="left"/>
      <w:pPr>
        <w:tabs>
          <w:tab w:val="num" w:pos="2665"/>
        </w:tabs>
        <w:ind w:left="3005" w:hanging="340"/>
      </w:pPr>
      <w:rPr>
        <w:rFonts w:ascii="Wingdings 3" w:hAnsi="Wingdings 3" w:hint="default"/>
        <w:color w:val="008139" w:themeColor="accent1"/>
      </w:rPr>
    </w:lvl>
    <w:lvl w:ilvl="4">
      <w:numFmt w:val="none"/>
      <w:lvlText w:val=""/>
      <w:lvlJc w:val="left"/>
      <w:pPr>
        <w:ind w:left="0" w:firstLine="0"/>
      </w:pPr>
      <w:rPr>
        <w:rFonts w:hint="default"/>
      </w:rPr>
    </w:lvl>
    <w:lvl w:ilvl="5">
      <w:numFmt w:val="none"/>
      <w:lvlText w:val=""/>
      <w:lvlJc w:val="left"/>
      <w:pPr>
        <w:ind w:left="0" w:firstLine="0"/>
      </w:pPr>
      <w:rPr>
        <w:rFonts w:hint="default"/>
      </w:rPr>
    </w:lvl>
    <w:lvl w:ilvl="6">
      <w:numFmt w:val="none"/>
      <w:lvlText w:val=""/>
      <w:lvlJc w:val="left"/>
      <w:pPr>
        <w:ind w:left="0" w:firstLine="0"/>
      </w:pPr>
      <w:rPr>
        <w:rFonts w:hint="default"/>
      </w:rPr>
    </w:lvl>
    <w:lvl w:ilvl="7">
      <w:numFmt w:val="none"/>
      <w:lvlText w:val=""/>
      <w:lvlJc w:val="left"/>
      <w:pPr>
        <w:ind w:left="0" w:firstLine="0"/>
      </w:pPr>
      <w:rPr>
        <w:rFonts w:hint="default"/>
      </w:rPr>
    </w:lvl>
    <w:lvl w:ilvl="8">
      <w:numFmt w:val="none"/>
      <w:lvlText w:val=""/>
      <w:lvlJc w:val="left"/>
      <w:pPr>
        <w:ind w:left="0" w:firstLine="0"/>
      </w:pPr>
      <w:rPr>
        <w:rFonts w:hint="default"/>
      </w:rPr>
    </w:lvl>
  </w:abstractNum>
  <w:abstractNum w:abstractNumId="30" w15:restartNumberingAfterBreak="0">
    <w:nsid w:val="35634239"/>
    <w:multiLevelType w:val="multilevel"/>
    <w:tmpl w:val="0809001D"/>
    <w:styleLink w:val="11111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3F915386"/>
    <w:multiLevelType w:val="hybridMultilevel"/>
    <w:tmpl w:val="6A363202"/>
    <w:lvl w:ilvl="0" w:tplc="1876B4E0">
      <w:start w:val="1"/>
      <w:numFmt w:val="bullet"/>
      <w:lvlText w:val="·"/>
      <w:lvlJc w:val="left"/>
      <w:pPr>
        <w:ind w:left="661" w:hanging="360"/>
      </w:pPr>
      <w:rPr>
        <w:rFonts w:ascii="Symbol" w:hAnsi="Symbol" w:hint="default"/>
        <w:color w:val="DC3903"/>
        <w:sz w:val="16"/>
      </w:rPr>
    </w:lvl>
    <w:lvl w:ilvl="1" w:tplc="07F0D404">
      <w:start w:val="1"/>
      <w:numFmt w:val="bullet"/>
      <w:lvlText w:val="o"/>
      <w:lvlJc w:val="left"/>
      <w:pPr>
        <w:ind w:left="1682" w:hanging="360"/>
      </w:pPr>
      <w:rPr>
        <w:rFonts w:ascii="Courier New" w:hAnsi="Courier New" w:hint="default"/>
      </w:rPr>
    </w:lvl>
    <w:lvl w:ilvl="2" w:tplc="3224E5FC">
      <w:start w:val="1"/>
      <w:numFmt w:val="bullet"/>
      <w:lvlText w:val=""/>
      <w:lvlJc w:val="left"/>
      <w:pPr>
        <w:ind w:left="2402" w:hanging="360"/>
      </w:pPr>
      <w:rPr>
        <w:rFonts w:ascii="Wingdings" w:hAnsi="Wingdings" w:hint="default"/>
      </w:rPr>
    </w:lvl>
    <w:lvl w:ilvl="3" w:tplc="9418E254">
      <w:start w:val="1"/>
      <w:numFmt w:val="bullet"/>
      <w:lvlText w:val=""/>
      <w:lvlJc w:val="left"/>
      <w:pPr>
        <w:ind w:left="3122" w:hanging="360"/>
      </w:pPr>
      <w:rPr>
        <w:rFonts w:ascii="Symbol" w:hAnsi="Symbol" w:hint="default"/>
      </w:rPr>
    </w:lvl>
    <w:lvl w:ilvl="4" w:tplc="2EC47462">
      <w:start w:val="1"/>
      <w:numFmt w:val="bullet"/>
      <w:lvlText w:val="o"/>
      <w:lvlJc w:val="left"/>
      <w:pPr>
        <w:ind w:left="3842" w:hanging="360"/>
      </w:pPr>
      <w:rPr>
        <w:rFonts w:ascii="Courier New" w:hAnsi="Courier New" w:hint="default"/>
      </w:rPr>
    </w:lvl>
    <w:lvl w:ilvl="5" w:tplc="430ECF8E">
      <w:start w:val="1"/>
      <w:numFmt w:val="bullet"/>
      <w:lvlText w:val=""/>
      <w:lvlJc w:val="left"/>
      <w:pPr>
        <w:ind w:left="4562" w:hanging="360"/>
      </w:pPr>
      <w:rPr>
        <w:rFonts w:ascii="Wingdings" w:hAnsi="Wingdings" w:hint="default"/>
      </w:rPr>
    </w:lvl>
    <w:lvl w:ilvl="6" w:tplc="128CE28E">
      <w:start w:val="1"/>
      <w:numFmt w:val="bullet"/>
      <w:lvlText w:val=""/>
      <w:lvlJc w:val="left"/>
      <w:pPr>
        <w:ind w:left="5282" w:hanging="360"/>
      </w:pPr>
      <w:rPr>
        <w:rFonts w:ascii="Symbol" w:hAnsi="Symbol" w:hint="default"/>
      </w:rPr>
    </w:lvl>
    <w:lvl w:ilvl="7" w:tplc="203A964A">
      <w:start w:val="1"/>
      <w:numFmt w:val="bullet"/>
      <w:lvlText w:val="o"/>
      <w:lvlJc w:val="left"/>
      <w:pPr>
        <w:ind w:left="6002" w:hanging="360"/>
      </w:pPr>
      <w:rPr>
        <w:rFonts w:ascii="Courier New" w:hAnsi="Courier New" w:hint="default"/>
      </w:rPr>
    </w:lvl>
    <w:lvl w:ilvl="8" w:tplc="FF027D66">
      <w:start w:val="1"/>
      <w:numFmt w:val="bullet"/>
      <w:lvlText w:val=""/>
      <w:lvlJc w:val="left"/>
      <w:pPr>
        <w:ind w:left="6722" w:hanging="360"/>
      </w:pPr>
      <w:rPr>
        <w:rFonts w:ascii="Wingdings" w:hAnsi="Wingdings" w:hint="default"/>
      </w:rPr>
    </w:lvl>
  </w:abstractNum>
  <w:abstractNum w:abstractNumId="32" w15:restartNumberingAfterBreak="0">
    <w:nsid w:val="4C4669D8"/>
    <w:multiLevelType w:val="multilevel"/>
    <w:tmpl w:val="B934B0B0"/>
    <w:name w:val="ampr_box_BLUE_bullet_list2"/>
    <w:numStyleLink w:val="amprboxBLUEbulletlistLIST"/>
  </w:abstractNum>
  <w:abstractNum w:abstractNumId="33" w15:restartNumberingAfterBreak="0">
    <w:nsid w:val="4E512CC5"/>
    <w:multiLevelType w:val="hybridMultilevel"/>
    <w:tmpl w:val="B002C448"/>
    <w:lvl w:ilvl="0" w:tplc="6FE893DE">
      <w:start w:val="1"/>
      <w:numFmt w:val="bullet"/>
      <w:pStyle w:val="BulletforinfographicVol1"/>
      <w:lvlText w:val="·"/>
      <w:lvlJc w:val="left"/>
      <w:pPr>
        <w:tabs>
          <w:tab w:val="num" w:pos="720"/>
        </w:tabs>
        <w:ind w:left="720" w:hanging="360"/>
      </w:pPr>
      <w:rPr>
        <w:rFonts w:ascii="Symbol" w:hAnsi="Symbol" w:hint="default"/>
        <w:color w:val="DC3903"/>
        <w:sz w:val="16"/>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4E58592F"/>
    <w:multiLevelType w:val="multilevel"/>
    <w:tmpl w:val="83DAEB82"/>
    <w:styleLink w:val="LISTAboutEUpage"/>
    <w:lvl w:ilvl="0">
      <w:start w:val="1"/>
      <w:numFmt w:val="bullet"/>
      <w:lvlText w:val="—"/>
      <w:lvlJc w:val="left"/>
      <w:pPr>
        <w:tabs>
          <w:tab w:val="num" w:pos="397"/>
        </w:tabs>
        <w:ind w:left="357" w:hanging="357"/>
      </w:pPr>
      <w:rPr>
        <w:rFonts w:ascii="Arial" w:hAnsi="Arial" w:hint="default"/>
        <w:color w:val="auto"/>
      </w:rPr>
    </w:lvl>
    <w:lvl w:ilvl="1">
      <w:start w:val="1"/>
      <w:numFmt w:val="none"/>
      <w:lvlText w:val=""/>
      <w:lvlJc w:val="left"/>
      <w:pPr>
        <w:tabs>
          <w:tab w:val="num" w:pos="397"/>
        </w:tabs>
        <w:ind w:left="357" w:hanging="357"/>
      </w:pPr>
      <w:rPr>
        <w:rFonts w:hint="default"/>
        <w:color w:val="auto"/>
        <w:sz w:val="20"/>
      </w:rPr>
    </w:lvl>
    <w:lvl w:ilvl="2">
      <w:start w:val="1"/>
      <w:numFmt w:val="none"/>
      <w:lvlText w:val=""/>
      <w:lvlJc w:val="left"/>
      <w:pPr>
        <w:tabs>
          <w:tab w:val="num" w:pos="397"/>
        </w:tabs>
        <w:ind w:left="357" w:hanging="357"/>
      </w:pPr>
      <w:rPr>
        <w:rFonts w:hint="default"/>
        <w:color w:val="auto"/>
      </w:rPr>
    </w:lvl>
    <w:lvl w:ilvl="3">
      <w:start w:val="1"/>
      <w:numFmt w:val="none"/>
      <w:lvlText w:val=""/>
      <w:lvlJc w:val="left"/>
      <w:pPr>
        <w:tabs>
          <w:tab w:val="num" w:pos="397"/>
        </w:tabs>
        <w:ind w:left="357" w:hanging="357"/>
      </w:pPr>
      <w:rPr>
        <w:rFonts w:hint="default"/>
        <w:color w:val="DE6002" w:themeColor="accent2"/>
      </w:rPr>
    </w:lvl>
    <w:lvl w:ilvl="4">
      <w:numFmt w:val="none"/>
      <w:lvlText w:val=""/>
      <w:lvlJc w:val="left"/>
      <w:pPr>
        <w:tabs>
          <w:tab w:val="num" w:pos="397"/>
        </w:tabs>
        <w:ind w:left="357" w:hanging="357"/>
      </w:pPr>
      <w:rPr>
        <w:rFonts w:hint="default"/>
      </w:rPr>
    </w:lvl>
    <w:lvl w:ilvl="5">
      <w:numFmt w:val="none"/>
      <w:lvlText w:val=""/>
      <w:lvlJc w:val="left"/>
      <w:pPr>
        <w:tabs>
          <w:tab w:val="num" w:pos="397"/>
        </w:tabs>
        <w:ind w:left="357" w:hanging="357"/>
      </w:pPr>
      <w:rPr>
        <w:rFonts w:hint="default"/>
      </w:rPr>
    </w:lvl>
    <w:lvl w:ilvl="6">
      <w:numFmt w:val="none"/>
      <w:lvlText w:val=""/>
      <w:lvlJc w:val="left"/>
      <w:pPr>
        <w:tabs>
          <w:tab w:val="num" w:pos="397"/>
        </w:tabs>
        <w:ind w:left="357" w:hanging="357"/>
      </w:pPr>
      <w:rPr>
        <w:rFonts w:hint="default"/>
      </w:rPr>
    </w:lvl>
    <w:lvl w:ilvl="7">
      <w:numFmt w:val="none"/>
      <w:lvlText w:val=""/>
      <w:lvlJc w:val="left"/>
      <w:pPr>
        <w:tabs>
          <w:tab w:val="num" w:pos="397"/>
        </w:tabs>
        <w:ind w:left="357" w:hanging="357"/>
      </w:pPr>
      <w:rPr>
        <w:rFonts w:hint="default"/>
      </w:rPr>
    </w:lvl>
    <w:lvl w:ilvl="8">
      <w:numFmt w:val="none"/>
      <w:lvlText w:val=""/>
      <w:lvlJc w:val="left"/>
      <w:pPr>
        <w:tabs>
          <w:tab w:val="num" w:pos="397"/>
        </w:tabs>
        <w:ind w:left="357" w:hanging="357"/>
      </w:pPr>
      <w:rPr>
        <w:rFonts w:hint="default"/>
      </w:rPr>
    </w:lvl>
  </w:abstractNum>
  <w:abstractNum w:abstractNumId="35" w15:restartNumberingAfterBreak="0">
    <w:nsid w:val="506F022C"/>
    <w:multiLevelType w:val="hybridMultilevel"/>
    <w:tmpl w:val="049E9056"/>
    <w:lvl w:ilvl="0" w:tplc="7BF01DFE">
      <w:start w:val="1"/>
      <w:numFmt w:val="bullet"/>
      <w:lvlText w:val="•"/>
      <w:lvlJc w:val="left"/>
      <w:pPr>
        <w:tabs>
          <w:tab w:val="num" w:pos="720"/>
        </w:tabs>
        <w:ind w:left="720" w:hanging="360"/>
      </w:pPr>
      <w:rPr>
        <w:rFonts w:ascii="Verdana" w:hAnsi="Verdana" w:hint="default"/>
        <w:color w:val="A41045" w:themeColor="accent5" w:themeShade="BF"/>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36" w15:restartNumberingAfterBreak="0">
    <w:nsid w:val="55C64896"/>
    <w:multiLevelType w:val="multilevel"/>
    <w:tmpl w:val="B4C8DC34"/>
    <w:name w:val="[ampr box]_bullet_list_LIST"/>
    <w:styleLink w:val="amprboxbulletlistLIST"/>
    <w:lvl w:ilvl="0">
      <w:start w:val="1"/>
      <w:numFmt w:val="bullet"/>
      <w:pStyle w:val="amprboxbulletlist"/>
      <w:lvlText w:val="•"/>
      <w:lvlJc w:val="left"/>
      <w:pPr>
        <w:ind w:left="360" w:hanging="59"/>
      </w:pPr>
      <w:rPr>
        <w:rFonts w:ascii="Arial" w:hAnsi="Arial" w:hint="default"/>
      </w:rPr>
    </w:lvl>
    <w:lvl w:ilvl="1">
      <w:start w:val="1"/>
      <w:numFmt w:val="none"/>
      <w:lvlText w:val="&gt;&gt;Table Box Red Border"/>
      <w:lvlJc w:val="left"/>
      <w:pPr>
        <w:ind w:left="0" w:firstLine="301"/>
      </w:pPr>
      <w:rPr>
        <w:rFonts w:hint="default"/>
        <w:b/>
        <w:i w:val="0"/>
        <w:color w:val="FF0000"/>
        <w:u w:val="dotted"/>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572913CF"/>
    <w:multiLevelType w:val="multilevel"/>
    <w:tmpl w:val="64546AD2"/>
    <w:styleLink w:val="LISTBulletforinfographic"/>
    <w:lvl w:ilvl="0">
      <w:start w:val="1"/>
      <w:numFmt w:val="bullet"/>
      <w:pStyle w:val="Bulletforinfographic"/>
      <w:lvlText w:val="•"/>
      <w:lvlJc w:val="left"/>
      <w:pPr>
        <w:tabs>
          <w:tab w:val="num" w:pos="170"/>
        </w:tabs>
        <w:ind w:left="170" w:hanging="170"/>
      </w:pPr>
      <w:rPr>
        <w:rFonts w:ascii="Calibri" w:hAnsi="Calibri" w:hint="default"/>
        <w:color w:val="DC3903"/>
      </w:rPr>
    </w:lvl>
    <w:lvl w:ilvl="1">
      <w:start w:val="1"/>
      <w:numFmt w:val="bullet"/>
      <w:lvlText w:val="—"/>
      <w:lvlJc w:val="left"/>
      <w:pPr>
        <w:tabs>
          <w:tab w:val="num" w:pos="1191"/>
        </w:tabs>
        <w:ind w:left="1587" w:hanging="396"/>
      </w:pPr>
      <w:rPr>
        <w:rFonts w:ascii="Times New Roman" w:hAnsi="Times New Roman" w:cs="Times New Roman" w:hint="default"/>
        <w:color w:val="DE6002" w:themeColor="accent2"/>
        <w:sz w:val="20"/>
      </w:rPr>
    </w:lvl>
    <w:lvl w:ilvl="2">
      <w:start w:val="1"/>
      <w:numFmt w:val="bullet"/>
      <w:lvlText w:val=""/>
      <w:lvlJc w:val="left"/>
      <w:pPr>
        <w:tabs>
          <w:tab w:val="num" w:pos="1984"/>
        </w:tabs>
        <w:ind w:left="2381" w:hanging="397"/>
      </w:pPr>
      <w:rPr>
        <w:rFonts w:ascii="Wingdings" w:hAnsi="Wingdings" w:hint="default"/>
        <w:color w:val="DE6002" w:themeColor="accent2"/>
      </w:rPr>
    </w:lvl>
    <w:lvl w:ilvl="3">
      <w:start w:val="1"/>
      <w:numFmt w:val="bullet"/>
      <w:lvlText w:val=""/>
      <w:lvlJc w:val="left"/>
      <w:pPr>
        <w:tabs>
          <w:tab w:val="num" w:pos="2665"/>
        </w:tabs>
        <w:ind w:left="3005" w:hanging="340"/>
      </w:pPr>
      <w:rPr>
        <w:rFonts w:ascii="Wingdings 3" w:hAnsi="Wingdings 3" w:hint="default"/>
        <w:color w:val="DE6002" w:themeColor="accent2"/>
      </w:rPr>
    </w:lvl>
    <w:lvl w:ilvl="4">
      <w:numFmt w:val="none"/>
      <w:lvlText w:val=""/>
      <w:lvlJc w:val="left"/>
      <w:pPr>
        <w:ind w:left="0" w:firstLine="0"/>
      </w:pPr>
      <w:rPr>
        <w:rFonts w:hint="default"/>
      </w:rPr>
    </w:lvl>
    <w:lvl w:ilvl="5">
      <w:numFmt w:val="none"/>
      <w:lvlText w:val=""/>
      <w:lvlJc w:val="left"/>
      <w:pPr>
        <w:ind w:left="0" w:firstLine="0"/>
      </w:pPr>
      <w:rPr>
        <w:rFonts w:hint="default"/>
      </w:rPr>
    </w:lvl>
    <w:lvl w:ilvl="6">
      <w:numFmt w:val="none"/>
      <w:lvlText w:val=""/>
      <w:lvlJc w:val="left"/>
      <w:pPr>
        <w:ind w:left="0" w:firstLine="0"/>
      </w:pPr>
      <w:rPr>
        <w:rFonts w:hint="default"/>
      </w:rPr>
    </w:lvl>
    <w:lvl w:ilvl="7">
      <w:numFmt w:val="none"/>
      <w:lvlText w:val=""/>
      <w:lvlJc w:val="left"/>
      <w:pPr>
        <w:ind w:left="0" w:firstLine="0"/>
      </w:pPr>
      <w:rPr>
        <w:rFonts w:hint="default"/>
      </w:rPr>
    </w:lvl>
    <w:lvl w:ilvl="8">
      <w:numFmt w:val="none"/>
      <w:lvlText w:val=""/>
      <w:lvlJc w:val="left"/>
      <w:pPr>
        <w:ind w:left="0" w:firstLine="0"/>
      </w:pPr>
      <w:rPr>
        <w:rFonts w:hint="default"/>
      </w:rPr>
    </w:lvl>
  </w:abstractNum>
  <w:abstractNum w:abstractNumId="38" w15:restartNumberingAfterBreak="0">
    <w:nsid w:val="59BB2205"/>
    <w:multiLevelType w:val="multilevel"/>
    <w:tmpl w:val="BC3AB3F4"/>
    <w:styleLink w:val="amprLISTgreenbullets"/>
    <w:lvl w:ilvl="0">
      <w:start w:val="1"/>
      <w:numFmt w:val="upperLetter"/>
      <w:lvlText w:val="%1."/>
      <w:lvlJc w:val="left"/>
      <w:pPr>
        <w:ind w:left="357" w:hanging="357"/>
      </w:pPr>
      <w:rPr>
        <w:rFonts w:hint="default"/>
      </w:rPr>
    </w:lvl>
    <w:lvl w:ilvl="1">
      <w:start w:val="1"/>
      <w:numFmt w:val="upperLetter"/>
      <w:lvlText w:val="%1."/>
      <w:lvlJc w:val="left"/>
      <w:pPr>
        <w:ind w:left="357" w:hanging="357"/>
      </w:pPr>
      <w:rPr>
        <w:rFonts w:hint="default"/>
      </w:rPr>
    </w:lvl>
    <w:lvl w:ilvl="2">
      <w:start w:val="1"/>
      <w:numFmt w:val="upperLetter"/>
      <w:lvlText w:val="%1."/>
      <w:lvlJc w:val="left"/>
      <w:pPr>
        <w:ind w:left="357" w:hanging="357"/>
      </w:pPr>
      <w:rPr>
        <w:rFonts w:hint="default"/>
      </w:rPr>
    </w:lvl>
    <w:lvl w:ilvl="3">
      <w:start w:val="1"/>
      <w:numFmt w:val="upperLetter"/>
      <w:lvlText w:val="%1."/>
      <w:lvlJc w:val="left"/>
      <w:pPr>
        <w:ind w:left="357" w:hanging="357"/>
      </w:pPr>
      <w:rPr>
        <w:rFonts w:hint="default"/>
      </w:rPr>
    </w:lvl>
    <w:lvl w:ilvl="4">
      <w:start w:val="1"/>
      <w:numFmt w:val="upperLetter"/>
      <w:lvlText w:val="%1."/>
      <w:lvlJc w:val="left"/>
      <w:pPr>
        <w:ind w:left="357" w:hanging="357"/>
      </w:pPr>
      <w:rPr>
        <w:rFonts w:hint="default"/>
      </w:rPr>
    </w:lvl>
    <w:lvl w:ilvl="5">
      <w:start w:val="1"/>
      <w:numFmt w:val="upperLetter"/>
      <w:lvlText w:val="%1."/>
      <w:lvlJc w:val="left"/>
      <w:pPr>
        <w:ind w:left="357" w:hanging="357"/>
      </w:pPr>
      <w:rPr>
        <w:rFonts w:hint="default"/>
      </w:rPr>
    </w:lvl>
    <w:lvl w:ilvl="6">
      <w:start w:val="1"/>
      <w:numFmt w:val="upperLetter"/>
      <w:lvlText w:val="%1."/>
      <w:lvlJc w:val="left"/>
      <w:pPr>
        <w:ind w:left="357" w:hanging="357"/>
      </w:pPr>
      <w:rPr>
        <w:rFonts w:hint="default"/>
      </w:rPr>
    </w:lvl>
    <w:lvl w:ilvl="7">
      <w:start w:val="1"/>
      <w:numFmt w:val="upperLetter"/>
      <w:lvlText w:val="%1."/>
      <w:lvlJc w:val="left"/>
      <w:pPr>
        <w:ind w:left="357" w:hanging="357"/>
      </w:pPr>
      <w:rPr>
        <w:rFonts w:hint="default"/>
      </w:rPr>
    </w:lvl>
    <w:lvl w:ilvl="8">
      <w:start w:val="1"/>
      <w:numFmt w:val="upperLetter"/>
      <w:lvlText w:val="%1."/>
      <w:lvlJc w:val="left"/>
      <w:pPr>
        <w:ind w:left="357" w:hanging="357"/>
      </w:pPr>
      <w:rPr>
        <w:rFonts w:hint="default"/>
      </w:rPr>
    </w:lvl>
  </w:abstractNum>
  <w:abstractNum w:abstractNumId="39" w15:restartNumberingAfterBreak="0">
    <w:nsid w:val="59C52E3D"/>
    <w:multiLevelType w:val="multilevel"/>
    <w:tmpl w:val="02EC5CF6"/>
    <w:styleLink w:val="ListBulletorangeLIST"/>
    <w:lvl w:ilvl="0">
      <w:start w:val="1"/>
      <w:numFmt w:val="bullet"/>
      <w:pStyle w:val="ListBulletorangeLevel1"/>
      <w:lvlText w:val="•"/>
      <w:lvlJc w:val="left"/>
      <w:pPr>
        <w:tabs>
          <w:tab w:val="num" w:pos="397"/>
        </w:tabs>
        <w:ind w:left="397" w:hanging="397"/>
      </w:pPr>
      <w:rPr>
        <w:rFonts w:ascii="Calibri" w:hAnsi="Calibri" w:hint="default"/>
        <w:color w:val="DC3903"/>
      </w:rPr>
    </w:lvl>
    <w:lvl w:ilvl="1">
      <w:start w:val="1"/>
      <w:numFmt w:val="bullet"/>
      <w:lvlText w:val="—"/>
      <w:lvlJc w:val="left"/>
      <w:pPr>
        <w:tabs>
          <w:tab w:val="num" w:pos="1361"/>
        </w:tabs>
        <w:ind w:left="964" w:hanging="397"/>
      </w:pPr>
      <w:rPr>
        <w:rFonts w:ascii="Times New Roman" w:hAnsi="Times New Roman" w:cs="Times New Roman" w:hint="default"/>
        <w:color w:val="003399" w:themeColor="text2"/>
        <w:sz w:val="20"/>
      </w:rPr>
    </w:lvl>
    <w:lvl w:ilvl="2">
      <w:start w:val="1"/>
      <w:numFmt w:val="bullet"/>
      <w:lvlText w:val=""/>
      <w:lvlJc w:val="left"/>
      <w:pPr>
        <w:tabs>
          <w:tab w:val="num" w:pos="1928"/>
        </w:tabs>
        <w:ind w:left="1531" w:hanging="397"/>
      </w:pPr>
      <w:rPr>
        <w:rFonts w:ascii="Wingdings" w:hAnsi="Wingdings" w:hint="default"/>
        <w:color w:val="003399" w:themeColor="text2"/>
      </w:rPr>
    </w:lvl>
    <w:lvl w:ilvl="3">
      <w:start w:val="1"/>
      <w:numFmt w:val="bullet"/>
      <w:lvlText w:val=""/>
      <w:lvlJc w:val="left"/>
      <w:pPr>
        <w:tabs>
          <w:tab w:val="num" w:pos="2495"/>
        </w:tabs>
        <w:ind w:left="2098" w:hanging="397"/>
      </w:pPr>
      <w:rPr>
        <w:rFonts w:ascii="Wingdings 3" w:hAnsi="Wingdings 3" w:hint="default"/>
        <w:color w:val="003399" w:themeColor="text2"/>
      </w:rPr>
    </w:lvl>
    <w:lvl w:ilvl="4">
      <w:numFmt w:val="none"/>
      <w:lvlText w:val=""/>
      <w:lvlJc w:val="left"/>
      <w:pPr>
        <w:ind w:left="0" w:firstLine="0"/>
      </w:pPr>
      <w:rPr>
        <w:rFonts w:hint="default"/>
      </w:rPr>
    </w:lvl>
    <w:lvl w:ilvl="5">
      <w:numFmt w:val="none"/>
      <w:lvlText w:val=""/>
      <w:lvlJc w:val="left"/>
      <w:pPr>
        <w:ind w:left="0" w:firstLine="0"/>
      </w:pPr>
      <w:rPr>
        <w:rFonts w:hint="default"/>
      </w:rPr>
    </w:lvl>
    <w:lvl w:ilvl="6">
      <w:numFmt w:val="none"/>
      <w:lvlText w:val=""/>
      <w:lvlJc w:val="left"/>
      <w:pPr>
        <w:ind w:left="0" w:firstLine="0"/>
      </w:pPr>
      <w:rPr>
        <w:rFonts w:hint="default"/>
      </w:rPr>
    </w:lvl>
    <w:lvl w:ilvl="7">
      <w:numFmt w:val="none"/>
      <w:lvlText w:val=""/>
      <w:lvlJc w:val="left"/>
      <w:pPr>
        <w:ind w:left="0" w:firstLine="0"/>
      </w:pPr>
      <w:rPr>
        <w:rFonts w:hint="default"/>
      </w:rPr>
    </w:lvl>
    <w:lvl w:ilvl="8">
      <w:numFmt w:val="none"/>
      <w:lvlText w:val=""/>
      <w:lvlJc w:val="left"/>
      <w:pPr>
        <w:ind w:left="0" w:firstLine="0"/>
      </w:pPr>
      <w:rPr>
        <w:rFonts w:hint="default"/>
      </w:rPr>
    </w:lvl>
  </w:abstractNum>
  <w:abstractNum w:abstractNumId="40" w15:restartNumberingAfterBreak="0">
    <w:nsid w:val="5F620660"/>
    <w:multiLevelType w:val="multilevel"/>
    <w:tmpl w:val="22DA6280"/>
    <w:styleLink w:val="LISTBullet0"/>
    <w:lvl w:ilvl="0">
      <w:start w:val="1"/>
      <w:numFmt w:val="bullet"/>
      <w:lvlText w:val="•"/>
      <w:lvlJc w:val="left"/>
      <w:pPr>
        <w:tabs>
          <w:tab w:val="num" w:pos="397"/>
        </w:tabs>
        <w:ind w:left="794" w:hanging="397"/>
      </w:pPr>
      <w:rPr>
        <w:rFonts w:ascii="Calibri" w:hAnsi="Calibri" w:hint="default"/>
        <w:color w:val="DE6002" w:themeColor="accent2"/>
      </w:rPr>
    </w:lvl>
    <w:lvl w:ilvl="1">
      <w:start w:val="1"/>
      <w:numFmt w:val="bullet"/>
      <w:lvlText w:val="—"/>
      <w:lvlJc w:val="left"/>
      <w:pPr>
        <w:tabs>
          <w:tab w:val="num" w:pos="1361"/>
        </w:tabs>
        <w:ind w:left="1361" w:hanging="397"/>
      </w:pPr>
      <w:rPr>
        <w:rFonts w:ascii="Times New Roman" w:hAnsi="Times New Roman" w:cs="Times New Roman" w:hint="default"/>
        <w:color w:val="DE6002" w:themeColor="accent2"/>
        <w:sz w:val="20"/>
      </w:rPr>
    </w:lvl>
    <w:lvl w:ilvl="2">
      <w:start w:val="1"/>
      <w:numFmt w:val="bullet"/>
      <w:lvlText w:val=""/>
      <w:lvlJc w:val="left"/>
      <w:pPr>
        <w:tabs>
          <w:tab w:val="num" w:pos="1928"/>
        </w:tabs>
        <w:ind w:left="1928" w:hanging="397"/>
      </w:pPr>
      <w:rPr>
        <w:rFonts w:ascii="Wingdings" w:hAnsi="Wingdings" w:hint="default"/>
        <w:color w:val="DE6002" w:themeColor="accent2"/>
      </w:rPr>
    </w:lvl>
    <w:lvl w:ilvl="3">
      <w:start w:val="1"/>
      <w:numFmt w:val="bullet"/>
      <w:lvlText w:val=""/>
      <w:lvlJc w:val="left"/>
      <w:pPr>
        <w:tabs>
          <w:tab w:val="num" w:pos="2495"/>
        </w:tabs>
        <w:ind w:left="2495" w:hanging="397"/>
      </w:pPr>
      <w:rPr>
        <w:rFonts w:ascii="Wingdings 3" w:hAnsi="Wingdings 3" w:hint="default"/>
        <w:color w:val="DE6002" w:themeColor="accent2"/>
      </w:rPr>
    </w:lvl>
    <w:lvl w:ilvl="4">
      <w:numFmt w:val="none"/>
      <w:lvlText w:val=""/>
      <w:lvlJc w:val="left"/>
      <w:pPr>
        <w:ind w:left="0" w:firstLine="0"/>
      </w:pPr>
      <w:rPr>
        <w:rFonts w:hint="default"/>
      </w:rPr>
    </w:lvl>
    <w:lvl w:ilvl="5">
      <w:numFmt w:val="none"/>
      <w:lvlText w:val=""/>
      <w:lvlJc w:val="left"/>
      <w:pPr>
        <w:ind w:left="0" w:firstLine="0"/>
      </w:pPr>
      <w:rPr>
        <w:rFonts w:hint="default"/>
      </w:rPr>
    </w:lvl>
    <w:lvl w:ilvl="6">
      <w:numFmt w:val="none"/>
      <w:lvlText w:val=""/>
      <w:lvlJc w:val="left"/>
      <w:pPr>
        <w:ind w:left="0" w:firstLine="0"/>
      </w:pPr>
      <w:rPr>
        <w:rFonts w:hint="default"/>
      </w:rPr>
    </w:lvl>
    <w:lvl w:ilvl="7">
      <w:numFmt w:val="none"/>
      <w:lvlText w:val=""/>
      <w:lvlJc w:val="left"/>
      <w:pPr>
        <w:ind w:left="0" w:firstLine="0"/>
      </w:pPr>
      <w:rPr>
        <w:rFonts w:hint="default"/>
      </w:rPr>
    </w:lvl>
    <w:lvl w:ilvl="8">
      <w:numFmt w:val="none"/>
      <w:lvlText w:val=""/>
      <w:lvlJc w:val="left"/>
      <w:pPr>
        <w:ind w:left="0" w:firstLine="0"/>
      </w:pPr>
      <w:rPr>
        <w:rFonts w:hint="default"/>
      </w:rPr>
    </w:lvl>
  </w:abstractNum>
  <w:abstractNum w:abstractNumId="41" w15:restartNumberingAfterBreak="0">
    <w:nsid w:val="632C54AF"/>
    <w:multiLevelType w:val="multilevel"/>
    <w:tmpl w:val="B934B0B0"/>
    <w:name w:val="ampr_box_BLUE_bullet_list"/>
    <w:styleLink w:val="amprboxBLUEbulletlistLIST"/>
    <w:lvl w:ilvl="0">
      <w:start w:val="1"/>
      <w:numFmt w:val="bullet"/>
      <w:pStyle w:val="amprboxBLUEbulletlist"/>
      <w:lvlText w:val=""/>
      <w:lvlJc w:val="left"/>
      <w:pPr>
        <w:ind w:left="661" w:hanging="360"/>
      </w:pPr>
      <w:rPr>
        <w:rFonts w:ascii="Symbol" w:hAnsi="Symbol" w:hint="default"/>
        <w:color w:val="D13400"/>
        <w:sz w:val="16"/>
      </w:rPr>
    </w:lvl>
    <w:lvl w:ilvl="1">
      <w:start w:val="1"/>
      <w:numFmt w:val="bullet"/>
      <w:lvlText w:val="o"/>
      <w:lvlJc w:val="left"/>
      <w:pPr>
        <w:ind w:left="1682" w:hanging="360"/>
      </w:pPr>
      <w:rPr>
        <w:rFonts w:ascii="Courier New" w:hAnsi="Courier New" w:hint="default"/>
      </w:rPr>
    </w:lvl>
    <w:lvl w:ilvl="2">
      <w:start w:val="1"/>
      <w:numFmt w:val="bullet"/>
      <w:lvlText w:val=""/>
      <w:lvlJc w:val="left"/>
      <w:pPr>
        <w:ind w:left="2402" w:hanging="360"/>
      </w:pPr>
      <w:rPr>
        <w:rFonts w:ascii="Wingdings" w:hAnsi="Wingdings" w:hint="default"/>
      </w:rPr>
    </w:lvl>
    <w:lvl w:ilvl="3">
      <w:start w:val="1"/>
      <w:numFmt w:val="bullet"/>
      <w:lvlText w:val=""/>
      <w:lvlJc w:val="left"/>
      <w:pPr>
        <w:ind w:left="3122" w:hanging="360"/>
      </w:pPr>
      <w:rPr>
        <w:rFonts w:ascii="Symbol" w:hAnsi="Symbol" w:hint="default"/>
      </w:rPr>
    </w:lvl>
    <w:lvl w:ilvl="4">
      <w:start w:val="1"/>
      <w:numFmt w:val="bullet"/>
      <w:lvlText w:val="o"/>
      <w:lvlJc w:val="left"/>
      <w:pPr>
        <w:ind w:left="3842" w:hanging="360"/>
      </w:pPr>
      <w:rPr>
        <w:rFonts w:ascii="Courier New" w:hAnsi="Courier New" w:hint="default"/>
      </w:rPr>
    </w:lvl>
    <w:lvl w:ilvl="5">
      <w:start w:val="1"/>
      <w:numFmt w:val="bullet"/>
      <w:lvlText w:val=""/>
      <w:lvlJc w:val="left"/>
      <w:pPr>
        <w:ind w:left="4562" w:hanging="360"/>
      </w:pPr>
      <w:rPr>
        <w:rFonts w:ascii="Wingdings" w:hAnsi="Wingdings" w:hint="default"/>
      </w:rPr>
    </w:lvl>
    <w:lvl w:ilvl="6">
      <w:start w:val="1"/>
      <w:numFmt w:val="bullet"/>
      <w:lvlText w:val=""/>
      <w:lvlJc w:val="left"/>
      <w:pPr>
        <w:ind w:left="5282" w:hanging="360"/>
      </w:pPr>
      <w:rPr>
        <w:rFonts w:ascii="Symbol" w:hAnsi="Symbol" w:hint="default"/>
      </w:rPr>
    </w:lvl>
    <w:lvl w:ilvl="7">
      <w:start w:val="1"/>
      <w:numFmt w:val="bullet"/>
      <w:lvlText w:val="o"/>
      <w:lvlJc w:val="left"/>
      <w:pPr>
        <w:ind w:left="6002" w:hanging="360"/>
      </w:pPr>
      <w:rPr>
        <w:rFonts w:ascii="Courier New" w:hAnsi="Courier New" w:hint="default"/>
      </w:rPr>
    </w:lvl>
    <w:lvl w:ilvl="8">
      <w:start w:val="1"/>
      <w:numFmt w:val="bullet"/>
      <w:lvlText w:val=""/>
      <w:lvlJc w:val="left"/>
      <w:pPr>
        <w:ind w:left="6722" w:hanging="360"/>
      </w:pPr>
      <w:rPr>
        <w:rFonts w:ascii="Wingdings" w:hAnsi="Wingdings" w:hint="default"/>
      </w:rPr>
    </w:lvl>
  </w:abstractNum>
  <w:abstractNum w:abstractNumId="42" w15:restartNumberingAfterBreak="0">
    <w:nsid w:val="699E2258"/>
    <w:multiLevelType w:val="hybridMultilevel"/>
    <w:tmpl w:val="82E06B78"/>
    <w:lvl w:ilvl="0" w:tplc="08090001">
      <w:start w:val="1"/>
      <w:numFmt w:val="bullet"/>
      <w:lvlText w:val=""/>
      <w:lvlJc w:val="left"/>
      <w:pPr>
        <w:ind w:left="661" w:hanging="360"/>
      </w:pPr>
      <w:rPr>
        <w:rFonts w:ascii="Symbol" w:hAnsi="Symbol" w:hint="default"/>
      </w:rPr>
    </w:lvl>
    <w:lvl w:ilvl="1" w:tplc="08090003" w:tentative="1">
      <w:start w:val="1"/>
      <w:numFmt w:val="bullet"/>
      <w:lvlText w:val="o"/>
      <w:lvlJc w:val="left"/>
      <w:pPr>
        <w:ind w:left="1381" w:hanging="360"/>
      </w:pPr>
      <w:rPr>
        <w:rFonts w:ascii="Courier New" w:hAnsi="Courier New" w:cs="Courier New" w:hint="default"/>
      </w:rPr>
    </w:lvl>
    <w:lvl w:ilvl="2" w:tplc="08090005" w:tentative="1">
      <w:start w:val="1"/>
      <w:numFmt w:val="bullet"/>
      <w:lvlText w:val=""/>
      <w:lvlJc w:val="left"/>
      <w:pPr>
        <w:ind w:left="2101" w:hanging="360"/>
      </w:pPr>
      <w:rPr>
        <w:rFonts w:ascii="Wingdings" w:hAnsi="Wingdings" w:hint="default"/>
      </w:rPr>
    </w:lvl>
    <w:lvl w:ilvl="3" w:tplc="08090001" w:tentative="1">
      <w:start w:val="1"/>
      <w:numFmt w:val="bullet"/>
      <w:lvlText w:val=""/>
      <w:lvlJc w:val="left"/>
      <w:pPr>
        <w:ind w:left="2821" w:hanging="360"/>
      </w:pPr>
      <w:rPr>
        <w:rFonts w:ascii="Symbol" w:hAnsi="Symbol" w:hint="default"/>
      </w:rPr>
    </w:lvl>
    <w:lvl w:ilvl="4" w:tplc="08090003" w:tentative="1">
      <w:start w:val="1"/>
      <w:numFmt w:val="bullet"/>
      <w:lvlText w:val="o"/>
      <w:lvlJc w:val="left"/>
      <w:pPr>
        <w:ind w:left="3541" w:hanging="360"/>
      </w:pPr>
      <w:rPr>
        <w:rFonts w:ascii="Courier New" w:hAnsi="Courier New" w:cs="Courier New" w:hint="default"/>
      </w:rPr>
    </w:lvl>
    <w:lvl w:ilvl="5" w:tplc="08090005" w:tentative="1">
      <w:start w:val="1"/>
      <w:numFmt w:val="bullet"/>
      <w:lvlText w:val=""/>
      <w:lvlJc w:val="left"/>
      <w:pPr>
        <w:ind w:left="4261" w:hanging="360"/>
      </w:pPr>
      <w:rPr>
        <w:rFonts w:ascii="Wingdings" w:hAnsi="Wingdings" w:hint="default"/>
      </w:rPr>
    </w:lvl>
    <w:lvl w:ilvl="6" w:tplc="08090001" w:tentative="1">
      <w:start w:val="1"/>
      <w:numFmt w:val="bullet"/>
      <w:lvlText w:val=""/>
      <w:lvlJc w:val="left"/>
      <w:pPr>
        <w:ind w:left="4981" w:hanging="360"/>
      </w:pPr>
      <w:rPr>
        <w:rFonts w:ascii="Symbol" w:hAnsi="Symbol" w:hint="default"/>
      </w:rPr>
    </w:lvl>
    <w:lvl w:ilvl="7" w:tplc="08090003" w:tentative="1">
      <w:start w:val="1"/>
      <w:numFmt w:val="bullet"/>
      <w:lvlText w:val="o"/>
      <w:lvlJc w:val="left"/>
      <w:pPr>
        <w:ind w:left="5701" w:hanging="360"/>
      </w:pPr>
      <w:rPr>
        <w:rFonts w:ascii="Courier New" w:hAnsi="Courier New" w:cs="Courier New" w:hint="default"/>
      </w:rPr>
    </w:lvl>
    <w:lvl w:ilvl="8" w:tplc="08090005" w:tentative="1">
      <w:start w:val="1"/>
      <w:numFmt w:val="bullet"/>
      <w:lvlText w:val=""/>
      <w:lvlJc w:val="left"/>
      <w:pPr>
        <w:ind w:left="6421" w:hanging="360"/>
      </w:pPr>
      <w:rPr>
        <w:rFonts w:ascii="Wingdings" w:hAnsi="Wingdings" w:hint="default"/>
      </w:rPr>
    </w:lvl>
  </w:abstractNum>
  <w:abstractNum w:abstractNumId="43" w15:restartNumberingAfterBreak="0">
    <w:nsid w:val="73317AA6"/>
    <w:multiLevelType w:val="hybridMultilevel"/>
    <w:tmpl w:val="18945CC6"/>
    <w:lvl w:ilvl="0" w:tplc="7F50C440">
      <w:start w:val="1"/>
      <w:numFmt w:val="lowerLetter"/>
      <w:lvlText w:val="%1)"/>
      <w:lvlJc w:val="left"/>
      <w:pPr>
        <w:ind w:left="1020" w:hanging="360"/>
      </w:pPr>
    </w:lvl>
    <w:lvl w:ilvl="1" w:tplc="82741BC8">
      <w:start w:val="1"/>
      <w:numFmt w:val="lowerLetter"/>
      <w:lvlText w:val="%2)"/>
      <w:lvlJc w:val="left"/>
      <w:pPr>
        <w:ind w:left="1020" w:hanging="360"/>
      </w:pPr>
    </w:lvl>
    <w:lvl w:ilvl="2" w:tplc="3822CD3E">
      <w:start w:val="1"/>
      <w:numFmt w:val="lowerLetter"/>
      <w:lvlText w:val="%3)"/>
      <w:lvlJc w:val="left"/>
      <w:pPr>
        <w:ind w:left="1020" w:hanging="360"/>
      </w:pPr>
    </w:lvl>
    <w:lvl w:ilvl="3" w:tplc="7E34056A">
      <w:start w:val="1"/>
      <w:numFmt w:val="lowerLetter"/>
      <w:lvlText w:val="%4)"/>
      <w:lvlJc w:val="left"/>
      <w:pPr>
        <w:ind w:left="1020" w:hanging="360"/>
      </w:pPr>
    </w:lvl>
    <w:lvl w:ilvl="4" w:tplc="0B9A7A92">
      <w:start w:val="1"/>
      <w:numFmt w:val="lowerLetter"/>
      <w:lvlText w:val="%5)"/>
      <w:lvlJc w:val="left"/>
      <w:pPr>
        <w:ind w:left="1020" w:hanging="360"/>
      </w:pPr>
    </w:lvl>
    <w:lvl w:ilvl="5" w:tplc="A7E6C864">
      <w:start w:val="1"/>
      <w:numFmt w:val="lowerLetter"/>
      <w:lvlText w:val="%6)"/>
      <w:lvlJc w:val="left"/>
      <w:pPr>
        <w:ind w:left="1020" w:hanging="360"/>
      </w:pPr>
    </w:lvl>
    <w:lvl w:ilvl="6" w:tplc="3FA634EC">
      <w:start w:val="1"/>
      <w:numFmt w:val="lowerLetter"/>
      <w:lvlText w:val="%7)"/>
      <w:lvlJc w:val="left"/>
      <w:pPr>
        <w:ind w:left="1020" w:hanging="360"/>
      </w:pPr>
    </w:lvl>
    <w:lvl w:ilvl="7" w:tplc="C6BE165E">
      <w:start w:val="1"/>
      <w:numFmt w:val="lowerLetter"/>
      <w:lvlText w:val="%8)"/>
      <w:lvlJc w:val="left"/>
      <w:pPr>
        <w:ind w:left="1020" w:hanging="360"/>
      </w:pPr>
    </w:lvl>
    <w:lvl w:ilvl="8" w:tplc="8A229CE6">
      <w:start w:val="1"/>
      <w:numFmt w:val="lowerLetter"/>
      <w:lvlText w:val="%9)"/>
      <w:lvlJc w:val="left"/>
      <w:pPr>
        <w:ind w:left="1020" w:hanging="360"/>
      </w:pPr>
    </w:lvl>
  </w:abstractNum>
  <w:abstractNum w:abstractNumId="44" w15:restartNumberingAfterBreak="0">
    <w:nsid w:val="77A675D0"/>
    <w:multiLevelType w:val="multilevel"/>
    <w:tmpl w:val="DF4C249E"/>
    <w:name w:val="Footnote_text_bullet_LIST"/>
    <w:styleLink w:val="FootnotetextbulletLIST"/>
    <w:lvl w:ilvl="0">
      <w:start w:val="1"/>
      <w:numFmt w:val="bullet"/>
      <w:pStyle w:val="Footnotetextbullet"/>
      <w:lvlText w:val="•"/>
      <w:lvlJc w:val="left"/>
      <w:pPr>
        <w:ind w:left="964" w:hanging="250"/>
      </w:pPr>
      <w:rPr>
        <w:rFonts w:ascii="Arial" w:hAnsi="Arial"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9"/>
  </w:num>
  <w:num w:numId="2">
    <w:abstractNumId w:val="22"/>
  </w:num>
  <w:num w:numId="3">
    <w:abstractNumId w:val="38"/>
  </w:num>
  <w:num w:numId="4">
    <w:abstractNumId w:val="30"/>
  </w:num>
  <w:num w:numId="5">
    <w:abstractNumId w:val="11"/>
  </w:num>
  <w:num w:numId="6">
    <w:abstractNumId w:val="9"/>
  </w:num>
  <w:num w:numId="7">
    <w:abstractNumId w:val="37"/>
  </w:num>
  <w:num w:numId="8">
    <w:abstractNumId w:val="34"/>
  </w:num>
  <w:num w:numId="9">
    <w:abstractNumId w:val="40"/>
  </w:num>
  <w:num w:numId="10">
    <w:abstractNumId w:val="27"/>
  </w:num>
  <w:num w:numId="11">
    <w:abstractNumId w:val="33"/>
  </w:num>
  <w:num w:numId="12">
    <w:abstractNumId w:val="18"/>
  </w:num>
  <w:num w:numId="13">
    <w:abstractNumId w:val="17"/>
  </w:num>
  <w:num w:numId="14">
    <w:abstractNumId w:val="14"/>
  </w:num>
  <w:num w:numId="15">
    <w:abstractNumId w:val="21"/>
  </w:num>
  <w:num w:numId="16">
    <w:abstractNumId w:val="20"/>
  </w:num>
  <w:num w:numId="17">
    <w:abstractNumId w:val="7"/>
  </w:num>
  <w:num w:numId="18">
    <w:abstractNumId w:val="6"/>
  </w:num>
  <w:num w:numId="19">
    <w:abstractNumId w:val="5"/>
  </w:num>
  <w:num w:numId="20">
    <w:abstractNumId w:val="4"/>
  </w:num>
  <w:num w:numId="21">
    <w:abstractNumId w:val="16"/>
  </w:num>
  <w:num w:numId="22">
    <w:abstractNumId w:val="3"/>
  </w:num>
  <w:num w:numId="23">
    <w:abstractNumId w:val="2"/>
  </w:num>
  <w:num w:numId="24">
    <w:abstractNumId w:val="1"/>
  </w:num>
  <w:num w:numId="25">
    <w:abstractNumId w:val="0"/>
  </w:num>
  <w:num w:numId="26">
    <w:abstractNumId w:val="15"/>
  </w:num>
  <w:num w:numId="27">
    <w:abstractNumId w:val="37"/>
  </w:num>
  <w:num w:numId="28">
    <w:abstractNumId w:val="28"/>
  </w:num>
  <w:num w:numId="29">
    <w:abstractNumId w:val="36"/>
  </w:num>
  <w:num w:numId="30">
    <w:abstractNumId w:val="36"/>
  </w:num>
  <w:num w:numId="31">
    <w:abstractNumId w:val="27"/>
    <w:lvlOverride w:ilvl="0">
      <w:startOverride w:val="1"/>
      <w:lvl w:ilvl="0">
        <w:start w:val="1"/>
        <w:numFmt w:val="bullet"/>
        <w:pStyle w:val="ListBullet"/>
        <w:lvlText w:val="•"/>
        <w:lvlJc w:val="left"/>
        <w:pPr>
          <w:tabs>
            <w:tab w:val="num" w:pos="397"/>
          </w:tabs>
          <w:ind w:left="794" w:hanging="397"/>
        </w:pPr>
        <w:rPr>
          <w:rFonts w:ascii="Calibri" w:hAnsi="Calibri" w:hint="default"/>
          <w:color w:val="DC3903"/>
        </w:rPr>
      </w:lvl>
    </w:lvlOverride>
    <w:lvlOverride w:ilvl="1">
      <w:startOverride w:val="1"/>
      <w:lvl w:ilvl="1">
        <w:start w:val="1"/>
        <w:numFmt w:val="bullet"/>
        <w:lvlText w:val="—"/>
        <w:lvlJc w:val="left"/>
        <w:pPr>
          <w:tabs>
            <w:tab w:val="num" w:pos="1361"/>
          </w:tabs>
          <w:ind w:left="1361" w:hanging="397"/>
        </w:pPr>
        <w:rPr>
          <w:rFonts w:ascii="Times New Roman" w:hAnsi="Times New Roman" w:cs="Times New Roman" w:hint="default"/>
          <w:color w:val="DC3903"/>
          <w:sz w:val="20"/>
        </w:rPr>
      </w:lvl>
    </w:lvlOverride>
    <w:lvlOverride w:ilvl="2">
      <w:startOverride w:val="1"/>
      <w:lvl w:ilvl="2">
        <w:start w:val="1"/>
        <w:numFmt w:val="bullet"/>
        <w:lvlText w:val=""/>
        <w:lvlJc w:val="left"/>
        <w:pPr>
          <w:tabs>
            <w:tab w:val="num" w:pos="1928"/>
          </w:tabs>
          <w:ind w:left="1928" w:hanging="397"/>
        </w:pPr>
        <w:rPr>
          <w:rFonts w:ascii="Wingdings" w:hAnsi="Wingdings" w:hint="default"/>
          <w:color w:val="DC3903"/>
        </w:rPr>
      </w:lvl>
    </w:lvlOverride>
    <w:lvlOverride w:ilvl="3">
      <w:startOverride w:val="1"/>
      <w:lvl w:ilvl="3">
        <w:start w:val="1"/>
        <w:numFmt w:val="bullet"/>
        <w:lvlText w:val=""/>
        <w:lvlJc w:val="left"/>
        <w:pPr>
          <w:tabs>
            <w:tab w:val="num" w:pos="2495"/>
          </w:tabs>
          <w:ind w:left="2495" w:hanging="397"/>
        </w:pPr>
        <w:rPr>
          <w:rFonts w:ascii="Wingdings 3" w:hAnsi="Wingdings 3" w:hint="default"/>
          <w:color w:val="DC3903"/>
        </w:rPr>
      </w:lvl>
    </w:lvlOverride>
    <w:lvlOverride w:ilvl="4">
      <w:lvl w:ilvl="4">
        <w:numFmt w:val="none"/>
        <w:lvlText w:val=""/>
        <w:lvlJc w:val="left"/>
        <w:pPr>
          <w:ind w:left="0" w:firstLine="0"/>
        </w:pPr>
        <w:rPr>
          <w:rFonts w:hint="default"/>
        </w:rPr>
      </w:lvl>
    </w:lvlOverride>
    <w:lvlOverride w:ilvl="5">
      <w:lvl w:ilvl="5">
        <w:numFmt w:val="none"/>
        <w:lvlText w:val=""/>
        <w:lvlJc w:val="left"/>
        <w:pPr>
          <w:ind w:left="0" w:firstLine="0"/>
        </w:pPr>
        <w:rPr>
          <w:rFonts w:hint="default"/>
        </w:rPr>
      </w:lvl>
    </w:lvlOverride>
    <w:lvlOverride w:ilvl="6">
      <w:lvl w:ilvl="6">
        <w:numFmt w:val="none"/>
        <w:lvlText w:val=""/>
        <w:lvlJc w:val="left"/>
        <w:pPr>
          <w:ind w:left="0" w:firstLine="0"/>
        </w:pPr>
        <w:rPr>
          <w:rFonts w:hint="default"/>
        </w:rPr>
      </w:lvl>
    </w:lvlOverride>
    <w:lvlOverride w:ilvl="7">
      <w:lvl w:ilvl="7">
        <w:numFmt w:val="none"/>
        <w:lvlText w:val=""/>
        <w:lvlJc w:val="left"/>
        <w:pPr>
          <w:ind w:left="0" w:firstLine="0"/>
        </w:pPr>
        <w:rPr>
          <w:rFonts w:hint="default"/>
        </w:rPr>
      </w:lvl>
    </w:lvlOverride>
    <w:lvlOverride w:ilvl="8">
      <w:lvl w:ilvl="8">
        <w:numFmt w:val="none"/>
        <w:lvlText w:val=""/>
        <w:lvlJc w:val="left"/>
        <w:pPr>
          <w:ind w:left="0" w:firstLine="0"/>
        </w:pPr>
        <w:rPr>
          <w:rFonts w:hint="default"/>
        </w:rPr>
      </w:lvl>
    </w:lvlOverride>
  </w:num>
  <w:num w:numId="32">
    <w:abstractNumId w:val="41"/>
  </w:num>
  <w:num w:numId="33">
    <w:abstractNumId w:val="39"/>
  </w:num>
  <w:num w:numId="34">
    <w:abstractNumId w:val="44"/>
  </w:num>
  <w:num w:numId="35">
    <w:abstractNumId w:val="13"/>
  </w:num>
  <w:num w:numId="36">
    <w:abstractNumId w:val="35"/>
  </w:num>
  <w:num w:numId="37">
    <w:abstractNumId w:val="31"/>
  </w:num>
  <w:num w:numId="38">
    <w:abstractNumId w:val="12"/>
  </w:num>
  <w:num w:numId="39">
    <w:abstractNumId w:val="8"/>
  </w:num>
  <w:num w:numId="40">
    <w:abstractNumId w:val="23"/>
  </w:num>
  <w:num w:numId="41">
    <w:abstractNumId w:val="24"/>
  </w:num>
  <w:num w:numId="42">
    <w:abstractNumId w:val="24"/>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43">
    <w:abstractNumId w:val="24"/>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44">
    <w:abstractNumId w:val="10"/>
  </w:num>
  <w:num w:numId="45">
    <w:abstractNumId w:val="42"/>
  </w:num>
  <w:num w:numId="46">
    <w:abstractNumId w:val="43"/>
  </w:num>
  <w:num w:numId="47">
    <w:abstractNumId w:val="32"/>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revisionView w:markup="0"/>
  <w:documentProtection w:edit="trackedChanges" w:enforcement="0"/>
  <w:defaultTabStop w:val="720"/>
  <w:hyphenationZone w:val="425"/>
  <w:defaultTableStyle w:val="BodyTable"/>
  <w:drawingGridHorizontalSpacing w:val="245"/>
  <w:drawingGridVerticalSpacing w:val="163"/>
  <w:displayVerticalDrawingGridEvery w:val="2"/>
  <w:characterSpacingControl w:val="doNotCompress"/>
  <w:hdrShapeDefaults>
    <o:shapedefaults v:ext="edit" spidmax="2051"/>
  </w:hdrShapeDefaults>
  <w:footnotePr>
    <w:footnote w:id="-1"/>
    <w:footnote w:id="0"/>
  </w:footnotePr>
  <w:endnotePr>
    <w:pos w:val="sectEnd"/>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EPKit_DocumentHasBeenSaved" w:val="true"/>
    <w:docVar w:name="LW_CORRIGENDUM" w:val="&lt;UNUSED&gt;"/>
    <w:docVar w:name="LW_COVERPAGE_EXISTS" w:val="True"/>
    <w:docVar w:name="LW_COVERPAGE_GUID" w:val="225335F9-4B74-4AAB-8133-2674830117D4"/>
    <w:docVar w:name="LW_COVERPAGE_TYPE" w:val="1"/>
    <w:docVar w:name="LW_CROSSREFERENCE" w:val="&lt;UNUSED&gt;"/>
    <w:docVar w:name="LW_DocType" w:val="C2E6B074F9904A8E8DE4B6B5DE1EB98E"/>
    <w:docVar w:name="LW_EMISSION" w:val="16.6.2026"/>
    <w:docVar w:name="LW_EMISSION_ISODATE" w:val="2026-06-16"/>
    <w:docVar w:name="LW_EMISSION_LOCATION" w:val="STR"/>
    <w:docVar w:name="LW_EMISSION_PREFIX" w:val="Strasbourg, "/>
    <w:docVar w:name="LW_EMISSION_SUFFIX" w:val=" "/>
    <w:docVar w:name="LW_ID_DOCTYPE_NONLW" w:val="CP-003"/>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82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C\u258?TRE PARLAMENTUL EUROPEAN, CONSILIU \u536?I CURTEA DE CONTURI&lt;FMT:Font=Calibri&gt;_x000d_&lt;/FMT&gt;_x000d__x000d__x000d__x000d__x000d__x000b_&lt;FMT:Font=Calibri&gt;_x000d__x000d__x000d_&lt;/FMT&gt;_x000d__x000d__x000d__x000d__x000d__x000b_Raportul anual privind gestiunea \u537?i performan\u539?a bugetului UE \u8211? exerci\u539?iul financiar 2025&lt;FMT:Font=Calibri&gt;_x000d_&lt;/FMT&gt;_x000d__x000d__x000d__x000d__x000d__x000b_"/>
    <w:docVar w:name="LW_TYPE.DOC.CP" w:val="RAPORT AL COMISIEI"/>
    <w:docVar w:name="LwApiVersions" w:val="LW4CoDe 1.24.5.0; LW 9.2, Build 20251112"/>
  </w:docVars>
  <w:rsids>
    <w:rsidRoot w:val="00D97581"/>
    <w:rsid w:val="00012094"/>
    <w:rsid w:val="00021109"/>
    <w:rsid w:val="0007277F"/>
    <w:rsid w:val="000769AB"/>
    <w:rsid w:val="001A792C"/>
    <w:rsid w:val="002469FC"/>
    <w:rsid w:val="003728D9"/>
    <w:rsid w:val="003B1D0F"/>
    <w:rsid w:val="004670B0"/>
    <w:rsid w:val="004F3B4D"/>
    <w:rsid w:val="00595F57"/>
    <w:rsid w:val="005B390E"/>
    <w:rsid w:val="0060377B"/>
    <w:rsid w:val="00765A89"/>
    <w:rsid w:val="00834C3A"/>
    <w:rsid w:val="008C2729"/>
    <w:rsid w:val="008D3E60"/>
    <w:rsid w:val="008E2EFC"/>
    <w:rsid w:val="00911D8E"/>
    <w:rsid w:val="009C0AA7"/>
    <w:rsid w:val="00A65B9A"/>
    <w:rsid w:val="00AC11E0"/>
    <w:rsid w:val="00AE012D"/>
    <w:rsid w:val="00B27AAC"/>
    <w:rsid w:val="00C27FAA"/>
    <w:rsid w:val="00C85814"/>
    <w:rsid w:val="00CA52B3"/>
    <w:rsid w:val="00CB0890"/>
    <w:rsid w:val="00D826D7"/>
    <w:rsid w:val="00D97581"/>
    <w:rsid w:val="00EA101E"/>
    <w:rsid w:val="00F101FB"/>
    <w:rsid w:val="00F93FA4"/>
    <w:rsid w:val="00FA62F4"/>
    <w:rsid w:val="00FA706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7847038"/>
  <w15:docId w15:val="{11032B7B-A7EC-4D0A-BB4A-CCDF7A2FF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imes New Roman"/>
        <w:lang w:val="ro-RO" w:eastAsia="fr-FR" w:bidi="ar-SA"/>
      </w:rPr>
    </w:rPrDefault>
    <w:pPrDefault>
      <w:pPr>
        <w:spacing w:before="240" w:after="240" w:line="264" w:lineRule="auto"/>
      </w:pPr>
    </w:pPrDefault>
  </w:docDefaults>
  <w:latentStyles w:defLockedState="0" w:defUIPriority="0" w:defSemiHidden="0" w:defUnhideWhenUsed="0" w:defQFormat="0" w:count="371">
    <w:lsdException w:name="Normal" w:uiPriority="1" w:qFormat="1"/>
    <w:lsdException w:name="heading 1" w:uiPriority="9" w:qFormat="1"/>
    <w:lsdException w:name="heading 2" w:uiPriority="9" w:qFormat="1"/>
    <w:lsdException w:name="heading 3" w:uiPriority="9" w:qFormat="1"/>
    <w:lsdException w:name="heading 4" w:uiPriority="9" w:unhideWhenUsed="1"/>
    <w:lsdException w:name="heading 5" w:uiPriority="9" w:unhideWhenUsed="1"/>
    <w:lsdException w:name="heading 6" w:uiPriority="9" w:unhideWhenUsed="1"/>
    <w:lsdException w:name="heading 7" w:uiPriority="9" w:unhideWhenUsed="1"/>
    <w:lsdException w:name="heading 8" w:uiPriority="9" w:unhideWhenUsed="1"/>
    <w:lsdException w:name="heading 9" w:uiPriority="9" w:unhideWhenUsed="1"/>
    <w:lsdException w:name="index 1" w:uiPriority="39" w:unhideWhenUsed="1"/>
    <w:lsdException w:name="index 2" w:uiPriority="39" w:unhideWhenUsed="1"/>
    <w:lsdException w:name="index 3" w:uiPriority="39" w:unhideWhenUsed="1"/>
    <w:lsdException w:name="index 4" w:uiPriority="39" w:unhideWhenUsed="1"/>
    <w:lsdException w:name="index 5" w:uiPriority="39" w:unhideWhenUsed="1"/>
    <w:lsdException w:name="index 6" w:uiPriority="39" w:unhideWhenUsed="1"/>
    <w:lsdException w:name="index 7" w:uiPriority="39" w:unhideWhenUsed="1"/>
    <w:lsdException w:name="index 8" w:uiPriority="39" w:unhideWhenUsed="1"/>
    <w:lsdException w:name="index 9" w:uiPriority="39"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semiHidden="1"/>
    <w:lsdException w:name="footnote text" w:uiPriority="1" w:unhideWhenUsed="1" w:qFormat="1"/>
    <w:lsdException w:name="annotation text" w:semiHidden="1" w:uiPriority="99"/>
    <w:lsdException w:name="header" w:uiPriority="99"/>
    <w:lsdException w:name="footer" w:uiPriority="99"/>
    <w:lsdException w:name="index heading" w:uiPriority="39" w:unhideWhenUsed="1"/>
    <w:lsdException w:name="caption" w:semiHidden="1" w:uiPriority="35"/>
    <w:lsdException w:name="table of figures" w:uiPriority="39" w:unhideWhenUsed="1"/>
    <w:lsdException w:name="envelope address" w:semiHidden="1"/>
    <w:lsdException w:name="envelope return" w:semiHidden="1"/>
    <w:lsdException w:name="footnote reference" w:uiPriority="1" w:unhideWhenUsed="1" w:qFormat="1"/>
    <w:lsdException w:name="annotation reference" w:semiHidden="1" w:uiPriority="99"/>
    <w:lsdException w:name="line number" w:semiHidden="1"/>
    <w:lsdException w:name="page number" w:semiHidden="1"/>
    <w:lsdException w:name="endnote reference" w:uiPriority="8" w:unhideWhenUsed="1"/>
    <w:lsdException w:name="endnote text" w:uiPriority="8" w:unhideWhenUsed="1"/>
    <w:lsdException w:name="table of authorities" w:semiHidden="1"/>
    <w:lsdException w:name="macro" w:uiPriority="39"/>
    <w:lsdException w:name="toa heading" w:semiHidden="1"/>
    <w:lsdException w:name="List" w:semiHidden="1" w:uiPriority="3"/>
    <w:lsdException w:name="List Bullet" w:uiPriority="3" w:qFormat="1"/>
    <w:lsdException w:name="List Number" w:uiPriority="3" w:qFormat="1"/>
    <w:lsdException w:name="List 2" w:semiHidden="1" w:uiPriority="3"/>
    <w:lsdException w:name="List 3" w:semiHidden="1" w:uiPriority="3"/>
    <w:lsdException w:name="List 4" w:semiHidden="1" w:uiPriority="3"/>
    <w:lsdException w:name="List 5" w:semiHidden="1" w:uiPriority="3"/>
    <w:lsdException w:name="List Bullet 2" w:semiHidden="1" w:uiPriority="3"/>
    <w:lsdException w:name="List Bullet 3" w:semiHidden="1" w:uiPriority="3"/>
    <w:lsdException w:name="List Bullet 4" w:semiHidden="1" w:uiPriority="3"/>
    <w:lsdException w:name="List Bullet 5" w:semiHidden="1" w:uiPriority="3"/>
    <w:lsdException w:name="List Number 2" w:semiHidden="1"/>
    <w:lsdException w:name="List Number 3" w:semiHidden="1" w:uiPriority="3"/>
    <w:lsdException w:name="List Number 4" w:semiHidden="1" w:uiPriority="3"/>
    <w:lsdException w:name="List Number 5" w:semiHidden="1" w:uiPriority="3"/>
    <w:lsdException w:name="Title" w:semiHidden="1" w:uiPriority="14"/>
    <w:lsdException w:name="Closing" w:semiHidden="1"/>
    <w:lsdException w:name="Signature" w:semiHidden="1"/>
    <w:lsdException w:name="Default Paragraph Font" w:semiHidden="1" w:uiPriority="99"/>
    <w:lsdException w:name="Body Text" w:semiHidden="1"/>
    <w:lsdException w:name="Body Text Indent" w:semiHidden="1"/>
    <w:lsdException w:name="List Continue" w:semiHidden="1" w:uiPriority="3"/>
    <w:lsdException w:name="List Continue 2" w:semiHidden="1" w:uiPriority="3"/>
    <w:lsdException w:name="List Continue 3" w:semiHidden="1" w:uiPriority="3"/>
    <w:lsdException w:name="List Continue 4" w:semiHidden="1" w:uiPriority="3"/>
    <w:lsdException w:name="List Continue 5" w:semiHidden="1" w:uiPriority="3"/>
    <w:lsdException w:name="Message Header" w:semiHidden="1"/>
    <w:lsdException w:name="Subtitle" w:semiHidden="1" w:uiPriority="15"/>
    <w:lsdException w:name="Salutation" w:semiHidden="1"/>
    <w:lsdException w:name="Date" w:semiHidden="1" w:uiPriority="19"/>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uiPriority="99" w:unhideWhenUsed="1" w:qFormat="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semiHidden="1" w:uiPriority="99"/>
    <w:lsdException w:name="HTML Bottom of Form" w:semiHidden="1" w:uiPriority="99"/>
    <w:lsdException w:name="Normal (Web)" w:semiHidden="1" w:uiPriority="99"/>
    <w:lsdException w:name="HTML Acronym" w:semiHidden="1" w:uiPriority="39"/>
    <w:lsdException w:name="HTML Address" w:semiHidden="1" w:uiPriority="39"/>
    <w:lsdException w:name="HTML Cite" w:semiHidden="1" w:uiPriority="39"/>
    <w:lsdException w:name="HTML Code" w:semiHidden="1" w:uiPriority="39"/>
    <w:lsdException w:name="HTML Definition" w:semiHidden="1" w:uiPriority="39"/>
    <w:lsdException w:name="HTML Keyboard" w:semiHidden="1" w:uiPriority="39"/>
    <w:lsdException w:name="HTML Preformatted" w:semiHidden="1" w:uiPriority="39"/>
    <w:lsdException w:name="HTML Sample" w:semiHidden="1" w:uiPriority="39"/>
    <w:lsdException w:name="HTML Typewriter" w:semiHidden="1" w:uiPriority="39"/>
    <w:lsdException w:name="HTML Variable" w:semiHidden="1" w:uiPriority="39"/>
    <w:lsdException w:name="Normal Table" w:semiHidden="1" w:uiPriority="10" w:unhideWhenUsed="1"/>
    <w:lsdException w:name="annotation subject" w:semiHidden="1"/>
    <w:lsdException w:name="No List" w:semiHidden="1" w:uiPriority="99"/>
    <w:lsdException w:name="Outline List 1" w:semiHidden="1"/>
    <w:lsdException w:name="Outline List 2" w:semiHidden="1" w:uiPriority="99"/>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10"/>
    <w:lsdException w:name="Table Theme" w:semiHidden="1" w:unhideWhenUsed="1"/>
    <w:lsdException w:name="Placeholder Text" w:semiHidden="1" w:uiPriority="99"/>
    <w:lsdException w:name="No Spacing" w:uiPriority="2"/>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lsdException w:name="Quote" w:semiHidden="1"/>
    <w:lsdException w:name="Intense Quote" w:semiHidden="1" w:uiPriority="39"/>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uiPriority="39"/>
    <w:lsdException w:name="Subtle Reference" w:semiHidden="1"/>
    <w:lsdException w:name="Intense Reference" w:semiHidden="1" w:uiPriority="39"/>
    <w:lsdException w:name="Book Title" w:semiHidden="1"/>
    <w:lsdException w:name="Bibliography" w:semiHidden="1"/>
    <w:lsdException w:name="TOC Heading" w:uiPriority="37" w:unhideWhenUsed="1"/>
  </w:latentStyles>
  <w:style w:type="paragraph" w:default="1" w:styleId="Normal">
    <w:name w:val="Normal"/>
    <w:uiPriority w:val="1"/>
    <w:qFormat/>
    <w:pPr>
      <w:suppressAutoHyphens/>
    </w:pPr>
    <w:rPr>
      <w:rFonts w:ascii="EC Square Sans Pro" w:hAnsi="EC Square Sans Pro"/>
      <w:lang w:eastAsia="en-GB"/>
    </w:rPr>
  </w:style>
  <w:style w:type="paragraph" w:styleId="Heading1">
    <w:name w:val="heading 1"/>
    <w:next w:val="Normal"/>
    <w:link w:val="Heading1Char"/>
    <w:uiPriority w:val="9"/>
    <w:qFormat/>
    <w:pPr>
      <w:keepNext/>
      <w:keepLines/>
      <w:pBdr>
        <w:bottom w:val="single" w:sz="6" w:space="1" w:color="DE6002"/>
      </w:pBdr>
      <w:suppressAutoHyphens/>
      <w:spacing w:before="480"/>
      <w:outlineLvl w:val="0"/>
    </w:pPr>
    <w:rPr>
      <w:rFonts w:asciiTheme="majorHAnsi" w:hAnsiTheme="majorHAnsi"/>
      <w:b/>
      <w:color w:val="003399" w:themeColor="text2"/>
      <w:sz w:val="28"/>
      <w:lang w:eastAsia="en-GB"/>
    </w:rPr>
  </w:style>
  <w:style w:type="paragraph" w:styleId="Heading2">
    <w:name w:val="heading 2"/>
    <w:next w:val="Normal"/>
    <w:link w:val="Heading2Char"/>
    <w:uiPriority w:val="9"/>
    <w:qFormat/>
    <w:pPr>
      <w:keepNext/>
      <w:keepLines/>
      <w:suppressAutoHyphens/>
      <w:spacing w:before="480"/>
      <w:outlineLvl w:val="1"/>
    </w:pPr>
    <w:rPr>
      <w:rFonts w:asciiTheme="majorHAnsi" w:hAnsiTheme="majorHAnsi"/>
      <w:color w:val="003399" w:themeColor="text2"/>
      <w:sz w:val="28"/>
      <w:lang w:eastAsia="en-GB"/>
    </w:rPr>
  </w:style>
  <w:style w:type="paragraph" w:styleId="Heading3">
    <w:name w:val="heading 3"/>
    <w:next w:val="Normal"/>
    <w:link w:val="Heading3Char"/>
    <w:uiPriority w:val="9"/>
    <w:qFormat/>
    <w:pPr>
      <w:keepNext/>
      <w:keepLines/>
      <w:suppressAutoHyphens/>
      <w:spacing w:before="480"/>
      <w:outlineLvl w:val="2"/>
    </w:pPr>
    <w:rPr>
      <w:rFonts w:asciiTheme="majorHAnsi" w:hAnsiTheme="majorHAnsi"/>
      <w:b/>
      <w:color w:val="003399" w:themeColor="text2"/>
      <w:sz w:val="22"/>
      <w:lang w:eastAsia="en-GB"/>
    </w:rPr>
  </w:style>
  <w:style w:type="paragraph" w:styleId="Heading4">
    <w:name w:val="heading 4"/>
    <w:next w:val="Normal"/>
    <w:link w:val="Heading4Char"/>
    <w:uiPriority w:val="9"/>
    <w:unhideWhenUsed/>
    <w:pPr>
      <w:keepNext/>
      <w:keepLines/>
      <w:suppressAutoHyphens/>
      <w:spacing w:before="360"/>
      <w:outlineLvl w:val="3"/>
    </w:pPr>
    <w:rPr>
      <w:rFonts w:asciiTheme="majorHAnsi" w:hAnsiTheme="majorHAnsi"/>
      <w:b/>
      <w:color w:val="003399" w:themeColor="text2"/>
      <w:lang w:eastAsia="en-GB"/>
    </w:rPr>
  </w:style>
  <w:style w:type="paragraph" w:styleId="Heading5">
    <w:name w:val="heading 5"/>
    <w:next w:val="Normal"/>
    <w:link w:val="Heading5Char"/>
    <w:uiPriority w:val="9"/>
    <w:semiHidden/>
    <w:unhideWhenUsed/>
    <w:pPr>
      <w:keepNext/>
      <w:keepLines/>
      <w:suppressAutoHyphens/>
      <w:spacing w:before="480"/>
      <w:ind w:left="850"/>
      <w:outlineLvl w:val="4"/>
    </w:pPr>
    <w:rPr>
      <w:rFonts w:asciiTheme="majorHAnsi" w:hAnsiTheme="majorHAnsi"/>
      <w:color w:val="003399" w:themeColor="text2"/>
      <w:spacing w:val="12"/>
      <w:lang w:eastAsia="en-GB"/>
    </w:rPr>
  </w:style>
  <w:style w:type="paragraph" w:styleId="Heading6">
    <w:name w:val="heading 6"/>
    <w:next w:val="Normal"/>
    <w:link w:val="Heading6Char"/>
    <w:uiPriority w:val="9"/>
    <w:semiHidden/>
    <w:unhideWhenUsed/>
    <w:pPr>
      <w:keepNext/>
      <w:keepLines/>
      <w:suppressAutoHyphens/>
      <w:ind w:left="1191"/>
      <w:outlineLvl w:val="5"/>
    </w:pPr>
    <w:rPr>
      <w:rFonts w:asciiTheme="majorHAnsi" w:hAnsiTheme="majorHAnsi"/>
      <w:i/>
      <w:color w:val="008139" w:themeColor="accent1"/>
      <w:spacing w:val="12"/>
      <w:lang w:eastAsia="en-GB"/>
    </w:rPr>
  </w:style>
  <w:style w:type="paragraph" w:styleId="Heading7">
    <w:name w:val="heading 7"/>
    <w:next w:val="Normal"/>
    <w:link w:val="Heading7Char"/>
    <w:uiPriority w:val="9"/>
    <w:semiHidden/>
    <w:unhideWhenUsed/>
    <w:pPr>
      <w:keepNext/>
      <w:keepLines/>
      <w:suppressAutoHyphens/>
      <w:ind w:left="1531"/>
      <w:outlineLvl w:val="6"/>
    </w:pPr>
    <w:rPr>
      <w:rFonts w:asciiTheme="majorHAnsi" w:hAnsiTheme="majorHAnsi"/>
      <w:color w:val="008139" w:themeColor="accent1"/>
      <w:spacing w:val="12"/>
      <w:lang w:eastAsia="en-GB"/>
    </w:rPr>
  </w:style>
  <w:style w:type="paragraph" w:styleId="Heading8">
    <w:name w:val="heading 8"/>
    <w:next w:val="Normal"/>
    <w:link w:val="Heading8Char"/>
    <w:uiPriority w:val="9"/>
    <w:semiHidden/>
    <w:unhideWhenUsed/>
    <w:pPr>
      <w:keepNext/>
      <w:keepLines/>
      <w:suppressAutoHyphens/>
      <w:ind w:left="1871"/>
      <w:outlineLvl w:val="7"/>
    </w:pPr>
    <w:rPr>
      <w:rFonts w:asciiTheme="majorHAnsi" w:hAnsiTheme="majorHAnsi"/>
      <w:i/>
      <w:color w:val="008139" w:themeColor="accent1"/>
      <w:spacing w:val="12"/>
      <w:lang w:eastAsia="en-GB"/>
    </w:rPr>
  </w:style>
  <w:style w:type="paragraph" w:styleId="Heading9">
    <w:name w:val="heading 9"/>
    <w:next w:val="Normal"/>
    <w:link w:val="Heading9Char"/>
    <w:uiPriority w:val="9"/>
    <w:semiHidden/>
    <w:unhideWhenUsed/>
    <w:pPr>
      <w:keepNext/>
      <w:keepLines/>
      <w:suppressAutoHyphens/>
      <w:ind w:left="2211"/>
      <w:outlineLvl w:val="8"/>
    </w:pPr>
    <w:rPr>
      <w:rFonts w:asciiTheme="majorHAnsi" w:hAnsiTheme="majorHAnsi"/>
      <w:color w:val="008139" w:themeColor="accent1"/>
      <w:spacing w:val="12"/>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ndnoteTextChar">
    <w:name w:val="Endnote Text Char"/>
    <w:link w:val="EndnoteText"/>
    <w:uiPriority w:val="8"/>
    <w:semiHidden/>
    <w:unhideWhenUsed/>
    <w:rPr>
      <w:rFonts w:ascii="EC Square Sans Pro" w:hAnsi="EC Square Sans Pro"/>
      <w:color w:val="000000" w:themeColor="dark1"/>
      <w:sz w:val="18"/>
      <w:lang w:eastAsia="en-GB"/>
    </w:rPr>
  </w:style>
  <w:style w:type="character" w:customStyle="1" w:styleId="FootnoteTextChar">
    <w:name w:val="Footnote Text Char"/>
    <w:aliases w:val="Footnote Text Char3 Char,Footnote Text Char1 Char1 Char,Footnote Text Char2 Char Char Char,Footnote Text Char1 Char1 Char Char Char,Footnote Text Char2 Char Char Char Char Char,Footnote Text Char1 Char1 Char Char Char Char Char Char"/>
    <w:basedOn w:val="DefaultParagraphFont"/>
    <w:link w:val="FootnoteText"/>
    <w:uiPriority w:val="1"/>
    <w:qFormat/>
    <w:rPr>
      <w:rFonts w:ascii="EC Square Sans Pro" w:hAnsi="EC Square Sans Pro"/>
      <w:noProof w:val="0"/>
      <w:sz w:val="18"/>
      <w:lang w:eastAsia="en-GB"/>
    </w:rPr>
  </w:style>
  <w:style w:type="paragraph" w:customStyle="1" w:styleId="Pagedecouverture">
    <w:name w:val="Page de couverture"/>
    <w:basedOn w:val="Normal"/>
    <w:next w:val="Normal"/>
    <w:uiPriority w:val="39"/>
    <w:unhideWhenUsed/>
    <w:pPr>
      <w:spacing w:before="0" w:after="0" w:line="240" w:lineRule="auto"/>
    </w:pPr>
    <w:rPr>
      <w:rFonts w:ascii="Times New Roman" w:eastAsiaTheme="minorHAnsi" w:hAnsi="Times New Roman"/>
      <w:szCs w:val="22"/>
      <w:lang w:eastAsia="en-US"/>
    </w:rPr>
  </w:style>
  <w:style w:type="paragraph" w:customStyle="1" w:styleId="FooterCoverPage">
    <w:name w:val="Footer Cover Page"/>
    <w:basedOn w:val="Normal"/>
    <w:link w:val="FooterCoverPageChar"/>
    <w:uiPriority w:val="39"/>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FooterCoverPageChar">
    <w:name w:val="Footer Cover Page Char"/>
    <w:basedOn w:val="PublicationTitleChar"/>
    <w:link w:val="FooterCoverPage"/>
    <w:uiPriority w:val="39"/>
    <w:rPr>
      <w:rFonts w:ascii="Times New Roman" w:hAnsi="Times New Roman"/>
      <w:bCs w:val="0"/>
      <w:color w:val="003399" w:themeColor="text2"/>
      <w:sz w:val="24"/>
      <w:szCs w:val="72"/>
      <w:lang w:eastAsia="en-GB"/>
    </w:rPr>
  </w:style>
  <w:style w:type="character" w:styleId="FootnoteReference">
    <w:name w:val="footnote reference"/>
    <w:basedOn w:val="DefaultParagraphFont"/>
    <w:uiPriority w:val="1"/>
    <w:qFormat/>
    <w:rPr>
      <w:noProof w:val="0"/>
      <w:vertAlign w:val="superscript"/>
    </w:rPr>
  </w:style>
  <w:style w:type="character" w:customStyle="1" w:styleId="BodyPlaceholderText">
    <w:name w:val="BodyPlaceholderText"/>
    <w:uiPriority w:val="1"/>
    <w:semiHidden/>
    <w:rPr>
      <w:noProof w:val="0"/>
      <w:color w:val="003399" w:themeColor="text2"/>
      <w:shd w:val="clear" w:color="auto" w:fill="FFFFFF"/>
      <w:lang w:val="ro-RO"/>
    </w:rPr>
  </w:style>
  <w:style w:type="character" w:customStyle="1" w:styleId="Bold">
    <w:name w:val="Bold"/>
    <w:qFormat/>
    <w:rPr>
      <w:b/>
      <w:noProof w:val="0"/>
      <w:spacing w:val="1"/>
      <w:lang w:val="ro-RO"/>
    </w:rPr>
  </w:style>
  <w:style w:type="character" w:customStyle="1" w:styleId="BoldAccent1">
    <w:name w:val="Bold (Accent 1)"/>
    <w:qFormat/>
    <w:rPr>
      <w:b/>
      <w:noProof w:val="0"/>
      <w:color w:val="003399" w:themeColor="text2"/>
      <w:lang w:val="ro-RO"/>
    </w:rPr>
  </w:style>
  <w:style w:type="character" w:styleId="Emphasis">
    <w:name w:val="Emphasis"/>
    <w:uiPriority w:val="20"/>
    <w:rPr>
      <w:b/>
      <w:noProof w:val="0"/>
      <w:lang w:val="ro-RO"/>
    </w:rPr>
  </w:style>
  <w:style w:type="character" w:styleId="EndnoteReference">
    <w:name w:val="endnote reference"/>
    <w:basedOn w:val="DefaultParagraphFont"/>
    <w:uiPriority w:val="8"/>
    <w:semiHidden/>
    <w:unhideWhenUsed/>
    <w:rPr>
      <w:rFonts w:ascii="Calibri" w:hAnsi="Calibri" w:cs="Calibri"/>
      <w:noProof w:val="0"/>
      <w:color w:val="auto"/>
      <w:spacing w:val="0"/>
      <w:w w:val="100"/>
      <w:position w:val="-2"/>
      <w:sz w:val="22"/>
      <w:vertAlign w:val="superscript"/>
      <w:lang w:val="ro-RO"/>
    </w:rPr>
  </w:style>
  <w:style w:type="character" w:styleId="Hyperlink">
    <w:name w:val="Hyperlink"/>
    <w:uiPriority w:val="99"/>
    <w:unhideWhenUsed/>
    <w:qFormat/>
    <w:rPr>
      <w:noProof w:val="0"/>
      <w:color w:val="003399" w:themeColor="hyperlink"/>
      <w:u w:val="single"/>
      <w:shd w:val="clear" w:color="auto" w:fill="auto"/>
      <w:lang w:val="ro-RO"/>
    </w:rPr>
  </w:style>
  <w:style w:type="character" w:customStyle="1" w:styleId="HyperlinkWhite">
    <w:name w:val="Hyperlink White"/>
    <w:basedOn w:val="Hyperlink"/>
    <w:unhideWhenUsed/>
    <w:rPr>
      <w:noProof w:val="0"/>
      <w:color w:val="FFFFFF" w:themeColor="light1"/>
      <w:u w:val="single"/>
      <w:shd w:val="clear" w:color="auto" w:fill="auto"/>
      <w:lang w:val="ro-RO"/>
    </w:rPr>
  </w:style>
  <w:style w:type="character" w:customStyle="1" w:styleId="langBG">
    <w:name w:val="lang_BG"/>
    <w:semiHidden/>
    <w:rPr>
      <w:noProof w:val="0"/>
      <w:lang w:val="ro-RO"/>
    </w:rPr>
  </w:style>
  <w:style w:type="character" w:customStyle="1" w:styleId="langCS">
    <w:name w:val="lang_CS"/>
    <w:semiHidden/>
    <w:rPr>
      <w:noProof w:val="0"/>
      <w:lang w:val="ro-RO"/>
    </w:rPr>
  </w:style>
  <w:style w:type="character" w:customStyle="1" w:styleId="langDA">
    <w:name w:val="lang_DA"/>
    <w:semiHidden/>
    <w:rPr>
      <w:noProof w:val="0"/>
      <w:lang w:val="ro-RO"/>
    </w:rPr>
  </w:style>
  <w:style w:type="character" w:customStyle="1" w:styleId="langDE">
    <w:name w:val="lang_DE"/>
    <w:semiHidden/>
    <w:rPr>
      <w:noProof w:val="0"/>
      <w:lang w:val="ro-RO"/>
    </w:rPr>
  </w:style>
  <w:style w:type="character" w:customStyle="1" w:styleId="langEL">
    <w:name w:val="lang_EL"/>
    <w:semiHidden/>
    <w:rPr>
      <w:noProof w:val="0"/>
      <w:lang w:val="ro-RO"/>
    </w:rPr>
  </w:style>
  <w:style w:type="character" w:customStyle="1" w:styleId="langEN">
    <w:name w:val="lang_EN"/>
    <w:semiHidden/>
    <w:rPr>
      <w:noProof w:val="0"/>
      <w:lang w:val="ro-RO"/>
    </w:rPr>
  </w:style>
  <w:style w:type="character" w:customStyle="1" w:styleId="langES">
    <w:name w:val="lang_ES"/>
    <w:semiHidden/>
    <w:rPr>
      <w:noProof w:val="0"/>
      <w:lang w:val="ro-RO"/>
    </w:rPr>
  </w:style>
  <w:style w:type="character" w:customStyle="1" w:styleId="langET">
    <w:name w:val="lang_ET"/>
    <w:semiHidden/>
    <w:rPr>
      <w:noProof w:val="0"/>
      <w:lang w:val="ro-RO"/>
    </w:rPr>
  </w:style>
  <w:style w:type="character" w:customStyle="1" w:styleId="langFI">
    <w:name w:val="lang_FI"/>
    <w:semiHidden/>
    <w:rPr>
      <w:noProof w:val="0"/>
      <w:lang w:val="ro-RO"/>
    </w:rPr>
  </w:style>
  <w:style w:type="character" w:customStyle="1" w:styleId="langFR">
    <w:name w:val="lang_FR"/>
    <w:semiHidden/>
    <w:rPr>
      <w:noProof w:val="0"/>
      <w:lang w:val="ro-RO"/>
    </w:rPr>
  </w:style>
  <w:style w:type="character" w:customStyle="1" w:styleId="langGA">
    <w:name w:val="lang_GA"/>
    <w:semiHidden/>
    <w:rPr>
      <w:noProof w:val="0"/>
      <w:lang w:val="ro-RO"/>
    </w:rPr>
  </w:style>
  <w:style w:type="character" w:customStyle="1" w:styleId="langHR">
    <w:name w:val="lang_HR"/>
    <w:semiHidden/>
    <w:rPr>
      <w:noProof w:val="0"/>
      <w:lang w:val="ro-RO"/>
    </w:rPr>
  </w:style>
  <w:style w:type="character" w:customStyle="1" w:styleId="langHU">
    <w:name w:val="lang_HU"/>
    <w:semiHidden/>
    <w:rPr>
      <w:noProof w:val="0"/>
      <w:lang w:val="ro-RO"/>
    </w:rPr>
  </w:style>
  <w:style w:type="character" w:customStyle="1" w:styleId="langIT">
    <w:name w:val="lang_IT"/>
    <w:semiHidden/>
    <w:rPr>
      <w:noProof w:val="0"/>
      <w:lang w:val="ro-RO"/>
    </w:rPr>
  </w:style>
  <w:style w:type="character" w:customStyle="1" w:styleId="langLT">
    <w:name w:val="lang_LT"/>
    <w:semiHidden/>
    <w:rPr>
      <w:noProof w:val="0"/>
      <w:lang w:val="ro-RO"/>
    </w:rPr>
  </w:style>
  <w:style w:type="character" w:customStyle="1" w:styleId="langLV">
    <w:name w:val="lang_LV"/>
    <w:semiHidden/>
    <w:rPr>
      <w:noProof w:val="0"/>
      <w:lang w:val="ro-RO"/>
    </w:rPr>
  </w:style>
  <w:style w:type="character" w:customStyle="1" w:styleId="langMT">
    <w:name w:val="lang_MT"/>
    <w:semiHidden/>
    <w:rPr>
      <w:noProof w:val="0"/>
      <w:lang w:val="ro-RO"/>
    </w:rPr>
  </w:style>
  <w:style w:type="character" w:customStyle="1" w:styleId="langNL">
    <w:name w:val="lang_NL"/>
    <w:semiHidden/>
    <w:rPr>
      <w:noProof w:val="0"/>
      <w:lang w:val="ro-RO"/>
    </w:rPr>
  </w:style>
  <w:style w:type="character" w:customStyle="1" w:styleId="langPL">
    <w:name w:val="lang_PL"/>
    <w:semiHidden/>
    <w:rPr>
      <w:noProof w:val="0"/>
      <w:lang w:val="ro-RO"/>
    </w:rPr>
  </w:style>
  <w:style w:type="character" w:customStyle="1" w:styleId="langPT">
    <w:name w:val="lang_PT"/>
    <w:semiHidden/>
    <w:rPr>
      <w:noProof w:val="0"/>
      <w:lang w:val="ro-RO"/>
    </w:rPr>
  </w:style>
  <w:style w:type="character" w:customStyle="1" w:styleId="langRO">
    <w:name w:val="lang_RO"/>
    <w:semiHidden/>
    <w:rPr>
      <w:noProof w:val="0"/>
      <w:lang w:val="ro-RO"/>
    </w:rPr>
  </w:style>
  <w:style w:type="character" w:customStyle="1" w:styleId="langSK">
    <w:name w:val="lang_SK"/>
    <w:semiHidden/>
    <w:rPr>
      <w:noProof w:val="0"/>
      <w:lang w:val="ro-RO"/>
    </w:rPr>
  </w:style>
  <w:style w:type="character" w:customStyle="1" w:styleId="langSL">
    <w:name w:val="lang_SL"/>
    <w:semiHidden/>
    <w:rPr>
      <w:noProof w:val="0"/>
      <w:lang w:val="ro-RO"/>
    </w:rPr>
  </w:style>
  <w:style w:type="character" w:customStyle="1" w:styleId="langSV">
    <w:name w:val="lang_SV"/>
    <w:semiHidden/>
    <w:rPr>
      <w:noProof w:val="0"/>
      <w:lang w:val="ro-RO"/>
    </w:rPr>
  </w:style>
  <w:style w:type="character" w:customStyle="1" w:styleId="langXX">
    <w:name w:val="lang_XX"/>
    <w:semiHidden/>
    <w:rPr>
      <w:noProof w:val="0"/>
    </w:rPr>
  </w:style>
  <w:style w:type="character" w:styleId="PlaceholderText">
    <w:name w:val="Placeholder Text"/>
    <w:uiPriority w:val="99"/>
    <w:semiHidden/>
    <w:rPr>
      <w:noProof w:val="0"/>
      <w:color w:val="003399" w:themeColor="text2"/>
      <w:shd w:val="clear" w:color="auto" w:fill="FFFFFF"/>
      <w:lang w:val="ro-RO"/>
    </w:rPr>
  </w:style>
  <w:style w:type="paragraph" w:customStyle="1" w:styleId="BoxTitle">
    <w:name w:val="Box Title"/>
    <w:basedOn w:val="Normal"/>
    <w:next w:val="Normal"/>
    <w:uiPriority w:val="4"/>
    <w:qFormat/>
    <w:rPr>
      <w:rFonts w:ascii="EC Square Sans Pro Medium" w:hAnsi="EC Square Sans Pro Medium"/>
      <w:color w:val="DC3903"/>
      <w:sz w:val="22"/>
    </w:rPr>
  </w:style>
  <w:style w:type="paragraph" w:styleId="Caption">
    <w:name w:val="caption"/>
    <w:next w:val="Normal"/>
    <w:uiPriority w:val="35"/>
    <w:semiHidden/>
    <w:pPr>
      <w:suppressAutoHyphens/>
      <w:spacing w:after="200" w:line="240" w:lineRule="auto"/>
    </w:pPr>
    <w:rPr>
      <w:rFonts w:ascii="EC Square Sans Pro" w:hAnsi="EC Square Sans Pro"/>
      <w:b/>
      <w:lang w:eastAsia="en-GB"/>
    </w:rPr>
  </w:style>
  <w:style w:type="paragraph" w:customStyle="1" w:styleId="Comment">
    <w:name w:val="Comment"/>
    <w:basedOn w:val="Normal"/>
    <w:uiPriority w:val="36"/>
    <w:semiHidden/>
    <w:pPr>
      <w:shd w:val="thinDiagStripe" w:color="D9D9D9" w:fill="auto"/>
    </w:pPr>
    <w:rPr>
      <w:vanish/>
    </w:rPr>
  </w:style>
  <w:style w:type="paragraph" w:customStyle="1" w:styleId="CopyrightPage">
    <w:name w:val="Copyright Page"/>
    <w:basedOn w:val="Normal"/>
    <w:uiPriority w:val="40"/>
    <w:rPr>
      <w:rFonts w:eastAsia="SimSun"/>
      <w:sz w:val="18"/>
      <w:szCs w:val="18"/>
    </w:rPr>
  </w:style>
  <w:style w:type="paragraph" w:customStyle="1" w:styleId="CopyrightPageIdentifier">
    <w:name w:val="Copyright Page Identifier"/>
    <w:basedOn w:val="Normal"/>
    <w:uiPriority w:val="40"/>
    <w:pPr>
      <w:tabs>
        <w:tab w:val="left" w:pos="567"/>
        <w:tab w:val="left" w:pos="2835"/>
        <w:tab w:val="left" w:pos="4535"/>
        <w:tab w:val="left" w:pos="6520"/>
      </w:tabs>
      <w:spacing w:before="120"/>
      <w:contextualSpacing/>
    </w:pPr>
    <w:rPr>
      <w:rFonts w:eastAsia="SimSun"/>
      <w:sz w:val="18"/>
      <w:szCs w:val="18"/>
    </w:rPr>
  </w:style>
  <w:style w:type="paragraph" w:customStyle="1" w:styleId="CopyrightPageNoSpace">
    <w:name w:val="Copyright Page NoSpace"/>
    <w:basedOn w:val="Normal"/>
    <w:uiPriority w:val="40"/>
    <w:pPr>
      <w:spacing w:before="0" w:after="0"/>
    </w:pPr>
    <w:rPr>
      <w:rFonts w:eastAsia="SimSun"/>
      <w:sz w:val="18"/>
      <w:szCs w:val="18"/>
    </w:rPr>
  </w:style>
  <w:style w:type="paragraph" w:customStyle="1" w:styleId="FigureCopyrights">
    <w:name w:val="Figure Copyrights"/>
    <w:basedOn w:val="ImageCopyrights"/>
    <w:next w:val="FigureSource"/>
    <w:uiPriority w:val="5"/>
    <w:semiHidden/>
  </w:style>
  <w:style w:type="paragraph" w:customStyle="1" w:styleId="FigurePlaceholder">
    <w:name w:val="Figure Placeholder"/>
    <w:basedOn w:val="ImagePlaceholder"/>
    <w:next w:val="FigureCopyrights"/>
    <w:uiPriority w:val="5"/>
    <w:semiHidden/>
  </w:style>
  <w:style w:type="paragraph" w:customStyle="1" w:styleId="FigureSource">
    <w:name w:val="Figure Source"/>
    <w:basedOn w:val="ImageSource"/>
    <w:next w:val="Normal"/>
    <w:uiPriority w:val="5"/>
    <w:semiHidden/>
  </w:style>
  <w:style w:type="paragraph" w:customStyle="1" w:styleId="FigureSubtitle">
    <w:name w:val="Figure Subtitle"/>
    <w:basedOn w:val="ImageSubtitle"/>
    <w:next w:val="FigurePlaceholder"/>
    <w:uiPriority w:val="5"/>
    <w:semiHidden/>
  </w:style>
  <w:style w:type="paragraph" w:customStyle="1" w:styleId="FigureTitle">
    <w:name w:val="Figure Title"/>
    <w:basedOn w:val="ImageTitle"/>
    <w:next w:val="FigureSubtitle"/>
    <w:uiPriority w:val="5"/>
    <w:semiHidden/>
  </w:style>
  <w:style w:type="paragraph" w:customStyle="1" w:styleId="FooterCover">
    <w:name w:val="Footer Cover"/>
    <w:uiPriority w:val="99"/>
    <w:semiHidden/>
    <w:pPr>
      <w:suppressAutoHyphens/>
      <w:spacing w:before="0" w:after="0" w:line="240" w:lineRule="auto"/>
    </w:pPr>
    <w:rPr>
      <w:rFonts w:ascii="EC Square Sans Pro" w:hAnsi="EC Square Sans Pro"/>
      <w:color w:val="FFFFFF" w:themeColor="light1"/>
      <w:sz w:val="18"/>
      <w:lang w:eastAsia="en-GB"/>
    </w:rPr>
  </w:style>
  <w:style w:type="paragraph" w:customStyle="1" w:styleId="FooterEven">
    <w:name w:val="Footer Even"/>
    <w:basedOn w:val="Footer"/>
    <w:uiPriority w:val="15"/>
    <w:pPr>
      <w:jc w:val="right"/>
    </w:pPr>
  </w:style>
  <w:style w:type="paragraph" w:customStyle="1" w:styleId="FooterOdd">
    <w:name w:val="Footer Odd"/>
    <w:basedOn w:val="Footer"/>
    <w:uiPriority w:val="15"/>
    <w:pPr>
      <w:jc w:val="left"/>
    </w:pPr>
  </w:style>
  <w:style w:type="paragraph" w:customStyle="1" w:styleId="HeaderEven">
    <w:name w:val="Header Even"/>
    <w:basedOn w:val="Header"/>
    <w:uiPriority w:val="15"/>
    <w:pPr>
      <w:jc w:val="right"/>
    </w:pPr>
  </w:style>
  <w:style w:type="paragraph" w:customStyle="1" w:styleId="HeaderOdd">
    <w:name w:val="Header Odd"/>
    <w:basedOn w:val="Header"/>
    <w:uiPriority w:val="15"/>
    <w:pPr>
      <w:jc w:val="left"/>
    </w:pPr>
  </w:style>
  <w:style w:type="paragraph" w:customStyle="1" w:styleId="ImageAlternative">
    <w:name w:val="Image Alternative"/>
    <w:next w:val="ImageCaption"/>
    <w:uiPriority w:val="5"/>
    <w:semiHidden/>
    <w:pPr>
      <w:keepNext/>
      <w:shd w:val="clear" w:color="auto" w:fill="C00000"/>
      <w:suppressAutoHyphens/>
      <w:spacing w:before="40" w:line="281" w:lineRule="auto"/>
    </w:pPr>
    <w:rPr>
      <w:rFonts w:ascii="EC Square Sans Pro" w:hAnsi="EC Square Sans Pro"/>
      <w:color w:val="FFFFFF" w:themeColor="light1"/>
      <w:sz w:val="22"/>
      <w:lang w:eastAsia="en-GB"/>
    </w:rPr>
  </w:style>
  <w:style w:type="paragraph" w:customStyle="1" w:styleId="ImageCaption">
    <w:name w:val="Image Caption"/>
    <w:next w:val="ImageCopyrights"/>
    <w:uiPriority w:val="5"/>
    <w:pPr>
      <w:suppressAutoHyphens/>
      <w:spacing w:before="40" w:after="40" w:line="240" w:lineRule="auto"/>
    </w:pPr>
    <w:rPr>
      <w:rFonts w:ascii="EC Square Sans Pro Medium" w:eastAsia="SimSun" w:hAnsi="EC Square Sans Pro Medium"/>
      <w:sz w:val="16"/>
      <w:lang w:eastAsia="en-GB"/>
    </w:rPr>
  </w:style>
  <w:style w:type="paragraph" w:customStyle="1" w:styleId="ImageCopyrights">
    <w:name w:val="Image Copyrights"/>
    <w:next w:val="ImageSource"/>
    <w:uiPriority w:val="5"/>
    <w:pPr>
      <w:keepNext/>
      <w:suppressAutoHyphens/>
      <w:spacing w:before="40" w:after="40" w:line="240" w:lineRule="auto"/>
    </w:pPr>
    <w:rPr>
      <w:rFonts w:ascii="EC Square Sans Pro" w:eastAsia="SimSun" w:hAnsi="EC Square Sans Pro"/>
      <w:sz w:val="16"/>
      <w:lang w:eastAsia="en-GB"/>
    </w:rPr>
  </w:style>
  <w:style w:type="paragraph" w:customStyle="1" w:styleId="ImageNotes">
    <w:name w:val="Image Notes"/>
    <w:uiPriority w:val="4"/>
    <w:qFormat/>
    <w:pPr>
      <w:suppressAutoHyphens/>
      <w:spacing w:before="40" w:after="40" w:line="240" w:lineRule="auto"/>
    </w:pPr>
    <w:rPr>
      <w:sz w:val="16"/>
      <w:lang w:eastAsia="en-GB"/>
    </w:rPr>
  </w:style>
  <w:style w:type="paragraph" w:customStyle="1" w:styleId="ImagePlaceholder">
    <w:name w:val="Image Placeholder"/>
    <w:next w:val="ImageAlternative"/>
    <w:uiPriority w:val="4"/>
    <w:qFormat/>
    <w:pPr>
      <w:keepNext/>
      <w:suppressAutoHyphens/>
      <w:spacing w:before="0" w:after="0" w:line="281" w:lineRule="auto"/>
      <w:jc w:val="center"/>
    </w:pPr>
    <w:rPr>
      <w:rFonts w:ascii="EC Square Sans Pro" w:hAnsi="EC Square Sans Pro"/>
      <w:lang w:eastAsia="en-GB"/>
    </w:rPr>
  </w:style>
  <w:style w:type="paragraph" w:customStyle="1" w:styleId="ImageSource">
    <w:name w:val="Image Source"/>
    <w:next w:val="Normal"/>
    <w:uiPriority w:val="4"/>
    <w:qFormat/>
    <w:pPr>
      <w:keepNext/>
      <w:suppressAutoHyphens/>
      <w:spacing w:before="40" w:after="40" w:line="240" w:lineRule="auto"/>
    </w:pPr>
    <w:rPr>
      <w:rFonts w:ascii="EC Square Sans Pro" w:eastAsia="SimSun" w:hAnsi="EC Square Sans Pro"/>
      <w:sz w:val="16"/>
      <w:lang w:eastAsia="en-GB"/>
    </w:rPr>
  </w:style>
  <w:style w:type="paragraph" w:customStyle="1" w:styleId="ImageSubtitle">
    <w:name w:val="Image Subtitle"/>
    <w:next w:val="ImagePlaceholder"/>
    <w:uiPriority w:val="5"/>
    <w:pPr>
      <w:keepNext/>
      <w:suppressAutoHyphens/>
      <w:spacing w:before="0" w:after="60" w:line="281" w:lineRule="auto"/>
    </w:pPr>
    <w:rPr>
      <w:rFonts w:ascii="EC Square Sans Pro" w:hAnsi="EC Square Sans Pro"/>
      <w:color w:val="DC3903"/>
      <w:lang w:eastAsia="en-GB"/>
    </w:rPr>
  </w:style>
  <w:style w:type="paragraph" w:customStyle="1" w:styleId="ImageTitle">
    <w:name w:val="Image Title"/>
    <w:next w:val="ImageSubtitle"/>
    <w:uiPriority w:val="4"/>
    <w:qFormat/>
    <w:pPr>
      <w:keepNext/>
      <w:suppressAutoHyphens/>
      <w:spacing w:after="60"/>
    </w:pPr>
    <w:rPr>
      <w:rFonts w:ascii="EC Square Sans Pro Medium" w:hAnsi="EC Square Sans Pro Medium"/>
      <w:color w:val="DC3903"/>
      <w:sz w:val="22"/>
      <w:lang w:eastAsia="en-GB"/>
    </w:rPr>
  </w:style>
  <w:style w:type="paragraph" w:styleId="Index1">
    <w:name w:val="index 1"/>
    <w:basedOn w:val="Normal"/>
    <w:next w:val="Normal"/>
    <w:uiPriority w:val="39"/>
    <w:semiHidden/>
    <w:pPr>
      <w:spacing w:before="0" w:after="0" w:line="240" w:lineRule="auto"/>
      <w:ind w:left="238" w:hanging="238"/>
    </w:pPr>
  </w:style>
  <w:style w:type="paragraph" w:styleId="Index2">
    <w:name w:val="index 2"/>
    <w:basedOn w:val="Normal"/>
    <w:next w:val="Normal"/>
    <w:uiPriority w:val="39"/>
    <w:semiHidden/>
    <w:pPr>
      <w:spacing w:before="0" w:after="0" w:line="240" w:lineRule="auto"/>
      <w:ind w:left="476" w:hanging="238"/>
    </w:pPr>
  </w:style>
  <w:style w:type="paragraph" w:styleId="Index3">
    <w:name w:val="index 3"/>
    <w:basedOn w:val="Normal"/>
    <w:next w:val="Normal"/>
    <w:uiPriority w:val="39"/>
    <w:semiHidden/>
    <w:pPr>
      <w:spacing w:before="0" w:after="0" w:line="240" w:lineRule="auto"/>
      <w:ind w:left="720" w:hanging="238"/>
    </w:pPr>
  </w:style>
  <w:style w:type="paragraph" w:styleId="Index4">
    <w:name w:val="index 4"/>
    <w:basedOn w:val="Normal"/>
    <w:next w:val="Normal"/>
    <w:uiPriority w:val="39"/>
    <w:semiHidden/>
    <w:pPr>
      <w:spacing w:before="0" w:after="0" w:line="240" w:lineRule="auto"/>
      <w:ind w:left="958" w:hanging="238"/>
    </w:pPr>
  </w:style>
  <w:style w:type="paragraph" w:styleId="Index5">
    <w:name w:val="index 5"/>
    <w:basedOn w:val="Normal"/>
    <w:next w:val="Normal"/>
    <w:uiPriority w:val="39"/>
    <w:semiHidden/>
    <w:pPr>
      <w:spacing w:before="0" w:after="0" w:line="240" w:lineRule="auto"/>
      <w:ind w:left="1196" w:hanging="238"/>
    </w:pPr>
  </w:style>
  <w:style w:type="paragraph" w:styleId="Index6">
    <w:name w:val="index 6"/>
    <w:basedOn w:val="Normal"/>
    <w:next w:val="Normal"/>
    <w:uiPriority w:val="39"/>
    <w:semiHidden/>
    <w:pPr>
      <w:spacing w:before="0" w:after="0" w:line="240" w:lineRule="auto"/>
      <w:ind w:left="1440" w:hanging="238"/>
    </w:pPr>
  </w:style>
  <w:style w:type="paragraph" w:styleId="Index7">
    <w:name w:val="index 7"/>
    <w:basedOn w:val="Normal"/>
    <w:next w:val="Normal"/>
    <w:uiPriority w:val="39"/>
    <w:semiHidden/>
    <w:pPr>
      <w:spacing w:before="0" w:after="0" w:line="240" w:lineRule="auto"/>
      <w:ind w:left="1678" w:hanging="238"/>
    </w:pPr>
  </w:style>
  <w:style w:type="paragraph" w:styleId="Index8">
    <w:name w:val="index 8"/>
    <w:basedOn w:val="Normal"/>
    <w:next w:val="Normal"/>
    <w:uiPriority w:val="39"/>
    <w:semiHidden/>
    <w:pPr>
      <w:spacing w:before="0" w:after="0" w:line="240" w:lineRule="auto"/>
      <w:ind w:left="1916" w:hanging="238"/>
    </w:pPr>
  </w:style>
  <w:style w:type="paragraph" w:styleId="Index9">
    <w:name w:val="index 9"/>
    <w:basedOn w:val="Normal"/>
    <w:next w:val="Normal"/>
    <w:uiPriority w:val="39"/>
    <w:semiHidden/>
    <w:pPr>
      <w:spacing w:before="0" w:after="0" w:line="240" w:lineRule="auto"/>
      <w:ind w:left="2160" w:hanging="238"/>
    </w:pPr>
  </w:style>
  <w:style w:type="paragraph" w:styleId="IndexHeading">
    <w:name w:val="index heading"/>
    <w:basedOn w:val="Normal"/>
    <w:next w:val="Normal"/>
    <w:uiPriority w:val="39"/>
    <w:semiHidden/>
    <w:rPr>
      <w:b/>
      <w:color w:val="003399" w:themeColor="text2"/>
    </w:rPr>
  </w:style>
  <w:style w:type="paragraph" w:customStyle="1" w:styleId="LayoutComment">
    <w:name w:val="Layout Comment"/>
    <w:basedOn w:val="Normal"/>
    <w:pPr>
      <w:pBdr>
        <w:top w:val="single" w:sz="48" w:space="31" w:color="595959"/>
        <w:left w:val="single" w:sz="48" w:space="31" w:color="595959"/>
        <w:bottom w:val="single" w:sz="48" w:space="31" w:color="595959"/>
        <w:right w:val="single" w:sz="48" w:space="31" w:color="595959"/>
      </w:pBdr>
      <w:shd w:val="clear" w:color="auto" w:fill="595959"/>
      <w:ind w:left="-658" w:right="-680"/>
    </w:pPr>
    <w:rPr>
      <w:color w:val="FFFFFF" w:themeColor="light1"/>
    </w:rPr>
  </w:style>
  <w:style w:type="paragraph" w:customStyle="1" w:styleId="Listabc">
    <w:name w:val="List abc"/>
    <w:uiPriority w:val="1"/>
    <w:pPr>
      <w:numPr>
        <w:numId w:val="15"/>
      </w:numPr>
      <w:suppressAutoHyphens/>
      <w:spacing w:before="60" w:after="60"/>
    </w:pPr>
    <w:rPr>
      <w:rFonts w:ascii="EC Square Sans Pro" w:hAnsi="EC Square Sans Pro"/>
      <w:lang w:eastAsia="en-GB"/>
    </w:rPr>
  </w:style>
  <w:style w:type="paragraph" w:customStyle="1" w:styleId="ListabcLevel2">
    <w:name w:val="List abc (Level 2)"/>
    <w:uiPriority w:val="1"/>
    <w:pPr>
      <w:numPr>
        <w:ilvl w:val="1"/>
        <w:numId w:val="15"/>
      </w:numPr>
      <w:suppressAutoHyphens/>
      <w:spacing w:before="60" w:after="60"/>
    </w:pPr>
    <w:rPr>
      <w:rFonts w:ascii="EC Square Sans Pro" w:hAnsi="EC Square Sans Pro"/>
      <w:lang w:eastAsia="en-GB"/>
    </w:rPr>
  </w:style>
  <w:style w:type="paragraph" w:customStyle="1" w:styleId="ListabcLevel3">
    <w:name w:val="List abc (Level 3)"/>
    <w:uiPriority w:val="1"/>
    <w:unhideWhenUsed/>
    <w:pPr>
      <w:numPr>
        <w:ilvl w:val="2"/>
        <w:numId w:val="15"/>
      </w:numPr>
      <w:suppressAutoHyphens/>
      <w:spacing w:before="60" w:after="60"/>
    </w:pPr>
    <w:rPr>
      <w:rFonts w:ascii="EC Square Sans Pro" w:hAnsi="EC Square Sans Pro"/>
      <w:lang w:eastAsia="en-GB"/>
    </w:rPr>
  </w:style>
  <w:style w:type="paragraph" w:customStyle="1" w:styleId="ListabcLevel4">
    <w:name w:val="List abc (Level 4)"/>
    <w:basedOn w:val="Listabc"/>
    <w:uiPriority w:val="1"/>
    <w:semiHidden/>
    <w:pPr>
      <w:tabs>
        <w:tab w:val="num" w:pos="643"/>
      </w:tabs>
    </w:pPr>
    <w:rPr>
      <w:rFonts w:asciiTheme="minorHAnsi" w:hAnsiTheme="minorHAnsi"/>
    </w:rPr>
  </w:style>
  <w:style w:type="paragraph" w:styleId="ListBullet">
    <w:name w:val="List Bullet"/>
    <w:uiPriority w:val="3"/>
    <w:qFormat/>
    <w:pPr>
      <w:numPr>
        <w:numId w:val="31"/>
      </w:numPr>
      <w:spacing w:before="60" w:after="60"/>
    </w:pPr>
    <w:rPr>
      <w:rFonts w:ascii="EC Square Sans Pro" w:hAnsi="EC Square Sans Pro"/>
      <w:lang w:eastAsia="en-GB"/>
    </w:rPr>
  </w:style>
  <w:style w:type="paragraph" w:customStyle="1" w:styleId="ListBulletLevel2">
    <w:name w:val="List Bullet (Level 2)"/>
    <w:uiPriority w:val="3"/>
    <w:qFormat/>
    <w:pPr>
      <w:tabs>
        <w:tab w:val="num" w:pos="1361"/>
      </w:tabs>
      <w:spacing w:before="60" w:after="60"/>
      <w:ind w:left="1361" w:hanging="397"/>
    </w:pPr>
    <w:rPr>
      <w:rFonts w:ascii="EC Square Sans Pro" w:hAnsi="EC Square Sans Pro"/>
      <w:lang w:eastAsia="en-GB"/>
    </w:rPr>
  </w:style>
  <w:style w:type="paragraph" w:customStyle="1" w:styleId="ListBulletLevel3">
    <w:name w:val="List Bullet (Level 3)"/>
    <w:uiPriority w:val="3"/>
    <w:unhideWhenUsed/>
    <w:qFormat/>
    <w:pPr>
      <w:tabs>
        <w:tab w:val="num" w:pos="1928"/>
      </w:tabs>
      <w:spacing w:before="60" w:after="60"/>
      <w:ind w:left="1928" w:hanging="397"/>
    </w:pPr>
    <w:rPr>
      <w:rFonts w:ascii="EC Square Sans Pro" w:hAnsi="EC Square Sans Pro"/>
      <w:lang w:eastAsia="en-GB"/>
    </w:rPr>
  </w:style>
  <w:style w:type="paragraph" w:customStyle="1" w:styleId="ListBulletLevel4">
    <w:name w:val="List Bullet (Level 4)"/>
    <w:uiPriority w:val="3"/>
    <w:unhideWhenUsed/>
    <w:pPr>
      <w:tabs>
        <w:tab w:val="num" w:pos="2495"/>
      </w:tabs>
      <w:spacing w:before="60" w:after="60"/>
      <w:ind w:left="2495" w:hanging="397"/>
    </w:pPr>
    <w:rPr>
      <w:rFonts w:ascii="EC Square Sans Pro" w:hAnsi="EC Square Sans Pro"/>
      <w:lang w:eastAsia="en-GB"/>
    </w:rPr>
  </w:style>
  <w:style w:type="paragraph" w:customStyle="1" w:styleId="ListBulletLevel5">
    <w:name w:val="List Bullet (Level 5)"/>
    <w:uiPriority w:val="3"/>
    <w:semiHidden/>
    <w:pPr>
      <w:suppressAutoHyphens/>
    </w:pPr>
    <w:rPr>
      <w:rFonts w:ascii="EC Square Sans Pro" w:hAnsi="EC Square Sans Pro"/>
      <w:lang w:eastAsia="en-GB"/>
    </w:rPr>
  </w:style>
  <w:style w:type="paragraph" w:customStyle="1" w:styleId="ListMixed">
    <w:name w:val="List Mixed"/>
    <w:uiPriority w:val="1"/>
    <w:pPr>
      <w:numPr>
        <w:numId w:val="21"/>
      </w:numPr>
      <w:suppressAutoHyphens/>
      <w:spacing w:before="60" w:after="60"/>
    </w:pPr>
    <w:rPr>
      <w:rFonts w:ascii="EC Square Sans Pro" w:hAnsi="EC Square Sans Pro"/>
      <w:lang w:eastAsia="en-GB"/>
    </w:rPr>
  </w:style>
  <w:style w:type="paragraph" w:customStyle="1" w:styleId="ListMixedLevel2">
    <w:name w:val="List Mixed (Level 2)"/>
    <w:uiPriority w:val="1"/>
    <w:pPr>
      <w:numPr>
        <w:ilvl w:val="1"/>
        <w:numId w:val="21"/>
      </w:numPr>
      <w:suppressAutoHyphens/>
      <w:spacing w:before="60" w:after="60"/>
    </w:pPr>
    <w:rPr>
      <w:rFonts w:ascii="EC Square Sans Pro" w:hAnsi="EC Square Sans Pro"/>
      <w:lang w:eastAsia="en-GB"/>
    </w:rPr>
  </w:style>
  <w:style w:type="paragraph" w:customStyle="1" w:styleId="ListMixedLevel3">
    <w:name w:val="List Mixed (Level 3)"/>
    <w:uiPriority w:val="1"/>
    <w:unhideWhenUsed/>
    <w:pPr>
      <w:numPr>
        <w:ilvl w:val="2"/>
        <w:numId w:val="21"/>
      </w:numPr>
      <w:suppressAutoHyphens/>
      <w:spacing w:before="60" w:after="60"/>
    </w:pPr>
    <w:rPr>
      <w:rFonts w:ascii="EC Square Sans Pro" w:hAnsi="EC Square Sans Pro"/>
      <w:lang w:eastAsia="en-GB"/>
    </w:rPr>
  </w:style>
  <w:style w:type="paragraph" w:customStyle="1" w:styleId="ListMixedLevel4">
    <w:name w:val="List Mixed (Level 4)"/>
    <w:basedOn w:val="ListMixed"/>
    <w:uiPriority w:val="1"/>
    <w:semiHidden/>
    <w:rPr>
      <w:rFonts w:asciiTheme="minorHAnsi" w:hAnsiTheme="minorHAnsi"/>
    </w:rPr>
  </w:style>
  <w:style w:type="paragraph" w:styleId="ListNumber">
    <w:name w:val="List Number"/>
    <w:basedOn w:val="Normal"/>
    <w:uiPriority w:val="3"/>
    <w:qFormat/>
    <w:pPr>
      <w:spacing w:before="60" w:after="60"/>
      <w:ind w:left="794" w:hanging="397"/>
    </w:pPr>
  </w:style>
  <w:style w:type="paragraph" w:customStyle="1" w:styleId="ListNumberLevel2">
    <w:name w:val="List Number (Level 2)"/>
    <w:basedOn w:val="ListNumber"/>
    <w:uiPriority w:val="3"/>
    <w:pPr>
      <w:ind w:left="1587" w:hanging="510"/>
    </w:pPr>
  </w:style>
  <w:style w:type="paragraph" w:customStyle="1" w:styleId="ListNumberLevel3">
    <w:name w:val="List Number (Level 3)"/>
    <w:basedOn w:val="ListNumber"/>
    <w:uiPriority w:val="3"/>
    <w:unhideWhenUsed/>
    <w:pPr>
      <w:ind w:left="2381" w:hanging="680"/>
    </w:pPr>
  </w:style>
  <w:style w:type="paragraph" w:customStyle="1" w:styleId="ListNumberLevel4">
    <w:name w:val="List Number (Level 4)"/>
    <w:basedOn w:val="ListNumber"/>
    <w:uiPriority w:val="3"/>
    <w:unhideWhenUsed/>
    <w:pPr>
      <w:ind w:left="3175" w:hanging="794"/>
    </w:pPr>
  </w:style>
  <w:style w:type="paragraph" w:customStyle="1" w:styleId="ListNumberLevel5">
    <w:name w:val="List Number (Level 5)"/>
    <w:basedOn w:val="ListNumber"/>
    <w:uiPriority w:val="1"/>
    <w:semiHidden/>
  </w:style>
  <w:style w:type="paragraph" w:customStyle="1" w:styleId="ListNumberNonindented">
    <w:name w:val="List Number Nonindented"/>
    <w:uiPriority w:val="1"/>
    <w:pPr>
      <w:numPr>
        <w:numId w:val="26"/>
      </w:numPr>
      <w:suppressAutoHyphens/>
      <w:spacing w:before="60" w:after="60"/>
    </w:pPr>
    <w:rPr>
      <w:rFonts w:ascii="EC Square Sans Pro" w:hAnsi="EC Square Sans Pro"/>
      <w:lang w:eastAsia="en-GB"/>
    </w:rPr>
  </w:style>
  <w:style w:type="paragraph" w:customStyle="1" w:styleId="ListNumberNonindentedLevel2">
    <w:name w:val="List Number Nonindented (Level 2)"/>
    <w:uiPriority w:val="1"/>
    <w:pPr>
      <w:numPr>
        <w:ilvl w:val="1"/>
        <w:numId w:val="26"/>
      </w:numPr>
      <w:suppressAutoHyphens/>
      <w:spacing w:before="60" w:after="60"/>
    </w:pPr>
    <w:rPr>
      <w:rFonts w:ascii="EC Square Sans Pro" w:hAnsi="EC Square Sans Pro"/>
      <w:lang w:eastAsia="en-GB"/>
    </w:rPr>
  </w:style>
  <w:style w:type="paragraph" w:customStyle="1" w:styleId="ListNumberNonindentedLevel3">
    <w:name w:val="List Number Nonindented (Level 3)"/>
    <w:uiPriority w:val="1"/>
    <w:unhideWhenUsed/>
    <w:pPr>
      <w:numPr>
        <w:ilvl w:val="2"/>
        <w:numId w:val="26"/>
      </w:numPr>
      <w:suppressAutoHyphens/>
      <w:spacing w:before="60" w:after="60"/>
    </w:pPr>
    <w:rPr>
      <w:rFonts w:ascii="EC Square Sans Pro" w:hAnsi="EC Square Sans Pro"/>
      <w:lang w:eastAsia="en-GB"/>
    </w:rPr>
  </w:style>
  <w:style w:type="paragraph" w:customStyle="1" w:styleId="ListNumberNonindentedLevel4">
    <w:name w:val="List Number Nonindented (Level 4)"/>
    <w:uiPriority w:val="1"/>
    <w:unhideWhenUsed/>
    <w:pPr>
      <w:numPr>
        <w:ilvl w:val="3"/>
        <w:numId w:val="26"/>
      </w:numPr>
      <w:suppressAutoHyphens/>
      <w:spacing w:before="60" w:after="60"/>
    </w:pPr>
    <w:rPr>
      <w:rFonts w:ascii="EC Square Sans Pro" w:hAnsi="EC Square Sans Pro"/>
      <w:lang w:eastAsia="en-GB"/>
    </w:rPr>
  </w:style>
  <w:style w:type="paragraph" w:customStyle="1" w:styleId="ListNumberNonindentedLevel5">
    <w:name w:val="List Number Nonindented (Level 5)"/>
    <w:basedOn w:val="ListNumberNonindented"/>
    <w:uiPriority w:val="1"/>
    <w:semiHidden/>
    <w:rPr>
      <w:rFonts w:asciiTheme="minorHAnsi" w:hAnsiTheme="minorHAnsi"/>
    </w:rPr>
  </w:style>
  <w:style w:type="paragraph" w:styleId="MacroText">
    <w:name w:val="macro"/>
    <w:uiPriority w:val="39"/>
    <w:pPr>
      <w:tabs>
        <w:tab w:val="left" w:pos="505"/>
        <w:tab w:val="left" w:pos="958"/>
        <w:tab w:val="left" w:pos="1440"/>
        <w:tab w:val="left" w:pos="1922"/>
        <w:tab w:val="left" w:pos="2398"/>
        <w:tab w:val="left" w:pos="2880"/>
        <w:tab w:val="left" w:pos="3362"/>
        <w:tab w:val="left" w:pos="3838"/>
        <w:tab w:val="left" w:pos="4320"/>
      </w:tabs>
      <w:suppressAutoHyphens/>
      <w:spacing w:after="0"/>
    </w:pPr>
    <w:rPr>
      <w:rFonts w:ascii="EC Square Sans Pro" w:hAnsi="EC Square Sans Pro"/>
      <w:lang w:eastAsia="en-GB"/>
    </w:rPr>
  </w:style>
  <w:style w:type="paragraph" w:styleId="NoSpacing">
    <w:name w:val="No Spacing"/>
    <w:uiPriority w:val="2"/>
    <w:pPr>
      <w:suppressAutoHyphens/>
      <w:spacing w:before="0" w:after="0" w:line="240" w:lineRule="auto"/>
    </w:pPr>
    <w:rPr>
      <w:rFonts w:ascii="EC Square Sans Pro" w:hAnsi="EC Square Sans Pro"/>
      <w:lang w:eastAsia="en-GB"/>
    </w:rPr>
  </w:style>
  <w:style w:type="paragraph" w:customStyle="1" w:styleId="NormalIntro">
    <w:name w:val="Normal Intro"/>
    <w:basedOn w:val="Normal"/>
    <w:uiPriority w:val="2"/>
    <w:unhideWhenUsed/>
    <w:pPr>
      <w:spacing w:before="120" w:after="120"/>
    </w:pPr>
    <w:rPr>
      <w:color w:val="003399" w:themeColor="text2"/>
      <w:sz w:val="22"/>
    </w:rPr>
  </w:style>
  <w:style w:type="paragraph" w:customStyle="1" w:styleId="NormalLeftAligned">
    <w:name w:val="Normal Left Aligned"/>
    <w:basedOn w:val="Normal"/>
    <w:uiPriority w:val="1"/>
    <w:unhideWhenUsed/>
  </w:style>
  <w:style w:type="paragraph" w:customStyle="1" w:styleId="ObjectiveTableAdditonalText">
    <w:name w:val="Objective Table Additonal Text"/>
    <w:basedOn w:val="ObjectiveTableTitle"/>
    <w:uiPriority w:val="70"/>
    <w:semiHidden/>
    <w:pPr>
      <w:jc w:val="right"/>
    </w:pPr>
    <w:rPr>
      <w:b w:val="0"/>
      <w:i/>
    </w:rPr>
  </w:style>
  <w:style w:type="paragraph" w:customStyle="1" w:styleId="ObjectiveTableGeneralObjectiveTitle">
    <w:name w:val="Objective Table General Objective Title"/>
    <w:basedOn w:val="ObjectiveTableTitle"/>
    <w:uiPriority w:val="70"/>
    <w:semiHidden/>
    <w:pPr>
      <w:tabs>
        <w:tab w:val="left" w:pos="2494"/>
      </w:tabs>
    </w:pPr>
  </w:style>
  <w:style w:type="paragraph" w:customStyle="1" w:styleId="ObjectiveTableIndicatorTitle">
    <w:name w:val="Objective Table Indicator Title"/>
    <w:basedOn w:val="ObjectiveTableTitle"/>
    <w:uiPriority w:val="70"/>
    <w:semiHidden/>
    <w:pPr>
      <w:shd w:val="clear" w:color="000000" w:fill="F3F7FF" w:themeFill="background2"/>
      <w:spacing w:after="0"/>
    </w:pPr>
    <w:rPr>
      <w:color w:val="000000" w:themeColor="dark1"/>
    </w:rPr>
  </w:style>
  <w:style w:type="paragraph" w:customStyle="1" w:styleId="ObjectiveTableMainOutputs">
    <w:name w:val="Objective Table Main Outputs"/>
    <w:basedOn w:val="ObjectiveTableTitle"/>
    <w:uiPriority w:val="70"/>
    <w:semiHidden/>
    <w:pPr>
      <w:shd w:val="clear" w:color="auto" w:fill="DE6002" w:themeFill="accent2"/>
      <w:spacing w:after="0"/>
    </w:pPr>
  </w:style>
  <w:style w:type="paragraph" w:customStyle="1" w:styleId="ObjectiveTableObjectiveTitle">
    <w:name w:val="Objective Table Objective Title"/>
    <w:basedOn w:val="ObjectiveTableTitle"/>
    <w:uiPriority w:val="70"/>
    <w:semiHidden/>
  </w:style>
  <w:style w:type="paragraph" w:customStyle="1" w:styleId="ObjectiveTableSpecificObjectiveTitle">
    <w:name w:val="Objective Table Specific Objective Title"/>
    <w:basedOn w:val="ObjectiveTableSubtitle"/>
    <w:uiPriority w:val="70"/>
    <w:semiHidden/>
    <w:pPr>
      <w:tabs>
        <w:tab w:val="left" w:pos="2494"/>
      </w:tabs>
    </w:pPr>
  </w:style>
  <w:style w:type="paragraph" w:customStyle="1" w:styleId="ObjectiveTableSubtitle">
    <w:name w:val="Objective Table Subtitle"/>
    <w:basedOn w:val="ObjectiveTableTitle"/>
    <w:uiPriority w:val="70"/>
    <w:semiHidden/>
    <w:pPr>
      <w:spacing w:after="0"/>
    </w:pPr>
    <w:rPr>
      <w:i/>
    </w:rPr>
  </w:style>
  <w:style w:type="paragraph" w:customStyle="1" w:styleId="ObjectiveTableTargetTitle">
    <w:name w:val="Objective Table Target Title"/>
    <w:basedOn w:val="ObjectiveTableTitle"/>
    <w:uiPriority w:val="70"/>
    <w:semiHidden/>
    <w:pPr>
      <w:shd w:val="clear" w:color="auto" w:fill="FDAB07" w:themeFill="accent4"/>
      <w:spacing w:after="0"/>
    </w:pPr>
  </w:style>
  <w:style w:type="paragraph" w:customStyle="1" w:styleId="ObjectiveTableTitle">
    <w:name w:val="Objective Table Title"/>
    <w:basedOn w:val="Normal"/>
    <w:uiPriority w:val="70"/>
    <w:semiHidden/>
    <w:pPr>
      <w:keepNext/>
      <w:keepLines/>
      <w:pBdr>
        <w:top w:val="single" w:sz="4" w:space="1" w:color="8C8C8C"/>
        <w:left w:val="single" w:sz="4" w:space="4" w:color="8C8C8C"/>
        <w:bottom w:val="single" w:sz="4" w:space="1" w:color="8C8C8C"/>
        <w:right w:val="single" w:sz="4" w:space="4" w:color="8C8C8C"/>
      </w:pBdr>
      <w:shd w:val="clear" w:color="auto" w:fill="008139" w:themeFill="accent1"/>
      <w:spacing w:before="0"/>
      <w:ind w:left="119" w:right="119"/>
    </w:pPr>
    <w:rPr>
      <w:b/>
      <w:color w:val="FFFFFF" w:themeColor="light1"/>
    </w:rPr>
  </w:style>
  <w:style w:type="paragraph" w:customStyle="1" w:styleId="PublicationAuthorServices">
    <w:name w:val="Publication Author Services"/>
    <w:uiPriority w:val="82"/>
    <w:unhideWhenUsed/>
    <w:pPr>
      <w:suppressAutoHyphens/>
      <w:spacing w:before="1680" w:after="720"/>
      <w:ind w:left="3827"/>
    </w:pPr>
    <w:rPr>
      <w:rFonts w:ascii="EC Square Sans Pro" w:hAnsi="EC Square Sans Pro"/>
      <w:color w:val="003399" w:themeColor="text2"/>
      <w:sz w:val="32"/>
      <w:szCs w:val="32"/>
      <w:lang w:eastAsia="en-GB"/>
    </w:rPr>
  </w:style>
  <w:style w:type="paragraph" w:customStyle="1" w:styleId="PublicationDate">
    <w:name w:val="Publication Date"/>
    <w:uiPriority w:val="83"/>
    <w:unhideWhenUsed/>
    <w:pPr>
      <w:suppressAutoHyphens/>
      <w:spacing w:before="0"/>
      <w:ind w:left="3827"/>
    </w:pPr>
    <w:rPr>
      <w:rFonts w:ascii="EC Square Sans Pro" w:hAnsi="EC Square Sans Pro"/>
      <w:caps/>
      <w:color w:val="003399" w:themeColor="text2"/>
      <w:sz w:val="32"/>
      <w:szCs w:val="32"/>
      <w:lang w:eastAsia="en-GB"/>
    </w:rPr>
  </w:style>
  <w:style w:type="paragraph" w:customStyle="1" w:styleId="PublicationSubtitle">
    <w:name w:val="Publication Subtitle"/>
    <w:uiPriority w:val="81"/>
    <w:unhideWhenUsed/>
    <w:pPr>
      <w:suppressAutoHyphens/>
      <w:spacing w:before="480" w:after="0"/>
      <w:ind w:left="3827"/>
    </w:pPr>
    <w:rPr>
      <w:rFonts w:asciiTheme="majorHAnsi" w:hAnsiTheme="majorHAnsi"/>
      <w:color w:val="003399" w:themeColor="text2"/>
      <w:sz w:val="44"/>
      <w:szCs w:val="44"/>
      <w:lang w:eastAsia="en-GB"/>
    </w:rPr>
  </w:style>
  <w:style w:type="paragraph" w:customStyle="1" w:styleId="PublicationTitle">
    <w:name w:val="Publication Title"/>
    <w:link w:val="PublicationTitleChar"/>
    <w:uiPriority w:val="80"/>
    <w:unhideWhenUsed/>
    <w:pPr>
      <w:suppressAutoHyphens/>
      <w:spacing w:before="3360"/>
      <w:ind w:left="3828" w:right="1"/>
    </w:pPr>
    <w:rPr>
      <w:rFonts w:asciiTheme="majorHAnsi" w:hAnsiTheme="majorHAnsi"/>
      <w:bCs/>
      <w:color w:val="003399" w:themeColor="text2"/>
      <w:sz w:val="72"/>
      <w:szCs w:val="72"/>
      <w:lang w:eastAsia="en-GB"/>
    </w:rPr>
  </w:style>
  <w:style w:type="paragraph" w:customStyle="1" w:styleId="References1">
    <w:name w:val="References 1"/>
    <w:basedOn w:val="Heading1"/>
    <w:next w:val="Normal"/>
    <w:uiPriority w:val="40"/>
  </w:style>
  <w:style w:type="paragraph" w:customStyle="1" w:styleId="References2">
    <w:name w:val="References 2"/>
    <w:basedOn w:val="Heading2"/>
    <w:next w:val="Normal"/>
    <w:uiPriority w:val="40"/>
  </w:style>
  <w:style w:type="paragraph" w:customStyle="1" w:styleId="TableAlternative">
    <w:name w:val="Table Alternative"/>
    <w:basedOn w:val="ImageAlternative"/>
    <w:next w:val="Normal"/>
    <w:semiHidden/>
  </w:style>
  <w:style w:type="paragraph" w:customStyle="1" w:styleId="TableBody">
    <w:name w:val="Table Body"/>
    <w:next w:val="Normal"/>
    <w:uiPriority w:val="6"/>
    <w:semiHidden/>
    <w:pPr>
      <w:keepNext/>
      <w:suppressAutoHyphens/>
      <w:spacing w:after="40" w:line="240" w:lineRule="auto"/>
    </w:pPr>
    <w:rPr>
      <w:rFonts w:ascii="EC Square Sans Pro" w:hAnsi="EC Square Sans Pro"/>
      <w:lang w:eastAsia="en-GB"/>
    </w:rPr>
  </w:style>
  <w:style w:type="paragraph" w:customStyle="1" w:styleId="TableCaption">
    <w:name w:val="Table Caption"/>
    <w:basedOn w:val="ImageCaption"/>
    <w:next w:val="TableSource"/>
  </w:style>
  <w:style w:type="paragraph" w:customStyle="1" w:styleId="TableCopyrights">
    <w:name w:val="Table Copyrights"/>
    <w:basedOn w:val="TableSource"/>
    <w:uiPriority w:val="7"/>
    <w:unhideWhenUsed/>
    <w:rPr>
      <w:rFonts w:eastAsia="Times New Roman"/>
    </w:rPr>
  </w:style>
  <w:style w:type="paragraph" w:customStyle="1" w:styleId="TableNotes">
    <w:name w:val="Table Notes"/>
    <w:basedOn w:val="TableSource"/>
    <w:uiPriority w:val="4"/>
    <w:unhideWhenUsed/>
    <w:pPr>
      <w:tabs>
        <w:tab w:val="left" w:pos="284"/>
      </w:tabs>
    </w:pPr>
    <w:rPr>
      <w:rFonts w:eastAsia="Times New Roman"/>
    </w:rPr>
  </w:style>
  <w:style w:type="paragraph" w:styleId="TableofFigures">
    <w:name w:val="table of figures"/>
    <w:next w:val="Normal"/>
    <w:uiPriority w:val="39"/>
    <w:unhideWhenUsed/>
    <w:pPr>
      <w:tabs>
        <w:tab w:val="right" w:leader="dot" w:pos="8504"/>
      </w:tabs>
      <w:suppressAutoHyphens/>
      <w:spacing w:after="0" w:line="240" w:lineRule="auto"/>
    </w:pPr>
    <w:rPr>
      <w:rFonts w:ascii="EC Square Sans Pro" w:hAnsi="EC Square Sans Pro"/>
      <w:color w:val="003399" w:themeColor="text2"/>
      <w:lang w:eastAsia="en-GB"/>
    </w:rPr>
  </w:style>
  <w:style w:type="paragraph" w:customStyle="1" w:styleId="TableSource">
    <w:name w:val="Table Source"/>
    <w:basedOn w:val="ImageSource"/>
    <w:next w:val="Normal"/>
    <w:uiPriority w:val="4"/>
    <w:unhideWhenUsed/>
    <w:pPr>
      <w:keepNext w:val="0"/>
    </w:pPr>
    <w:rPr>
      <w:rFonts w:asciiTheme="minorHAnsi" w:hAnsiTheme="minorHAnsi"/>
      <w:color w:val="000000" w:themeColor="dark1"/>
    </w:rPr>
  </w:style>
  <w:style w:type="paragraph" w:customStyle="1" w:styleId="TableSubtitle">
    <w:name w:val="Table Subtitle"/>
    <w:basedOn w:val="ImageSubtitle"/>
    <w:next w:val="TableBody"/>
    <w:uiPriority w:val="6"/>
    <w:unhideWhenUsed/>
    <w:pPr>
      <w:keepLines/>
      <w:spacing w:line="264" w:lineRule="auto"/>
    </w:pPr>
  </w:style>
  <w:style w:type="paragraph" w:customStyle="1" w:styleId="TableTitle">
    <w:name w:val="Table Title"/>
    <w:basedOn w:val="ImageTitle"/>
    <w:next w:val="TableBody"/>
    <w:uiPriority w:val="4"/>
    <w:unhideWhenUsed/>
    <w:qFormat/>
    <w:pPr>
      <w:keepLines/>
    </w:pPr>
  </w:style>
  <w:style w:type="paragraph" w:customStyle="1" w:styleId="TitlePageAuthorServices">
    <w:name w:val="Title Page Author Services"/>
    <w:uiPriority w:val="86"/>
    <w:unhideWhenUsed/>
    <w:pPr>
      <w:suppressAutoHyphens/>
      <w:ind w:left="850"/>
      <w:contextualSpacing/>
    </w:pPr>
    <w:rPr>
      <w:rFonts w:ascii="EC Square Sans Pro Medium" w:hAnsi="EC Square Sans Pro Medium"/>
      <w:color w:val="003399" w:themeColor="dark2"/>
      <w:sz w:val="36"/>
      <w:lang w:eastAsia="en-GB"/>
    </w:rPr>
  </w:style>
  <w:style w:type="paragraph" w:customStyle="1" w:styleId="TitlePageDate">
    <w:name w:val="Title Page Date"/>
    <w:uiPriority w:val="87"/>
    <w:unhideWhenUsed/>
    <w:pPr>
      <w:keepNext/>
      <w:keepLines/>
      <w:suppressAutoHyphens/>
      <w:ind w:left="850" w:right="850"/>
      <w:contextualSpacing/>
      <w:jc w:val="right"/>
    </w:pPr>
    <w:rPr>
      <w:rFonts w:ascii="EC Square Sans Pro Medium" w:hAnsi="EC Square Sans Pro Medium"/>
      <w:color w:val="003399" w:themeColor="text2"/>
      <w:sz w:val="40"/>
      <w:lang w:eastAsia="en-GB"/>
    </w:rPr>
  </w:style>
  <w:style w:type="paragraph" w:customStyle="1" w:styleId="TitlePageEditorSeat">
    <w:name w:val="Title Page Editor Seat"/>
    <w:uiPriority w:val="88"/>
    <w:unhideWhenUsed/>
    <w:pPr>
      <w:keepNext/>
      <w:keepLines/>
      <w:suppressAutoHyphens/>
      <w:ind w:right="850"/>
      <w:contextualSpacing/>
      <w:jc w:val="right"/>
    </w:pPr>
    <w:rPr>
      <w:sz w:val="32"/>
      <w:lang w:eastAsia="en-GB"/>
    </w:rPr>
  </w:style>
  <w:style w:type="paragraph" w:customStyle="1" w:styleId="TitlePageSubtitle">
    <w:name w:val="Title Page Subtitle"/>
    <w:uiPriority w:val="85"/>
    <w:unhideWhenUsed/>
    <w:pPr>
      <w:suppressAutoHyphens/>
      <w:spacing w:before="600" w:after="600"/>
      <w:ind w:left="850" w:right="850"/>
      <w:contextualSpacing/>
      <w:jc w:val="right"/>
    </w:pPr>
    <w:rPr>
      <w:rFonts w:ascii="EC Square Sans Pro Medium" w:hAnsi="EC Square Sans Pro Medium"/>
      <w:color w:val="003399" w:themeColor="text2"/>
      <w:sz w:val="48"/>
      <w:lang w:eastAsia="en-GB"/>
    </w:rPr>
  </w:style>
  <w:style w:type="paragraph" w:customStyle="1" w:styleId="TitlePageTitle">
    <w:name w:val="Title Page Title"/>
    <w:uiPriority w:val="84"/>
    <w:unhideWhenUsed/>
    <w:pPr>
      <w:suppressAutoHyphens/>
      <w:spacing w:before="2600" w:after="360"/>
      <w:ind w:left="850" w:right="850"/>
      <w:contextualSpacing/>
      <w:jc w:val="right"/>
    </w:pPr>
    <w:rPr>
      <w:rFonts w:ascii="EC Square Sans Pro Medium" w:hAnsi="EC Square Sans Pro Medium"/>
      <w:color w:val="003399" w:themeColor="text2"/>
      <w:sz w:val="64"/>
      <w:lang w:eastAsia="en-GB"/>
    </w:rPr>
  </w:style>
  <w:style w:type="paragraph" w:styleId="TOC1">
    <w:name w:val="toc 1"/>
    <w:basedOn w:val="Normal"/>
    <w:next w:val="Normal"/>
    <w:uiPriority w:val="39"/>
    <w:pPr>
      <w:tabs>
        <w:tab w:val="right" w:leader="dot" w:pos="9072"/>
      </w:tabs>
      <w:spacing w:before="120" w:after="120"/>
    </w:pPr>
    <w:rPr>
      <w:rFonts w:eastAsiaTheme="minorHAnsi" w:cstheme="minorBidi"/>
      <w:b/>
      <w:caps/>
      <w:lang w:eastAsia="en-US"/>
    </w:rPr>
  </w:style>
  <w:style w:type="paragraph" w:styleId="TOC2">
    <w:name w:val="toc 2"/>
    <w:basedOn w:val="Normal"/>
    <w:next w:val="Normal"/>
    <w:uiPriority w:val="39"/>
    <w:pPr>
      <w:tabs>
        <w:tab w:val="right" w:leader="dot" w:pos="9072"/>
      </w:tabs>
      <w:spacing w:before="120" w:after="120"/>
      <w:ind w:left="357"/>
    </w:pPr>
    <w:rPr>
      <w:rFonts w:eastAsiaTheme="minorHAnsi" w:cstheme="minorBidi"/>
      <w:lang w:eastAsia="en-US"/>
    </w:rPr>
  </w:style>
  <w:style w:type="paragraph" w:styleId="TOC3">
    <w:name w:val="toc 3"/>
    <w:basedOn w:val="Normal"/>
    <w:next w:val="Normal"/>
    <w:uiPriority w:val="39"/>
    <w:pPr>
      <w:spacing w:before="120" w:after="120"/>
      <w:ind w:left="720"/>
    </w:pPr>
    <w:rPr>
      <w:rFonts w:eastAsiaTheme="minorHAnsi" w:cstheme="minorBidi"/>
      <w:lang w:eastAsia="en-US"/>
    </w:rPr>
  </w:style>
  <w:style w:type="paragraph" w:styleId="TOC4">
    <w:name w:val="toc 4"/>
    <w:basedOn w:val="Normal"/>
    <w:next w:val="Normal"/>
    <w:uiPriority w:val="39"/>
    <w:semiHidden/>
    <w:unhideWhenUsed/>
    <w:pPr>
      <w:spacing w:before="120" w:after="120"/>
      <w:ind w:left="601"/>
    </w:pPr>
    <w:rPr>
      <w:rFonts w:eastAsiaTheme="minorHAnsi" w:cstheme="minorBidi"/>
      <w:lang w:eastAsia="en-US"/>
    </w:rPr>
  </w:style>
  <w:style w:type="paragraph" w:styleId="TOC5">
    <w:name w:val="toc 5"/>
    <w:basedOn w:val="Normal"/>
    <w:next w:val="Normal"/>
    <w:uiPriority w:val="39"/>
    <w:semiHidden/>
    <w:unhideWhenUsed/>
    <w:pPr>
      <w:spacing w:before="120" w:after="120"/>
      <w:ind w:left="799"/>
    </w:pPr>
    <w:rPr>
      <w:rFonts w:eastAsiaTheme="minorHAnsi" w:cstheme="minorBidi"/>
      <w:lang w:eastAsia="en-US"/>
    </w:rPr>
  </w:style>
  <w:style w:type="paragraph" w:styleId="TOC6">
    <w:name w:val="toc 6"/>
    <w:basedOn w:val="Normal"/>
    <w:next w:val="Normal"/>
    <w:uiPriority w:val="39"/>
    <w:semiHidden/>
    <w:unhideWhenUsed/>
    <w:pPr>
      <w:spacing w:before="120" w:after="120"/>
      <w:ind w:left="998"/>
    </w:pPr>
    <w:rPr>
      <w:rFonts w:eastAsiaTheme="minorHAnsi" w:cstheme="minorBidi"/>
      <w:lang w:eastAsia="en-US"/>
    </w:rPr>
  </w:style>
  <w:style w:type="paragraph" w:styleId="TOC7">
    <w:name w:val="toc 7"/>
    <w:basedOn w:val="Normal"/>
    <w:next w:val="Normal"/>
    <w:uiPriority w:val="39"/>
    <w:semiHidden/>
    <w:unhideWhenUsed/>
    <w:pPr>
      <w:spacing w:before="120" w:after="120"/>
      <w:ind w:left="1202"/>
    </w:pPr>
    <w:rPr>
      <w:rFonts w:eastAsiaTheme="minorHAnsi" w:cstheme="minorBidi"/>
      <w:lang w:eastAsia="en-US"/>
    </w:rPr>
  </w:style>
  <w:style w:type="paragraph" w:styleId="TOC8">
    <w:name w:val="toc 8"/>
    <w:basedOn w:val="Normal"/>
    <w:next w:val="Normal"/>
    <w:uiPriority w:val="39"/>
    <w:semiHidden/>
    <w:unhideWhenUsed/>
    <w:pPr>
      <w:spacing w:after="100"/>
      <w:ind w:left="1400"/>
    </w:pPr>
    <w:rPr>
      <w:rFonts w:eastAsiaTheme="minorHAnsi" w:cstheme="minorBidi"/>
      <w:lang w:eastAsia="en-US"/>
    </w:rPr>
  </w:style>
  <w:style w:type="paragraph" w:styleId="TOC9">
    <w:name w:val="toc 9"/>
    <w:basedOn w:val="Normal"/>
    <w:next w:val="Normal"/>
    <w:uiPriority w:val="39"/>
    <w:semiHidden/>
    <w:unhideWhenUsed/>
    <w:pPr>
      <w:spacing w:after="100"/>
      <w:ind w:left="1600"/>
    </w:pPr>
    <w:rPr>
      <w:rFonts w:eastAsiaTheme="minorHAnsi" w:cstheme="minorBidi"/>
      <w:lang w:eastAsia="en-US"/>
    </w:rPr>
  </w:style>
  <w:style w:type="paragraph" w:styleId="TOCHeading">
    <w:name w:val="TOC Heading"/>
    <w:basedOn w:val="Heading1"/>
    <w:next w:val="Normal"/>
    <w:uiPriority w:val="37"/>
    <w:unhideWhenUsed/>
    <w:pPr>
      <w:pageBreakBefore/>
      <w:spacing w:before="0"/>
    </w:pPr>
  </w:style>
  <w:style w:type="paragraph" w:styleId="Date">
    <w:name w:val="Date"/>
    <w:next w:val="Normal"/>
    <w:link w:val="DateChar"/>
    <w:uiPriority w:val="19"/>
    <w:semiHidden/>
    <w:pPr>
      <w:suppressAutoHyphens/>
      <w:spacing w:after="0"/>
      <w:ind w:left="5669"/>
    </w:pPr>
    <w:rPr>
      <w:rFonts w:ascii="EC Square Sans Pro" w:hAnsi="EC Square Sans Pro"/>
      <w:lang w:eastAsia="en-GB"/>
    </w:rPr>
  </w:style>
  <w:style w:type="character" w:customStyle="1" w:styleId="DateChar">
    <w:name w:val="Date Char"/>
    <w:link w:val="Date"/>
    <w:uiPriority w:val="19"/>
    <w:semiHidden/>
    <w:rPr>
      <w:rFonts w:ascii="EC Square Sans Pro" w:hAnsi="EC Square Sans Pro"/>
      <w:lang w:eastAsia="en-GB"/>
    </w:rPr>
  </w:style>
  <w:style w:type="paragraph" w:styleId="EndnoteText">
    <w:name w:val="endnote text"/>
    <w:basedOn w:val="Normal"/>
    <w:link w:val="EndnoteTextChar"/>
    <w:uiPriority w:val="8"/>
    <w:semiHidden/>
    <w:pPr>
      <w:spacing w:before="0" w:after="0" w:line="240" w:lineRule="auto"/>
      <w:ind w:left="357" w:hanging="357"/>
    </w:pPr>
    <w:rPr>
      <w:color w:val="000000" w:themeColor="dark1"/>
      <w:sz w:val="18"/>
    </w:rPr>
  </w:style>
  <w:style w:type="paragraph" w:styleId="Footer">
    <w:name w:val="footer"/>
    <w:link w:val="FooterChar"/>
    <w:uiPriority w:val="99"/>
    <w:pPr>
      <w:tabs>
        <w:tab w:val="center" w:pos="4535"/>
        <w:tab w:val="right" w:pos="9071"/>
      </w:tabs>
      <w:suppressAutoHyphens/>
      <w:spacing w:before="0" w:after="0" w:line="240" w:lineRule="auto"/>
      <w:jc w:val="center"/>
    </w:pPr>
    <w:rPr>
      <w:sz w:val="22"/>
      <w:lang w:eastAsia="en-GB"/>
    </w:rPr>
  </w:style>
  <w:style w:type="character" w:customStyle="1" w:styleId="FooterChar">
    <w:name w:val="Footer Char"/>
    <w:link w:val="Footer"/>
    <w:uiPriority w:val="99"/>
    <w:rPr>
      <w:sz w:val="22"/>
      <w:lang w:eastAsia="en-GB"/>
    </w:rPr>
  </w:style>
  <w:style w:type="paragraph" w:styleId="FootnoteText">
    <w:name w:val="footnote text"/>
    <w:aliases w:val="Footnote Text Char3,Footnote Text Char1 Char1,Footnote Text Char2 Char Char,Footnote Text Char1 Char1 Char Char,Footnote Text Char2 Char Char Char Char,Footnote Text Char1 Char1 Char Char Char Char Char,-E Fußnotentext,Fußnotentext Ursprun"/>
    <w:basedOn w:val="Normal"/>
    <w:link w:val="FootnoteTextChar"/>
    <w:uiPriority w:val="1"/>
    <w:qFormat/>
    <w:pPr>
      <w:spacing w:before="0" w:after="0" w:line="240" w:lineRule="auto"/>
      <w:ind w:left="357" w:hanging="357"/>
    </w:pPr>
    <w:rPr>
      <w:sz w:val="18"/>
    </w:rPr>
  </w:style>
  <w:style w:type="paragraph" w:styleId="Header">
    <w:name w:val="header"/>
    <w:link w:val="HeaderChar"/>
    <w:uiPriority w:val="99"/>
    <w:pPr>
      <w:tabs>
        <w:tab w:val="center" w:pos="4535"/>
        <w:tab w:val="right" w:pos="9071"/>
      </w:tabs>
      <w:suppressAutoHyphens/>
      <w:spacing w:before="0" w:after="0" w:line="240" w:lineRule="auto"/>
      <w:jc w:val="center"/>
    </w:pPr>
    <w:rPr>
      <w:sz w:val="22"/>
      <w:lang w:eastAsia="en-GB"/>
    </w:rPr>
  </w:style>
  <w:style w:type="character" w:customStyle="1" w:styleId="HeaderChar">
    <w:name w:val="Header Char"/>
    <w:link w:val="Header"/>
    <w:uiPriority w:val="99"/>
    <w:rPr>
      <w:sz w:val="22"/>
      <w:lang w:eastAsia="en-GB"/>
    </w:rPr>
  </w:style>
  <w:style w:type="character" w:customStyle="1" w:styleId="Heading1Char">
    <w:name w:val="Heading 1 Char"/>
    <w:link w:val="Heading1"/>
    <w:uiPriority w:val="1"/>
    <w:qFormat/>
    <w:rPr>
      <w:rFonts w:asciiTheme="majorHAnsi" w:hAnsiTheme="majorHAnsi"/>
      <w:b/>
      <w:color w:val="003399" w:themeColor="text2"/>
      <w:sz w:val="28"/>
      <w:lang w:eastAsia="en-GB"/>
    </w:rPr>
  </w:style>
  <w:style w:type="paragraph" w:customStyle="1" w:styleId="Heading1NoBreakBefore">
    <w:name w:val="Heading 1 No Break Before"/>
    <w:basedOn w:val="Heading1"/>
    <w:next w:val="Normal"/>
    <w:link w:val="Heading1NoBreakBeforeChar"/>
    <w:uiPriority w:val="1"/>
  </w:style>
  <w:style w:type="character" w:customStyle="1" w:styleId="Heading1NoBreakBeforeChar">
    <w:name w:val="Heading 1 No Break Before Char"/>
    <w:link w:val="Heading1NoBreakBefore"/>
    <w:uiPriority w:val="1"/>
    <w:qFormat/>
    <w:rPr>
      <w:rFonts w:asciiTheme="majorHAnsi" w:hAnsiTheme="majorHAnsi"/>
      <w:b/>
      <w:color w:val="003399" w:themeColor="text2"/>
      <w:sz w:val="28"/>
      <w:lang w:eastAsia="en-GB"/>
    </w:rPr>
  </w:style>
  <w:style w:type="character" w:customStyle="1" w:styleId="Heading2Char">
    <w:name w:val="Heading 2 Char"/>
    <w:link w:val="Heading2"/>
    <w:uiPriority w:val="9"/>
    <w:qFormat/>
    <w:rPr>
      <w:rFonts w:asciiTheme="majorHAnsi" w:hAnsiTheme="majorHAnsi"/>
      <w:color w:val="003399" w:themeColor="text2"/>
      <w:sz w:val="28"/>
      <w:lang w:eastAsia="en-GB"/>
    </w:rPr>
  </w:style>
  <w:style w:type="paragraph" w:customStyle="1" w:styleId="Heading2LabelledLetter">
    <w:name w:val="Heading 2 Labelled Letter"/>
    <w:basedOn w:val="Heading2"/>
    <w:next w:val="Normal"/>
    <w:link w:val="Heading2LabelledLetterChar"/>
    <w:uiPriority w:val="9"/>
    <w:pPr>
      <w:numPr>
        <w:numId w:val="12"/>
      </w:numPr>
      <w:tabs>
        <w:tab w:val="num" w:pos="397"/>
      </w:tabs>
    </w:pPr>
  </w:style>
  <w:style w:type="character" w:customStyle="1" w:styleId="Heading2LabelledLetterChar">
    <w:name w:val="Heading 2 Labelled Letter Char"/>
    <w:link w:val="Heading2LabelledLetter"/>
    <w:uiPriority w:val="9"/>
    <w:qFormat/>
    <w:rPr>
      <w:rFonts w:asciiTheme="majorHAnsi" w:hAnsiTheme="majorHAnsi"/>
      <w:color w:val="003399" w:themeColor="text2"/>
      <w:sz w:val="28"/>
      <w:lang w:eastAsia="en-GB"/>
    </w:rPr>
  </w:style>
  <w:style w:type="paragraph" w:customStyle="1" w:styleId="Heading2LabelledNumber">
    <w:name w:val="Heading 2 Labelled Number"/>
    <w:basedOn w:val="Heading2"/>
    <w:next w:val="Normal"/>
    <w:link w:val="Heading2LabelledNumberChar"/>
    <w:uiPriority w:val="9"/>
    <w:pPr>
      <w:numPr>
        <w:numId w:val="13"/>
      </w:numPr>
    </w:pPr>
  </w:style>
  <w:style w:type="character" w:customStyle="1" w:styleId="Heading2LabelledNumberChar">
    <w:name w:val="Heading 2 Labelled Number Char"/>
    <w:link w:val="Heading2LabelledNumber"/>
    <w:uiPriority w:val="9"/>
    <w:qFormat/>
    <w:rPr>
      <w:rFonts w:asciiTheme="majorHAnsi" w:hAnsiTheme="majorHAnsi"/>
      <w:color w:val="003399" w:themeColor="text2"/>
      <w:sz w:val="28"/>
      <w:lang w:eastAsia="en-GB"/>
    </w:rPr>
  </w:style>
  <w:style w:type="character" w:customStyle="1" w:styleId="Heading3Char">
    <w:name w:val="Heading 3 Char"/>
    <w:link w:val="Heading3"/>
    <w:uiPriority w:val="9"/>
    <w:qFormat/>
    <w:rPr>
      <w:rFonts w:asciiTheme="majorHAnsi" w:hAnsiTheme="majorHAnsi"/>
      <w:b/>
      <w:color w:val="003399" w:themeColor="text2"/>
      <w:sz w:val="22"/>
      <w:lang w:eastAsia="en-GB"/>
    </w:rPr>
  </w:style>
  <w:style w:type="character" w:customStyle="1" w:styleId="Heading4Char">
    <w:name w:val="Heading 4 Char"/>
    <w:link w:val="Heading4"/>
    <w:uiPriority w:val="9"/>
    <w:unhideWhenUsed/>
    <w:qFormat/>
    <w:rPr>
      <w:rFonts w:asciiTheme="majorHAnsi" w:hAnsiTheme="majorHAnsi"/>
      <w:b/>
      <w:color w:val="003399" w:themeColor="text2"/>
      <w:lang w:eastAsia="en-GB"/>
    </w:rPr>
  </w:style>
  <w:style w:type="character" w:customStyle="1" w:styleId="Heading5Char">
    <w:name w:val="Heading 5 Char"/>
    <w:link w:val="Heading5"/>
    <w:uiPriority w:val="9"/>
    <w:semiHidden/>
    <w:unhideWhenUsed/>
    <w:qFormat/>
    <w:rPr>
      <w:rFonts w:asciiTheme="majorHAnsi" w:hAnsiTheme="majorHAnsi"/>
      <w:color w:val="003399" w:themeColor="text2"/>
      <w:spacing w:val="12"/>
      <w:lang w:eastAsia="en-GB"/>
    </w:rPr>
  </w:style>
  <w:style w:type="character" w:customStyle="1" w:styleId="Heading6Char">
    <w:name w:val="Heading 6 Char"/>
    <w:link w:val="Heading6"/>
    <w:uiPriority w:val="9"/>
    <w:semiHidden/>
    <w:unhideWhenUsed/>
    <w:qFormat/>
    <w:rPr>
      <w:rFonts w:asciiTheme="majorHAnsi" w:hAnsiTheme="majorHAnsi"/>
      <w:i/>
      <w:color w:val="008139" w:themeColor="accent1"/>
      <w:spacing w:val="12"/>
      <w:lang w:eastAsia="en-GB"/>
    </w:rPr>
  </w:style>
  <w:style w:type="character" w:customStyle="1" w:styleId="Heading7Char">
    <w:name w:val="Heading 7 Char"/>
    <w:link w:val="Heading7"/>
    <w:uiPriority w:val="9"/>
    <w:semiHidden/>
    <w:unhideWhenUsed/>
    <w:qFormat/>
    <w:rPr>
      <w:rFonts w:asciiTheme="majorHAnsi" w:hAnsiTheme="majorHAnsi"/>
      <w:color w:val="008139" w:themeColor="accent1"/>
      <w:spacing w:val="12"/>
      <w:lang w:eastAsia="en-GB"/>
    </w:rPr>
  </w:style>
  <w:style w:type="character" w:customStyle="1" w:styleId="Heading8Char">
    <w:name w:val="Heading 8 Char"/>
    <w:link w:val="Heading8"/>
    <w:uiPriority w:val="9"/>
    <w:semiHidden/>
    <w:unhideWhenUsed/>
    <w:qFormat/>
    <w:rPr>
      <w:rFonts w:asciiTheme="majorHAnsi" w:hAnsiTheme="majorHAnsi"/>
      <w:i/>
      <w:color w:val="008139" w:themeColor="accent1"/>
      <w:spacing w:val="12"/>
      <w:lang w:eastAsia="en-GB"/>
    </w:rPr>
  </w:style>
  <w:style w:type="character" w:customStyle="1" w:styleId="Heading9Char">
    <w:name w:val="Heading 9 Char"/>
    <w:link w:val="Heading9"/>
    <w:uiPriority w:val="9"/>
    <w:semiHidden/>
    <w:unhideWhenUsed/>
    <w:qFormat/>
    <w:rPr>
      <w:rFonts w:asciiTheme="majorHAnsi" w:hAnsiTheme="majorHAnsi"/>
      <w:color w:val="008139" w:themeColor="accent1"/>
      <w:spacing w:val="12"/>
      <w:lang w:eastAsia="en-GB"/>
    </w:rPr>
  </w:style>
  <w:style w:type="paragraph" w:customStyle="1" w:styleId="HeadingNoTOC1">
    <w:name w:val="Heading NoTOC 1"/>
    <w:basedOn w:val="Heading1"/>
    <w:next w:val="Normal"/>
    <w:link w:val="HeadingNoTOC1Char"/>
    <w:uiPriority w:val="1"/>
  </w:style>
  <w:style w:type="character" w:customStyle="1" w:styleId="HeadingNoTOC1Char">
    <w:name w:val="Heading NoTOC 1 Char"/>
    <w:link w:val="HeadingNoTOC1"/>
    <w:uiPriority w:val="1"/>
    <w:rPr>
      <w:rFonts w:asciiTheme="majorHAnsi" w:hAnsiTheme="majorHAnsi"/>
      <w:b/>
      <w:color w:val="003399" w:themeColor="text2"/>
      <w:sz w:val="28"/>
      <w:lang w:eastAsia="en-GB"/>
    </w:rPr>
  </w:style>
  <w:style w:type="paragraph" w:customStyle="1" w:styleId="HeadingNoTOC1NoBreakBefore">
    <w:name w:val="Heading NoTOC 1 No Break Before"/>
    <w:basedOn w:val="HeadingNoTOC1"/>
    <w:next w:val="Normal"/>
    <w:link w:val="HeadingNoTOC1NoBreakBeforeChar"/>
    <w:uiPriority w:val="1"/>
  </w:style>
  <w:style w:type="character" w:customStyle="1" w:styleId="HeadingNoTOC1NoBreakBeforeChar">
    <w:name w:val="Heading NoTOC 1 No Break Before Char"/>
    <w:link w:val="HeadingNoTOC1NoBreakBefore"/>
    <w:uiPriority w:val="1"/>
    <w:qFormat/>
    <w:rPr>
      <w:rFonts w:asciiTheme="majorHAnsi" w:hAnsiTheme="majorHAnsi"/>
      <w:b/>
      <w:color w:val="003399" w:themeColor="text2"/>
      <w:sz w:val="28"/>
      <w:lang w:eastAsia="en-GB"/>
    </w:rPr>
  </w:style>
  <w:style w:type="paragraph" w:customStyle="1" w:styleId="HeadingNoTOC2">
    <w:name w:val="Heading NoTOC 2"/>
    <w:basedOn w:val="Heading2"/>
    <w:next w:val="Normal"/>
    <w:link w:val="HeadingNoTOC2Char"/>
    <w:uiPriority w:val="1"/>
  </w:style>
  <w:style w:type="character" w:customStyle="1" w:styleId="HeadingNoTOC2Char">
    <w:name w:val="Heading NoTOC 2 Char"/>
    <w:link w:val="HeadingNoTOC2"/>
    <w:uiPriority w:val="1"/>
    <w:rPr>
      <w:rFonts w:asciiTheme="majorHAnsi" w:hAnsiTheme="majorHAnsi"/>
      <w:color w:val="003399" w:themeColor="text2"/>
      <w:sz w:val="28"/>
      <w:lang w:eastAsia="en-GB"/>
    </w:rPr>
  </w:style>
  <w:style w:type="paragraph" w:customStyle="1" w:styleId="HeadingNoTOC3">
    <w:name w:val="Heading NoTOC 3"/>
    <w:basedOn w:val="Heading3"/>
    <w:next w:val="Normal"/>
    <w:link w:val="HeadingNoTOC3Char"/>
    <w:uiPriority w:val="1"/>
  </w:style>
  <w:style w:type="character" w:customStyle="1" w:styleId="HeadingNoTOC3Char">
    <w:name w:val="Heading NoTOC 3 Char"/>
    <w:link w:val="HeadingNoTOC3"/>
    <w:uiPriority w:val="1"/>
    <w:rPr>
      <w:rFonts w:asciiTheme="majorHAnsi" w:hAnsiTheme="majorHAnsi"/>
      <w:b/>
      <w:color w:val="003399" w:themeColor="text2"/>
      <w:sz w:val="22"/>
      <w:lang w:eastAsia="en-GB"/>
    </w:rPr>
  </w:style>
  <w:style w:type="paragraph" w:customStyle="1" w:styleId="HeadingNoTOC4">
    <w:name w:val="Heading NoTOC 4"/>
    <w:basedOn w:val="Heading4"/>
    <w:next w:val="Normal"/>
    <w:link w:val="HeadingNoTOC4Char"/>
    <w:uiPriority w:val="1"/>
  </w:style>
  <w:style w:type="character" w:customStyle="1" w:styleId="HeadingNoTOC4Char">
    <w:name w:val="Heading NoTOC 4 Char"/>
    <w:link w:val="HeadingNoTOC4"/>
    <w:uiPriority w:val="1"/>
    <w:rPr>
      <w:rFonts w:asciiTheme="majorHAnsi" w:hAnsiTheme="majorHAnsi"/>
      <w:b/>
      <w:color w:val="008139" w:themeColor="accent1"/>
      <w:lang w:eastAsia="en-GB"/>
    </w:rPr>
  </w:style>
  <w:style w:type="paragraph" w:customStyle="1" w:styleId="HeadingNoTOC5">
    <w:name w:val="Heading NoTOC 5"/>
    <w:basedOn w:val="Heading5"/>
    <w:next w:val="Normal"/>
    <w:link w:val="HeadingNoTOC5Char"/>
    <w:uiPriority w:val="9"/>
    <w:unhideWhenUsed/>
  </w:style>
  <w:style w:type="character" w:customStyle="1" w:styleId="HeadingNoTOC5Char">
    <w:name w:val="Heading NoTOC 5 Char"/>
    <w:link w:val="HeadingNoTOC5"/>
    <w:uiPriority w:val="9"/>
    <w:unhideWhenUsed/>
    <w:rPr>
      <w:rFonts w:asciiTheme="majorHAnsi" w:hAnsiTheme="majorHAnsi"/>
      <w:color w:val="008139" w:themeColor="accent1"/>
      <w:spacing w:val="12"/>
      <w:lang w:eastAsia="en-GB"/>
    </w:rPr>
  </w:style>
  <w:style w:type="paragraph" w:customStyle="1" w:styleId="HeadingNoTOC6">
    <w:name w:val="Heading NoTOC 6"/>
    <w:basedOn w:val="Heading6"/>
    <w:next w:val="Normal"/>
    <w:link w:val="HeadingNoTOC6Char"/>
    <w:uiPriority w:val="9"/>
    <w:semiHidden/>
    <w:unhideWhenUsed/>
  </w:style>
  <w:style w:type="character" w:customStyle="1" w:styleId="HeadingNoTOC6Char">
    <w:name w:val="Heading NoTOC 6 Char"/>
    <w:link w:val="HeadingNoTOC6"/>
    <w:uiPriority w:val="9"/>
    <w:semiHidden/>
    <w:unhideWhenUsed/>
    <w:rPr>
      <w:rFonts w:asciiTheme="majorHAnsi" w:hAnsiTheme="majorHAnsi"/>
      <w:i/>
      <w:color w:val="008139" w:themeColor="accent1"/>
      <w:spacing w:val="12"/>
      <w:lang w:eastAsia="en-GB"/>
    </w:rPr>
  </w:style>
  <w:style w:type="paragraph" w:customStyle="1" w:styleId="HeadingNoTOC7">
    <w:name w:val="Heading NoTOC 7"/>
    <w:basedOn w:val="Heading7"/>
    <w:next w:val="Normal"/>
    <w:link w:val="HeadingNoTOC7Char"/>
    <w:uiPriority w:val="9"/>
    <w:semiHidden/>
    <w:unhideWhenUsed/>
  </w:style>
  <w:style w:type="character" w:customStyle="1" w:styleId="HeadingNoTOC7Char">
    <w:name w:val="Heading NoTOC 7 Char"/>
    <w:link w:val="HeadingNoTOC7"/>
    <w:uiPriority w:val="9"/>
    <w:semiHidden/>
    <w:unhideWhenUsed/>
    <w:rPr>
      <w:rFonts w:asciiTheme="majorHAnsi" w:hAnsiTheme="majorHAnsi"/>
      <w:color w:val="008139" w:themeColor="accent1"/>
      <w:spacing w:val="12"/>
      <w:lang w:eastAsia="en-GB"/>
    </w:rPr>
  </w:style>
  <w:style w:type="paragraph" w:customStyle="1" w:styleId="HeadingNoTOC8">
    <w:name w:val="Heading NoTOC 8"/>
    <w:basedOn w:val="Heading8"/>
    <w:next w:val="Normal"/>
    <w:link w:val="HeadingNoTOC8Char"/>
    <w:uiPriority w:val="9"/>
    <w:semiHidden/>
    <w:unhideWhenUsed/>
  </w:style>
  <w:style w:type="character" w:customStyle="1" w:styleId="HeadingNoTOC8Char">
    <w:name w:val="Heading NoTOC 8 Char"/>
    <w:link w:val="HeadingNoTOC8"/>
    <w:uiPriority w:val="9"/>
    <w:semiHidden/>
    <w:unhideWhenUsed/>
    <w:rPr>
      <w:rFonts w:asciiTheme="majorHAnsi" w:hAnsiTheme="majorHAnsi"/>
      <w:i/>
      <w:color w:val="008139" w:themeColor="accent1"/>
      <w:spacing w:val="12"/>
      <w:lang w:eastAsia="en-GB"/>
    </w:rPr>
  </w:style>
  <w:style w:type="paragraph" w:customStyle="1" w:styleId="HeadingNoTOC9">
    <w:name w:val="Heading NoTOC 9"/>
    <w:basedOn w:val="Heading9"/>
    <w:next w:val="Normal"/>
    <w:link w:val="HeadingNoTOC9Char"/>
    <w:uiPriority w:val="9"/>
    <w:semiHidden/>
    <w:unhideWhenUsed/>
  </w:style>
  <w:style w:type="character" w:customStyle="1" w:styleId="HeadingNoTOC9Char">
    <w:name w:val="Heading NoTOC 9 Char"/>
    <w:link w:val="HeadingNoTOC9"/>
    <w:uiPriority w:val="9"/>
    <w:semiHidden/>
    <w:unhideWhenUsed/>
    <w:rPr>
      <w:rFonts w:asciiTheme="majorHAnsi" w:hAnsiTheme="majorHAnsi"/>
      <w:color w:val="008139" w:themeColor="accent1"/>
      <w:spacing w:val="12"/>
      <w:lang w:eastAsia="en-GB"/>
    </w:rPr>
  </w:style>
  <w:style w:type="paragraph" w:customStyle="1" w:styleId="HeadingNumbered1">
    <w:name w:val="Heading Numbered 1"/>
    <w:basedOn w:val="Heading1"/>
    <w:next w:val="Normal"/>
    <w:link w:val="HeadingNumbered1Char"/>
    <w:uiPriority w:val="9"/>
    <w:pPr>
      <w:numPr>
        <w:numId w:val="14"/>
      </w:numPr>
    </w:pPr>
  </w:style>
  <w:style w:type="character" w:customStyle="1" w:styleId="HeadingNumbered1Char">
    <w:name w:val="Heading Numbered 1 Char"/>
    <w:link w:val="HeadingNumbered1"/>
    <w:uiPriority w:val="9"/>
    <w:rPr>
      <w:rFonts w:asciiTheme="majorHAnsi" w:hAnsiTheme="majorHAnsi"/>
      <w:b/>
      <w:color w:val="003399" w:themeColor="text2"/>
      <w:sz w:val="28"/>
      <w:lang w:eastAsia="en-GB"/>
    </w:rPr>
  </w:style>
  <w:style w:type="paragraph" w:customStyle="1" w:styleId="HeadingNumbered1NoBreakBefore">
    <w:name w:val="Heading Numbered 1 No Break Before"/>
    <w:basedOn w:val="HeadingNumbered1"/>
    <w:next w:val="Normal"/>
    <w:link w:val="HeadingNumbered1NoBreakBeforeChar"/>
    <w:uiPriority w:val="9"/>
    <w:pPr>
      <w:ind w:left="851" w:hanging="851"/>
    </w:pPr>
  </w:style>
  <w:style w:type="character" w:customStyle="1" w:styleId="HeadingNumbered1NoBreakBeforeChar">
    <w:name w:val="Heading Numbered 1 No Break Before Char"/>
    <w:link w:val="HeadingNumbered1NoBreakBefore"/>
    <w:uiPriority w:val="9"/>
    <w:qFormat/>
    <w:rPr>
      <w:rFonts w:asciiTheme="majorHAnsi" w:hAnsiTheme="majorHAnsi"/>
      <w:b/>
      <w:color w:val="003399" w:themeColor="text2"/>
      <w:sz w:val="28"/>
      <w:lang w:eastAsia="en-GB"/>
    </w:rPr>
  </w:style>
  <w:style w:type="paragraph" w:customStyle="1" w:styleId="HeadingNumbered2">
    <w:name w:val="Heading Numbered 2"/>
    <w:basedOn w:val="Heading2"/>
    <w:next w:val="Normal"/>
    <w:link w:val="HeadingNumbered2Char"/>
    <w:uiPriority w:val="9"/>
    <w:pPr>
      <w:numPr>
        <w:ilvl w:val="1"/>
        <w:numId w:val="14"/>
      </w:numPr>
    </w:pPr>
  </w:style>
  <w:style w:type="character" w:customStyle="1" w:styleId="HeadingNumbered2Char">
    <w:name w:val="Heading Numbered 2 Char"/>
    <w:link w:val="HeadingNumbered2"/>
    <w:uiPriority w:val="9"/>
    <w:rPr>
      <w:rFonts w:asciiTheme="majorHAnsi" w:hAnsiTheme="majorHAnsi"/>
      <w:color w:val="003399" w:themeColor="text2"/>
      <w:sz w:val="28"/>
      <w:lang w:eastAsia="en-GB"/>
    </w:rPr>
  </w:style>
  <w:style w:type="paragraph" w:customStyle="1" w:styleId="HeadingNumbered3">
    <w:name w:val="Heading Numbered 3"/>
    <w:basedOn w:val="Heading3"/>
    <w:next w:val="Normal"/>
    <w:link w:val="HeadingNumbered3Char"/>
    <w:uiPriority w:val="9"/>
    <w:pPr>
      <w:numPr>
        <w:ilvl w:val="2"/>
        <w:numId w:val="14"/>
      </w:numPr>
    </w:pPr>
  </w:style>
  <w:style w:type="character" w:customStyle="1" w:styleId="HeadingNumbered3Char">
    <w:name w:val="Heading Numbered 3 Char"/>
    <w:link w:val="HeadingNumbered3"/>
    <w:uiPriority w:val="9"/>
    <w:rPr>
      <w:rFonts w:asciiTheme="majorHAnsi" w:hAnsiTheme="majorHAnsi"/>
      <w:b/>
      <w:color w:val="003399" w:themeColor="text2"/>
      <w:sz w:val="22"/>
      <w:lang w:eastAsia="en-GB"/>
    </w:rPr>
  </w:style>
  <w:style w:type="paragraph" w:customStyle="1" w:styleId="HeadingNumbered4">
    <w:name w:val="Heading Numbered 4"/>
    <w:basedOn w:val="Heading4"/>
    <w:next w:val="Normal"/>
    <w:link w:val="HeadingNumbered4Char"/>
    <w:uiPriority w:val="9"/>
    <w:pPr>
      <w:numPr>
        <w:ilvl w:val="3"/>
        <w:numId w:val="14"/>
      </w:numPr>
    </w:pPr>
  </w:style>
  <w:style w:type="character" w:customStyle="1" w:styleId="HeadingNumbered4Char">
    <w:name w:val="Heading Numbered 4 Char"/>
    <w:link w:val="HeadingNumbered4"/>
    <w:uiPriority w:val="9"/>
    <w:rPr>
      <w:rFonts w:asciiTheme="majorHAnsi" w:hAnsiTheme="majorHAnsi"/>
      <w:b/>
      <w:color w:val="003399" w:themeColor="text2"/>
      <w:lang w:eastAsia="en-GB"/>
    </w:rPr>
  </w:style>
  <w:style w:type="paragraph" w:customStyle="1" w:styleId="HeadingNumbered5">
    <w:name w:val="Heading Numbered 5"/>
    <w:basedOn w:val="Heading5"/>
    <w:next w:val="Normal"/>
    <w:link w:val="HeadingNumbered5Char"/>
    <w:uiPriority w:val="9"/>
    <w:semiHidden/>
    <w:unhideWhenUsed/>
    <w:pPr>
      <w:numPr>
        <w:ilvl w:val="4"/>
        <w:numId w:val="14"/>
      </w:numPr>
    </w:pPr>
  </w:style>
  <w:style w:type="character" w:customStyle="1" w:styleId="HeadingNumbered5Char">
    <w:name w:val="Heading Numbered 5 Char"/>
    <w:link w:val="HeadingNumbered5"/>
    <w:uiPriority w:val="9"/>
    <w:semiHidden/>
    <w:unhideWhenUsed/>
    <w:rPr>
      <w:rFonts w:asciiTheme="majorHAnsi" w:hAnsiTheme="majorHAnsi"/>
      <w:color w:val="003399" w:themeColor="text2"/>
      <w:spacing w:val="12"/>
      <w:lang w:eastAsia="en-GB"/>
    </w:rPr>
  </w:style>
  <w:style w:type="paragraph" w:customStyle="1" w:styleId="HeadingNumbered6">
    <w:name w:val="Heading Numbered 6"/>
    <w:basedOn w:val="Heading6"/>
    <w:next w:val="Normal"/>
    <w:link w:val="HeadingNumbered6Char"/>
    <w:uiPriority w:val="9"/>
    <w:semiHidden/>
    <w:unhideWhenUsed/>
    <w:pPr>
      <w:numPr>
        <w:ilvl w:val="5"/>
        <w:numId w:val="14"/>
      </w:numPr>
    </w:pPr>
  </w:style>
  <w:style w:type="character" w:customStyle="1" w:styleId="HeadingNumbered6Char">
    <w:name w:val="Heading Numbered 6 Char"/>
    <w:link w:val="HeadingNumbered6"/>
    <w:uiPriority w:val="9"/>
    <w:semiHidden/>
    <w:unhideWhenUsed/>
    <w:rPr>
      <w:rFonts w:asciiTheme="majorHAnsi" w:hAnsiTheme="majorHAnsi"/>
      <w:i/>
      <w:color w:val="008139" w:themeColor="accent1"/>
      <w:spacing w:val="12"/>
      <w:lang w:eastAsia="en-GB"/>
    </w:rPr>
  </w:style>
  <w:style w:type="paragraph" w:customStyle="1" w:styleId="HeadingNumbered7">
    <w:name w:val="Heading Numbered 7"/>
    <w:basedOn w:val="Heading7"/>
    <w:next w:val="Normal"/>
    <w:link w:val="HeadingNumbered7Char"/>
    <w:uiPriority w:val="9"/>
    <w:semiHidden/>
    <w:unhideWhenUsed/>
    <w:pPr>
      <w:numPr>
        <w:ilvl w:val="6"/>
        <w:numId w:val="14"/>
      </w:numPr>
    </w:pPr>
  </w:style>
  <w:style w:type="character" w:customStyle="1" w:styleId="HeadingNumbered7Char">
    <w:name w:val="Heading Numbered 7 Char"/>
    <w:link w:val="HeadingNumbered7"/>
    <w:uiPriority w:val="9"/>
    <w:semiHidden/>
    <w:unhideWhenUsed/>
    <w:rPr>
      <w:rFonts w:asciiTheme="majorHAnsi" w:hAnsiTheme="majorHAnsi"/>
      <w:color w:val="008139" w:themeColor="accent1"/>
      <w:spacing w:val="12"/>
      <w:lang w:eastAsia="en-GB"/>
    </w:rPr>
  </w:style>
  <w:style w:type="paragraph" w:customStyle="1" w:styleId="HeadingNumbered8">
    <w:name w:val="Heading Numbered 8"/>
    <w:basedOn w:val="Heading8"/>
    <w:next w:val="Normal"/>
    <w:link w:val="HeadingNumbered8Char"/>
    <w:uiPriority w:val="9"/>
    <w:semiHidden/>
    <w:unhideWhenUsed/>
    <w:pPr>
      <w:numPr>
        <w:ilvl w:val="7"/>
        <w:numId w:val="14"/>
      </w:numPr>
    </w:pPr>
  </w:style>
  <w:style w:type="character" w:customStyle="1" w:styleId="HeadingNumbered8Char">
    <w:name w:val="Heading Numbered 8 Char"/>
    <w:link w:val="HeadingNumbered8"/>
    <w:uiPriority w:val="9"/>
    <w:semiHidden/>
    <w:unhideWhenUsed/>
    <w:rPr>
      <w:rFonts w:asciiTheme="majorHAnsi" w:hAnsiTheme="majorHAnsi"/>
      <w:i/>
      <w:color w:val="008139" w:themeColor="accent1"/>
      <w:spacing w:val="12"/>
      <w:lang w:eastAsia="en-GB"/>
    </w:rPr>
  </w:style>
  <w:style w:type="paragraph" w:customStyle="1" w:styleId="HeadingNumbered9">
    <w:name w:val="Heading Numbered 9"/>
    <w:basedOn w:val="Heading9"/>
    <w:next w:val="Normal"/>
    <w:link w:val="HeadingNumbered9Char"/>
    <w:uiPriority w:val="9"/>
    <w:semiHidden/>
    <w:unhideWhenUsed/>
    <w:pPr>
      <w:numPr>
        <w:ilvl w:val="8"/>
        <w:numId w:val="14"/>
      </w:numPr>
    </w:pPr>
  </w:style>
  <w:style w:type="character" w:customStyle="1" w:styleId="HeadingNumbered9Char">
    <w:name w:val="Heading Numbered 9 Char"/>
    <w:link w:val="HeadingNumbered9"/>
    <w:uiPriority w:val="9"/>
    <w:semiHidden/>
    <w:unhideWhenUsed/>
    <w:rPr>
      <w:rFonts w:asciiTheme="majorHAnsi" w:hAnsiTheme="majorHAnsi"/>
      <w:color w:val="008139" w:themeColor="accent1"/>
      <w:spacing w:val="12"/>
      <w:lang w:eastAsia="en-GB"/>
    </w:rPr>
  </w:style>
  <w:style w:type="paragraph" w:styleId="Subtitle">
    <w:name w:val="Subtitle"/>
    <w:next w:val="Normal"/>
    <w:link w:val="SubtitleChar"/>
    <w:uiPriority w:val="15"/>
    <w:semiHidden/>
    <w:pPr>
      <w:suppressAutoHyphens/>
      <w:spacing w:before="2760"/>
      <w:jc w:val="center"/>
    </w:pPr>
    <w:rPr>
      <w:rFonts w:ascii="EC Square Sans Pro" w:hAnsi="EC Square Sans Pro"/>
      <w:b/>
      <w:color w:val="003399" w:themeColor="text2"/>
      <w:sz w:val="52"/>
      <w:lang w:eastAsia="en-GB"/>
    </w:rPr>
  </w:style>
  <w:style w:type="character" w:customStyle="1" w:styleId="SubtitleChar">
    <w:name w:val="Subtitle Char"/>
    <w:link w:val="Subtitle"/>
    <w:uiPriority w:val="15"/>
    <w:semiHidden/>
    <w:qFormat/>
    <w:rPr>
      <w:rFonts w:ascii="EC Square Sans Pro" w:hAnsi="EC Square Sans Pro"/>
      <w:b/>
      <w:color w:val="003399" w:themeColor="text2"/>
      <w:sz w:val="52"/>
      <w:lang w:eastAsia="en-GB"/>
    </w:rPr>
  </w:style>
  <w:style w:type="paragraph" w:styleId="Title">
    <w:name w:val="Title"/>
    <w:next w:val="Normal"/>
    <w:link w:val="TitleChar"/>
    <w:uiPriority w:val="14"/>
    <w:semiHidden/>
    <w:pPr>
      <w:suppressAutoHyphens/>
      <w:spacing w:beforeAutospacing="1"/>
      <w:jc w:val="center"/>
    </w:pPr>
    <w:rPr>
      <w:rFonts w:ascii="EC Square Sans Pro" w:hAnsi="EC Square Sans Pro"/>
      <w:b/>
      <w:sz w:val="40"/>
      <w:lang w:eastAsia="en-GB"/>
    </w:rPr>
  </w:style>
  <w:style w:type="character" w:customStyle="1" w:styleId="TitleChar">
    <w:name w:val="Title Char"/>
    <w:link w:val="Title"/>
    <w:uiPriority w:val="14"/>
    <w:semiHidden/>
    <w:qFormat/>
    <w:rPr>
      <w:rFonts w:ascii="EC Square Sans Pro" w:hAnsi="EC Square Sans Pro"/>
      <w:b/>
      <w:sz w:val="40"/>
      <w:lang w:eastAsia="en-GB"/>
    </w:rPr>
  </w:style>
  <w:style w:type="table" w:customStyle="1" w:styleId="TableBoxBlueBackground">
    <w:name w:val="Table Box Blue Background"/>
    <w:uiPriority w:val="99"/>
    <w:pPr>
      <w:spacing w:before="120" w:after="120"/>
    </w:pPr>
    <w:rPr>
      <w:rFonts w:ascii="EC Square Sans Pro" w:eastAsia="SimSun" w:hAnsi="EC Square Sans Pro"/>
      <w:color w:val="003399" w:themeColor="text2"/>
      <w:lang w:eastAsia="en-GB"/>
    </w:rPr>
    <w:tblPr>
      <w:tblInd w:w="0" w:type="dxa"/>
      <w:tblCellMar>
        <w:top w:w="142" w:type="dxa"/>
        <w:left w:w="301" w:type="dxa"/>
        <w:bottom w:w="142" w:type="dxa"/>
        <w:right w:w="301" w:type="dxa"/>
      </w:tblCellMar>
    </w:tblPr>
    <w:tcPr>
      <w:shd w:val="clear" w:color="auto" w:fill="F3F7FF" w:themeFill="background2"/>
    </w:tcPr>
  </w:style>
  <w:style w:type="table" w:customStyle="1" w:styleId="TableBoxBlueDashedBorder">
    <w:name w:val="Table Box Blue Dashed Border"/>
    <w:uiPriority w:val="99"/>
    <w:unhideWhenUsed/>
    <w:rPr>
      <w:rFonts w:ascii="EC Square Sans Pro" w:hAnsi="EC Square Sans Pro"/>
      <w:lang w:eastAsia="en-GB"/>
    </w:rPr>
    <w:tblPr>
      <w:tblInd w:w="0" w:type="dxa"/>
      <w:tblBorders>
        <w:top w:val="dashSmallGap" w:sz="12" w:space="0" w:color="0E4194"/>
        <w:left w:val="dashSmallGap" w:sz="12" w:space="0" w:color="0E4194"/>
        <w:bottom w:val="dashSmallGap" w:sz="12" w:space="0" w:color="0E4194"/>
        <w:right w:val="dashSmallGap" w:sz="12" w:space="0" w:color="0E4194"/>
      </w:tblBorders>
      <w:tblCellMar>
        <w:top w:w="0" w:type="dxa"/>
        <w:left w:w="108" w:type="dxa"/>
        <w:bottom w:w="0" w:type="dxa"/>
        <w:right w:w="108" w:type="dxa"/>
      </w:tblCellMar>
    </w:tblPr>
    <w:tcPr>
      <w:shd w:val="clear" w:color="000000" w:fill="auto"/>
    </w:tcPr>
  </w:style>
  <w:style w:type="table" w:customStyle="1" w:styleId="TableBoxGreyBackground">
    <w:name w:val="Table Box Grey Background"/>
    <w:uiPriority w:val="99"/>
    <w:unhideWhenUsed/>
    <w:rPr>
      <w:rFonts w:ascii="EC Square Sans Pro" w:hAnsi="EC Square Sans Pro"/>
      <w:lang w:eastAsia="en-GB"/>
    </w:rPr>
    <w:tblPr>
      <w:tblInd w:w="0" w:type="dxa"/>
      <w:tblBorders>
        <w:top w:val="single" w:sz="4" w:space="0" w:color="8C8C8C"/>
        <w:left w:val="single" w:sz="4" w:space="0" w:color="8C8C8C"/>
        <w:bottom w:val="single" w:sz="4" w:space="0" w:color="8C8C8C"/>
        <w:right w:val="single" w:sz="4" w:space="0" w:color="8C8C8C"/>
      </w:tblBorders>
      <w:tblCellMar>
        <w:top w:w="0" w:type="dxa"/>
        <w:left w:w="108" w:type="dxa"/>
        <w:bottom w:w="0" w:type="dxa"/>
        <w:right w:w="108" w:type="dxa"/>
      </w:tblCellMar>
    </w:tblPr>
    <w:tcPr>
      <w:shd w:val="clear" w:color="000000" w:fill="F3F7FF" w:themeFill="background2"/>
    </w:tcPr>
  </w:style>
  <w:style w:type="table" w:customStyle="1" w:styleId="TableBoxRedBorder">
    <w:name w:val="Table Box Red Border"/>
    <w:uiPriority w:val="99"/>
    <w:unhideWhenUsed/>
    <w:rPr>
      <w:rFonts w:ascii="EC Square Sans Pro" w:hAnsi="EC Square Sans Pro"/>
      <w:lang w:eastAsia="en-GB"/>
    </w:rPr>
    <w:tblPr>
      <w:tblInd w:w="0" w:type="dxa"/>
      <w:tblBorders>
        <w:top w:val="single" w:sz="12" w:space="0" w:color="DC3903"/>
        <w:left w:val="single" w:sz="12" w:space="0" w:color="DC3903"/>
        <w:bottom w:val="single" w:sz="12" w:space="0" w:color="DC3903"/>
        <w:right w:val="single" w:sz="12" w:space="0" w:color="DC3903"/>
      </w:tblBorders>
      <w:tblCellMar>
        <w:top w:w="0" w:type="dxa"/>
        <w:left w:w="301" w:type="dxa"/>
        <w:bottom w:w="0" w:type="dxa"/>
        <w:right w:w="301" w:type="dxa"/>
      </w:tblCellMar>
    </w:tblPr>
    <w:tcPr>
      <w:shd w:val="clear" w:color="000000" w:fill="FFFFFF" w:themeFill="background1"/>
    </w:tcPr>
  </w:style>
  <w:style w:type="table" w:customStyle="1" w:styleId="TableBoxYellowBackground">
    <w:name w:val="Table Box Yellow Background"/>
    <w:uiPriority w:val="99"/>
    <w:unhideWhenUsed/>
    <w:rPr>
      <w:rFonts w:ascii="EC Square Sans Pro" w:hAnsi="EC Square Sans Pro"/>
      <w:lang w:eastAsia="en-GB"/>
    </w:rPr>
    <w:tblPr>
      <w:tblInd w:w="0" w:type="dxa"/>
      <w:tblBorders>
        <w:top w:val="single" w:sz="4" w:space="0" w:color="2688FE" w:themeColor="accent3"/>
        <w:left w:val="single" w:sz="4" w:space="0" w:color="2688FE" w:themeColor="accent3"/>
        <w:bottom w:val="single" w:sz="4" w:space="0" w:color="2688FE" w:themeColor="accent3"/>
        <w:right w:val="single" w:sz="4" w:space="0" w:color="2688FE" w:themeColor="accent3"/>
      </w:tblBorders>
      <w:tblCellMar>
        <w:top w:w="0" w:type="dxa"/>
        <w:left w:w="108" w:type="dxa"/>
        <w:bottom w:w="0" w:type="dxa"/>
        <w:right w:w="108" w:type="dxa"/>
      </w:tblCellMar>
    </w:tblPr>
    <w:tcPr>
      <w:shd w:val="clear" w:color="000000" w:fill="2688FE" w:themeFill="accent3"/>
    </w:tcPr>
  </w:style>
  <w:style w:type="table" w:styleId="TableGrid">
    <w:name w:val="Table Grid"/>
    <w:basedOn w:val="TableNormal"/>
    <w:uiPriority w:val="10"/>
    <w:pPr>
      <w:keepNext/>
      <w:spacing w:before="40" w:after="40"/>
    </w:pPr>
    <w:rPr>
      <w:rFonts w:ascii="EC Square Sans Cond Pro" w:hAnsi="EC Square Sans Cond Pro"/>
      <w:lang w:eastAsia="en-GB"/>
    </w:rPr>
    <w:tblPr>
      <w:tblStyleRowBandSize w:val="1"/>
      <w:tblStyleColBandSize w:val="1"/>
      <w:jc w:val="center"/>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shd w:val="clear" w:color="auto" w:fill="F3F7FF" w:themeFill="background2"/>
    </w:tblPr>
    <w:trPr>
      <w:cantSplit/>
      <w:jc w:val="center"/>
    </w:trPr>
    <w:tcPr>
      <w:shd w:val="clear" w:color="auto" w:fill="F3F7FF" w:themeFill="background2"/>
    </w:tcPr>
    <w:tblStylePr w:type="firstRow">
      <w:pPr>
        <w:spacing w:before="40" w:after="40" w:line="264" w:lineRule="auto"/>
        <w:jc w:val="both"/>
      </w:pPr>
      <w:rPr>
        <w:b/>
        <w:color w:val="FFFFFF" w:themeColor="light1"/>
      </w:rPr>
      <w:tblPr/>
      <w:trPr>
        <w:cantSplit/>
        <w:tblHeader/>
      </w:trPr>
      <w:tcPr>
        <w:tcBorders>
          <w:bottom w:val="single" w:sz="4" w:space="0" w:color="8C8C8C"/>
          <w:insideH w:val="single" w:sz="4" w:space="0" w:color="8C8C8C"/>
          <w:insideV w:val="single" w:sz="4" w:space="0" w:color="8C8C8C"/>
        </w:tcBorders>
        <w:shd w:val="clear" w:color="FFFFFF" w:fill="008139" w:themeFill="accent1"/>
        <w:vAlign w:val="top"/>
      </w:tcPr>
    </w:tblStylePr>
    <w:tblStylePr w:type="lastRow">
      <w:pPr>
        <w:jc w:val="both"/>
      </w:pPr>
      <w:rPr>
        <w:b/>
        <w:color w:val="FFFFFF" w:themeColor="light1"/>
      </w:rPr>
      <w:tblPr/>
      <w:tcPr>
        <w:shd w:val="clear" w:color="FFFFFF" w:fill="DE6002" w:themeFill="accent2"/>
      </w:tcPr>
    </w:tblStylePr>
    <w:tblStylePr w:type="firstCol">
      <w:pPr>
        <w:jc w:val="both"/>
      </w:pPr>
      <w:rPr>
        <w:b/>
      </w:rPr>
      <w:tblPr/>
      <w:tcPr>
        <w:shd w:val="clear" w:color="000000" w:fill="F3F7FF" w:themeFill="background2"/>
      </w:tcPr>
    </w:tblStylePr>
  </w:style>
  <w:style w:type="table" w:customStyle="1" w:styleId="TableObjective">
    <w:name w:val="Table Objective"/>
    <w:basedOn w:val="TableNormal"/>
    <w:uiPriority w:val="10"/>
    <w:unhideWhenUsed/>
    <w:pPr>
      <w:keepLines/>
      <w:spacing w:before="40" w:after="40"/>
    </w:pPr>
    <w:rPr>
      <w:rFonts w:ascii="EC Square Sans Cond Pro" w:hAnsi="EC Square Sans Cond Pro"/>
      <w:lang w:eastAsia="en-GB"/>
    </w:rPr>
    <w:tblPr>
      <w:tblStyleRowBandSize w:val="1"/>
      <w:tblStyleColBandSize w:val="1"/>
      <w:jc w:val="center"/>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shd w:val="clear" w:color="auto" w:fill="F3F7FF" w:themeFill="background2"/>
    </w:tblPr>
    <w:trPr>
      <w:cantSplit/>
      <w:jc w:val="center"/>
    </w:trPr>
    <w:tcPr>
      <w:shd w:val="clear" w:color="auto" w:fill="F3F7FF" w:themeFill="background2"/>
    </w:tcPr>
    <w:tblStylePr w:type="firstRow">
      <w:pPr>
        <w:spacing w:before="40" w:after="40" w:line="264" w:lineRule="auto"/>
      </w:pPr>
      <w:rPr>
        <w:b/>
        <w:color w:val="000000" w:themeColor="dark1"/>
        <w:sz w:val="20"/>
      </w:rPr>
      <w:tblPr/>
      <w:trPr>
        <w:cantSplit/>
        <w:tblHeader/>
      </w:trPr>
      <w:tcPr>
        <w:tcBorders>
          <w:bottom w:val="single" w:sz="4" w:space="0" w:color="8C8C8C"/>
          <w:insideH w:val="single" w:sz="4" w:space="0" w:color="8C8C8C"/>
          <w:insideV w:val="single" w:sz="4" w:space="0" w:color="8C8C8C"/>
        </w:tcBorders>
        <w:shd w:val="clear" w:color="auto" w:fill="F3F7FF" w:themeFill="background2"/>
        <w:vAlign w:val="top"/>
      </w:tcPr>
    </w:tblStylePr>
  </w:style>
  <w:style w:type="character" w:customStyle="1" w:styleId="PublicationTitleChar">
    <w:name w:val="Publication Title Char"/>
    <w:basedOn w:val="DefaultParagraphFont"/>
    <w:link w:val="PublicationTitle"/>
    <w:uiPriority w:val="80"/>
    <w:rPr>
      <w:rFonts w:asciiTheme="majorHAnsi" w:hAnsiTheme="majorHAnsi"/>
      <w:bCs/>
      <w:color w:val="003399" w:themeColor="text2"/>
      <w:sz w:val="72"/>
      <w:szCs w:val="72"/>
      <w:lang w:eastAsia="en-GB"/>
    </w:rPr>
  </w:style>
  <w:style w:type="paragraph" w:customStyle="1" w:styleId="amprboxBLUEtext">
    <w:name w:val="[ampr box BLUE] text"/>
    <w:basedOn w:val="Normal"/>
    <w:uiPriority w:val="2"/>
    <w:qFormat/>
    <w:pPr>
      <w:pBdr>
        <w:top w:val="single" w:sz="12" w:space="12" w:color="F3F7FF"/>
        <w:left w:val="single" w:sz="12" w:space="12" w:color="F3F7FF"/>
        <w:bottom w:val="single" w:sz="12" w:space="12" w:color="F3F7FF"/>
        <w:right w:val="single" w:sz="12" w:space="12" w:color="F3F7FF"/>
      </w:pBdr>
      <w:shd w:val="clear" w:color="auto" w:fill="F3F7FF"/>
      <w:spacing w:before="120" w:after="120"/>
      <w:ind w:left="301" w:right="301"/>
    </w:pPr>
    <w:rPr>
      <w:rFonts w:eastAsia="EC Square Sans Pro"/>
      <w:color w:val="003399"/>
      <w:szCs w:val="21"/>
    </w:rPr>
  </w:style>
  <w:style w:type="character" w:customStyle="1" w:styleId="amprcharItalic">
    <w:name w:val="[ampr char] Italic"/>
    <w:rPr>
      <w:i/>
      <w:noProof w:val="0"/>
      <w:lang w:val="ro-RO"/>
    </w:rPr>
  </w:style>
  <w:style w:type="paragraph" w:customStyle="1" w:styleId="amprboxBLUEbulletlist">
    <w:name w:val="[ampr box BLUE] bullet list"/>
    <w:basedOn w:val="amprboxBLUEtext"/>
    <w:uiPriority w:val="4"/>
    <w:qFormat/>
    <w:pPr>
      <w:numPr>
        <w:numId w:val="32"/>
      </w:numPr>
      <w:spacing w:before="60" w:after="60"/>
    </w:pPr>
  </w:style>
  <w:style w:type="paragraph" w:customStyle="1" w:styleId="amprHeader-Right">
    <w:name w:val="[ampr] Header - Right"/>
    <w:basedOn w:val="Normal"/>
    <w:next w:val="Normal"/>
    <w:uiPriority w:val="15"/>
    <w:pPr>
      <w:spacing w:before="0" w:after="0" w:line="240" w:lineRule="auto"/>
      <w:jc w:val="right"/>
    </w:pPr>
    <w:rPr>
      <w:rFonts w:eastAsia="EC Square Sans Pro"/>
      <w:color w:val="747474"/>
      <w:szCs w:val="21"/>
      <w:lang w:eastAsia="zh-CN"/>
    </w:rPr>
  </w:style>
  <w:style w:type="paragraph" w:customStyle="1" w:styleId="amprHeader-Left">
    <w:name w:val="[ampr] Header - Left"/>
    <w:basedOn w:val="Normal"/>
    <w:next w:val="Normal"/>
    <w:uiPriority w:val="15"/>
    <w:pPr>
      <w:spacing w:before="0" w:after="0" w:line="240" w:lineRule="auto"/>
    </w:pPr>
    <w:rPr>
      <w:rFonts w:eastAsia="EC Square Sans Pro"/>
      <w:color w:val="747474"/>
      <w:szCs w:val="21"/>
      <w:lang w:eastAsia="zh-CN"/>
    </w:rPr>
  </w:style>
  <w:style w:type="paragraph" w:customStyle="1" w:styleId="amprFooter-Right">
    <w:name w:val="[ampr] Footer - Right"/>
    <w:basedOn w:val="Footer"/>
    <w:uiPriority w:val="15"/>
    <w:pPr>
      <w:tabs>
        <w:tab w:val="clear" w:pos="4535"/>
        <w:tab w:val="clear" w:pos="9071"/>
      </w:tabs>
      <w:jc w:val="right"/>
    </w:pPr>
    <w:rPr>
      <w:rFonts w:ascii="EC Square Sans Pro" w:eastAsia="EC Square Sans Pro" w:hAnsi="EC Square Sans Pro"/>
      <w:sz w:val="20"/>
      <w:szCs w:val="21"/>
      <w:lang w:eastAsia="zh-CN"/>
    </w:rPr>
  </w:style>
  <w:style w:type="paragraph" w:customStyle="1" w:styleId="amprFooter-Left">
    <w:name w:val="[ampr] Footer - Left"/>
    <w:basedOn w:val="Normal"/>
    <w:next w:val="Normal"/>
    <w:uiPriority w:val="15"/>
    <w:pPr>
      <w:spacing w:before="0" w:after="0" w:line="240" w:lineRule="auto"/>
    </w:pPr>
    <w:rPr>
      <w:rFonts w:eastAsia="EC Square Sans Pro"/>
      <w:szCs w:val="21"/>
      <w:lang w:eastAsia="zh-CN"/>
    </w:rPr>
  </w:style>
  <w:style w:type="paragraph" w:styleId="BalloonText">
    <w:name w:val="Balloon Text"/>
    <w:basedOn w:val="Normal"/>
    <w:link w:val="BalloonTextChar"/>
    <w:semiHidden/>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Pr>
      <w:rFonts w:ascii="Segoe UI" w:hAnsi="Segoe UI" w:cs="Segoe UI"/>
      <w:noProof w:val="0"/>
      <w:sz w:val="18"/>
      <w:szCs w:val="18"/>
      <w:lang w:eastAsia="en-GB"/>
    </w:rPr>
  </w:style>
  <w:style w:type="paragraph" w:styleId="Bibliography">
    <w:name w:val="Bibliography"/>
    <w:basedOn w:val="Normal"/>
    <w:next w:val="Normal"/>
    <w:semiHidden/>
  </w:style>
  <w:style w:type="paragraph" w:styleId="BlockText">
    <w:name w:val="Block Text"/>
    <w:basedOn w:val="Normal"/>
    <w:semiHidden/>
    <w:pPr>
      <w:pBdr>
        <w:top w:val="single" w:sz="2" w:space="10" w:color="008139" w:themeColor="accent1"/>
        <w:left w:val="single" w:sz="2" w:space="10" w:color="008139" w:themeColor="accent1"/>
        <w:bottom w:val="single" w:sz="2" w:space="10" w:color="008139" w:themeColor="accent1"/>
        <w:right w:val="single" w:sz="2" w:space="10" w:color="008139" w:themeColor="accent1"/>
      </w:pBdr>
      <w:ind w:left="1152" w:right="1152"/>
    </w:pPr>
    <w:rPr>
      <w:rFonts w:asciiTheme="minorHAnsi" w:eastAsiaTheme="minorEastAsia" w:hAnsiTheme="minorHAnsi" w:cstheme="minorBidi"/>
      <w:i/>
      <w:iCs/>
      <w:color w:val="008139" w:themeColor="accent1"/>
    </w:rPr>
  </w:style>
  <w:style w:type="paragraph" w:styleId="BodyText">
    <w:name w:val="Body Text"/>
    <w:basedOn w:val="Normal"/>
    <w:link w:val="BodyTextChar"/>
    <w:semiHidden/>
    <w:pPr>
      <w:spacing w:after="120"/>
    </w:pPr>
  </w:style>
  <w:style w:type="character" w:customStyle="1" w:styleId="BodyTextChar">
    <w:name w:val="Body Text Char"/>
    <w:basedOn w:val="DefaultParagraphFont"/>
    <w:link w:val="BodyText"/>
    <w:semiHidden/>
    <w:rPr>
      <w:rFonts w:ascii="EC Square Sans Pro" w:hAnsi="EC Square Sans Pro"/>
      <w:noProof w:val="0"/>
      <w:lang w:eastAsia="en-GB"/>
    </w:rPr>
  </w:style>
  <w:style w:type="paragraph" w:styleId="BodyText2">
    <w:name w:val="Body Text 2"/>
    <w:basedOn w:val="Normal"/>
    <w:link w:val="BodyText2Char"/>
    <w:semiHidden/>
    <w:pPr>
      <w:spacing w:after="120" w:line="480" w:lineRule="auto"/>
    </w:pPr>
  </w:style>
  <w:style w:type="character" w:customStyle="1" w:styleId="BodyText2Char">
    <w:name w:val="Body Text 2 Char"/>
    <w:basedOn w:val="DefaultParagraphFont"/>
    <w:link w:val="BodyText2"/>
    <w:semiHidden/>
    <w:rPr>
      <w:rFonts w:ascii="EC Square Sans Pro" w:hAnsi="EC Square Sans Pro"/>
      <w:noProof w:val="0"/>
      <w:lang w:eastAsia="en-GB"/>
    </w:rPr>
  </w:style>
  <w:style w:type="paragraph" w:styleId="BodyText3">
    <w:name w:val="Body Text 3"/>
    <w:basedOn w:val="Normal"/>
    <w:link w:val="BodyText3Char"/>
    <w:semiHidden/>
    <w:pPr>
      <w:spacing w:after="120"/>
    </w:pPr>
    <w:rPr>
      <w:sz w:val="16"/>
      <w:szCs w:val="16"/>
    </w:rPr>
  </w:style>
  <w:style w:type="character" w:customStyle="1" w:styleId="BodyText3Char">
    <w:name w:val="Body Text 3 Char"/>
    <w:basedOn w:val="DefaultParagraphFont"/>
    <w:link w:val="BodyText3"/>
    <w:semiHidden/>
    <w:rPr>
      <w:rFonts w:ascii="EC Square Sans Pro" w:hAnsi="EC Square Sans Pro"/>
      <w:noProof w:val="0"/>
      <w:sz w:val="16"/>
      <w:szCs w:val="16"/>
      <w:lang w:eastAsia="en-GB"/>
    </w:rPr>
  </w:style>
  <w:style w:type="paragraph" w:styleId="BodyTextFirstIndent">
    <w:name w:val="Body Text First Indent"/>
    <w:basedOn w:val="BodyText"/>
    <w:link w:val="BodyTextFirstIndentChar"/>
    <w:semiHidden/>
    <w:pPr>
      <w:spacing w:after="240"/>
      <w:ind w:firstLine="360"/>
    </w:pPr>
  </w:style>
  <w:style w:type="character" w:customStyle="1" w:styleId="BodyTextFirstIndentChar">
    <w:name w:val="Body Text First Indent Char"/>
    <w:basedOn w:val="BodyTextChar"/>
    <w:link w:val="BodyTextFirstIndent"/>
    <w:semiHidden/>
    <w:rPr>
      <w:rFonts w:ascii="EC Square Sans Pro" w:hAnsi="EC Square Sans Pro"/>
      <w:noProof w:val="0"/>
      <w:lang w:eastAsia="en-GB"/>
    </w:rPr>
  </w:style>
  <w:style w:type="paragraph" w:styleId="BodyTextIndent">
    <w:name w:val="Body Text Indent"/>
    <w:basedOn w:val="Normal"/>
    <w:link w:val="BodyTextIndentChar"/>
    <w:semiHidden/>
    <w:pPr>
      <w:spacing w:after="120"/>
      <w:ind w:left="283"/>
    </w:pPr>
  </w:style>
  <w:style w:type="character" w:customStyle="1" w:styleId="BodyTextIndentChar">
    <w:name w:val="Body Text Indent Char"/>
    <w:basedOn w:val="DefaultParagraphFont"/>
    <w:link w:val="BodyTextIndent"/>
    <w:semiHidden/>
    <w:rPr>
      <w:rFonts w:ascii="EC Square Sans Pro" w:hAnsi="EC Square Sans Pro"/>
      <w:noProof w:val="0"/>
      <w:lang w:eastAsia="en-GB"/>
    </w:rPr>
  </w:style>
  <w:style w:type="paragraph" w:styleId="BodyTextFirstIndent2">
    <w:name w:val="Body Text First Indent 2"/>
    <w:basedOn w:val="BodyTextIndent"/>
    <w:link w:val="BodyTextFirstIndent2Char"/>
    <w:semiHidden/>
    <w:pPr>
      <w:spacing w:after="240"/>
      <w:ind w:left="360" w:firstLine="360"/>
    </w:pPr>
  </w:style>
  <w:style w:type="character" w:customStyle="1" w:styleId="BodyTextFirstIndent2Char">
    <w:name w:val="Body Text First Indent 2 Char"/>
    <w:basedOn w:val="BodyTextIndentChar"/>
    <w:link w:val="BodyTextFirstIndent2"/>
    <w:semiHidden/>
    <w:rPr>
      <w:rFonts w:ascii="EC Square Sans Pro" w:hAnsi="EC Square Sans Pro"/>
      <w:noProof w:val="0"/>
      <w:lang w:eastAsia="en-GB"/>
    </w:rPr>
  </w:style>
  <w:style w:type="paragraph" w:styleId="BodyTextIndent2">
    <w:name w:val="Body Text Indent 2"/>
    <w:basedOn w:val="Normal"/>
    <w:link w:val="BodyTextIndent2Char"/>
    <w:semiHidden/>
    <w:pPr>
      <w:spacing w:after="120" w:line="480" w:lineRule="auto"/>
      <w:ind w:left="283"/>
    </w:pPr>
  </w:style>
  <w:style w:type="character" w:customStyle="1" w:styleId="BodyTextIndent2Char">
    <w:name w:val="Body Text Indent 2 Char"/>
    <w:basedOn w:val="DefaultParagraphFont"/>
    <w:link w:val="BodyTextIndent2"/>
    <w:semiHidden/>
    <w:rPr>
      <w:rFonts w:ascii="EC Square Sans Pro" w:hAnsi="EC Square Sans Pro"/>
      <w:noProof w:val="0"/>
      <w:lang w:eastAsia="en-GB"/>
    </w:rPr>
  </w:style>
  <w:style w:type="paragraph" w:styleId="BodyTextIndent3">
    <w:name w:val="Body Text Indent 3"/>
    <w:basedOn w:val="Normal"/>
    <w:link w:val="BodyTextIndent3Char"/>
    <w:semiHidden/>
    <w:pPr>
      <w:spacing w:after="120"/>
      <w:ind w:left="283"/>
    </w:pPr>
    <w:rPr>
      <w:sz w:val="16"/>
      <w:szCs w:val="16"/>
    </w:rPr>
  </w:style>
  <w:style w:type="character" w:customStyle="1" w:styleId="BodyTextIndent3Char">
    <w:name w:val="Body Text Indent 3 Char"/>
    <w:basedOn w:val="DefaultParagraphFont"/>
    <w:link w:val="BodyTextIndent3"/>
    <w:semiHidden/>
    <w:rPr>
      <w:rFonts w:ascii="EC Square Sans Pro" w:hAnsi="EC Square Sans Pro"/>
      <w:noProof w:val="0"/>
      <w:sz w:val="16"/>
      <w:szCs w:val="16"/>
      <w:lang w:eastAsia="en-GB"/>
    </w:rPr>
  </w:style>
  <w:style w:type="character" w:styleId="BookTitle">
    <w:name w:val="Book Title"/>
    <w:basedOn w:val="DefaultParagraphFont"/>
    <w:semiHidden/>
    <w:rPr>
      <w:b/>
      <w:bCs/>
      <w:i/>
      <w:iCs/>
      <w:noProof w:val="0"/>
      <w:spacing w:val="5"/>
      <w:lang w:val="ro-RO"/>
    </w:rPr>
  </w:style>
  <w:style w:type="paragraph" w:styleId="Closing">
    <w:name w:val="Closing"/>
    <w:basedOn w:val="Normal"/>
    <w:link w:val="ClosingChar"/>
    <w:semiHidden/>
    <w:pPr>
      <w:spacing w:before="0" w:after="0" w:line="240" w:lineRule="auto"/>
      <w:ind w:left="4252"/>
    </w:pPr>
  </w:style>
  <w:style w:type="character" w:customStyle="1" w:styleId="ClosingChar">
    <w:name w:val="Closing Char"/>
    <w:basedOn w:val="DefaultParagraphFont"/>
    <w:link w:val="Closing"/>
    <w:semiHidden/>
    <w:rPr>
      <w:rFonts w:ascii="EC Square Sans Pro" w:hAnsi="EC Square Sans Pro"/>
      <w:noProof w:val="0"/>
      <w:lang w:eastAsia="en-GB"/>
    </w:rPr>
  </w:style>
  <w:style w:type="character" w:styleId="CommentReference">
    <w:name w:val="annotation reference"/>
    <w:basedOn w:val="DefaultParagraphFont"/>
    <w:uiPriority w:val="99"/>
    <w:rPr>
      <w:noProof w:val="0"/>
      <w:sz w:val="16"/>
      <w:szCs w:val="16"/>
      <w:lang w:val="ro-RO"/>
    </w:rPr>
  </w:style>
  <w:style w:type="paragraph" w:styleId="CommentText">
    <w:name w:val="annotation text"/>
    <w:basedOn w:val="Normal"/>
    <w:link w:val="CommentTextChar"/>
    <w:uiPriority w:val="99"/>
    <w:pPr>
      <w:spacing w:line="240" w:lineRule="auto"/>
    </w:pPr>
  </w:style>
  <w:style w:type="character" w:customStyle="1" w:styleId="CommentTextChar">
    <w:name w:val="Comment Text Char"/>
    <w:basedOn w:val="DefaultParagraphFont"/>
    <w:link w:val="CommentText"/>
    <w:uiPriority w:val="99"/>
    <w:rPr>
      <w:rFonts w:ascii="EC Square Sans Pro" w:hAnsi="EC Square Sans Pro"/>
      <w:lang w:eastAsia="en-GB"/>
    </w:rPr>
  </w:style>
  <w:style w:type="paragraph" w:styleId="CommentSubject">
    <w:name w:val="annotation subject"/>
    <w:basedOn w:val="CommentText"/>
    <w:next w:val="CommentText"/>
    <w:link w:val="CommentSubjectChar"/>
    <w:semiHidden/>
    <w:rPr>
      <w:b/>
      <w:bCs/>
    </w:rPr>
  </w:style>
  <w:style w:type="character" w:customStyle="1" w:styleId="CommentSubjectChar">
    <w:name w:val="Comment Subject Char"/>
    <w:basedOn w:val="CommentTextChar"/>
    <w:link w:val="CommentSubject"/>
    <w:semiHidden/>
    <w:rPr>
      <w:rFonts w:ascii="EC Square Sans Pro" w:hAnsi="EC Square Sans Pro"/>
      <w:b/>
      <w:bCs/>
      <w:noProof w:val="0"/>
      <w:lang w:eastAsia="en-GB"/>
    </w:rPr>
  </w:style>
  <w:style w:type="paragraph" w:styleId="DocumentMap">
    <w:name w:val="Document Map"/>
    <w:basedOn w:val="Normal"/>
    <w:link w:val="DocumentMapChar"/>
    <w:semiHidden/>
    <w:pPr>
      <w:spacing w:before="0" w:after="0" w:line="240" w:lineRule="auto"/>
    </w:pPr>
    <w:rPr>
      <w:rFonts w:ascii="Segoe UI" w:hAnsi="Segoe UI" w:cs="Segoe UI"/>
      <w:sz w:val="16"/>
      <w:szCs w:val="16"/>
    </w:rPr>
  </w:style>
  <w:style w:type="character" w:customStyle="1" w:styleId="DocumentMapChar">
    <w:name w:val="Document Map Char"/>
    <w:basedOn w:val="DefaultParagraphFont"/>
    <w:link w:val="DocumentMap"/>
    <w:semiHidden/>
    <w:rPr>
      <w:rFonts w:ascii="Segoe UI" w:hAnsi="Segoe UI" w:cs="Segoe UI"/>
      <w:noProof w:val="0"/>
      <w:sz w:val="16"/>
      <w:szCs w:val="16"/>
      <w:lang w:eastAsia="en-GB"/>
    </w:rPr>
  </w:style>
  <w:style w:type="paragraph" w:styleId="E-mailSignature">
    <w:name w:val="E-mail Signature"/>
    <w:basedOn w:val="Normal"/>
    <w:link w:val="E-mailSignatureChar"/>
    <w:semiHidden/>
    <w:pPr>
      <w:spacing w:before="0" w:after="0" w:line="240" w:lineRule="auto"/>
    </w:pPr>
  </w:style>
  <w:style w:type="character" w:customStyle="1" w:styleId="E-mailSignatureChar">
    <w:name w:val="E-mail Signature Char"/>
    <w:basedOn w:val="DefaultParagraphFont"/>
    <w:link w:val="E-mailSignature"/>
    <w:semiHidden/>
    <w:rPr>
      <w:rFonts w:ascii="EC Square Sans Pro" w:hAnsi="EC Square Sans Pro"/>
      <w:noProof w:val="0"/>
      <w:lang w:eastAsia="en-GB"/>
    </w:rPr>
  </w:style>
  <w:style w:type="paragraph" w:styleId="EnvelopeAddress">
    <w:name w:val="envelope address"/>
    <w:basedOn w:val="Normal"/>
    <w:semiHidden/>
    <w:pPr>
      <w:framePr w:w="7920" w:h="1980" w:hRule="exact" w:hSpace="180" w:wrap="auto" w:hAnchor="page" w:xAlign="center" w:yAlign="bottom"/>
      <w:spacing w:before="0"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semiHidden/>
    <w:pPr>
      <w:spacing w:before="0" w:after="0" w:line="240" w:lineRule="auto"/>
    </w:pPr>
    <w:rPr>
      <w:rFonts w:asciiTheme="majorHAnsi" w:eastAsiaTheme="majorEastAsia" w:hAnsiTheme="majorHAnsi" w:cstheme="majorBidi"/>
    </w:rPr>
  </w:style>
  <w:style w:type="character" w:styleId="FollowedHyperlink">
    <w:name w:val="FollowedHyperlink"/>
    <w:basedOn w:val="DefaultParagraphFont"/>
    <w:semiHidden/>
    <w:rPr>
      <w:noProof w:val="0"/>
      <w:color w:val="003399" w:themeColor="followedHyperlink"/>
      <w:u w:val="single"/>
      <w:lang w:val="ro-RO"/>
    </w:rPr>
  </w:style>
  <w:style w:type="character" w:styleId="HTMLAcronym">
    <w:name w:val="HTML Acronym"/>
    <w:basedOn w:val="DefaultParagraphFont"/>
    <w:uiPriority w:val="39"/>
    <w:semiHidden/>
    <w:rPr>
      <w:noProof w:val="0"/>
      <w:lang w:val="ro-RO"/>
    </w:rPr>
  </w:style>
  <w:style w:type="paragraph" w:styleId="HTMLAddress">
    <w:name w:val="HTML Address"/>
    <w:basedOn w:val="Normal"/>
    <w:link w:val="HTMLAddressChar"/>
    <w:uiPriority w:val="39"/>
    <w:semiHidden/>
    <w:pPr>
      <w:spacing w:before="0" w:after="0" w:line="240" w:lineRule="auto"/>
    </w:pPr>
    <w:rPr>
      <w:i/>
      <w:iCs/>
    </w:rPr>
  </w:style>
  <w:style w:type="character" w:customStyle="1" w:styleId="HTMLAddressChar">
    <w:name w:val="HTML Address Char"/>
    <w:basedOn w:val="DefaultParagraphFont"/>
    <w:link w:val="HTMLAddress"/>
    <w:uiPriority w:val="39"/>
    <w:semiHidden/>
    <w:rPr>
      <w:rFonts w:ascii="EC Square Sans Pro" w:hAnsi="EC Square Sans Pro"/>
      <w:i/>
      <w:iCs/>
      <w:noProof w:val="0"/>
      <w:lang w:eastAsia="en-GB"/>
    </w:rPr>
  </w:style>
  <w:style w:type="character" w:styleId="HTMLCite">
    <w:name w:val="HTML Cite"/>
    <w:basedOn w:val="DefaultParagraphFont"/>
    <w:uiPriority w:val="39"/>
    <w:semiHidden/>
    <w:rPr>
      <w:i/>
      <w:iCs/>
      <w:noProof w:val="0"/>
      <w:lang w:val="ro-RO"/>
    </w:rPr>
  </w:style>
  <w:style w:type="character" w:styleId="HTMLCode">
    <w:name w:val="HTML Code"/>
    <w:basedOn w:val="DefaultParagraphFont"/>
    <w:uiPriority w:val="39"/>
    <w:semiHidden/>
    <w:rPr>
      <w:rFonts w:ascii="Consolas" w:hAnsi="Consolas"/>
      <w:noProof w:val="0"/>
      <w:sz w:val="20"/>
      <w:szCs w:val="20"/>
      <w:lang w:val="ro-RO"/>
    </w:rPr>
  </w:style>
  <w:style w:type="character" w:styleId="HTMLDefinition">
    <w:name w:val="HTML Definition"/>
    <w:basedOn w:val="DefaultParagraphFont"/>
    <w:uiPriority w:val="39"/>
    <w:semiHidden/>
    <w:rPr>
      <w:i/>
      <w:iCs/>
      <w:noProof w:val="0"/>
      <w:lang w:val="ro-RO"/>
    </w:rPr>
  </w:style>
  <w:style w:type="character" w:styleId="HTMLKeyboard">
    <w:name w:val="HTML Keyboard"/>
    <w:basedOn w:val="DefaultParagraphFont"/>
    <w:uiPriority w:val="39"/>
    <w:semiHidden/>
    <w:rPr>
      <w:rFonts w:ascii="Consolas" w:hAnsi="Consolas"/>
      <w:noProof w:val="0"/>
      <w:sz w:val="20"/>
      <w:szCs w:val="20"/>
      <w:lang w:val="ro-RO"/>
    </w:rPr>
  </w:style>
  <w:style w:type="paragraph" w:styleId="HTMLPreformatted">
    <w:name w:val="HTML Preformatted"/>
    <w:basedOn w:val="Normal"/>
    <w:link w:val="HTMLPreformattedChar"/>
    <w:uiPriority w:val="39"/>
    <w:semiHidden/>
    <w:pPr>
      <w:spacing w:before="0" w:after="0" w:line="240" w:lineRule="auto"/>
    </w:pPr>
    <w:rPr>
      <w:rFonts w:ascii="Consolas" w:hAnsi="Consolas"/>
    </w:rPr>
  </w:style>
  <w:style w:type="character" w:customStyle="1" w:styleId="HTMLPreformattedChar">
    <w:name w:val="HTML Preformatted Char"/>
    <w:basedOn w:val="DefaultParagraphFont"/>
    <w:link w:val="HTMLPreformatted"/>
    <w:uiPriority w:val="39"/>
    <w:semiHidden/>
    <w:rPr>
      <w:rFonts w:ascii="Consolas" w:hAnsi="Consolas"/>
      <w:noProof w:val="0"/>
      <w:lang w:eastAsia="en-GB"/>
    </w:rPr>
  </w:style>
  <w:style w:type="character" w:styleId="HTMLSample">
    <w:name w:val="HTML Sample"/>
    <w:basedOn w:val="DefaultParagraphFont"/>
    <w:uiPriority w:val="39"/>
    <w:semiHidden/>
    <w:rPr>
      <w:rFonts w:ascii="Consolas" w:hAnsi="Consolas"/>
      <w:noProof w:val="0"/>
      <w:sz w:val="24"/>
      <w:szCs w:val="24"/>
      <w:lang w:val="ro-RO"/>
    </w:rPr>
  </w:style>
  <w:style w:type="character" w:styleId="HTMLTypewriter">
    <w:name w:val="HTML Typewriter"/>
    <w:basedOn w:val="DefaultParagraphFont"/>
    <w:uiPriority w:val="39"/>
    <w:semiHidden/>
    <w:rPr>
      <w:rFonts w:ascii="Consolas" w:hAnsi="Consolas"/>
      <w:noProof w:val="0"/>
      <w:sz w:val="20"/>
      <w:szCs w:val="20"/>
      <w:lang w:val="ro-RO"/>
    </w:rPr>
  </w:style>
  <w:style w:type="character" w:styleId="HTMLVariable">
    <w:name w:val="HTML Variable"/>
    <w:basedOn w:val="DefaultParagraphFont"/>
    <w:uiPriority w:val="39"/>
    <w:semiHidden/>
    <w:rPr>
      <w:i/>
      <w:iCs/>
      <w:noProof w:val="0"/>
      <w:lang w:val="ro-RO"/>
    </w:rPr>
  </w:style>
  <w:style w:type="character" w:styleId="IntenseEmphasis">
    <w:name w:val="Intense Emphasis"/>
    <w:basedOn w:val="DefaultParagraphFont"/>
    <w:uiPriority w:val="39"/>
    <w:semiHidden/>
    <w:rPr>
      <w:i/>
      <w:iCs/>
      <w:noProof w:val="0"/>
      <w:color w:val="008139" w:themeColor="accent1"/>
      <w:lang w:val="ro-RO"/>
    </w:rPr>
  </w:style>
  <w:style w:type="paragraph" w:styleId="IntenseQuote">
    <w:name w:val="Intense Quote"/>
    <w:basedOn w:val="Normal"/>
    <w:next w:val="Normal"/>
    <w:link w:val="IntenseQuoteChar"/>
    <w:uiPriority w:val="39"/>
    <w:semiHidden/>
    <w:pPr>
      <w:pBdr>
        <w:top w:val="single" w:sz="4" w:space="10" w:color="008139" w:themeColor="accent1"/>
        <w:bottom w:val="single" w:sz="4" w:space="10" w:color="008139" w:themeColor="accent1"/>
      </w:pBdr>
      <w:spacing w:before="360" w:after="360"/>
      <w:ind w:left="864" w:right="864"/>
      <w:jc w:val="center"/>
    </w:pPr>
    <w:rPr>
      <w:i/>
      <w:iCs/>
      <w:color w:val="008139" w:themeColor="accent1"/>
    </w:rPr>
  </w:style>
  <w:style w:type="character" w:customStyle="1" w:styleId="IntenseQuoteChar">
    <w:name w:val="Intense Quote Char"/>
    <w:basedOn w:val="DefaultParagraphFont"/>
    <w:link w:val="IntenseQuote"/>
    <w:uiPriority w:val="39"/>
    <w:semiHidden/>
    <w:rPr>
      <w:rFonts w:ascii="EC Square Sans Pro" w:hAnsi="EC Square Sans Pro"/>
      <w:i/>
      <w:iCs/>
      <w:noProof w:val="0"/>
      <w:color w:val="008139" w:themeColor="accent1"/>
      <w:lang w:eastAsia="en-GB"/>
    </w:rPr>
  </w:style>
  <w:style w:type="character" w:styleId="IntenseReference">
    <w:name w:val="Intense Reference"/>
    <w:basedOn w:val="DefaultParagraphFont"/>
    <w:uiPriority w:val="39"/>
    <w:semiHidden/>
    <w:rPr>
      <w:b/>
      <w:bCs/>
      <w:smallCaps/>
      <w:noProof w:val="0"/>
      <w:color w:val="008139" w:themeColor="accent1"/>
      <w:spacing w:val="5"/>
      <w:lang w:val="ro-RO"/>
    </w:rPr>
  </w:style>
  <w:style w:type="character" w:styleId="LineNumber">
    <w:name w:val="line number"/>
    <w:basedOn w:val="DefaultParagraphFont"/>
    <w:semiHidden/>
    <w:rPr>
      <w:noProof w:val="0"/>
      <w:lang w:val="ro-RO"/>
    </w:rPr>
  </w:style>
  <w:style w:type="paragraph" w:styleId="List">
    <w:name w:val="List"/>
    <w:basedOn w:val="Normal"/>
    <w:uiPriority w:val="3"/>
    <w:semiHidden/>
    <w:pPr>
      <w:ind w:left="283" w:hanging="283"/>
      <w:contextualSpacing/>
    </w:pPr>
  </w:style>
  <w:style w:type="paragraph" w:styleId="List2">
    <w:name w:val="List 2"/>
    <w:basedOn w:val="Normal"/>
    <w:uiPriority w:val="3"/>
    <w:semiHidden/>
    <w:pPr>
      <w:ind w:left="566" w:hanging="283"/>
      <w:contextualSpacing/>
    </w:pPr>
  </w:style>
  <w:style w:type="paragraph" w:styleId="List3">
    <w:name w:val="List 3"/>
    <w:basedOn w:val="Normal"/>
    <w:uiPriority w:val="3"/>
    <w:semiHidden/>
    <w:pPr>
      <w:ind w:left="849" w:hanging="283"/>
      <w:contextualSpacing/>
    </w:pPr>
  </w:style>
  <w:style w:type="paragraph" w:styleId="List4">
    <w:name w:val="List 4"/>
    <w:basedOn w:val="Normal"/>
    <w:uiPriority w:val="3"/>
    <w:semiHidden/>
    <w:pPr>
      <w:ind w:left="1132" w:hanging="283"/>
      <w:contextualSpacing/>
    </w:pPr>
  </w:style>
  <w:style w:type="paragraph" w:styleId="List5">
    <w:name w:val="List 5"/>
    <w:basedOn w:val="Normal"/>
    <w:uiPriority w:val="3"/>
    <w:semiHidden/>
    <w:pPr>
      <w:ind w:left="1415" w:hanging="283"/>
      <w:contextualSpacing/>
    </w:pPr>
  </w:style>
  <w:style w:type="paragraph" w:styleId="ListBullet2">
    <w:name w:val="List Bullet 2"/>
    <w:basedOn w:val="Normal"/>
    <w:uiPriority w:val="3"/>
    <w:semiHidden/>
    <w:pPr>
      <w:numPr>
        <w:numId w:val="17"/>
      </w:numPr>
      <w:tabs>
        <w:tab w:val="num" w:pos="1492"/>
      </w:tabs>
      <w:contextualSpacing/>
    </w:pPr>
  </w:style>
  <w:style w:type="paragraph" w:styleId="ListBullet3">
    <w:name w:val="List Bullet 3"/>
    <w:basedOn w:val="Normal"/>
    <w:uiPriority w:val="3"/>
    <w:semiHidden/>
    <w:pPr>
      <w:numPr>
        <w:numId w:val="18"/>
      </w:numPr>
      <w:contextualSpacing/>
    </w:pPr>
  </w:style>
  <w:style w:type="paragraph" w:styleId="ListBullet4">
    <w:name w:val="List Bullet 4"/>
    <w:basedOn w:val="Normal"/>
    <w:uiPriority w:val="3"/>
    <w:semiHidden/>
    <w:pPr>
      <w:numPr>
        <w:numId w:val="19"/>
      </w:numPr>
      <w:contextualSpacing/>
    </w:pPr>
  </w:style>
  <w:style w:type="paragraph" w:styleId="ListBullet5">
    <w:name w:val="List Bullet 5"/>
    <w:basedOn w:val="Normal"/>
    <w:uiPriority w:val="3"/>
    <w:semiHidden/>
    <w:pPr>
      <w:numPr>
        <w:numId w:val="20"/>
      </w:numPr>
      <w:contextualSpacing/>
    </w:pPr>
  </w:style>
  <w:style w:type="paragraph" w:styleId="ListContinue">
    <w:name w:val="List Continue"/>
    <w:basedOn w:val="Normal"/>
    <w:uiPriority w:val="3"/>
    <w:semiHidden/>
    <w:pPr>
      <w:spacing w:after="120"/>
      <w:ind w:left="283"/>
      <w:contextualSpacing/>
    </w:pPr>
  </w:style>
  <w:style w:type="paragraph" w:styleId="ListContinue2">
    <w:name w:val="List Continue 2"/>
    <w:basedOn w:val="Normal"/>
    <w:uiPriority w:val="3"/>
    <w:semiHidden/>
    <w:pPr>
      <w:spacing w:after="120"/>
      <w:ind w:left="566"/>
      <w:contextualSpacing/>
    </w:pPr>
  </w:style>
  <w:style w:type="paragraph" w:styleId="ListContinue3">
    <w:name w:val="List Continue 3"/>
    <w:basedOn w:val="Normal"/>
    <w:uiPriority w:val="3"/>
    <w:semiHidden/>
    <w:pPr>
      <w:spacing w:after="120"/>
      <w:ind w:left="849"/>
      <w:contextualSpacing/>
    </w:pPr>
  </w:style>
  <w:style w:type="paragraph" w:styleId="ListContinue4">
    <w:name w:val="List Continue 4"/>
    <w:basedOn w:val="Normal"/>
    <w:uiPriority w:val="3"/>
    <w:semiHidden/>
    <w:pPr>
      <w:spacing w:after="120"/>
      <w:ind w:left="1132"/>
      <w:contextualSpacing/>
    </w:pPr>
  </w:style>
  <w:style w:type="paragraph" w:styleId="ListContinue5">
    <w:name w:val="List Continue 5"/>
    <w:basedOn w:val="Normal"/>
    <w:uiPriority w:val="3"/>
    <w:semiHidden/>
    <w:pPr>
      <w:spacing w:after="120"/>
      <w:ind w:left="1415"/>
      <w:contextualSpacing/>
    </w:pPr>
  </w:style>
  <w:style w:type="paragraph" w:styleId="ListNumber2">
    <w:name w:val="List Number 2"/>
    <w:basedOn w:val="Normal"/>
    <w:semiHidden/>
    <w:pPr>
      <w:numPr>
        <w:numId w:val="22"/>
      </w:numPr>
      <w:contextualSpacing/>
    </w:pPr>
  </w:style>
  <w:style w:type="paragraph" w:styleId="ListNumber3">
    <w:name w:val="List Number 3"/>
    <w:basedOn w:val="Normal"/>
    <w:uiPriority w:val="3"/>
    <w:semiHidden/>
    <w:pPr>
      <w:numPr>
        <w:numId w:val="23"/>
      </w:numPr>
      <w:contextualSpacing/>
    </w:pPr>
  </w:style>
  <w:style w:type="paragraph" w:styleId="ListNumber4">
    <w:name w:val="List Number 4"/>
    <w:basedOn w:val="Normal"/>
    <w:uiPriority w:val="3"/>
    <w:semiHidden/>
    <w:pPr>
      <w:numPr>
        <w:numId w:val="24"/>
      </w:numPr>
      <w:contextualSpacing/>
    </w:pPr>
  </w:style>
  <w:style w:type="paragraph" w:styleId="ListNumber5">
    <w:name w:val="List Number 5"/>
    <w:basedOn w:val="Normal"/>
    <w:uiPriority w:val="3"/>
    <w:semiHidden/>
    <w:pPr>
      <w:numPr>
        <w:numId w:val="25"/>
      </w:numPr>
      <w:contextualSpacing/>
    </w:pPr>
  </w:style>
  <w:style w:type="paragraph" w:styleId="MessageHeader">
    <w:name w:val="Message Header"/>
    <w:basedOn w:val="Normal"/>
    <w:link w:val="MessageHeaderChar"/>
    <w:semiHidden/>
    <w:pPr>
      <w:pBdr>
        <w:top w:val="single" w:sz="6" w:space="1" w:color="auto"/>
        <w:left w:val="single" w:sz="6" w:space="1" w:color="auto"/>
        <w:bottom w:val="single" w:sz="6" w:space="1" w:color="auto"/>
        <w:right w:val="single" w:sz="6" w:space="1" w:color="auto"/>
      </w:pBdr>
      <w:shd w:val="pct20" w:color="auto" w:fill="auto"/>
      <w:spacing w:before="0"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Pr>
      <w:rFonts w:asciiTheme="majorHAnsi" w:eastAsiaTheme="majorEastAsia" w:hAnsiTheme="majorHAnsi" w:cstheme="majorBidi"/>
      <w:noProof w:val="0"/>
      <w:sz w:val="24"/>
      <w:szCs w:val="24"/>
      <w:shd w:val="pct20" w:color="auto" w:fill="auto"/>
      <w:lang w:eastAsia="en-GB"/>
    </w:rPr>
  </w:style>
  <w:style w:type="paragraph" w:styleId="NormalWeb">
    <w:name w:val="Normal (Web)"/>
    <w:basedOn w:val="Normal"/>
    <w:uiPriority w:val="99"/>
    <w:semiHidden/>
    <w:rPr>
      <w:rFonts w:ascii="Times New Roman" w:hAnsi="Times New Roman"/>
      <w:sz w:val="24"/>
      <w:szCs w:val="24"/>
    </w:rPr>
  </w:style>
  <w:style w:type="paragraph" w:styleId="NormalIndent">
    <w:name w:val="Normal Indent"/>
    <w:basedOn w:val="Normal"/>
    <w:semiHidden/>
    <w:pPr>
      <w:ind w:left="720"/>
    </w:pPr>
  </w:style>
  <w:style w:type="paragraph" w:styleId="NoteHeading">
    <w:name w:val="Note Heading"/>
    <w:basedOn w:val="Normal"/>
    <w:next w:val="Normal"/>
    <w:link w:val="NoteHeadingChar"/>
    <w:semiHidden/>
    <w:pPr>
      <w:spacing w:before="0" w:after="0" w:line="240" w:lineRule="auto"/>
    </w:pPr>
  </w:style>
  <w:style w:type="character" w:customStyle="1" w:styleId="NoteHeadingChar">
    <w:name w:val="Note Heading Char"/>
    <w:basedOn w:val="DefaultParagraphFont"/>
    <w:link w:val="NoteHeading"/>
    <w:semiHidden/>
    <w:rPr>
      <w:rFonts w:ascii="EC Square Sans Pro" w:hAnsi="EC Square Sans Pro"/>
      <w:noProof w:val="0"/>
      <w:lang w:eastAsia="en-GB"/>
    </w:rPr>
  </w:style>
  <w:style w:type="character" w:styleId="PageNumber">
    <w:name w:val="page number"/>
    <w:basedOn w:val="DefaultParagraphFont"/>
    <w:semiHidden/>
    <w:rPr>
      <w:noProof w:val="0"/>
      <w:lang w:val="ro-RO"/>
    </w:rPr>
  </w:style>
  <w:style w:type="paragraph" w:styleId="PlainText">
    <w:name w:val="Plain Text"/>
    <w:basedOn w:val="Normal"/>
    <w:link w:val="PlainTextChar"/>
    <w:semiHidden/>
    <w:pPr>
      <w:spacing w:before="0" w:after="0" w:line="240" w:lineRule="auto"/>
    </w:pPr>
    <w:rPr>
      <w:rFonts w:ascii="Consolas" w:hAnsi="Consolas"/>
      <w:sz w:val="21"/>
      <w:szCs w:val="21"/>
    </w:rPr>
  </w:style>
  <w:style w:type="character" w:customStyle="1" w:styleId="PlainTextChar">
    <w:name w:val="Plain Text Char"/>
    <w:basedOn w:val="DefaultParagraphFont"/>
    <w:link w:val="PlainText"/>
    <w:semiHidden/>
    <w:rPr>
      <w:rFonts w:ascii="Consolas" w:hAnsi="Consolas"/>
      <w:noProof w:val="0"/>
      <w:sz w:val="21"/>
      <w:szCs w:val="21"/>
      <w:lang w:eastAsia="en-GB"/>
    </w:rPr>
  </w:style>
  <w:style w:type="paragraph" w:styleId="Quote">
    <w:name w:val="Quote"/>
    <w:basedOn w:val="Normal"/>
    <w:next w:val="Normal"/>
    <w:link w:val="QuoteChar"/>
    <w:semiHidden/>
    <w:pPr>
      <w:spacing w:before="200" w:after="160"/>
      <w:ind w:left="864" w:right="864"/>
      <w:jc w:val="center"/>
    </w:pPr>
    <w:rPr>
      <w:i/>
      <w:iCs/>
      <w:color w:val="008139" w:themeColor="accent1"/>
    </w:rPr>
  </w:style>
  <w:style w:type="character" w:customStyle="1" w:styleId="QuoteChar">
    <w:name w:val="Quote Char"/>
    <w:basedOn w:val="DefaultParagraphFont"/>
    <w:link w:val="Quote"/>
    <w:semiHidden/>
    <w:rPr>
      <w:rFonts w:ascii="EC Square Sans Pro" w:hAnsi="EC Square Sans Pro"/>
      <w:i/>
      <w:iCs/>
      <w:noProof w:val="0"/>
      <w:color w:val="008139" w:themeColor="accent1"/>
      <w:lang w:eastAsia="en-GB"/>
    </w:rPr>
  </w:style>
  <w:style w:type="paragraph" w:styleId="Salutation">
    <w:name w:val="Salutation"/>
    <w:basedOn w:val="Normal"/>
    <w:next w:val="Normal"/>
    <w:link w:val="SalutationChar"/>
    <w:semiHidden/>
  </w:style>
  <w:style w:type="character" w:customStyle="1" w:styleId="SalutationChar">
    <w:name w:val="Salutation Char"/>
    <w:basedOn w:val="DefaultParagraphFont"/>
    <w:link w:val="Salutation"/>
    <w:semiHidden/>
    <w:rPr>
      <w:rFonts w:ascii="EC Square Sans Pro" w:hAnsi="EC Square Sans Pro"/>
      <w:noProof w:val="0"/>
      <w:lang w:eastAsia="en-GB"/>
    </w:rPr>
  </w:style>
  <w:style w:type="paragraph" w:styleId="Signature">
    <w:name w:val="Signature"/>
    <w:basedOn w:val="Normal"/>
    <w:link w:val="SignatureChar"/>
    <w:semiHidden/>
    <w:pPr>
      <w:spacing w:before="0" w:after="0" w:line="240" w:lineRule="auto"/>
      <w:ind w:left="4252"/>
    </w:pPr>
  </w:style>
  <w:style w:type="character" w:customStyle="1" w:styleId="SignatureChar">
    <w:name w:val="Signature Char"/>
    <w:basedOn w:val="DefaultParagraphFont"/>
    <w:link w:val="Signature"/>
    <w:semiHidden/>
    <w:rPr>
      <w:rFonts w:ascii="EC Square Sans Pro" w:hAnsi="EC Square Sans Pro"/>
      <w:noProof w:val="0"/>
      <w:lang w:eastAsia="en-GB"/>
    </w:rPr>
  </w:style>
  <w:style w:type="character" w:styleId="Strong">
    <w:name w:val="Strong"/>
    <w:basedOn w:val="DefaultParagraphFont"/>
    <w:uiPriority w:val="22"/>
    <w:rPr>
      <w:b/>
      <w:bCs/>
      <w:noProof w:val="0"/>
      <w:lang w:val="ro-RO"/>
    </w:rPr>
  </w:style>
  <w:style w:type="character" w:styleId="SubtleEmphasis">
    <w:name w:val="Subtle Emphasis"/>
    <w:basedOn w:val="DefaultParagraphFont"/>
    <w:semiHidden/>
    <w:rPr>
      <w:i/>
      <w:iCs/>
      <w:noProof w:val="0"/>
      <w:color w:val="404040" w:themeColor="text1" w:themeTint="BF"/>
      <w:lang w:val="ro-RO"/>
    </w:rPr>
  </w:style>
  <w:style w:type="character" w:styleId="SubtleReference">
    <w:name w:val="Subtle Reference"/>
    <w:basedOn w:val="DefaultParagraphFont"/>
    <w:semiHidden/>
    <w:rPr>
      <w:smallCaps/>
      <w:noProof w:val="0"/>
      <w:color w:val="5A5A5A" w:themeColor="text1" w:themeTint="A5"/>
      <w:lang w:val="ro-RO"/>
    </w:rPr>
  </w:style>
  <w:style w:type="paragraph" w:styleId="TableofAuthorities">
    <w:name w:val="table of authorities"/>
    <w:basedOn w:val="Normal"/>
    <w:next w:val="Normal"/>
    <w:semiHidden/>
    <w:pPr>
      <w:spacing w:after="0"/>
      <w:ind w:left="200" w:hanging="200"/>
    </w:pPr>
    <w:rPr>
      <w:color w:val="003399" w:themeColor="text2"/>
    </w:rPr>
  </w:style>
  <w:style w:type="paragraph" w:styleId="TOAHeading">
    <w:name w:val="toa heading"/>
    <w:basedOn w:val="Normal"/>
    <w:next w:val="Normal"/>
    <w:semiHidden/>
    <w:pPr>
      <w:spacing w:before="120"/>
    </w:pPr>
    <w:rPr>
      <w:rFonts w:asciiTheme="majorHAnsi" w:eastAsiaTheme="majorEastAsia" w:hAnsiTheme="majorHAnsi" w:cstheme="majorBidi"/>
      <w:b/>
      <w:bCs/>
      <w:sz w:val="24"/>
      <w:szCs w:val="24"/>
    </w:rPr>
  </w:style>
  <w:style w:type="numbering" w:customStyle="1" w:styleId="amprLISTblackbullets">
    <w:name w:val="[ampr LIST black]  bullets"/>
    <w:uiPriority w:val="99"/>
    <w:semiHidden/>
    <w:pPr>
      <w:numPr>
        <w:numId w:val="2"/>
      </w:numPr>
    </w:pPr>
  </w:style>
  <w:style w:type="paragraph" w:customStyle="1" w:styleId="ListBullet-Black">
    <w:name w:val="List Bullet - Black"/>
    <w:basedOn w:val="Normal"/>
    <w:uiPriority w:val="3"/>
    <w:semiHidden/>
    <w:pPr>
      <w:numPr>
        <w:numId w:val="16"/>
      </w:numPr>
      <w:spacing w:before="60" w:after="60"/>
      <w:jc w:val="both"/>
    </w:pPr>
    <w:rPr>
      <w:rFonts w:eastAsia="EC Square Sans Pro"/>
      <w:color w:val="000000" w:themeColor="text1"/>
      <w:szCs w:val="21"/>
      <w:lang w:eastAsia="fr-BE"/>
    </w:rPr>
  </w:style>
  <w:style w:type="paragraph" w:customStyle="1" w:styleId="amprboxheading">
    <w:name w:val="[ampr box] heading"/>
    <w:basedOn w:val="amprboxtext"/>
    <w:next w:val="amprboxtext"/>
    <w:uiPriority w:val="4"/>
    <w:qFormat/>
    <w:pPr>
      <w:keepNext/>
    </w:pPr>
    <w:rPr>
      <w:rFonts w:ascii="EC Square Sans Pro Medium" w:hAnsi="EC Square Sans Pro Medium"/>
      <w:color w:val="DC3903"/>
      <w:sz w:val="22"/>
    </w:rPr>
  </w:style>
  <w:style w:type="paragraph" w:customStyle="1" w:styleId="amprboxtext">
    <w:name w:val="[ampr box] text"/>
    <w:basedOn w:val="Normal"/>
    <w:uiPriority w:val="4"/>
    <w:qFormat/>
    <w:pPr>
      <w:keepLines/>
      <w:pBdr>
        <w:top w:val="single" w:sz="12" w:space="12" w:color="DC3903"/>
        <w:left w:val="single" w:sz="12" w:space="12" w:color="DC3903"/>
        <w:bottom w:val="single" w:sz="12" w:space="12" w:color="DC3903"/>
        <w:right w:val="single" w:sz="12" w:space="12" w:color="DC3903"/>
      </w:pBdr>
      <w:ind w:left="301" w:right="301"/>
    </w:pPr>
    <w:rPr>
      <w:rFonts w:eastAsia="EC Square Sans Pro"/>
      <w:color w:val="000000" w:themeColor="text1"/>
      <w:szCs w:val="21"/>
      <w:lang w:eastAsia="fr-BE"/>
    </w:rPr>
  </w:style>
  <w:style w:type="numbering" w:customStyle="1" w:styleId="amprLISTgreenbullets">
    <w:name w:val="[ampr LIST green] bullets"/>
    <w:uiPriority w:val="99"/>
    <w:semiHidden/>
    <w:pPr>
      <w:numPr>
        <w:numId w:val="3"/>
      </w:numPr>
    </w:pPr>
  </w:style>
  <w:style w:type="numbering" w:customStyle="1" w:styleId="amprHLISTNumberedheadings">
    <w:name w:val="[ampr H LIST] Numbered headings"/>
    <w:uiPriority w:val="99"/>
    <w:semiHidden/>
    <w:pPr>
      <w:numPr>
        <w:numId w:val="1"/>
      </w:numPr>
    </w:pPr>
  </w:style>
  <w:style w:type="numbering" w:styleId="111111">
    <w:name w:val="Outline List 2"/>
    <w:basedOn w:val="NoList"/>
    <w:uiPriority w:val="99"/>
    <w:semiHidden/>
    <w:unhideWhenUsed/>
    <w:pPr>
      <w:numPr>
        <w:numId w:val="4"/>
      </w:numPr>
    </w:pPr>
  </w:style>
  <w:style w:type="numbering" w:styleId="1ai">
    <w:name w:val="Outline List 1"/>
    <w:basedOn w:val="NoList"/>
    <w:semiHidden/>
    <w:unhideWhenUsed/>
    <w:pPr>
      <w:numPr>
        <w:numId w:val="5"/>
      </w:numPr>
    </w:pPr>
  </w:style>
  <w:style w:type="numbering" w:styleId="ArticleSection">
    <w:name w:val="Outline List 3"/>
    <w:basedOn w:val="NoList"/>
    <w:semiHidden/>
    <w:unhideWhenUsed/>
  </w:style>
  <w:style w:type="table" w:styleId="ColorfulGrid">
    <w:name w:val="Colorful Grid"/>
    <w:basedOn w:val="TableNormal"/>
    <w:pPr>
      <w:spacing w:before="0" w:after="0" w:line="240" w:lineRule="auto"/>
    </w:pPr>
    <w:rPr>
      <w:rFonts w:ascii="EC Square Sans Pro" w:hAnsi="EC Square Sans Pro"/>
      <w:color w:val="000000" w:themeColor="text1"/>
      <w:lang w:eastAsia="en-GB"/>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pPr>
      <w:spacing w:before="0" w:after="0" w:line="240" w:lineRule="auto"/>
    </w:pPr>
    <w:rPr>
      <w:rFonts w:ascii="EC Square Sans Pro" w:hAnsi="EC Square Sans Pro"/>
      <w:color w:val="000000" w:themeColor="text1"/>
      <w:lang w:eastAsia="en-GB"/>
    </w:rPr>
    <w:tblPr>
      <w:tblStyleRowBandSize w:val="1"/>
      <w:tblStyleColBandSize w:val="1"/>
      <w:tblBorders>
        <w:insideH w:val="single" w:sz="4" w:space="0" w:color="FFFFFF" w:themeColor="background1"/>
      </w:tblBorders>
    </w:tblPr>
    <w:tcPr>
      <w:shd w:val="clear" w:color="auto" w:fill="B2FFD4" w:themeFill="accent1" w:themeFillTint="33"/>
    </w:tcPr>
    <w:tblStylePr w:type="firstRow">
      <w:rPr>
        <w:b/>
        <w:bCs/>
      </w:rPr>
      <w:tblPr/>
      <w:tcPr>
        <w:shd w:val="clear" w:color="auto" w:fill="66FFA9" w:themeFill="accent1" w:themeFillTint="66"/>
      </w:tcPr>
    </w:tblStylePr>
    <w:tblStylePr w:type="lastRow">
      <w:rPr>
        <w:b/>
        <w:bCs/>
        <w:color w:val="000000" w:themeColor="text1"/>
      </w:rPr>
      <w:tblPr/>
      <w:tcPr>
        <w:shd w:val="clear" w:color="auto" w:fill="66FFA9" w:themeFill="accent1" w:themeFillTint="66"/>
      </w:tcPr>
    </w:tblStylePr>
    <w:tblStylePr w:type="firstCol">
      <w:rPr>
        <w:color w:val="FFFFFF" w:themeColor="background1"/>
      </w:rPr>
      <w:tblPr/>
      <w:tcPr>
        <w:shd w:val="clear" w:color="auto" w:fill="00602A" w:themeFill="accent1" w:themeFillShade="BF"/>
      </w:tcPr>
    </w:tblStylePr>
    <w:tblStylePr w:type="lastCol">
      <w:rPr>
        <w:color w:val="FFFFFF" w:themeColor="background1"/>
      </w:rPr>
      <w:tblPr/>
      <w:tcPr>
        <w:shd w:val="clear" w:color="auto" w:fill="00602A" w:themeFill="accent1" w:themeFillShade="BF"/>
      </w:tcPr>
    </w:tblStylePr>
    <w:tblStylePr w:type="band1Vert">
      <w:tblPr/>
      <w:tcPr>
        <w:shd w:val="clear" w:color="auto" w:fill="41FF94" w:themeFill="accent1" w:themeFillTint="7F"/>
      </w:tcPr>
    </w:tblStylePr>
    <w:tblStylePr w:type="band1Horz">
      <w:tblPr/>
      <w:tcPr>
        <w:shd w:val="clear" w:color="auto" w:fill="41FF94" w:themeFill="accent1" w:themeFillTint="7F"/>
      </w:tcPr>
    </w:tblStylePr>
  </w:style>
  <w:style w:type="table" w:styleId="ColorfulGrid-Accent2">
    <w:name w:val="Colorful Grid Accent 2"/>
    <w:basedOn w:val="TableNormal"/>
    <w:pPr>
      <w:spacing w:before="0" w:after="0" w:line="240" w:lineRule="auto"/>
    </w:pPr>
    <w:rPr>
      <w:rFonts w:ascii="EC Square Sans Pro" w:hAnsi="EC Square Sans Pro"/>
      <w:color w:val="000000" w:themeColor="text1"/>
      <w:lang w:eastAsia="en-GB"/>
    </w:rPr>
    <w:tblPr>
      <w:tblStyleRowBandSize w:val="1"/>
      <w:tblStyleColBandSize w:val="1"/>
      <w:tblBorders>
        <w:insideH w:val="single" w:sz="4" w:space="0" w:color="FFFFFF" w:themeColor="background1"/>
      </w:tblBorders>
    </w:tblPr>
    <w:tcPr>
      <w:shd w:val="clear" w:color="auto" w:fill="FEDEC6" w:themeFill="accent2" w:themeFillTint="33"/>
    </w:tcPr>
    <w:tblStylePr w:type="firstRow">
      <w:rPr>
        <w:b/>
        <w:bCs/>
      </w:rPr>
      <w:tblPr/>
      <w:tcPr>
        <w:shd w:val="clear" w:color="auto" w:fill="FEBD8D" w:themeFill="accent2" w:themeFillTint="66"/>
      </w:tcPr>
    </w:tblStylePr>
    <w:tblStylePr w:type="lastRow">
      <w:rPr>
        <w:b/>
        <w:bCs/>
        <w:color w:val="000000" w:themeColor="text1"/>
      </w:rPr>
      <w:tblPr/>
      <w:tcPr>
        <w:shd w:val="clear" w:color="auto" w:fill="FEBD8D" w:themeFill="accent2" w:themeFillTint="66"/>
      </w:tcPr>
    </w:tblStylePr>
    <w:tblStylePr w:type="firstCol">
      <w:rPr>
        <w:color w:val="FFFFFF" w:themeColor="background1"/>
      </w:rPr>
      <w:tblPr/>
      <w:tcPr>
        <w:shd w:val="clear" w:color="auto" w:fill="A64701" w:themeFill="accent2" w:themeFillShade="BF"/>
      </w:tcPr>
    </w:tblStylePr>
    <w:tblStylePr w:type="lastCol">
      <w:rPr>
        <w:color w:val="FFFFFF" w:themeColor="background1"/>
      </w:rPr>
      <w:tblPr/>
      <w:tcPr>
        <w:shd w:val="clear" w:color="auto" w:fill="A64701" w:themeFill="accent2" w:themeFillShade="BF"/>
      </w:tcPr>
    </w:tblStylePr>
    <w:tblStylePr w:type="band1Vert">
      <w:tblPr/>
      <w:tcPr>
        <w:shd w:val="clear" w:color="auto" w:fill="FDAC71" w:themeFill="accent2" w:themeFillTint="7F"/>
      </w:tcPr>
    </w:tblStylePr>
    <w:tblStylePr w:type="band1Horz">
      <w:tblPr/>
      <w:tcPr>
        <w:shd w:val="clear" w:color="auto" w:fill="FDAC71" w:themeFill="accent2" w:themeFillTint="7F"/>
      </w:tcPr>
    </w:tblStylePr>
  </w:style>
  <w:style w:type="table" w:styleId="ColorfulGrid-Accent3">
    <w:name w:val="Colorful Grid Accent 3"/>
    <w:basedOn w:val="TableNormal"/>
    <w:pPr>
      <w:spacing w:before="0" w:after="0" w:line="240" w:lineRule="auto"/>
    </w:pPr>
    <w:rPr>
      <w:rFonts w:ascii="EC Square Sans Pro" w:hAnsi="EC Square Sans Pro"/>
      <w:color w:val="000000" w:themeColor="text1"/>
      <w:lang w:eastAsia="en-GB"/>
    </w:rPr>
    <w:tblPr>
      <w:tblStyleRowBandSize w:val="1"/>
      <w:tblStyleColBandSize w:val="1"/>
      <w:tblBorders>
        <w:insideH w:val="single" w:sz="4" w:space="0" w:color="FFFFFF" w:themeColor="background1"/>
      </w:tblBorders>
    </w:tblPr>
    <w:tcPr>
      <w:shd w:val="clear" w:color="auto" w:fill="D3E7FE" w:themeFill="accent3" w:themeFillTint="33"/>
    </w:tcPr>
    <w:tblStylePr w:type="firstRow">
      <w:rPr>
        <w:b/>
        <w:bCs/>
      </w:rPr>
      <w:tblPr/>
      <w:tcPr>
        <w:shd w:val="clear" w:color="auto" w:fill="A8CFFE" w:themeFill="accent3" w:themeFillTint="66"/>
      </w:tcPr>
    </w:tblStylePr>
    <w:tblStylePr w:type="lastRow">
      <w:rPr>
        <w:b/>
        <w:bCs/>
        <w:color w:val="000000" w:themeColor="text1"/>
      </w:rPr>
      <w:tblPr/>
      <w:tcPr>
        <w:shd w:val="clear" w:color="auto" w:fill="A8CFFE" w:themeFill="accent3" w:themeFillTint="66"/>
      </w:tcPr>
    </w:tblStylePr>
    <w:tblStylePr w:type="firstCol">
      <w:rPr>
        <w:color w:val="FFFFFF" w:themeColor="background1"/>
      </w:rPr>
      <w:tblPr/>
      <w:tcPr>
        <w:shd w:val="clear" w:color="auto" w:fill="0162D9" w:themeFill="accent3" w:themeFillShade="BF"/>
      </w:tcPr>
    </w:tblStylePr>
    <w:tblStylePr w:type="lastCol">
      <w:rPr>
        <w:color w:val="FFFFFF" w:themeColor="background1"/>
      </w:rPr>
      <w:tblPr/>
      <w:tcPr>
        <w:shd w:val="clear" w:color="auto" w:fill="0162D9" w:themeFill="accent3" w:themeFillShade="BF"/>
      </w:tcPr>
    </w:tblStylePr>
    <w:tblStylePr w:type="band1Vert">
      <w:tblPr/>
      <w:tcPr>
        <w:shd w:val="clear" w:color="auto" w:fill="92C3FE" w:themeFill="accent3" w:themeFillTint="7F"/>
      </w:tcPr>
    </w:tblStylePr>
    <w:tblStylePr w:type="band1Horz">
      <w:tblPr/>
      <w:tcPr>
        <w:shd w:val="clear" w:color="auto" w:fill="92C3FE" w:themeFill="accent3" w:themeFillTint="7F"/>
      </w:tcPr>
    </w:tblStylePr>
  </w:style>
  <w:style w:type="table" w:styleId="ColorfulGrid-Accent4">
    <w:name w:val="Colorful Grid Accent 4"/>
    <w:basedOn w:val="TableNormal"/>
    <w:pPr>
      <w:spacing w:before="0" w:after="0" w:line="240" w:lineRule="auto"/>
    </w:pPr>
    <w:rPr>
      <w:rFonts w:ascii="EC Square Sans Pro" w:hAnsi="EC Square Sans Pro"/>
      <w:color w:val="000000" w:themeColor="text1"/>
      <w:lang w:eastAsia="en-GB"/>
    </w:rPr>
    <w:tblPr>
      <w:tblStyleRowBandSize w:val="1"/>
      <w:tblStyleColBandSize w:val="1"/>
      <w:tblBorders>
        <w:insideH w:val="single" w:sz="4" w:space="0" w:color="FFFFFF" w:themeColor="background1"/>
      </w:tblBorders>
    </w:tblPr>
    <w:tcPr>
      <w:shd w:val="clear" w:color="auto" w:fill="FEEECD" w:themeFill="accent4" w:themeFillTint="33"/>
    </w:tcPr>
    <w:tblStylePr w:type="firstRow">
      <w:rPr>
        <w:b/>
        <w:bCs/>
      </w:rPr>
      <w:tblPr/>
      <w:tcPr>
        <w:shd w:val="clear" w:color="auto" w:fill="FEDD9B" w:themeFill="accent4" w:themeFillTint="66"/>
      </w:tcPr>
    </w:tblStylePr>
    <w:tblStylePr w:type="lastRow">
      <w:rPr>
        <w:b/>
        <w:bCs/>
        <w:color w:val="000000" w:themeColor="text1"/>
      </w:rPr>
      <w:tblPr/>
      <w:tcPr>
        <w:shd w:val="clear" w:color="auto" w:fill="FEDD9B" w:themeFill="accent4" w:themeFillTint="66"/>
      </w:tcPr>
    </w:tblStylePr>
    <w:tblStylePr w:type="firstCol">
      <w:rPr>
        <w:color w:val="FFFFFF" w:themeColor="background1"/>
      </w:rPr>
      <w:tblPr/>
      <w:tcPr>
        <w:shd w:val="clear" w:color="auto" w:fill="C18101" w:themeFill="accent4" w:themeFillShade="BF"/>
      </w:tcPr>
    </w:tblStylePr>
    <w:tblStylePr w:type="lastCol">
      <w:rPr>
        <w:color w:val="FFFFFF" w:themeColor="background1"/>
      </w:rPr>
      <w:tblPr/>
      <w:tcPr>
        <w:shd w:val="clear" w:color="auto" w:fill="C18101" w:themeFill="accent4" w:themeFillShade="BF"/>
      </w:tcPr>
    </w:tblStylePr>
    <w:tblStylePr w:type="band1Vert">
      <w:tblPr/>
      <w:tcPr>
        <w:shd w:val="clear" w:color="auto" w:fill="FED583" w:themeFill="accent4" w:themeFillTint="7F"/>
      </w:tcPr>
    </w:tblStylePr>
    <w:tblStylePr w:type="band1Horz">
      <w:tblPr/>
      <w:tcPr>
        <w:shd w:val="clear" w:color="auto" w:fill="FED583" w:themeFill="accent4" w:themeFillTint="7F"/>
      </w:tcPr>
    </w:tblStylePr>
  </w:style>
  <w:style w:type="table" w:styleId="ColorfulGrid-Accent5">
    <w:name w:val="Colorful Grid Accent 5"/>
    <w:basedOn w:val="TableNormal"/>
    <w:pPr>
      <w:spacing w:before="0" w:after="0" w:line="240" w:lineRule="auto"/>
    </w:pPr>
    <w:rPr>
      <w:rFonts w:ascii="EC Square Sans Pro" w:hAnsi="EC Square Sans Pro"/>
      <w:color w:val="000000" w:themeColor="text1"/>
      <w:lang w:eastAsia="en-GB"/>
    </w:rPr>
    <w:tblPr>
      <w:tblStyleRowBandSize w:val="1"/>
      <w:tblStyleColBandSize w:val="1"/>
      <w:tblBorders>
        <w:insideH w:val="single" w:sz="4" w:space="0" w:color="FFFFFF" w:themeColor="background1"/>
      </w:tblBorders>
    </w:tblPr>
    <w:tcPr>
      <w:shd w:val="clear" w:color="auto" w:fill="FACEDD" w:themeFill="accent5" w:themeFillTint="33"/>
    </w:tcPr>
    <w:tblStylePr w:type="firstRow">
      <w:rPr>
        <w:b/>
        <w:bCs/>
      </w:rPr>
      <w:tblPr/>
      <w:tcPr>
        <w:shd w:val="clear" w:color="auto" w:fill="F59DBC" w:themeFill="accent5" w:themeFillTint="66"/>
      </w:tcPr>
    </w:tblStylePr>
    <w:tblStylePr w:type="lastRow">
      <w:rPr>
        <w:b/>
        <w:bCs/>
        <w:color w:val="000000" w:themeColor="text1"/>
      </w:rPr>
      <w:tblPr/>
      <w:tcPr>
        <w:shd w:val="clear" w:color="auto" w:fill="F59DBC" w:themeFill="accent5" w:themeFillTint="66"/>
      </w:tcPr>
    </w:tblStylePr>
    <w:tblStylePr w:type="firstCol">
      <w:rPr>
        <w:color w:val="FFFFFF" w:themeColor="background1"/>
      </w:rPr>
      <w:tblPr/>
      <w:tcPr>
        <w:shd w:val="clear" w:color="auto" w:fill="A41045" w:themeFill="accent5" w:themeFillShade="BF"/>
      </w:tcPr>
    </w:tblStylePr>
    <w:tblStylePr w:type="lastCol">
      <w:rPr>
        <w:color w:val="FFFFFF" w:themeColor="background1"/>
      </w:rPr>
      <w:tblPr/>
      <w:tcPr>
        <w:shd w:val="clear" w:color="auto" w:fill="A41045" w:themeFill="accent5" w:themeFillShade="BF"/>
      </w:tcPr>
    </w:tblStylePr>
    <w:tblStylePr w:type="band1Vert">
      <w:tblPr/>
      <w:tcPr>
        <w:shd w:val="clear" w:color="auto" w:fill="F285AC" w:themeFill="accent5" w:themeFillTint="7F"/>
      </w:tcPr>
    </w:tblStylePr>
    <w:tblStylePr w:type="band1Horz">
      <w:tblPr/>
      <w:tcPr>
        <w:shd w:val="clear" w:color="auto" w:fill="F285AC" w:themeFill="accent5" w:themeFillTint="7F"/>
      </w:tcPr>
    </w:tblStylePr>
  </w:style>
  <w:style w:type="table" w:styleId="ColorfulGrid-Accent6">
    <w:name w:val="Colorful Grid Accent 6"/>
    <w:basedOn w:val="TableNormal"/>
    <w:pPr>
      <w:spacing w:before="0" w:after="0" w:line="240" w:lineRule="auto"/>
    </w:pPr>
    <w:rPr>
      <w:rFonts w:ascii="EC Square Sans Pro" w:hAnsi="EC Square Sans Pro"/>
      <w:color w:val="000000" w:themeColor="text1"/>
      <w:lang w:eastAsia="en-GB"/>
    </w:rPr>
    <w:tblPr>
      <w:tblStyleRowBandSize w:val="1"/>
      <w:tblStyleColBandSize w:val="1"/>
      <w:tblBorders>
        <w:insideH w:val="single" w:sz="4" w:space="0" w:color="FFFFFF" w:themeColor="background1"/>
      </w:tblBorders>
    </w:tblPr>
    <w:tcPr>
      <w:shd w:val="clear" w:color="auto" w:fill="E2D0F1" w:themeFill="accent6" w:themeFillTint="33"/>
    </w:tcPr>
    <w:tblStylePr w:type="firstRow">
      <w:rPr>
        <w:b/>
        <w:bCs/>
      </w:rPr>
      <w:tblPr/>
      <w:tcPr>
        <w:shd w:val="clear" w:color="auto" w:fill="C6A1E3" w:themeFill="accent6" w:themeFillTint="66"/>
      </w:tcPr>
    </w:tblStylePr>
    <w:tblStylePr w:type="lastRow">
      <w:rPr>
        <w:b/>
        <w:bCs/>
        <w:color w:val="000000" w:themeColor="text1"/>
      </w:rPr>
      <w:tblPr/>
      <w:tcPr>
        <w:shd w:val="clear" w:color="auto" w:fill="C6A1E3" w:themeFill="accent6" w:themeFillTint="66"/>
      </w:tcPr>
    </w:tblStylePr>
    <w:tblStylePr w:type="firstCol">
      <w:rPr>
        <w:color w:val="FFFFFF" w:themeColor="background1"/>
      </w:rPr>
      <w:tblPr/>
      <w:tcPr>
        <w:shd w:val="clear" w:color="auto" w:fill="532477" w:themeFill="accent6" w:themeFillShade="BF"/>
      </w:tcPr>
    </w:tblStylePr>
    <w:tblStylePr w:type="lastCol">
      <w:rPr>
        <w:color w:val="FFFFFF" w:themeColor="background1"/>
      </w:rPr>
      <w:tblPr/>
      <w:tcPr>
        <w:shd w:val="clear" w:color="auto" w:fill="532477" w:themeFill="accent6" w:themeFillShade="BF"/>
      </w:tcPr>
    </w:tblStylePr>
    <w:tblStylePr w:type="band1Vert">
      <w:tblPr/>
      <w:tcPr>
        <w:shd w:val="clear" w:color="auto" w:fill="B98BDC" w:themeFill="accent6" w:themeFillTint="7F"/>
      </w:tcPr>
    </w:tblStylePr>
    <w:tblStylePr w:type="band1Horz">
      <w:tblPr/>
      <w:tcPr>
        <w:shd w:val="clear" w:color="auto" w:fill="B98BDC" w:themeFill="accent6" w:themeFillTint="7F"/>
      </w:tcPr>
    </w:tblStylePr>
  </w:style>
  <w:style w:type="table" w:styleId="ColorfulList">
    <w:name w:val="Colorful List"/>
    <w:basedOn w:val="TableNormal"/>
    <w:pPr>
      <w:spacing w:before="0" w:after="0" w:line="240" w:lineRule="auto"/>
    </w:pPr>
    <w:rPr>
      <w:rFonts w:ascii="EC Square Sans Pro" w:hAnsi="EC Square Sans Pro"/>
      <w:color w:val="000000" w:themeColor="text1"/>
      <w:lang w:eastAsia="en-GB"/>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B14C01" w:themeFill="accent2" w:themeFillShade="CC"/>
      </w:tcPr>
    </w:tblStylePr>
    <w:tblStylePr w:type="lastRow">
      <w:rPr>
        <w:b/>
        <w:bCs/>
        <w:color w:val="B14C0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pPr>
      <w:spacing w:before="0" w:after="0" w:line="240" w:lineRule="auto"/>
    </w:pPr>
    <w:rPr>
      <w:rFonts w:ascii="EC Square Sans Pro" w:hAnsi="EC Square Sans Pro"/>
      <w:color w:val="000000" w:themeColor="text1"/>
      <w:lang w:eastAsia="en-GB"/>
    </w:rPr>
    <w:tblPr>
      <w:tblStyleRowBandSize w:val="1"/>
      <w:tblStyleColBandSize w:val="1"/>
    </w:tblPr>
    <w:tcPr>
      <w:shd w:val="clear" w:color="auto" w:fill="D9FFE9" w:themeFill="accent1" w:themeFillTint="19"/>
    </w:tcPr>
    <w:tblStylePr w:type="firstRow">
      <w:rPr>
        <w:b/>
        <w:bCs/>
        <w:color w:val="FFFFFF" w:themeColor="background1"/>
      </w:rPr>
      <w:tblPr/>
      <w:tcPr>
        <w:tcBorders>
          <w:bottom w:val="single" w:sz="12" w:space="0" w:color="FFFFFF" w:themeColor="background1"/>
        </w:tcBorders>
        <w:shd w:val="clear" w:color="auto" w:fill="B14C01" w:themeFill="accent2" w:themeFillShade="CC"/>
      </w:tcPr>
    </w:tblStylePr>
    <w:tblStylePr w:type="lastRow">
      <w:rPr>
        <w:b/>
        <w:bCs/>
        <w:color w:val="B14C0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0FFCA" w:themeFill="accent1" w:themeFillTint="3F"/>
      </w:tcPr>
    </w:tblStylePr>
    <w:tblStylePr w:type="band1Horz">
      <w:tblPr/>
      <w:tcPr>
        <w:shd w:val="clear" w:color="auto" w:fill="B2FFD4" w:themeFill="accent1" w:themeFillTint="33"/>
      </w:tcPr>
    </w:tblStylePr>
  </w:style>
  <w:style w:type="table" w:styleId="ColorfulList-Accent2">
    <w:name w:val="Colorful List Accent 2"/>
    <w:basedOn w:val="TableNormal"/>
    <w:pPr>
      <w:spacing w:before="0" w:after="0" w:line="240" w:lineRule="auto"/>
    </w:pPr>
    <w:rPr>
      <w:rFonts w:ascii="EC Square Sans Pro" w:hAnsi="EC Square Sans Pro"/>
      <w:color w:val="000000" w:themeColor="text1"/>
      <w:lang w:eastAsia="en-GB"/>
    </w:rPr>
    <w:tblPr>
      <w:tblStyleRowBandSize w:val="1"/>
      <w:tblStyleColBandSize w:val="1"/>
    </w:tblPr>
    <w:tcPr>
      <w:shd w:val="clear" w:color="auto" w:fill="FEEEE2" w:themeFill="accent2" w:themeFillTint="19"/>
    </w:tcPr>
    <w:tblStylePr w:type="firstRow">
      <w:rPr>
        <w:b/>
        <w:bCs/>
        <w:color w:val="FFFFFF" w:themeColor="background1"/>
      </w:rPr>
      <w:tblPr/>
      <w:tcPr>
        <w:tcBorders>
          <w:bottom w:val="single" w:sz="12" w:space="0" w:color="FFFFFF" w:themeColor="background1"/>
        </w:tcBorders>
        <w:shd w:val="clear" w:color="auto" w:fill="B14C01" w:themeFill="accent2" w:themeFillShade="CC"/>
      </w:tcPr>
    </w:tblStylePr>
    <w:tblStylePr w:type="lastRow">
      <w:rPr>
        <w:b/>
        <w:bCs/>
        <w:color w:val="B14C0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D6B8" w:themeFill="accent2" w:themeFillTint="3F"/>
      </w:tcPr>
    </w:tblStylePr>
    <w:tblStylePr w:type="band1Horz">
      <w:tblPr/>
      <w:tcPr>
        <w:shd w:val="clear" w:color="auto" w:fill="FEDEC6" w:themeFill="accent2" w:themeFillTint="33"/>
      </w:tcPr>
    </w:tblStylePr>
  </w:style>
  <w:style w:type="table" w:styleId="ColorfulList-Accent3">
    <w:name w:val="Colorful List Accent 3"/>
    <w:basedOn w:val="TableNormal"/>
    <w:pPr>
      <w:spacing w:before="0" w:after="0" w:line="240" w:lineRule="auto"/>
    </w:pPr>
    <w:rPr>
      <w:rFonts w:ascii="EC Square Sans Pro" w:hAnsi="EC Square Sans Pro"/>
      <w:color w:val="000000" w:themeColor="text1"/>
      <w:lang w:eastAsia="en-GB"/>
    </w:rPr>
    <w:tblPr>
      <w:tblStyleRowBandSize w:val="1"/>
      <w:tblStyleColBandSize w:val="1"/>
    </w:tblPr>
    <w:tcPr>
      <w:shd w:val="clear" w:color="auto" w:fill="E9F3FF" w:themeFill="accent3" w:themeFillTint="19"/>
    </w:tcPr>
    <w:tblStylePr w:type="firstRow">
      <w:rPr>
        <w:b/>
        <w:bCs/>
        <w:color w:val="FFFFFF" w:themeColor="background1"/>
      </w:rPr>
      <w:tblPr/>
      <w:tcPr>
        <w:tcBorders>
          <w:bottom w:val="single" w:sz="12" w:space="0" w:color="FFFFFF" w:themeColor="background1"/>
        </w:tcBorders>
        <w:shd w:val="clear" w:color="auto" w:fill="CE8A01" w:themeFill="accent4" w:themeFillShade="CC"/>
      </w:tcPr>
    </w:tblStylePr>
    <w:tblStylePr w:type="lastRow">
      <w:rPr>
        <w:b/>
        <w:bCs/>
        <w:color w:val="CE8A01"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E1FE" w:themeFill="accent3" w:themeFillTint="3F"/>
      </w:tcPr>
    </w:tblStylePr>
    <w:tblStylePr w:type="band1Horz">
      <w:tblPr/>
      <w:tcPr>
        <w:shd w:val="clear" w:color="auto" w:fill="D3E7FE" w:themeFill="accent3" w:themeFillTint="33"/>
      </w:tcPr>
    </w:tblStylePr>
  </w:style>
  <w:style w:type="table" w:styleId="ColorfulList-Accent4">
    <w:name w:val="Colorful List Accent 4"/>
    <w:basedOn w:val="TableNormal"/>
    <w:pPr>
      <w:spacing w:before="0" w:after="0" w:line="240" w:lineRule="auto"/>
    </w:pPr>
    <w:rPr>
      <w:rFonts w:ascii="EC Square Sans Pro" w:hAnsi="EC Square Sans Pro"/>
      <w:color w:val="000000" w:themeColor="text1"/>
      <w:lang w:eastAsia="en-GB"/>
    </w:rPr>
    <w:tblPr>
      <w:tblStyleRowBandSize w:val="1"/>
      <w:tblStyleColBandSize w:val="1"/>
    </w:tblPr>
    <w:tcPr>
      <w:shd w:val="clear" w:color="auto" w:fill="FEF6E6" w:themeFill="accent4" w:themeFillTint="19"/>
    </w:tcPr>
    <w:tblStylePr w:type="firstRow">
      <w:rPr>
        <w:b/>
        <w:bCs/>
        <w:color w:val="FFFFFF" w:themeColor="background1"/>
      </w:rPr>
      <w:tblPr/>
      <w:tcPr>
        <w:tcBorders>
          <w:bottom w:val="single" w:sz="12" w:space="0" w:color="FFFFFF" w:themeColor="background1"/>
        </w:tcBorders>
        <w:shd w:val="clear" w:color="auto" w:fill="0169E8" w:themeFill="accent3" w:themeFillShade="CC"/>
      </w:tcPr>
    </w:tblStylePr>
    <w:tblStylePr w:type="lastRow">
      <w:rPr>
        <w:b/>
        <w:bCs/>
        <w:color w:val="0169E8"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EAC1" w:themeFill="accent4" w:themeFillTint="3F"/>
      </w:tcPr>
    </w:tblStylePr>
    <w:tblStylePr w:type="band1Horz">
      <w:tblPr/>
      <w:tcPr>
        <w:shd w:val="clear" w:color="auto" w:fill="FEEECD" w:themeFill="accent4" w:themeFillTint="33"/>
      </w:tcPr>
    </w:tblStylePr>
  </w:style>
  <w:style w:type="table" w:styleId="ColorfulList-Accent5">
    <w:name w:val="Colorful List Accent 5"/>
    <w:basedOn w:val="TableNormal"/>
    <w:pPr>
      <w:spacing w:before="0" w:after="0" w:line="240" w:lineRule="auto"/>
    </w:pPr>
    <w:rPr>
      <w:rFonts w:ascii="EC Square Sans Pro" w:hAnsi="EC Square Sans Pro"/>
      <w:color w:val="000000" w:themeColor="text1"/>
      <w:lang w:eastAsia="en-GB"/>
    </w:rPr>
    <w:tblPr>
      <w:tblStyleRowBandSize w:val="1"/>
      <w:tblStyleColBandSize w:val="1"/>
    </w:tblPr>
    <w:tcPr>
      <w:shd w:val="clear" w:color="auto" w:fill="FCE7EE" w:themeFill="accent5" w:themeFillTint="19"/>
    </w:tcPr>
    <w:tblStylePr w:type="firstRow">
      <w:rPr>
        <w:b/>
        <w:bCs/>
        <w:color w:val="FFFFFF" w:themeColor="background1"/>
      </w:rPr>
      <w:tblPr/>
      <w:tcPr>
        <w:tcBorders>
          <w:bottom w:val="single" w:sz="12" w:space="0" w:color="FFFFFF" w:themeColor="background1"/>
        </w:tcBorders>
        <w:shd w:val="clear" w:color="auto" w:fill="59267F" w:themeFill="accent6" w:themeFillShade="CC"/>
      </w:tcPr>
    </w:tblStylePr>
    <w:tblStylePr w:type="lastRow">
      <w:rPr>
        <w:b/>
        <w:bCs/>
        <w:color w:val="59267F"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C2D6" w:themeFill="accent5" w:themeFillTint="3F"/>
      </w:tcPr>
    </w:tblStylePr>
    <w:tblStylePr w:type="band1Horz">
      <w:tblPr/>
      <w:tcPr>
        <w:shd w:val="clear" w:color="auto" w:fill="FACEDD" w:themeFill="accent5" w:themeFillTint="33"/>
      </w:tcPr>
    </w:tblStylePr>
  </w:style>
  <w:style w:type="table" w:styleId="ColorfulList-Accent6">
    <w:name w:val="Colorful List Accent 6"/>
    <w:basedOn w:val="TableNormal"/>
    <w:pPr>
      <w:spacing w:before="0" w:after="0" w:line="240" w:lineRule="auto"/>
    </w:pPr>
    <w:rPr>
      <w:rFonts w:ascii="EC Square Sans Pro" w:hAnsi="EC Square Sans Pro"/>
      <w:color w:val="000000" w:themeColor="text1"/>
      <w:lang w:eastAsia="en-GB"/>
    </w:rPr>
    <w:tblPr>
      <w:tblStyleRowBandSize w:val="1"/>
      <w:tblStyleColBandSize w:val="1"/>
    </w:tblPr>
    <w:tcPr>
      <w:shd w:val="clear" w:color="auto" w:fill="F1E8F8" w:themeFill="accent6" w:themeFillTint="19"/>
    </w:tcPr>
    <w:tblStylePr w:type="firstRow">
      <w:rPr>
        <w:b/>
        <w:bCs/>
        <w:color w:val="FFFFFF" w:themeColor="background1"/>
      </w:rPr>
      <w:tblPr/>
      <w:tcPr>
        <w:tcBorders>
          <w:bottom w:val="single" w:sz="12" w:space="0" w:color="FFFFFF" w:themeColor="background1"/>
        </w:tcBorders>
        <w:shd w:val="clear" w:color="auto" w:fill="AF114A" w:themeFill="accent5" w:themeFillShade="CC"/>
      </w:tcPr>
    </w:tblStylePr>
    <w:tblStylePr w:type="lastRow">
      <w:rPr>
        <w:b/>
        <w:bCs/>
        <w:color w:val="AF114A"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CC5ED" w:themeFill="accent6" w:themeFillTint="3F"/>
      </w:tcPr>
    </w:tblStylePr>
    <w:tblStylePr w:type="band1Horz">
      <w:tblPr/>
      <w:tcPr>
        <w:shd w:val="clear" w:color="auto" w:fill="E2D0F1" w:themeFill="accent6" w:themeFillTint="33"/>
      </w:tcPr>
    </w:tblStylePr>
  </w:style>
  <w:style w:type="table" w:styleId="ColorfulShading">
    <w:name w:val="Colorful Shading"/>
    <w:basedOn w:val="TableNormal"/>
    <w:pPr>
      <w:spacing w:before="0" w:after="0" w:line="240" w:lineRule="auto"/>
    </w:pPr>
    <w:rPr>
      <w:rFonts w:ascii="EC Square Sans Pro" w:hAnsi="EC Square Sans Pro"/>
      <w:color w:val="000000" w:themeColor="text1"/>
      <w:lang w:eastAsia="en-GB"/>
    </w:rPr>
    <w:tblPr>
      <w:tblStyleRowBandSize w:val="1"/>
      <w:tblStyleColBandSize w:val="1"/>
      <w:tblBorders>
        <w:top w:val="single" w:sz="24" w:space="0" w:color="DE600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DE600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pPr>
      <w:spacing w:before="0" w:after="0" w:line="240" w:lineRule="auto"/>
    </w:pPr>
    <w:rPr>
      <w:rFonts w:ascii="EC Square Sans Pro" w:hAnsi="EC Square Sans Pro"/>
      <w:color w:val="000000" w:themeColor="text1"/>
      <w:lang w:eastAsia="en-GB"/>
    </w:rPr>
    <w:tblPr>
      <w:tblStyleRowBandSize w:val="1"/>
      <w:tblStyleColBandSize w:val="1"/>
      <w:tblBorders>
        <w:top w:val="single" w:sz="24" w:space="0" w:color="DE6002" w:themeColor="accent2"/>
        <w:left w:val="single" w:sz="4" w:space="0" w:color="008139" w:themeColor="accent1"/>
        <w:bottom w:val="single" w:sz="4" w:space="0" w:color="008139" w:themeColor="accent1"/>
        <w:right w:val="single" w:sz="4" w:space="0" w:color="008139" w:themeColor="accent1"/>
        <w:insideH w:val="single" w:sz="4" w:space="0" w:color="FFFFFF" w:themeColor="background1"/>
        <w:insideV w:val="single" w:sz="4" w:space="0" w:color="FFFFFF" w:themeColor="background1"/>
      </w:tblBorders>
    </w:tblPr>
    <w:tcPr>
      <w:shd w:val="clear" w:color="auto" w:fill="D9FFE9" w:themeFill="accent1" w:themeFillTint="19"/>
    </w:tcPr>
    <w:tblStylePr w:type="firstRow">
      <w:rPr>
        <w:b/>
        <w:bCs/>
      </w:rPr>
      <w:tblPr/>
      <w:tcPr>
        <w:tcBorders>
          <w:top w:val="nil"/>
          <w:left w:val="nil"/>
          <w:bottom w:val="single" w:sz="24" w:space="0" w:color="DE600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D21" w:themeFill="accent1" w:themeFillShade="99"/>
      </w:tcPr>
    </w:tblStylePr>
    <w:tblStylePr w:type="firstCol">
      <w:rPr>
        <w:color w:val="FFFFFF" w:themeColor="background1"/>
      </w:rPr>
      <w:tblPr/>
      <w:tcPr>
        <w:tcBorders>
          <w:top w:val="nil"/>
          <w:left w:val="nil"/>
          <w:bottom w:val="nil"/>
          <w:right w:val="nil"/>
          <w:insideH w:val="single" w:sz="4" w:space="0" w:color="004D21" w:themeColor="accent1" w:themeShade="99"/>
          <w:insideV w:val="nil"/>
        </w:tcBorders>
        <w:shd w:val="clear" w:color="auto" w:fill="004D2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D21" w:themeFill="accent1" w:themeFillShade="99"/>
      </w:tcPr>
    </w:tblStylePr>
    <w:tblStylePr w:type="band1Vert">
      <w:tblPr/>
      <w:tcPr>
        <w:shd w:val="clear" w:color="auto" w:fill="66FFA9" w:themeFill="accent1" w:themeFillTint="66"/>
      </w:tcPr>
    </w:tblStylePr>
    <w:tblStylePr w:type="band1Horz">
      <w:tblPr/>
      <w:tcPr>
        <w:shd w:val="clear" w:color="auto" w:fill="41FF94"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pPr>
      <w:spacing w:before="0" w:after="0" w:line="240" w:lineRule="auto"/>
    </w:pPr>
    <w:rPr>
      <w:rFonts w:ascii="EC Square Sans Pro" w:hAnsi="EC Square Sans Pro"/>
      <w:color w:val="000000" w:themeColor="text1"/>
      <w:lang w:eastAsia="en-GB"/>
    </w:rPr>
    <w:tblPr>
      <w:tblStyleRowBandSize w:val="1"/>
      <w:tblStyleColBandSize w:val="1"/>
      <w:tblBorders>
        <w:top w:val="single" w:sz="24" w:space="0" w:color="DE6002" w:themeColor="accent2"/>
        <w:left w:val="single" w:sz="4" w:space="0" w:color="DE6002" w:themeColor="accent2"/>
        <w:bottom w:val="single" w:sz="4" w:space="0" w:color="DE6002" w:themeColor="accent2"/>
        <w:right w:val="single" w:sz="4" w:space="0" w:color="DE6002" w:themeColor="accent2"/>
        <w:insideH w:val="single" w:sz="4" w:space="0" w:color="FFFFFF" w:themeColor="background1"/>
        <w:insideV w:val="single" w:sz="4" w:space="0" w:color="FFFFFF" w:themeColor="background1"/>
      </w:tblBorders>
    </w:tblPr>
    <w:tcPr>
      <w:shd w:val="clear" w:color="auto" w:fill="FEEEE2" w:themeFill="accent2" w:themeFillTint="19"/>
    </w:tcPr>
    <w:tblStylePr w:type="firstRow">
      <w:rPr>
        <w:b/>
        <w:bCs/>
      </w:rPr>
      <w:tblPr/>
      <w:tcPr>
        <w:tcBorders>
          <w:top w:val="nil"/>
          <w:left w:val="nil"/>
          <w:bottom w:val="single" w:sz="24" w:space="0" w:color="DE600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53901" w:themeFill="accent2" w:themeFillShade="99"/>
      </w:tcPr>
    </w:tblStylePr>
    <w:tblStylePr w:type="firstCol">
      <w:rPr>
        <w:color w:val="FFFFFF" w:themeColor="background1"/>
      </w:rPr>
      <w:tblPr/>
      <w:tcPr>
        <w:tcBorders>
          <w:top w:val="nil"/>
          <w:left w:val="nil"/>
          <w:bottom w:val="nil"/>
          <w:right w:val="nil"/>
          <w:insideH w:val="single" w:sz="4" w:space="0" w:color="853901" w:themeColor="accent2" w:themeShade="99"/>
          <w:insideV w:val="nil"/>
        </w:tcBorders>
        <w:shd w:val="clear" w:color="auto" w:fill="853901"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853901" w:themeFill="accent2" w:themeFillShade="99"/>
      </w:tcPr>
    </w:tblStylePr>
    <w:tblStylePr w:type="band1Vert">
      <w:tblPr/>
      <w:tcPr>
        <w:shd w:val="clear" w:color="auto" w:fill="FEBD8D" w:themeFill="accent2" w:themeFillTint="66"/>
      </w:tcPr>
    </w:tblStylePr>
    <w:tblStylePr w:type="band1Horz">
      <w:tblPr/>
      <w:tcPr>
        <w:shd w:val="clear" w:color="auto" w:fill="FDAC71"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pPr>
      <w:spacing w:before="0" w:after="0" w:line="240" w:lineRule="auto"/>
    </w:pPr>
    <w:rPr>
      <w:rFonts w:ascii="EC Square Sans Pro" w:hAnsi="EC Square Sans Pro"/>
      <w:color w:val="000000" w:themeColor="text1"/>
      <w:lang w:eastAsia="en-GB"/>
    </w:rPr>
    <w:tblPr>
      <w:tblStyleRowBandSize w:val="1"/>
      <w:tblStyleColBandSize w:val="1"/>
      <w:tblBorders>
        <w:top w:val="single" w:sz="24" w:space="0" w:color="FDAB07" w:themeColor="accent4"/>
        <w:left w:val="single" w:sz="4" w:space="0" w:color="2688FE" w:themeColor="accent3"/>
        <w:bottom w:val="single" w:sz="4" w:space="0" w:color="2688FE" w:themeColor="accent3"/>
        <w:right w:val="single" w:sz="4" w:space="0" w:color="2688FE" w:themeColor="accent3"/>
        <w:insideH w:val="single" w:sz="4" w:space="0" w:color="FFFFFF" w:themeColor="background1"/>
        <w:insideV w:val="single" w:sz="4" w:space="0" w:color="FFFFFF" w:themeColor="background1"/>
      </w:tblBorders>
    </w:tblPr>
    <w:tcPr>
      <w:shd w:val="clear" w:color="auto" w:fill="E9F3FF" w:themeFill="accent3" w:themeFillTint="19"/>
    </w:tcPr>
    <w:tblStylePr w:type="firstRow">
      <w:rPr>
        <w:b/>
        <w:bCs/>
      </w:rPr>
      <w:tblPr/>
      <w:tcPr>
        <w:tcBorders>
          <w:top w:val="nil"/>
          <w:left w:val="nil"/>
          <w:bottom w:val="single" w:sz="24" w:space="0" w:color="FDAB0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14FAE" w:themeFill="accent3" w:themeFillShade="99"/>
      </w:tcPr>
    </w:tblStylePr>
    <w:tblStylePr w:type="firstCol">
      <w:rPr>
        <w:color w:val="FFFFFF" w:themeColor="background1"/>
      </w:rPr>
      <w:tblPr/>
      <w:tcPr>
        <w:tcBorders>
          <w:top w:val="nil"/>
          <w:left w:val="nil"/>
          <w:bottom w:val="nil"/>
          <w:right w:val="nil"/>
          <w:insideH w:val="single" w:sz="4" w:space="0" w:color="014FAE" w:themeColor="accent3" w:themeShade="99"/>
          <w:insideV w:val="nil"/>
        </w:tcBorders>
        <w:shd w:val="clear" w:color="auto" w:fill="014FAE"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14FAE" w:themeFill="accent3" w:themeFillShade="99"/>
      </w:tcPr>
    </w:tblStylePr>
    <w:tblStylePr w:type="band1Vert">
      <w:tblPr/>
      <w:tcPr>
        <w:shd w:val="clear" w:color="auto" w:fill="A8CFFE" w:themeFill="accent3" w:themeFillTint="66"/>
      </w:tcPr>
    </w:tblStylePr>
    <w:tblStylePr w:type="band1Horz">
      <w:tblPr/>
      <w:tcPr>
        <w:shd w:val="clear" w:color="auto" w:fill="92C3FE" w:themeFill="accent3" w:themeFillTint="7F"/>
      </w:tcPr>
    </w:tblStylePr>
  </w:style>
  <w:style w:type="table" w:styleId="ColorfulShading-Accent4">
    <w:name w:val="Colorful Shading Accent 4"/>
    <w:basedOn w:val="TableNormal"/>
    <w:pPr>
      <w:spacing w:before="0" w:after="0" w:line="240" w:lineRule="auto"/>
    </w:pPr>
    <w:rPr>
      <w:rFonts w:ascii="EC Square Sans Pro" w:hAnsi="EC Square Sans Pro"/>
      <w:color w:val="000000" w:themeColor="text1"/>
      <w:lang w:eastAsia="en-GB"/>
    </w:rPr>
    <w:tblPr>
      <w:tblStyleRowBandSize w:val="1"/>
      <w:tblStyleColBandSize w:val="1"/>
      <w:tblBorders>
        <w:top w:val="single" w:sz="24" w:space="0" w:color="2688FE" w:themeColor="accent3"/>
        <w:left w:val="single" w:sz="4" w:space="0" w:color="FDAB07" w:themeColor="accent4"/>
        <w:bottom w:val="single" w:sz="4" w:space="0" w:color="FDAB07" w:themeColor="accent4"/>
        <w:right w:val="single" w:sz="4" w:space="0" w:color="FDAB07" w:themeColor="accent4"/>
        <w:insideH w:val="single" w:sz="4" w:space="0" w:color="FFFFFF" w:themeColor="background1"/>
        <w:insideV w:val="single" w:sz="4" w:space="0" w:color="FFFFFF" w:themeColor="background1"/>
      </w:tblBorders>
    </w:tblPr>
    <w:tcPr>
      <w:shd w:val="clear" w:color="auto" w:fill="FEF6E6" w:themeFill="accent4" w:themeFillTint="19"/>
    </w:tcPr>
    <w:tblStylePr w:type="firstRow">
      <w:rPr>
        <w:b/>
        <w:bCs/>
      </w:rPr>
      <w:tblPr/>
      <w:tcPr>
        <w:tcBorders>
          <w:top w:val="nil"/>
          <w:left w:val="nil"/>
          <w:bottom w:val="single" w:sz="24" w:space="0" w:color="2688FE"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A6701" w:themeFill="accent4" w:themeFillShade="99"/>
      </w:tcPr>
    </w:tblStylePr>
    <w:tblStylePr w:type="firstCol">
      <w:rPr>
        <w:color w:val="FFFFFF" w:themeColor="background1"/>
      </w:rPr>
      <w:tblPr/>
      <w:tcPr>
        <w:tcBorders>
          <w:top w:val="nil"/>
          <w:left w:val="nil"/>
          <w:bottom w:val="nil"/>
          <w:right w:val="nil"/>
          <w:insideH w:val="single" w:sz="4" w:space="0" w:color="9A6701" w:themeColor="accent4" w:themeShade="99"/>
          <w:insideV w:val="nil"/>
        </w:tcBorders>
        <w:shd w:val="clear" w:color="auto" w:fill="9A6701"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A6701" w:themeFill="accent4" w:themeFillShade="99"/>
      </w:tcPr>
    </w:tblStylePr>
    <w:tblStylePr w:type="band1Vert">
      <w:tblPr/>
      <w:tcPr>
        <w:shd w:val="clear" w:color="auto" w:fill="FEDD9B" w:themeFill="accent4" w:themeFillTint="66"/>
      </w:tcPr>
    </w:tblStylePr>
    <w:tblStylePr w:type="band1Horz">
      <w:tblPr/>
      <w:tcPr>
        <w:shd w:val="clear" w:color="auto" w:fill="FED583"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pPr>
      <w:spacing w:before="0" w:after="0" w:line="240" w:lineRule="auto"/>
    </w:pPr>
    <w:rPr>
      <w:rFonts w:ascii="EC Square Sans Pro" w:hAnsi="EC Square Sans Pro"/>
      <w:color w:val="000000" w:themeColor="text1"/>
      <w:lang w:eastAsia="en-GB"/>
    </w:rPr>
    <w:tblPr>
      <w:tblStyleRowBandSize w:val="1"/>
      <w:tblStyleColBandSize w:val="1"/>
      <w:tblBorders>
        <w:top w:val="single" w:sz="24" w:space="0" w:color="7030A0" w:themeColor="accent6"/>
        <w:left w:val="single" w:sz="4" w:space="0" w:color="DC165D" w:themeColor="accent5"/>
        <w:bottom w:val="single" w:sz="4" w:space="0" w:color="DC165D" w:themeColor="accent5"/>
        <w:right w:val="single" w:sz="4" w:space="0" w:color="DC165D" w:themeColor="accent5"/>
        <w:insideH w:val="single" w:sz="4" w:space="0" w:color="FFFFFF" w:themeColor="background1"/>
        <w:insideV w:val="single" w:sz="4" w:space="0" w:color="FFFFFF" w:themeColor="background1"/>
      </w:tblBorders>
    </w:tblPr>
    <w:tcPr>
      <w:shd w:val="clear" w:color="auto" w:fill="FCE7EE" w:themeFill="accent5" w:themeFillTint="19"/>
    </w:tcPr>
    <w:tblStylePr w:type="firstRow">
      <w:rPr>
        <w:b/>
        <w:bCs/>
      </w:rPr>
      <w:tblPr/>
      <w:tcPr>
        <w:tcBorders>
          <w:top w:val="nil"/>
          <w:left w:val="nil"/>
          <w:bottom w:val="single" w:sz="24" w:space="0" w:color="7030A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30D37" w:themeFill="accent5" w:themeFillShade="99"/>
      </w:tcPr>
    </w:tblStylePr>
    <w:tblStylePr w:type="firstCol">
      <w:rPr>
        <w:color w:val="FFFFFF" w:themeColor="background1"/>
      </w:rPr>
      <w:tblPr/>
      <w:tcPr>
        <w:tcBorders>
          <w:top w:val="nil"/>
          <w:left w:val="nil"/>
          <w:bottom w:val="nil"/>
          <w:right w:val="nil"/>
          <w:insideH w:val="single" w:sz="4" w:space="0" w:color="830D37" w:themeColor="accent5" w:themeShade="99"/>
          <w:insideV w:val="nil"/>
        </w:tcBorders>
        <w:shd w:val="clear" w:color="auto" w:fill="830D3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830D37" w:themeFill="accent5" w:themeFillShade="99"/>
      </w:tcPr>
    </w:tblStylePr>
    <w:tblStylePr w:type="band1Vert">
      <w:tblPr/>
      <w:tcPr>
        <w:shd w:val="clear" w:color="auto" w:fill="F59DBC" w:themeFill="accent5" w:themeFillTint="66"/>
      </w:tcPr>
    </w:tblStylePr>
    <w:tblStylePr w:type="band1Horz">
      <w:tblPr/>
      <w:tcPr>
        <w:shd w:val="clear" w:color="auto" w:fill="F285AC"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pPr>
      <w:spacing w:before="0" w:after="0" w:line="240" w:lineRule="auto"/>
    </w:pPr>
    <w:rPr>
      <w:rFonts w:ascii="EC Square Sans Pro" w:hAnsi="EC Square Sans Pro"/>
      <w:color w:val="000000" w:themeColor="text1"/>
      <w:lang w:eastAsia="en-GB"/>
    </w:rPr>
    <w:tblPr>
      <w:tblStyleRowBandSize w:val="1"/>
      <w:tblStyleColBandSize w:val="1"/>
      <w:tblBorders>
        <w:top w:val="single" w:sz="24" w:space="0" w:color="DC165D" w:themeColor="accent5"/>
        <w:left w:val="single" w:sz="4" w:space="0" w:color="7030A0" w:themeColor="accent6"/>
        <w:bottom w:val="single" w:sz="4" w:space="0" w:color="7030A0" w:themeColor="accent6"/>
        <w:right w:val="single" w:sz="4" w:space="0" w:color="7030A0" w:themeColor="accent6"/>
        <w:insideH w:val="single" w:sz="4" w:space="0" w:color="FFFFFF" w:themeColor="background1"/>
        <w:insideV w:val="single" w:sz="4" w:space="0" w:color="FFFFFF" w:themeColor="background1"/>
      </w:tblBorders>
    </w:tblPr>
    <w:tcPr>
      <w:shd w:val="clear" w:color="auto" w:fill="F1E8F8" w:themeFill="accent6" w:themeFillTint="19"/>
    </w:tcPr>
    <w:tblStylePr w:type="firstRow">
      <w:rPr>
        <w:b/>
        <w:bCs/>
      </w:rPr>
      <w:tblPr/>
      <w:tcPr>
        <w:tcBorders>
          <w:top w:val="nil"/>
          <w:left w:val="nil"/>
          <w:bottom w:val="single" w:sz="24" w:space="0" w:color="DC165D"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21C5F" w:themeFill="accent6" w:themeFillShade="99"/>
      </w:tcPr>
    </w:tblStylePr>
    <w:tblStylePr w:type="firstCol">
      <w:rPr>
        <w:color w:val="FFFFFF" w:themeColor="background1"/>
      </w:rPr>
      <w:tblPr/>
      <w:tcPr>
        <w:tcBorders>
          <w:top w:val="nil"/>
          <w:left w:val="nil"/>
          <w:bottom w:val="nil"/>
          <w:right w:val="nil"/>
          <w:insideH w:val="single" w:sz="4" w:space="0" w:color="421C5F" w:themeColor="accent6" w:themeShade="99"/>
          <w:insideV w:val="nil"/>
        </w:tcBorders>
        <w:shd w:val="clear" w:color="auto" w:fill="421C5F"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21C5F" w:themeFill="accent6" w:themeFillShade="99"/>
      </w:tcPr>
    </w:tblStylePr>
    <w:tblStylePr w:type="band1Vert">
      <w:tblPr/>
      <w:tcPr>
        <w:shd w:val="clear" w:color="auto" w:fill="C6A1E3" w:themeFill="accent6" w:themeFillTint="66"/>
      </w:tcPr>
    </w:tblStylePr>
    <w:tblStylePr w:type="band1Horz">
      <w:tblPr/>
      <w:tcPr>
        <w:shd w:val="clear" w:color="auto" w:fill="B98BDC"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pPr>
      <w:spacing w:before="0" w:after="0" w:line="240" w:lineRule="auto"/>
    </w:pPr>
    <w:rPr>
      <w:rFonts w:ascii="EC Square Sans Pro" w:hAnsi="EC Square Sans Pro"/>
      <w:color w:val="FFFFFF" w:themeColor="background1"/>
      <w:lang w:eastAsia="en-GB"/>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pPr>
      <w:spacing w:before="0" w:after="0" w:line="240" w:lineRule="auto"/>
    </w:pPr>
    <w:rPr>
      <w:rFonts w:ascii="EC Square Sans Pro" w:hAnsi="EC Square Sans Pro"/>
      <w:color w:val="FFFFFF" w:themeColor="background1"/>
      <w:lang w:eastAsia="en-GB"/>
    </w:rPr>
    <w:tblPr>
      <w:tblStyleRowBandSize w:val="1"/>
      <w:tblStyleColBandSize w:val="1"/>
    </w:tblPr>
    <w:tcPr>
      <w:shd w:val="clear" w:color="auto" w:fill="008139"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01C"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602A"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602A" w:themeFill="accent1" w:themeFillShade="BF"/>
      </w:tcPr>
    </w:tblStylePr>
    <w:tblStylePr w:type="band1Vert">
      <w:tblPr/>
      <w:tcPr>
        <w:tcBorders>
          <w:top w:val="nil"/>
          <w:left w:val="nil"/>
          <w:bottom w:val="nil"/>
          <w:right w:val="nil"/>
          <w:insideH w:val="nil"/>
          <w:insideV w:val="nil"/>
        </w:tcBorders>
        <w:shd w:val="clear" w:color="auto" w:fill="00602A" w:themeFill="accent1" w:themeFillShade="BF"/>
      </w:tcPr>
    </w:tblStylePr>
    <w:tblStylePr w:type="band1Horz">
      <w:tblPr/>
      <w:tcPr>
        <w:tcBorders>
          <w:top w:val="nil"/>
          <w:left w:val="nil"/>
          <w:bottom w:val="nil"/>
          <w:right w:val="nil"/>
          <w:insideH w:val="nil"/>
          <w:insideV w:val="nil"/>
        </w:tcBorders>
        <w:shd w:val="clear" w:color="auto" w:fill="00602A" w:themeFill="accent1" w:themeFillShade="BF"/>
      </w:tcPr>
    </w:tblStylePr>
  </w:style>
  <w:style w:type="table" w:styleId="DarkList-Accent2">
    <w:name w:val="Dark List Accent 2"/>
    <w:basedOn w:val="TableNormal"/>
    <w:pPr>
      <w:spacing w:before="0" w:after="0" w:line="240" w:lineRule="auto"/>
    </w:pPr>
    <w:rPr>
      <w:rFonts w:ascii="EC Square Sans Pro" w:hAnsi="EC Square Sans Pro"/>
      <w:color w:val="FFFFFF" w:themeColor="background1"/>
      <w:lang w:eastAsia="en-GB"/>
    </w:rPr>
    <w:tblPr>
      <w:tblStyleRowBandSize w:val="1"/>
      <w:tblStyleColBandSize w:val="1"/>
    </w:tblPr>
    <w:tcPr>
      <w:shd w:val="clear" w:color="auto" w:fill="DE600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E2F01"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A6470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A64701" w:themeFill="accent2" w:themeFillShade="BF"/>
      </w:tcPr>
    </w:tblStylePr>
    <w:tblStylePr w:type="band1Vert">
      <w:tblPr/>
      <w:tcPr>
        <w:tcBorders>
          <w:top w:val="nil"/>
          <w:left w:val="nil"/>
          <w:bottom w:val="nil"/>
          <w:right w:val="nil"/>
          <w:insideH w:val="nil"/>
          <w:insideV w:val="nil"/>
        </w:tcBorders>
        <w:shd w:val="clear" w:color="auto" w:fill="A64701" w:themeFill="accent2" w:themeFillShade="BF"/>
      </w:tcPr>
    </w:tblStylePr>
    <w:tblStylePr w:type="band1Horz">
      <w:tblPr/>
      <w:tcPr>
        <w:tcBorders>
          <w:top w:val="nil"/>
          <w:left w:val="nil"/>
          <w:bottom w:val="nil"/>
          <w:right w:val="nil"/>
          <w:insideH w:val="nil"/>
          <w:insideV w:val="nil"/>
        </w:tcBorders>
        <w:shd w:val="clear" w:color="auto" w:fill="A64701" w:themeFill="accent2" w:themeFillShade="BF"/>
      </w:tcPr>
    </w:tblStylePr>
  </w:style>
  <w:style w:type="table" w:styleId="DarkList-Accent3">
    <w:name w:val="Dark List Accent 3"/>
    <w:basedOn w:val="TableNormal"/>
    <w:pPr>
      <w:spacing w:before="0" w:after="0" w:line="240" w:lineRule="auto"/>
    </w:pPr>
    <w:rPr>
      <w:rFonts w:ascii="EC Square Sans Pro" w:hAnsi="EC Square Sans Pro"/>
      <w:color w:val="FFFFFF" w:themeColor="background1"/>
      <w:lang w:eastAsia="en-GB"/>
    </w:rPr>
    <w:tblPr>
      <w:tblStyleRowBandSize w:val="1"/>
      <w:tblStyleColBandSize w:val="1"/>
    </w:tblPr>
    <w:tcPr>
      <w:shd w:val="clear" w:color="auto" w:fill="2688FE"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19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162D9"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162D9" w:themeFill="accent3" w:themeFillShade="BF"/>
      </w:tcPr>
    </w:tblStylePr>
    <w:tblStylePr w:type="band1Vert">
      <w:tblPr/>
      <w:tcPr>
        <w:tcBorders>
          <w:top w:val="nil"/>
          <w:left w:val="nil"/>
          <w:bottom w:val="nil"/>
          <w:right w:val="nil"/>
          <w:insideH w:val="nil"/>
          <w:insideV w:val="nil"/>
        </w:tcBorders>
        <w:shd w:val="clear" w:color="auto" w:fill="0162D9" w:themeFill="accent3" w:themeFillShade="BF"/>
      </w:tcPr>
    </w:tblStylePr>
    <w:tblStylePr w:type="band1Horz">
      <w:tblPr/>
      <w:tcPr>
        <w:tcBorders>
          <w:top w:val="nil"/>
          <w:left w:val="nil"/>
          <w:bottom w:val="nil"/>
          <w:right w:val="nil"/>
          <w:insideH w:val="nil"/>
          <w:insideV w:val="nil"/>
        </w:tcBorders>
        <w:shd w:val="clear" w:color="auto" w:fill="0162D9" w:themeFill="accent3" w:themeFillShade="BF"/>
      </w:tcPr>
    </w:tblStylePr>
  </w:style>
  <w:style w:type="table" w:styleId="DarkList-Accent4">
    <w:name w:val="Dark List Accent 4"/>
    <w:basedOn w:val="TableNormal"/>
    <w:pPr>
      <w:spacing w:before="0" w:after="0" w:line="240" w:lineRule="auto"/>
    </w:pPr>
    <w:rPr>
      <w:rFonts w:ascii="EC Square Sans Pro" w:hAnsi="EC Square Sans Pro"/>
      <w:color w:val="FFFFFF" w:themeColor="background1"/>
      <w:lang w:eastAsia="en-GB"/>
    </w:rPr>
    <w:tblPr>
      <w:tblStyleRowBandSize w:val="1"/>
      <w:tblStyleColBandSize w:val="1"/>
    </w:tblPr>
    <w:tcPr>
      <w:shd w:val="clear" w:color="auto" w:fill="FDAB0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0550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C18101"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C18101" w:themeFill="accent4" w:themeFillShade="BF"/>
      </w:tcPr>
    </w:tblStylePr>
    <w:tblStylePr w:type="band1Vert">
      <w:tblPr/>
      <w:tcPr>
        <w:tcBorders>
          <w:top w:val="nil"/>
          <w:left w:val="nil"/>
          <w:bottom w:val="nil"/>
          <w:right w:val="nil"/>
          <w:insideH w:val="nil"/>
          <w:insideV w:val="nil"/>
        </w:tcBorders>
        <w:shd w:val="clear" w:color="auto" w:fill="C18101" w:themeFill="accent4" w:themeFillShade="BF"/>
      </w:tcPr>
    </w:tblStylePr>
    <w:tblStylePr w:type="band1Horz">
      <w:tblPr/>
      <w:tcPr>
        <w:tcBorders>
          <w:top w:val="nil"/>
          <w:left w:val="nil"/>
          <w:bottom w:val="nil"/>
          <w:right w:val="nil"/>
          <w:insideH w:val="nil"/>
          <w:insideV w:val="nil"/>
        </w:tcBorders>
        <w:shd w:val="clear" w:color="auto" w:fill="C18101" w:themeFill="accent4" w:themeFillShade="BF"/>
      </w:tcPr>
    </w:tblStylePr>
  </w:style>
  <w:style w:type="table" w:styleId="DarkList-Accent5">
    <w:name w:val="Dark List Accent 5"/>
    <w:basedOn w:val="TableNormal"/>
    <w:pPr>
      <w:spacing w:before="0" w:after="0" w:line="240" w:lineRule="auto"/>
    </w:pPr>
    <w:rPr>
      <w:rFonts w:ascii="EC Square Sans Pro" w:hAnsi="EC Square Sans Pro"/>
      <w:color w:val="FFFFFF" w:themeColor="background1"/>
      <w:lang w:eastAsia="en-GB"/>
    </w:rPr>
    <w:tblPr>
      <w:tblStyleRowBandSize w:val="1"/>
      <w:tblStyleColBandSize w:val="1"/>
    </w:tblPr>
    <w:tcPr>
      <w:shd w:val="clear" w:color="auto" w:fill="DC165D"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D0B2E"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A4104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A41045" w:themeFill="accent5" w:themeFillShade="BF"/>
      </w:tcPr>
    </w:tblStylePr>
    <w:tblStylePr w:type="band1Vert">
      <w:tblPr/>
      <w:tcPr>
        <w:tcBorders>
          <w:top w:val="nil"/>
          <w:left w:val="nil"/>
          <w:bottom w:val="nil"/>
          <w:right w:val="nil"/>
          <w:insideH w:val="nil"/>
          <w:insideV w:val="nil"/>
        </w:tcBorders>
        <w:shd w:val="clear" w:color="auto" w:fill="A41045" w:themeFill="accent5" w:themeFillShade="BF"/>
      </w:tcPr>
    </w:tblStylePr>
    <w:tblStylePr w:type="band1Horz">
      <w:tblPr/>
      <w:tcPr>
        <w:tcBorders>
          <w:top w:val="nil"/>
          <w:left w:val="nil"/>
          <w:bottom w:val="nil"/>
          <w:right w:val="nil"/>
          <w:insideH w:val="nil"/>
          <w:insideV w:val="nil"/>
        </w:tcBorders>
        <w:shd w:val="clear" w:color="auto" w:fill="A41045" w:themeFill="accent5" w:themeFillShade="BF"/>
      </w:tcPr>
    </w:tblStylePr>
  </w:style>
  <w:style w:type="table" w:styleId="DarkList-Accent6">
    <w:name w:val="Dark List Accent 6"/>
    <w:basedOn w:val="TableNormal"/>
    <w:pPr>
      <w:spacing w:before="0" w:after="0" w:line="240" w:lineRule="auto"/>
    </w:pPr>
    <w:rPr>
      <w:rFonts w:ascii="EC Square Sans Pro" w:hAnsi="EC Square Sans Pro"/>
      <w:color w:val="FFFFFF" w:themeColor="background1"/>
      <w:lang w:eastAsia="en-GB"/>
    </w:rPr>
    <w:tblPr>
      <w:tblStyleRowBandSize w:val="1"/>
      <w:tblStyleColBandSize w:val="1"/>
    </w:tblPr>
    <w:tcPr>
      <w:shd w:val="clear" w:color="auto" w:fill="7030A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184F"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2477"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2477" w:themeFill="accent6" w:themeFillShade="BF"/>
      </w:tcPr>
    </w:tblStylePr>
    <w:tblStylePr w:type="band1Vert">
      <w:tblPr/>
      <w:tcPr>
        <w:tcBorders>
          <w:top w:val="nil"/>
          <w:left w:val="nil"/>
          <w:bottom w:val="nil"/>
          <w:right w:val="nil"/>
          <w:insideH w:val="nil"/>
          <w:insideV w:val="nil"/>
        </w:tcBorders>
        <w:shd w:val="clear" w:color="auto" w:fill="532477" w:themeFill="accent6" w:themeFillShade="BF"/>
      </w:tcPr>
    </w:tblStylePr>
    <w:tblStylePr w:type="band1Horz">
      <w:tblPr/>
      <w:tcPr>
        <w:tcBorders>
          <w:top w:val="nil"/>
          <w:left w:val="nil"/>
          <w:bottom w:val="nil"/>
          <w:right w:val="nil"/>
          <w:insideH w:val="nil"/>
          <w:insideV w:val="nil"/>
        </w:tcBorders>
        <w:shd w:val="clear" w:color="auto" w:fill="532477" w:themeFill="accent6" w:themeFillShade="BF"/>
      </w:tcPr>
    </w:tblStylePr>
  </w:style>
  <w:style w:type="table" w:styleId="GridTable1Light">
    <w:name w:val="Grid Table 1 Light"/>
    <w:basedOn w:val="TableNormal"/>
    <w:pPr>
      <w:spacing w:after="0" w:line="240" w:lineRule="auto"/>
    </w:pPr>
    <w:rPr>
      <w:rFonts w:ascii="EC Square Sans Pro" w:hAnsi="EC Square Sans Pro"/>
      <w:lang w:eastAsia="en-GB"/>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pPr>
      <w:spacing w:after="0" w:line="240" w:lineRule="auto"/>
    </w:pPr>
    <w:rPr>
      <w:rFonts w:ascii="EC Square Sans Pro" w:hAnsi="EC Square Sans Pro"/>
      <w:lang w:eastAsia="en-GB"/>
    </w:rPr>
    <w:tblPr>
      <w:tblStyleRowBandSize w:val="1"/>
      <w:tblStyleColBandSize w:val="1"/>
      <w:tblBorders>
        <w:top w:val="single" w:sz="4" w:space="0" w:color="66FFA9" w:themeColor="accent1" w:themeTint="66"/>
        <w:left w:val="single" w:sz="4" w:space="0" w:color="66FFA9" w:themeColor="accent1" w:themeTint="66"/>
        <w:bottom w:val="single" w:sz="4" w:space="0" w:color="66FFA9" w:themeColor="accent1" w:themeTint="66"/>
        <w:right w:val="single" w:sz="4" w:space="0" w:color="66FFA9" w:themeColor="accent1" w:themeTint="66"/>
        <w:insideH w:val="single" w:sz="4" w:space="0" w:color="66FFA9" w:themeColor="accent1" w:themeTint="66"/>
        <w:insideV w:val="single" w:sz="4" w:space="0" w:color="66FFA9" w:themeColor="accent1" w:themeTint="66"/>
      </w:tblBorders>
    </w:tblPr>
    <w:tblStylePr w:type="firstRow">
      <w:rPr>
        <w:b/>
        <w:bCs/>
      </w:rPr>
      <w:tblPr/>
      <w:tcPr>
        <w:tcBorders>
          <w:bottom w:val="single" w:sz="12" w:space="0" w:color="1AFF7E" w:themeColor="accent1" w:themeTint="99"/>
        </w:tcBorders>
      </w:tcPr>
    </w:tblStylePr>
    <w:tblStylePr w:type="lastRow">
      <w:rPr>
        <w:b/>
        <w:bCs/>
      </w:rPr>
      <w:tblPr/>
      <w:tcPr>
        <w:tcBorders>
          <w:top w:val="double" w:sz="2" w:space="0" w:color="1AFF7E"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pPr>
      <w:spacing w:after="0" w:line="240" w:lineRule="auto"/>
    </w:pPr>
    <w:rPr>
      <w:rFonts w:ascii="EC Square Sans Pro" w:hAnsi="EC Square Sans Pro"/>
      <w:lang w:eastAsia="en-GB"/>
    </w:rPr>
    <w:tblPr>
      <w:tblStyleRowBandSize w:val="1"/>
      <w:tblStyleColBandSize w:val="1"/>
      <w:tblBorders>
        <w:top w:val="single" w:sz="4" w:space="0" w:color="FEBD8D" w:themeColor="accent2" w:themeTint="66"/>
        <w:left w:val="single" w:sz="4" w:space="0" w:color="FEBD8D" w:themeColor="accent2" w:themeTint="66"/>
        <w:bottom w:val="single" w:sz="4" w:space="0" w:color="FEBD8D" w:themeColor="accent2" w:themeTint="66"/>
        <w:right w:val="single" w:sz="4" w:space="0" w:color="FEBD8D" w:themeColor="accent2" w:themeTint="66"/>
        <w:insideH w:val="single" w:sz="4" w:space="0" w:color="FEBD8D" w:themeColor="accent2" w:themeTint="66"/>
        <w:insideV w:val="single" w:sz="4" w:space="0" w:color="FEBD8D" w:themeColor="accent2" w:themeTint="66"/>
      </w:tblBorders>
    </w:tblPr>
    <w:tblStylePr w:type="firstRow">
      <w:rPr>
        <w:b/>
        <w:bCs/>
      </w:rPr>
      <w:tblPr/>
      <w:tcPr>
        <w:tcBorders>
          <w:bottom w:val="single" w:sz="12" w:space="0" w:color="FD9C54" w:themeColor="accent2" w:themeTint="99"/>
        </w:tcBorders>
      </w:tcPr>
    </w:tblStylePr>
    <w:tblStylePr w:type="lastRow">
      <w:rPr>
        <w:b/>
        <w:bCs/>
      </w:rPr>
      <w:tblPr/>
      <w:tcPr>
        <w:tcBorders>
          <w:top w:val="double" w:sz="2" w:space="0" w:color="FD9C5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pPr>
      <w:spacing w:after="0" w:line="240" w:lineRule="auto"/>
    </w:pPr>
    <w:rPr>
      <w:rFonts w:ascii="EC Square Sans Pro" w:hAnsi="EC Square Sans Pro"/>
      <w:lang w:eastAsia="en-GB"/>
    </w:rPr>
    <w:tblPr>
      <w:tblStyleRowBandSize w:val="1"/>
      <w:tblStyleColBandSize w:val="1"/>
      <w:tblBorders>
        <w:top w:val="single" w:sz="4" w:space="0" w:color="A8CFFE" w:themeColor="accent3" w:themeTint="66"/>
        <w:left w:val="single" w:sz="4" w:space="0" w:color="A8CFFE" w:themeColor="accent3" w:themeTint="66"/>
        <w:bottom w:val="single" w:sz="4" w:space="0" w:color="A8CFFE" w:themeColor="accent3" w:themeTint="66"/>
        <w:right w:val="single" w:sz="4" w:space="0" w:color="A8CFFE" w:themeColor="accent3" w:themeTint="66"/>
        <w:insideH w:val="single" w:sz="4" w:space="0" w:color="A8CFFE" w:themeColor="accent3" w:themeTint="66"/>
        <w:insideV w:val="single" w:sz="4" w:space="0" w:color="A8CFFE" w:themeColor="accent3" w:themeTint="66"/>
      </w:tblBorders>
    </w:tblPr>
    <w:tblStylePr w:type="firstRow">
      <w:rPr>
        <w:b/>
        <w:bCs/>
      </w:rPr>
      <w:tblPr/>
      <w:tcPr>
        <w:tcBorders>
          <w:bottom w:val="single" w:sz="12" w:space="0" w:color="7CB7FE" w:themeColor="accent3" w:themeTint="99"/>
        </w:tcBorders>
      </w:tcPr>
    </w:tblStylePr>
    <w:tblStylePr w:type="lastRow">
      <w:rPr>
        <w:b/>
        <w:bCs/>
      </w:rPr>
      <w:tblPr/>
      <w:tcPr>
        <w:tcBorders>
          <w:top w:val="double" w:sz="2" w:space="0" w:color="7CB7FE"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pPr>
      <w:spacing w:after="0" w:line="240" w:lineRule="auto"/>
    </w:pPr>
    <w:rPr>
      <w:rFonts w:ascii="EC Square Sans Pro" w:hAnsi="EC Square Sans Pro"/>
      <w:lang w:eastAsia="en-GB"/>
    </w:rPr>
    <w:tblPr>
      <w:tblStyleRowBandSize w:val="1"/>
      <w:tblStyleColBandSize w:val="1"/>
      <w:tblBorders>
        <w:top w:val="single" w:sz="4" w:space="0" w:color="FEDD9B" w:themeColor="accent4" w:themeTint="66"/>
        <w:left w:val="single" w:sz="4" w:space="0" w:color="FEDD9B" w:themeColor="accent4" w:themeTint="66"/>
        <w:bottom w:val="single" w:sz="4" w:space="0" w:color="FEDD9B" w:themeColor="accent4" w:themeTint="66"/>
        <w:right w:val="single" w:sz="4" w:space="0" w:color="FEDD9B" w:themeColor="accent4" w:themeTint="66"/>
        <w:insideH w:val="single" w:sz="4" w:space="0" w:color="FEDD9B" w:themeColor="accent4" w:themeTint="66"/>
        <w:insideV w:val="single" w:sz="4" w:space="0" w:color="FEDD9B" w:themeColor="accent4" w:themeTint="66"/>
      </w:tblBorders>
    </w:tblPr>
    <w:tblStylePr w:type="firstRow">
      <w:rPr>
        <w:b/>
        <w:bCs/>
      </w:rPr>
      <w:tblPr/>
      <w:tcPr>
        <w:tcBorders>
          <w:bottom w:val="single" w:sz="12" w:space="0" w:color="FDCC6A" w:themeColor="accent4" w:themeTint="99"/>
        </w:tcBorders>
      </w:tcPr>
    </w:tblStylePr>
    <w:tblStylePr w:type="lastRow">
      <w:rPr>
        <w:b/>
        <w:bCs/>
      </w:rPr>
      <w:tblPr/>
      <w:tcPr>
        <w:tcBorders>
          <w:top w:val="double" w:sz="2" w:space="0" w:color="FDCC6A"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pPr>
      <w:spacing w:after="0" w:line="240" w:lineRule="auto"/>
    </w:pPr>
    <w:rPr>
      <w:rFonts w:ascii="EC Square Sans Pro" w:hAnsi="EC Square Sans Pro"/>
      <w:lang w:eastAsia="en-GB"/>
    </w:rPr>
    <w:tblPr>
      <w:tblStyleRowBandSize w:val="1"/>
      <w:tblStyleColBandSize w:val="1"/>
      <w:tblBorders>
        <w:top w:val="single" w:sz="4" w:space="0" w:color="F59DBC" w:themeColor="accent5" w:themeTint="66"/>
        <w:left w:val="single" w:sz="4" w:space="0" w:color="F59DBC" w:themeColor="accent5" w:themeTint="66"/>
        <w:bottom w:val="single" w:sz="4" w:space="0" w:color="F59DBC" w:themeColor="accent5" w:themeTint="66"/>
        <w:right w:val="single" w:sz="4" w:space="0" w:color="F59DBC" w:themeColor="accent5" w:themeTint="66"/>
        <w:insideH w:val="single" w:sz="4" w:space="0" w:color="F59DBC" w:themeColor="accent5" w:themeTint="66"/>
        <w:insideV w:val="single" w:sz="4" w:space="0" w:color="F59DBC" w:themeColor="accent5" w:themeTint="66"/>
      </w:tblBorders>
    </w:tblPr>
    <w:tblStylePr w:type="firstRow">
      <w:rPr>
        <w:b/>
        <w:bCs/>
      </w:rPr>
      <w:tblPr/>
      <w:tcPr>
        <w:tcBorders>
          <w:bottom w:val="single" w:sz="12" w:space="0" w:color="F06C9B" w:themeColor="accent5" w:themeTint="99"/>
        </w:tcBorders>
      </w:tcPr>
    </w:tblStylePr>
    <w:tblStylePr w:type="lastRow">
      <w:rPr>
        <w:b/>
        <w:bCs/>
      </w:rPr>
      <w:tblPr/>
      <w:tcPr>
        <w:tcBorders>
          <w:top w:val="double" w:sz="2" w:space="0" w:color="F06C9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pPr>
      <w:spacing w:after="0" w:line="240" w:lineRule="auto"/>
    </w:pPr>
    <w:rPr>
      <w:rFonts w:ascii="EC Square Sans Pro" w:hAnsi="EC Square Sans Pro"/>
      <w:lang w:eastAsia="en-GB"/>
    </w:rPr>
    <w:tblPr>
      <w:tblStyleRowBandSize w:val="1"/>
      <w:tblStyleColBandSize w:val="1"/>
      <w:tblBorders>
        <w:top w:val="single" w:sz="4" w:space="0" w:color="C6A1E3" w:themeColor="accent6" w:themeTint="66"/>
        <w:left w:val="single" w:sz="4" w:space="0" w:color="C6A1E3" w:themeColor="accent6" w:themeTint="66"/>
        <w:bottom w:val="single" w:sz="4" w:space="0" w:color="C6A1E3" w:themeColor="accent6" w:themeTint="66"/>
        <w:right w:val="single" w:sz="4" w:space="0" w:color="C6A1E3" w:themeColor="accent6" w:themeTint="66"/>
        <w:insideH w:val="single" w:sz="4" w:space="0" w:color="C6A1E3" w:themeColor="accent6" w:themeTint="66"/>
        <w:insideV w:val="single" w:sz="4" w:space="0" w:color="C6A1E3" w:themeColor="accent6" w:themeTint="66"/>
      </w:tblBorders>
    </w:tblPr>
    <w:tblStylePr w:type="firstRow">
      <w:rPr>
        <w:b/>
        <w:bCs/>
      </w:rPr>
      <w:tblPr/>
      <w:tcPr>
        <w:tcBorders>
          <w:bottom w:val="single" w:sz="12" w:space="0" w:color="AB73D5" w:themeColor="accent6" w:themeTint="99"/>
        </w:tcBorders>
      </w:tcPr>
    </w:tblStylePr>
    <w:tblStylePr w:type="lastRow">
      <w:rPr>
        <w:b/>
        <w:bCs/>
      </w:rPr>
      <w:tblPr/>
      <w:tcPr>
        <w:tcBorders>
          <w:top w:val="double" w:sz="2" w:space="0" w:color="AB73D5" w:themeColor="accent6" w:themeTint="99"/>
        </w:tcBorders>
      </w:tcPr>
    </w:tblStylePr>
    <w:tblStylePr w:type="firstCol">
      <w:rPr>
        <w:b/>
        <w:bCs/>
      </w:rPr>
    </w:tblStylePr>
    <w:tblStylePr w:type="lastCol">
      <w:rPr>
        <w:b/>
        <w:bCs/>
      </w:rPr>
    </w:tblStylePr>
  </w:style>
  <w:style w:type="table" w:styleId="GridTable2">
    <w:name w:val="Grid Table 2"/>
    <w:basedOn w:val="TableNormal"/>
    <w:pPr>
      <w:spacing w:after="0" w:line="240" w:lineRule="auto"/>
    </w:pPr>
    <w:rPr>
      <w:rFonts w:ascii="EC Square Sans Pro" w:hAnsi="EC Square Sans Pro"/>
      <w:lang w:eastAsia="en-GB"/>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pPr>
      <w:spacing w:after="0" w:line="240" w:lineRule="auto"/>
    </w:pPr>
    <w:rPr>
      <w:rFonts w:ascii="EC Square Sans Pro" w:hAnsi="EC Square Sans Pro"/>
      <w:lang w:eastAsia="en-GB"/>
    </w:rPr>
    <w:tblPr>
      <w:tblStyleRowBandSize w:val="1"/>
      <w:tblStyleColBandSize w:val="1"/>
      <w:tblBorders>
        <w:top w:val="single" w:sz="2" w:space="0" w:color="1AFF7E" w:themeColor="accent1" w:themeTint="99"/>
        <w:bottom w:val="single" w:sz="2" w:space="0" w:color="1AFF7E" w:themeColor="accent1" w:themeTint="99"/>
        <w:insideH w:val="single" w:sz="2" w:space="0" w:color="1AFF7E" w:themeColor="accent1" w:themeTint="99"/>
        <w:insideV w:val="single" w:sz="2" w:space="0" w:color="1AFF7E" w:themeColor="accent1" w:themeTint="99"/>
      </w:tblBorders>
    </w:tblPr>
    <w:tblStylePr w:type="firstRow">
      <w:rPr>
        <w:b/>
        <w:bCs/>
      </w:rPr>
      <w:tblPr/>
      <w:tcPr>
        <w:tcBorders>
          <w:top w:val="nil"/>
          <w:bottom w:val="single" w:sz="12" w:space="0" w:color="1AFF7E" w:themeColor="accent1" w:themeTint="99"/>
          <w:insideH w:val="nil"/>
          <w:insideV w:val="nil"/>
        </w:tcBorders>
        <w:shd w:val="clear" w:color="auto" w:fill="FFFFFF" w:themeFill="background1"/>
      </w:tcPr>
    </w:tblStylePr>
    <w:tblStylePr w:type="lastRow">
      <w:rPr>
        <w:b/>
        <w:bCs/>
      </w:rPr>
      <w:tblPr/>
      <w:tcPr>
        <w:tcBorders>
          <w:top w:val="double" w:sz="2" w:space="0" w:color="1AFF7E"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2FFD4" w:themeFill="accent1" w:themeFillTint="33"/>
      </w:tcPr>
    </w:tblStylePr>
    <w:tblStylePr w:type="band1Horz">
      <w:tblPr/>
      <w:tcPr>
        <w:shd w:val="clear" w:color="auto" w:fill="B2FFD4" w:themeFill="accent1" w:themeFillTint="33"/>
      </w:tcPr>
    </w:tblStylePr>
  </w:style>
  <w:style w:type="table" w:styleId="GridTable2-Accent2">
    <w:name w:val="Grid Table 2 Accent 2"/>
    <w:basedOn w:val="TableNormal"/>
    <w:pPr>
      <w:spacing w:after="0" w:line="240" w:lineRule="auto"/>
    </w:pPr>
    <w:rPr>
      <w:rFonts w:ascii="EC Square Sans Pro" w:hAnsi="EC Square Sans Pro"/>
      <w:lang w:eastAsia="en-GB"/>
    </w:rPr>
    <w:tblPr>
      <w:tblStyleRowBandSize w:val="1"/>
      <w:tblStyleColBandSize w:val="1"/>
      <w:tblBorders>
        <w:top w:val="single" w:sz="2" w:space="0" w:color="FD9C54" w:themeColor="accent2" w:themeTint="99"/>
        <w:bottom w:val="single" w:sz="2" w:space="0" w:color="FD9C54" w:themeColor="accent2" w:themeTint="99"/>
        <w:insideH w:val="single" w:sz="2" w:space="0" w:color="FD9C54" w:themeColor="accent2" w:themeTint="99"/>
        <w:insideV w:val="single" w:sz="2" w:space="0" w:color="FD9C54" w:themeColor="accent2" w:themeTint="99"/>
      </w:tblBorders>
    </w:tblPr>
    <w:tblStylePr w:type="firstRow">
      <w:rPr>
        <w:b/>
        <w:bCs/>
      </w:rPr>
      <w:tblPr/>
      <w:tcPr>
        <w:tcBorders>
          <w:top w:val="nil"/>
          <w:bottom w:val="single" w:sz="12" w:space="0" w:color="FD9C54" w:themeColor="accent2" w:themeTint="99"/>
          <w:insideH w:val="nil"/>
          <w:insideV w:val="nil"/>
        </w:tcBorders>
        <w:shd w:val="clear" w:color="auto" w:fill="FFFFFF" w:themeFill="background1"/>
      </w:tcPr>
    </w:tblStylePr>
    <w:tblStylePr w:type="lastRow">
      <w:rPr>
        <w:b/>
        <w:bCs/>
      </w:rPr>
      <w:tblPr/>
      <w:tcPr>
        <w:tcBorders>
          <w:top w:val="double" w:sz="2" w:space="0" w:color="FD9C5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EDEC6" w:themeFill="accent2" w:themeFillTint="33"/>
      </w:tcPr>
    </w:tblStylePr>
    <w:tblStylePr w:type="band1Horz">
      <w:tblPr/>
      <w:tcPr>
        <w:shd w:val="clear" w:color="auto" w:fill="FEDEC6" w:themeFill="accent2" w:themeFillTint="33"/>
      </w:tcPr>
    </w:tblStylePr>
  </w:style>
  <w:style w:type="table" w:styleId="GridTable2-Accent3">
    <w:name w:val="Grid Table 2 Accent 3"/>
    <w:basedOn w:val="TableNormal"/>
    <w:pPr>
      <w:spacing w:after="0" w:line="240" w:lineRule="auto"/>
    </w:pPr>
    <w:rPr>
      <w:rFonts w:ascii="EC Square Sans Pro" w:hAnsi="EC Square Sans Pro"/>
      <w:lang w:eastAsia="en-GB"/>
    </w:rPr>
    <w:tblPr>
      <w:tblStyleRowBandSize w:val="1"/>
      <w:tblStyleColBandSize w:val="1"/>
      <w:tblBorders>
        <w:top w:val="single" w:sz="2" w:space="0" w:color="7CB7FE" w:themeColor="accent3" w:themeTint="99"/>
        <w:bottom w:val="single" w:sz="2" w:space="0" w:color="7CB7FE" w:themeColor="accent3" w:themeTint="99"/>
        <w:insideH w:val="single" w:sz="2" w:space="0" w:color="7CB7FE" w:themeColor="accent3" w:themeTint="99"/>
        <w:insideV w:val="single" w:sz="2" w:space="0" w:color="7CB7FE" w:themeColor="accent3" w:themeTint="99"/>
      </w:tblBorders>
    </w:tblPr>
    <w:tblStylePr w:type="firstRow">
      <w:rPr>
        <w:b/>
        <w:bCs/>
      </w:rPr>
      <w:tblPr/>
      <w:tcPr>
        <w:tcBorders>
          <w:top w:val="nil"/>
          <w:bottom w:val="single" w:sz="12" w:space="0" w:color="7CB7FE" w:themeColor="accent3" w:themeTint="99"/>
          <w:insideH w:val="nil"/>
          <w:insideV w:val="nil"/>
        </w:tcBorders>
        <w:shd w:val="clear" w:color="auto" w:fill="FFFFFF" w:themeFill="background1"/>
      </w:tcPr>
    </w:tblStylePr>
    <w:tblStylePr w:type="lastRow">
      <w:rPr>
        <w:b/>
        <w:bCs/>
      </w:rPr>
      <w:tblPr/>
      <w:tcPr>
        <w:tcBorders>
          <w:top w:val="double" w:sz="2" w:space="0" w:color="7CB7FE"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E7FE" w:themeFill="accent3" w:themeFillTint="33"/>
      </w:tcPr>
    </w:tblStylePr>
    <w:tblStylePr w:type="band1Horz">
      <w:tblPr/>
      <w:tcPr>
        <w:shd w:val="clear" w:color="auto" w:fill="D3E7FE" w:themeFill="accent3" w:themeFillTint="33"/>
      </w:tcPr>
    </w:tblStylePr>
  </w:style>
  <w:style w:type="table" w:styleId="GridTable2-Accent4">
    <w:name w:val="Grid Table 2 Accent 4"/>
    <w:basedOn w:val="TableNormal"/>
    <w:pPr>
      <w:spacing w:after="0" w:line="240" w:lineRule="auto"/>
    </w:pPr>
    <w:rPr>
      <w:rFonts w:ascii="EC Square Sans Pro" w:hAnsi="EC Square Sans Pro"/>
      <w:lang w:eastAsia="en-GB"/>
    </w:rPr>
    <w:tblPr>
      <w:tblStyleRowBandSize w:val="1"/>
      <w:tblStyleColBandSize w:val="1"/>
      <w:tblBorders>
        <w:top w:val="single" w:sz="2" w:space="0" w:color="FDCC6A" w:themeColor="accent4" w:themeTint="99"/>
        <w:bottom w:val="single" w:sz="2" w:space="0" w:color="FDCC6A" w:themeColor="accent4" w:themeTint="99"/>
        <w:insideH w:val="single" w:sz="2" w:space="0" w:color="FDCC6A" w:themeColor="accent4" w:themeTint="99"/>
        <w:insideV w:val="single" w:sz="2" w:space="0" w:color="FDCC6A" w:themeColor="accent4" w:themeTint="99"/>
      </w:tblBorders>
    </w:tblPr>
    <w:tblStylePr w:type="firstRow">
      <w:rPr>
        <w:b/>
        <w:bCs/>
      </w:rPr>
      <w:tblPr/>
      <w:tcPr>
        <w:tcBorders>
          <w:top w:val="nil"/>
          <w:bottom w:val="single" w:sz="12" w:space="0" w:color="FDCC6A" w:themeColor="accent4" w:themeTint="99"/>
          <w:insideH w:val="nil"/>
          <w:insideV w:val="nil"/>
        </w:tcBorders>
        <w:shd w:val="clear" w:color="auto" w:fill="FFFFFF" w:themeFill="background1"/>
      </w:tcPr>
    </w:tblStylePr>
    <w:tblStylePr w:type="lastRow">
      <w:rPr>
        <w:b/>
        <w:bCs/>
      </w:rPr>
      <w:tblPr/>
      <w:tcPr>
        <w:tcBorders>
          <w:top w:val="double" w:sz="2" w:space="0" w:color="FDCC6A"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EEECD" w:themeFill="accent4" w:themeFillTint="33"/>
      </w:tcPr>
    </w:tblStylePr>
    <w:tblStylePr w:type="band1Horz">
      <w:tblPr/>
      <w:tcPr>
        <w:shd w:val="clear" w:color="auto" w:fill="FEEECD" w:themeFill="accent4" w:themeFillTint="33"/>
      </w:tcPr>
    </w:tblStylePr>
  </w:style>
  <w:style w:type="table" w:styleId="GridTable2-Accent5">
    <w:name w:val="Grid Table 2 Accent 5"/>
    <w:basedOn w:val="TableNormal"/>
    <w:pPr>
      <w:spacing w:after="0" w:line="240" w:lineRule="auto"/>
    </w:pPr>
    <w:rPr>
      <w:rFonts w:ascii="EC Square Sans Pro" w:hAnsi="EC Square Sans Pro"/>
      <w:lang w:eastAsia="en-GB"/>
    </w:rPr>
    <w:tblPr>
      <w:tblStyleRowBandSize w:val="1"/>
      <w:tblStyleColBandSize w:val="1"/>
      <w:tblBorders>
        <w:top w:val="single" w:sz="2" w:space="0" w:color="F06C9B" w:themeColor="accent5" w:themeTint="99"/>
        <w:bottom w:val="single" w:sz="2" w:space="0" w:color="F06C9B" w:themeColor="accent5" w:themeTint="99"/>
        <w:insideH w:val="single" w:sz="2" w:space="0" w:color="F06C9B" w:themeColor="accent5" w:themeTint="99"/>
        <w:insideV w:val="single" w:sz="2" w:space="0" w:color="F06C9B" w:themeColor="accent5" w:themeTint="99"/>
      </w:tblBorders>
    </w:tblPr>
    <w:tblStylePr w:type="firstRow">
      <w:rPr>
        <w:b/>
        <w:bCs/>
      </w:rPr>
      <w:tblPr/>
      <w:tcPr>
        <w:tcBorders>
          <w:top w:val="nil"/>
          <w:bottom w:val="single" w:sz="12" w:space="0" w:color="F06C9B" w:themeColor="accent5" w:themeTint="99"/>
          <w:insideH w:val="nil"/>
          <w:insideV w:val="nil"/>
        </w:tcBorders>
        <w:shd w:val="clear" w:color="auto" w:fill="FFFFFF" w:themeFill="background1"/>
      </w:tcPr>
    </w:tblStylePr>
    <w:tblStylePr w:type="lastRow">
      <w:rPr>
        <w:b/>
        <w:bCs/>
      </w:rPr>
      <w:tblPr/>
      <w:tcPr>
        <w:tcBorders>
          <w:top w:val="double" w:sz="2" w:space="0" w:color="F06C9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CEDD" w:themeFill="accent5" w:themeFillTint="33"/>
      </w:tcPr>
    </w:tblStylePr>
    <w:tblStylePr w:type="band1Horz">
      <w:tblPr/>
      <w:tcPr>
        <w:shd w:val="clear" w:color="auto" w:fill="FACEDD" w:themeFill="accent5" w:themeFillTint="33"/>
      </w:tcPr>
    </w:tblStylePr>
  </w:style>
  <w:style w:type="table" w:styleId="GridTable2-Accent6">
    <w:name w:val="Grid Table 2 Accent 6"/>
    <w:basedOn w:val="TableNormal"/>
    <w:pPr>
      <w:spacing w:after="0" w:line="240" w:lineRule="auto"/>
    </w:pPr>
    <w:rPr>
      <w:rFonts w:ascii="EC Square Sans Pro" w:hAnsi="EC Square Sans Pro"/>
      <w:lang w:eastAsia="en-GB"/>
    </w:rPr>
    <w:tblPr>
      <w:tblStyleRowBandSize w:val="1"/>
      <w:tblStyleColBandSize w:val="1"/>
      <w:tblBorders>
        <w:top w:val="single" w:sz="2" w:space="0" w:color="AB73D5" w:themeColor="accent6" w:themeTint="99"/>
        <w:bottom w:val="single" w:sz="2" w:space="0" w:color="AB73D5" w:themeColor="accent6" w:themeTint="99"/>
        <w:insideH w:val="single" w:sz="2" w:space="0" w:color="AB73D5" w:themeColor="accent6" w:themeTint="99"/>
        <w:insideV w:val="single" w:sz="2" w:space="0" w:color="AB73D5" w:themeColor="accent6" w:themeTint="99"/>
      </w:tblBorders>
    </w:tblPr>
    <w:tblStylePr w:type="firstRow">
      <w:rPr>
        <w:b/>
        <w:bCs/>
      </w:rPr>
      <w:tblPr/>
      <w:tcPr>
        <w:tcBorders>
          <w:top w:val="nil"/>
          <w:bottom w:val="single" w:sz="12" w:space="0" w:color="AB73D5" w:themeColor="accent6" w:themeTint="99"/>
          <w:insideH w:val="nil"/>
          <w:insideV w:val="nil"/>
        </w:tcBorders>
        <w:shd w:val="clear" w:color="auto" w:fill="FFFFFF" w:themeFill="background1"/>
      </w:tcPr>
    </w:tblStylePr>
    <w:tblStylePr w:type="lastRow">
      <w:rPr>
        <w:b/>
        <w:bCs/>
      </w:rPr>
      <w:tblPr/>
      <w:tcPr>
        <w:tcBorders>
          <w:top w:val="double" w:sz="2" w:space="0" w:color="AB73D5"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GridTable3">
    <w:name w:val="Grid Table 3"/>
    <w:basedOn w:val="TableNormal"/>
    <w:pPr>
      <w:spacing w:after="0" w:line="240" w:lineRule="auto"/>
    </w:pPr>
    <w:rPr>
      <w:rFonts w:ascii="EC Square Sans Pro" w:hAnsi="EC Square Sans Pro"/>
      <w:lang w:eastAsia="en-GB"/>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pPr>
      <w:spacing w:after="0" w:line="240" w:lineRule="auto"/>
    </w:pPr>
    <w:rPr>
      <w:rFonts w:ascii="EC Square Sans Pro" w:hAnsi="EC Square Sans Pro"/>
      <w:lang w:eastAsia="en-GB"/>
    </w:rPr>
    <w:tblPr>
      <w:tblStyleRowBandSize w:val="1"/>
      <w:tblStyleColBandSize w:val="1"/>
      <w:tblBorders>
        <w:top w:val="single" w:sz="4" w:space="0" w:color="1AFF7E" w:themeColor="accent1" w:themeTint="99"/>
        <w:left w:val="single" w:sz="4" w:space="0" w:color="1AFF7E" w:themeColor="accent1" w:themeTint="99"/>
        <w:bottom w:val="single" w:sz="4" w:space="0" w:color="1AFF7E" w:themeColor="accent1" w:themeTint="99"/>
        <w:right w:val="single" w:sz="4" w:space="0" w:color="1AFF7E" w:themeColor="accent1" w:themeTint="99"/>
        <w:insideH w:val="single" w:sz="4" w:space="0" w:color="1AFF7E" w:themeColor="accent1" w:themeTint="99"/>
        <w:insideV w:val="single" w:sz="4" w:space="0" w:color="1AFF7E"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FFD4" w:themeFill="accent1" w:themeFillTint="33"/>
      </w:tcPr>
    </w:tblStylePr>
    <w:tblStylePr w:type="band1Horz">
      <w:tblPr/>
      <w:tcPr>
        <w:shd w:val="clear" w:color="auto" w:fill="B2FFD4" w:themeFill="accent1" w:themeFillTint="33"/>
      </w:tcPr>
    </w:tblStylePr>
    <w:tblStylePr w:type="neCell">
      <w:tblPr/>
      <w:tcPr>
        <w:tcBorders>
          <w:bottom w:val="single" w:sz="4" w:space="0" w:color="1AFF7E" w:themeColor="accent1" w:themeTint="99"/>
        </w:tcBorders>
      </w:tcPr>
    </w:tblStylePr>
    <w:tblStylePr w:type="nwCell">
      <w:tblPr/>
      <w:tcPr>
        <w:tcBorders>
          <w:bottom w:val="single" w:sz="4" w:space="0" w:color="1AFF7E" w:themeColor="accent1" w:themeTint="99"/>
        </w:tcBorders>
      </w:tcPr>
    </w:tblStylePr>
    <w:tblStylePr w:type="seCell">
      <w:tblPr/>
      <w:tcPr>
        <w:tcBorders>
          <w:top w:val="single" w:sz="4" w:space="0" w:color="1AFF7E" w:themeColor="accent1" w:themeTint="99"/>
        </w:tcBorders>
      </w:tcPr>
    </w:tblStylePr>
    <w:tblStylePr w:type="swCell">
      <w:tblPr/>
      <w:tcPr>
        <w:tcBorders>
          <w:top w:val="single" w:sz="4" w:space="0" w:color="1AFF7E" w:themeColor="accent1" w:themeTint="99"/>
        </w:tcBorders>
      </w:tcPr>
    </w:tblStylePr>
  </w:style>
  <w:style w:type="table" w:styleId="GridTable3-Accent2">
    <w:name w:val="Grid Table 3 Accent 2"/>
    <w:basedOn w:val="TableNormal"/>
    <w:pPr>
      <w:spacing w:after="0" w:line="240" w:lineRule="auto"/>
    </w:pPr>
    <w:rPr>
      <w:rFonts w:ascii="EC Square Sans Pro" w:hAnsi="EC Square Sans Pro"/>
      <w:lang w:eastAsia="en-GB"/>
    </w:rPr>
    <w:tblPr>
      <w:tblStyleRowBandSize w:val="1"/>
      <w:tblStyleColBandSize w:val="1"/>
      <w:tblBorders>
        <w:top w:val="single" w:sz="4" w:space="0" w:color="FD9C54" w:themeColor="accent2" w:themeTint="99"/>
        <w:left w:val="single" w:sz="4" w:space="0" w:color="FD9C54" w:themeColor="accent2" w:themeTint="99"/>
        <w:bottom w:val="single" w:sz="4" w:space="0" w:color="FD9C54" w:themeColor="accent2" w:themeTint="99"/>
        <w:right w:val="single" w:sz="4" w:space="0" w:color="FD9C54" w:themeColor="accent2" w:themeTint="99"/>
        <w:insideH w:val="single" w:sz="4" w:space="0" w:color="FD9C54" w:themeColor="accent2" w:themeTint="99"/>
        <w:insideV w:val="single" w:sz="4" w:space="0" w:color="FD9C5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DEC6" w:themeFill="accent2" w:themeFillTint="33"/>
      </w:tcPr>
    </w:tblStylePr>
    <w:tblStylePr w:type="band1Horz">
      <w:tblPr/>
      <w:tcPr>
        <w:shd w:val="clear" w:color="auto" w:fill="FEDEC6" w:themeFill="accent2" w:themeFillTint="33"/>
      </w:tcPr>
    </w:tblStylePr>
    <w:tblStylePr w:type="neCell">
      <w:tblPr/>
      <w:tcPr>
        <w:tcBorders>
          <w:bottom w:val="single" w:sz="4" w:space="0" w:color="FD9C54" w:themeColor="accent2" w:themeTint="99"/>
        </w:tcBorders>
      </w:tcPr>
    </w:tblStylePr>
    <w:tblStylePr w:type="nwCell">
      <w:tblPr/>
      <w:tcPr>
        <w:tcBorders>
          <w:bottom w:val="single" w:sz="4" w:space="0" w:color="FD9C54" w:themeColor="accent2" w:themeTint="99"/>
        </w:tcBorders>
      </w:tcPr>
    </w:tblStylePr>
    <w:tblStylePr w:type="seCell">
      <w:tblPr/>
      <w:tcPr>
        <w:tcBorders>
          <w:top w:val="single" w:sz="4" w:space="0" w:color="FD9C54" w:themeColor="accent2" w:themeTint="99"/>
        </w:tcBorders>
      </w:tcPr>
    </w:tblStylePr>
    <w:tblStylePr w:type="swCell">
      <w:tblPr/>
      <w:tcPr>
        <w:tcBorders>
          <w:top w:val="single" w:sz="4" w:space="0" w:color="FD9C54" w:themeColor="accent2" w:themeTint="99"/>
        </w:tcBorders>
      </w:tcPr>
    </w:tblStylePr>
  </w:style>
  <w:style w:type="table" w:styleId="GridTable3-Accent3">
    <w:name w:val="Grid Table 3 Accent 3"/>
    <w:basedOn w:val="TableNormal"/>
    <w:pPr>
      <w:spacing w:after="0" w:line="240" w:lineRule="auto"/>
    </w:pPr>
    <w:rPr>
      <w:rFonts w:ascii="EC Square Sans Pro" w:hAnsi="EC Square Sans Pro"/>
      <w:lang w:eastAsia="en-GB"/>
    </w:rPr>
    <w:tblPr>
      <w:tblStyleRowBandSize w:val="1"/>
      <w:tblStyleColBandSize w:val="1"/>
      <w:tblBorders>
        <w:top w:val="single" w:sz="4" w:space="0" w:color="7CB7FE" w:themeColor="accent3" w:themeTint="99"/>
        <w:left w:val="single" w:sz="4" w:space="0" w:color="7CB7FE" w:themeColor="accent3" w:themeTint="99"/>
        <w:bottom w:val="single" w:sz="4" w:space="0" w:color="7CB7FE" w:themeColor="accent3" w:themeTint="99"/>
        <w:right w:val="single" w:sz="4" w:space="0" w:color="7CB7FE" w:themeColor="accent3" w:themeTint="99"/>
        <w:insideH w:val="single" w:sz="4" w:space="0" w:color="7CB7FE" w:themeColor="accent3" w:themeTint="99"/>
        <w:insideV w:val="single" w:sz="4" w:space="0" w:color="7CB7FE"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E7FE" w:themeFill="accent3" w:themeFillTint="33"/>
      </w:tcPr>
    </w:tblStylePr>
    <w:tblStylePr w:type="band1Horz">
      <w:tblPr/>
      <w:tcPr>
        <w:shd w:val="clear" w:color="auto" w:fill="D3E7FE" w:themeFill="accent3" w:themeFillTint="33"/>
      </w:tcPr>
    </w:tblStylePr>
    <w:tblStylePr w:type="neCell">
      <w:tblPr/>
      <w:tcPr>
        <w:tcBorders>
          <w:bottom w:val="single" w:sz="4" w:space="0" w:color="7CB7FE" w:themeColor="accent3" w:themeTint="99"/>
        </w:tcBorders>
      </w:tcPr>
    </w:tblStylePr>
    <w:tblStylePr w:type="nwCell">
      <w:tblPr/>
      <w:tcPr>
        <w:tcBorders>
          <w:bottom w:val="single" w:sz="4" w:space="0" w:color="7CB7FE" w:themeColor="accent3" w:themeTint="99"/>
        </w:tcBorders>
      </w:tcPr>
    </w:tblStylePr>
    <w:tblStylePr w:type="seCell">
      <w:tblPr/>
      <w:tcPr>
        <w:tcBorders>
          <w:top w:val="single" w:sz="4" w:space="0" w:color="7CB7FE" w:themeColor="accent3" w:themeTint="99"/>
        </w:tcBorders>
      </w:tcPr>
    </w:tblStylePr>
    <w:tblStylePr w:type="swCell">
      <w:tblPr/>
      <w:tcPr>
        <w:tcBorders>
          <w:top w:val="single" w:sz="4" w:space="0" w:color="7CB7FE" w:themeColor="accent3" w:themeTint="99"/>
        </w:tcBorders>
      </w:tcPr>
    </w:tblStylePr>
  </w:style>
  <w:style w:type="table" w:styleId="GridTable3-Accent4">
    <w:name w:val="Grid Table 3 Accent 4"/>
    <w:basedOn w:val="TableNormal"/>
    <w:pPr>
      <w:spacing w:after="0" w:line="240" w:lineRule="auto"/>
    </w:pPr>
    <w:rPr>
      <w:rFonts w:ascii="EC Square Sans Pro" w:hAnsi="EC Square Sans Pro"/>
      <w:lang w:eastAsia="en-GB"/>
    </w:rPr>
    <w:tblPr>
      <w:tblStyleRowBandSize w:val="1"/>
      <w:tblStyleColBandSize w:val="1"/>
      <w:tblBorders>
        <w:top w:val="single" w:sz="4" w:space="0" w:color="FDCC6A" w:themeColor="accent4" w:themeTint="99"/>
        <w:left w:val="single" w:sz="4" w:space="0" w:color="FDCC6A" w:themeColor="accent4" w:themeTint="99"/>
        <w:bottom w:val="single" w:sz="4" w:space="0" w:color="FDCC6A" w:themeColor="accent4" w:themeTint="99"/>
        <w:right w:val="single" w:sz="4" w:space="0" w:color="FDCC6A" w:themeColor="accent4" w:themeTint="99"/>
        <w:insideH w:val="single" w:sz="4" w:space="0" w:color="FDCC6A" w:themeColor="accent4" w:themeTint="99"/>
        <w:insideV w:val="single" w:sz="4" w:space="0" w:color="FDCC6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EECD" w:themeFill="accent4" w:themeFillTint="33"/>
      </w:tcPr>
    </w:tblStylePr>
    <w:tblStylePr w:type="band1Horz">
      <w:tblPr/>
      <w:tcPr>
        <w:shd w:val="clear" w:color="auto" w:fill="FEEECD" w:themeFill="accent4" w:themeFillTint="33"/>
      </w:tcPr>
    </w:tblStylePr>
    <w:tblStylePr w:type="neCell">
      <w:tblPr/>
      <w:tcPr>
        <w:tcBorders>
          <w:bottom w:val="single" w:sz="4" w:space="0" w:color="FDCC6A" w:themeColor="accent4" w:themeTint="99"/>
        </w:tcBorders>
      </w:tcPr>
    </w:tblStylePr>
    <w:tblStylePr w:type="nwCell">
      <w:tblPr/>
      <w:tcPr>
        <w:tcBorders>
          <w:bottom w:val="single" w:sz="4" w:space="0" w:color="FDCC6A" w:themeColor="accent4" w:themeTint="99"/>
        </w:tcBorders>
      </w:tcPr>
    </w:tblStylePr>
    <w:tblStylePr w:type="seCell">
      <w:tblPr/>
      <w:tcPr>
        <w:tcBorders>
          <w:top w:val="single" w:sz="4" w:space="0" w:color="FDCC6A" w:themeColor="accent4" w:themeTint="99"/>
        </w:tcBorders>
      </w:tcPr>
    </w:tblStylePr>
    <w:tblStylePr w:type="swCell">
      <w:tblPr/>
      <w:tcPr>
        <w:tcBorders>
          <w:top w:val="single" w:sz="4" w:space="0" w:color="FDCC6A" w:themeColor="accent4" w:themeTint="99"/>
        </w:tcBorders>
      </w:tcPr>
    </w:tblStylePr>
  </w:style>
  <w:style w:type="table" w:styleId="GridTable3-Accent5">
    <w:name w:val="Grid Table 3 Accent 5"/>
    <w:basedOn w:val="TableNormal"/>
    <w:pPr>
      <w:spacing w:after="0" w:line="240" w:lineRule="auto"/>
    </w:pPr>
    <w:rPr>
      <w:rFonts w:ascii="EC Square Sans Pro" w:hAnsi="EC Square Sans Pro"/>
      <w:lang w:eastAsia="en-GB"/>
    </w:rPr>
    <w:tblPr>
      <w:tblStyleRowBandSize w:val="1"/>
      <w:tblStyleColBandSize w:val="1"/>
      <w:tblBorders>
        <w:top w:val="single" w:sz="4" w:space="0" w:color="F06C9B" w:themeColor="accent5" w:themeTint="99"/>
        <w:left w:val="single" w:sz="4" w:space="0" w:color="F06C9B" w:themeColor="accent5" w:themeTint="99"/>
        <w:bottom w:val="single" w:sz="4" w:space="0" w:color="F06C9B" w:themeColor="accent5" w:themeTint="99"/>
        <w:right w:val="single" w:sz="4" w:space="0" w:color="F06C9B" w:themeColor="accent5" w:themeTint="99"/>
        <w:insideH w:val="single" w:sz="4" w:space="0" w:color="F06C9B" w:themeColor="accent5" w:themeTint="99"/>
        <w:insideV w:val="single" w:sz="4" w:space="0" w:color="F06C9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CEDD" w:themeFill="accent5" w:themeFillTint="33"/>
      </w:tcPr>
    </w:tblStylePr>
    <w:tblStylePr w:type="band1Horz">
      <w:tblPr/>
      <w:tcPr>
        <w:shd w:val="clear" w:color="auto" w:fill="FACEDD" w:themeFill="accent5" w:themeFillTint="33"/>
      </w:tcPr>
    </w:tblStylePr>
    <w:tblStylePr w:type="neCell">
      <w:tblPr/>
      <w:tcPr>
        <w:tcBorders>
          <w:bottom w:val="single" w:sz="4" w:space="0" w:color="F06C9B" w:themeColor="accent5" w:themeTint="99"/>
        </w:tcBorders>
      </w:tcPr>
    </w:tblStylePr>
    <w:tblStylePr w:type="nwCell">
      <w:tblPr/>
      <w:tcPr>
        <w:tcBorders>
          <w:bottom w:val="single" w:sz="4" w:space="0" w:color="F06C9B" w:themeColor="accent5" w:themeTint="99"/>
        </w:tcBorders>
      </w:tcPr>
    </w:tblStylePr>
    <w:tblStylePr w:type="seCell">
      <w:tblPr/>
      <w:tcPr>
        <w:tcBorders>
          <w:top w:val="single" w:sz="4" w:space="0" w:color="F06C9B" w:themeColor="accent5" w:themeTint="99"/>
        </w:tcBorders>
      </w:tcPr>
    </w:tblStylePr>
    <w:tblStylePr w:type="swCell">
      <w:tblPr/>
      <w:tcPr>
        <w:tcBorders>
          <w:top w:val="single" w:sz="4" w:space="0" w:color="F06C9B" w:themeColor="accent5" w:themeTint="99"/>
        </w:tcBorders>
      </w:tcPr>
    </w:tblStylePr>
  </w:style>
  <w:style w:type="table" w:styleId="GridTable3-Accent6">
    <w:name w:val="Grid Table 3 Accent 6"/>
    <w:basedOn w:val="TableNormal"/>
    <w:pPr>
      <w:spacing w:after="0" w:line="240" w:lineRule="auto"/>
    </w:pPr>
    <w:rPr>
      <w:rFonts w:ascii="EC Square Sans Pro" w:hAnsi="EC Square Sans Pro"/>
      <w:lang w:eastAsia="en-GB"/>
    </w:rPr>
    <w:tblPr>
      <w:tblStyleRowBandSize w:val="1"/>
      <w:tblStyleColBandSize w:val="1"/>
      <w:tblBorders>
        <w:top w:val="single" w:sz="4" w:space="0" w:color="AB73D5" w:themeColor="accent6" w:themeTint="99"/>
        <w:left w:val="single" w:sz="4" w:space="0" w:color="AB73D5" w:themeColor="accent6" w:themeTint="99"/>
        <w:bottom w:val="single" w:sz="4" w:space="0" w:color="AB73D5" w:themeColor="accent6" w:themeTint="99"/>
        <w:right w:val="single" w:sz="4" w:space="0" w:color="AB73D5" w:themeColor="accent6" w:themeTint="99"/>
        <w:insideH w:val="single" w:sz="4" w:space="0" w:color="AB73D5" w:themeColor="accent6" w:themeTint="99"/>
        <w:insideV w:val="single" w:sz="4" w:space="0" w:color="AB73D5"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D0F1" w:themeFill="accent6" w:themeFillTint="33"/>
      </w:tcPr>
    </w:tblStylePr>
    <w:tblStylePr w:type="band1Horz">
      <w:tblPr/>
      <w:tcPr>
        <w:shd w:val="clear" w:color="auto" w:fill="E2D0F1" w:themeFill="accent6" w:themeFillTint="33"/>
      </w:tcPr>
    </w:tblStylePr>
    <w:tblStylePr w:type="neCell">
      <w:tblPr/>
      <w:tcPr>
        <w:tcBorders>
          <w:bottom w:val="single" w:sz="4" w:space="0" w:color="AB73D5" w:themeColor="accent6" w:themeTint="99"/>
        </w:tcBorders>
      </w:tcPr>
    </w:tblStylePr>
    <w:tblStylePr w:type="nwCell">
      <w:tblPr/>
      <w:tcPr>
        <w:tcBorders>
          <w:bottom w:val="single" w:sz="4" w:space="0" w:color="AB73D5" w:themeColor="accent6" w:themeTint="99"/>
        </w:tcBorders>
      </w:tcPr>
    </w:tblStylePr>
    <w:tblStylePr w:type="seCell">
      <w:tblPr/>
      <w:tcPr>
        <w:tcBorders>
          <w:top w:val="single" w:sz="4" w:space="0" w:color="AB73D5" w:themeColor="accent6" w:themeTint="99"/>
        </w:tcBorders>
      </w:tcPr>
    </w:tblStylePr>
    <w:tblStylePr w:type="swCell">
      <w:tblPr/>
      <w:tcPr>
        <w:tcBorders>
          <w:top w:val="single" w:sz="4" w:space="0" w:color="AB73D5" w:themeColor="accent6" w:themeTint="99"/>
        </w:tcBorders>
      </w:tcPr>
    </w:tblStylePr>
  </w:style>
  <w:style w:type="table" w:styleId="GridTable4">
    <w:name w:val="Grid Table 4"/>
    <w:basedOn w:val="TableNormal"/>
    <w:pPr>
      <w:spacing w:after="0" w:line="240" w:lineRule="auto"/>
    </w:pPr>
    <w:rPr>
      <w:rFonts w:ascii="EC Square Sans Pro" w:hAnsi="EC Square Sans Pro"/>
      <w:lang w:eastAsia="en-GB"/>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pPr>
      <w:spacing w:after="0" w:line="240" w:lineRule="auto"/>
    </w:pPr>
    <w:rPr>
      <w:rFonts w:ascii="EC Square Sans Pro" w:hAnsi="EC Square Sans Pro"/>
      <w:lang w:eastAsia="en-GB"/>
    </w:rPr>
    <w:tblPr>
      <w:tblStyleRowBandSize w:val="1"/>
      <w:tblStyleColBandSize w:val="1"/>
      <w:tblBorders>
        <w:top w:val="single" w:sz="4" w:space="0" w:color="1AFF7E" w:themeColor="accent1" w:themeTint="99"/>
        <w:left w:val="single" w:sz="4" w:space="0" w:color="1AFF7E" w:themeColor="accent1" w:themeTint="99"/>
        <w:bottom w:val="single" w:sz="4" w:space="0" w:color="1AFF7E" w:themeColor="accent1" w:themeTint="99"/>
        <w:right w:val="single" w:sz="4" w:space="0" w:color="1AFF7E" w:themeColor="accent1" w:themeTint="99"/>
        <w:insideH w:val="single" w:sz="4" w:space="0" w:color="1AFF7E" w:themeColor="accent1" w:themeTint="99"/>
        <w:insideV w:val="single" w:sz="4" w:space="0" w:color="1AFF7E" w:themeColor="accent1" w:themeTint="99"/>
      </w:tblBorders>
    </w:tblPr>
    <w:tblStylePr w:type="firstRow">
      <w:rPr>
        <w:b/>
        <w:bCs/>
        <w:color w:val="FFFFFF" w:themeColor="background1"/>
      </w:rPr>
      <w:tblPr/>
      <w:tcPr>
        <w:tcBorders>
          <w:top w:val="single" w:sz="4" w:space="0" w:color="008139" w:themeColor="accent1"/>
          <w:left w:val="single" w:sz="4" w:space="0" w:color="008139" w:themeColor="accent1"/>
          <w:bottom w:val="single" w:sz="4" w:space="0" w:color="008139" w:themeColor="accent1"/>
          <w:right w:val="single" w:sz="4" w:space="0" w:color="008139" w:themeColor="accent1"/>
          <w:insideH w:val="nil"/>
          <w:insideV w:val="nil"/>
        </w:tcBorders>
        <w:shd w:val="clear" w:color="auto" w:fill="008139" w:themeFill="accent1"/>
      </w:tcPr>
    </w:tblStylePr>
    <w:tblStylePr w:type="lastRow">
      <w:rPr>
        <w:b/>
        <w:bCs/>
      </w:rPr>
      <w:tblPr/>
      <w:tcPr>
        <w:tcBorders>
          <w:top w:val="double" w:sz="4" w:space="0" w:color="008139" w:themeColor="accent1"/>
        </w:tcBorders>
      </w:tcPr>
    </w:tblStylePr>
    <w:tblStylePr w:type="firstCol">
      <w:rPr>
        <w:b/>
        <w:bCs/>
      </w:rPr>
    </w:tblStylePr>
    <w:tblStylePr w:type="lastCol">
      <w:rPr>
        <w:b/>
        <w:bCs/>
      </w:rPr>
    </w:tblStylePr>
    <w:tblStylePr w:type="band1Vert">
      <w:tblPr/>
      <w:tcPr>
        <w:shd w:val="clear" w:color="auto" w:fill="B2FFD4" w:themeFill="accent1" w:themeFillTint="33"/>
      </w:tcPr>
    </w:tblStylePr>
    <w:tblStylePr w:type="band1Horz">
      <w:tblPr/>
      <w:tcPr>
        <w:shd w:val="clear" w:color="auto" w:fill="B2FFD4" w:themeFill="accent1" w:themeFillTint="33"/>
      </w:tcPr>
    </w:tblStylePr>
  </w:style>
  <w:style w:type="table" w:styleId="GridTable4-Accent2">
    <w:name w:val="Grid Table 4 Accent 2"/>
    <w:basedOn w:val="TableNormal"/>
    <w:pPr>
      <w:spacing w:after="0" w:line="240" w:lineRule="auto"/>
    </w:pPr>
    <w:rPr>
      <w:rFonts w:ascii="EC Square Sans Pro" w:hAnsi="EC Square Sans Pro"/>
      <w:lang w:eastAsia="en-GB"/>
    </w:rPr>
    <w:tblPr>
      <w:tblStyleRowBandSize w:val="1"/>
      <w:tblStyleColBandSize w:val="1"/>
      <w:tblBorders>
        <w:top w:val="single" w:sz="4" w:space="0" w:color="FD9C54" w:themeColor="accent2" w:themeTint="99"/>
        <w:left w:val="single" w:sz="4" w:space="0" w:color="FD9C54" w:themeColor="accent2" w:themeTint="99"/>
        <w:bottom w:val="single" w:sz="4" w:space="0" w:color="FD9C54" w:themeColor="accent2" w:themeTint="99"/>
        <w:right w:val="single" w:sz="4" w:space="0" w:color="FD9C54" w:themeColor="accent2" w:themeTint="99"/>
        <w:insideH w:val="single" w:sz="4" w:space="0" w:color="FD9C54" w:themeColor="accent2" w:themeTint="99"/>
        <w:insideV w:val="single" w:sz="4" w:space="0" w:color="FD9C54" w:themeColor="accent2" w:themeTint="99"/>
      </w:tblBorders>
    </w:tblPr>
    <w:tblStylePr w:type="firstRow">
      <w:rPr>
        <w:b/>
        <w:bCs/>
        <w:color w:val="FFFFFF" w:themeColor="background1"/>
      </w:rPr>
      <w:tblPr/>
      <w:tcPr>
        <w:tcBorders>
          <w:top w:val="single" w:sz="4" w:space="0" w:color="DE6002" w:themeColor="accent2"/>
          <w:left w:val="single" w:sz="4" w:space="0" w:color="DE6002" w:themeColor="accent2"/>
          <w:bottom w:val="single" w:sz="4" w:space="0" w:color="DE6002" w:themeColor="accent2"/>
          <w:right w:val="single" w:sz="4" w:space="0" w:color="DE6002" w:themeColor="accent2"/>
          <w:insideH w:val="nil"/>
          <w:insideV w:val="nil"/>
        </w:tcBorders>
        <w:shd w:val="clear" w:color="auto" w:fill="DE6002" w:themeFill="accent2"/>
      </w:tcPr>
    </w:tblStylePr>
    <w:tblStylePr w:type="lastRow">
      <w:rPr>
        <w:b/>
        <w:bCs/>
      </w:rPr>
      <w:tblPr/>
      <w:tcPr>
        <w:tcBorders>
          <w:top w:val="double" w:sz="4" w:space="0" w:color="DE6002" w:themeColor="accent2"/>
        </w:tcBorders>
      </w:tcPr>
    </w:tblStylePr>
    <w:tblStylePr w:type="firstCol">
      <w:rPr>
        <w:b/>
        <w:bCs/>
      </w:rPr>
    </w:tblStylePr>
    <w:tblStylePr w:type="lastCol">
      <w:rPr>
        <w:b/>
        <w:bCs/>
      </w:rPr>
    </w:tblStylePr>
    <w:tblStylePr w:type="band1Vert">
      <w:tblPr/>
      <w:tcPr>
        <w:shd w:val="clear" w:color="auto" w:fill="FEDEC6" w:themeFill="accent2" w:themeFillTint="33"/>
      </w:tcPr>
    </w:tblStylePr>
    <w:tblStylePr w:type="band1Horz">
      <w:tblPr/>
      <w:tcPr>
        <w:shd w:val="clear" w:color="auto" w:fill="FEDEC6" w:themeFill="accent2" w:themeFillTint="33"/>
      </w:tcPr>
    </w:tblStylePr>
  </w:style>
  <w:style w:type="table" w:styleId="GridTable4-Accent3">
    <w:name w:val="Grid Table 4 Accent 3"/>
    <w:basedOn w:val="TableNormal"/>
    <w:pPr>
      <w:spacing w:after="0" w:line="240" w:lineRule="auto"/>
    </w:pPr>
    <w:rPr>
      <w:rFonts w:ascii="EC Square Sans Pro" w:hAnsi="EC Square Sans Pro"/>
      <w:lang w:eastAsia="en-GB"/>
    </w:rPr>
    <w:tblPr>
      <w:tblStyleRowBandSize w:val="1"/>
      <w:tblStyleColBandSize w:val="1"/>
      <w:tblBorders>
        <w:top w:val="single" w:sz="4" w:space="0" w:color="7CB7FE" w:themeColor="accent3" w:themeTint="99"/>
        <w:left w:val="single" w:sz="4" w:space="0" w:color="7CB7FE" w:themeColor="accent3" w:themeTint="99"/>
        <w:bottom w:val="single" w:sz="4" w:space="0" w:color="7CB7FE" w:themeColor="accent3" w:themeTint="99"/>
        <w:right w:val="single" w:sz="4" w:space="0" w:color="7CB7FE" w:themeColor="accent3" w:themeTint="99"/>
        <w:insideH w:val="single" w:sz="4" w:space="0" w:color="7CB7FE" w:themeColor="accent3" w:themeTint="99"/>
        <w:insideV w:val="single" w:sz="4" w:space="0" w:color="7CB7FE" w:themeColor="accent3" w:themeTint="99"/>
      </w:tblBorders>
    </w:tblPr>
    <w:tblStylePr w:type="firstRow">
      <w:rPr>
        <w:b/>
        <w:bCs/>
        <w:color w:val="FFFFFF" w:themeColor="background1"/>
      </w:rPr>
      <w:tblPr/>
      <w:tcPr>
        <w:tcBorders>
          <w:top w:val="single" w:sz="4" w:space="0" w:color="2688FE" w:themeColor="accent3"/>
          <w:left w:val="single" w:sz="4" w:space="0" w:color="2688FE" w:themeColor="accent3"/>
          <w:bottom w:val="single" w:sz="4" w:space="0" w:color="2688FE" w:themeColor="accent3"/>
          <w:right w:val="single" w:sz="4" w:space="0" w:color="2688FE" w:themeColor="accent3"/>
          <w:insideH w:val="nil"/>
          <w:insideV w:val="nil"/>
        </w:tcBorders>
        <w:shd w:val="clear" w:color="auto" w:fill="2688FE" w:themeFill="accent3"/>
      </w:tcPr>
    </w:tblStylePr>
    <w:tblStylePr w:type="lastRow">
      <w:rPr>
        <w:b/>
        <w:bCs/>
      </w:rPr>
      <w:tblPr/>
      <w:tcPr>
        <w:tcBorders>
          <w:top w:val="double" w:sz="4" w:space="0" w:color="2688FE" w:themeColor="accent3"/>
        </w:tcBorders>
      </w:tcPr>
    </w:tblStylePr>
    <w:tblStylePr w:type="firstCol">
      <w:rPr>
        <w:b/>
        <w:bCs/>
      </w:rPr>
    </w:tblStylePr>
    <w:tblStylePr w:type="lastCol">
      <w:rPr>
        <w:b/>
        <w:bCs/>
      </w:rPr>
    </w:tblStylePr>
    <w:tblStylePr w:type="band1Vert">
      <w:tblPr/>
      <w:tcPr>
        <w:shd w:val="clear" w:color="auto" w:fill="D3E7FE" w:themeFill="accent3" w:themeFillTint="33"/>
      </w:tcPr>
    </w:tblStylePr>
    <w:tblStylePr w:type="band1Horz">
      <w:tblPr/>
      <w:tcPr>
        <w:shd w:val="clear" w:color="auto" w:fill="D3E7FE" w:themeFill="accent3" w:themeFillTint="33"/>
      </w:tcPr>
    </w:tblStylePr>
  </w:style>
  <w:style w:type="table" w:styleId="GridTable4-Accent4">
    <w:name w:val="Grid Table 4 Accent 4"/>
    <w:basedOn w:val="TableNormal"/>
    <w:pPr>
      <w:spacing w:after="0" w:line="240" w:lineRule="auto"/>
    </w:pPr>
    <w:rPr>
      <w:rFonts w:ascii="EC Square Sans Pro" w:hAnsi="EC Square Sans Pro"/>
      <w:lang w:eastAsia="en-GB"/>
    </w:rPr>
    <w:tblPr>
      <w:tblStyleRowBandSize w:val="1"/>
      <w:tblStyleColBandSize w:val="1"/>
      <w:tblBorders>
        <w:top w:val="single" w:sz="4" w:space="0" w:color="FDCC6A" w:themeColor="accent4" w:themeTint="99"/>
        <w:left w:val="single" w:sz="4" w:space="0" w:color="FDCC6A" w:themeColor="accent4" w:themeTint="99"/>
        <w:bottom w:val="single" w:sz="4" w:space="0" w:color="FDCC6A" w:themeColor="accent4" w:themeTint="99"/>
        <w:right w:val="single" w:sz="4" w:space="0" w:color="FDCC6A" w:themeColor="accent4" w:themeTint="99"/>
        <w:insideH w:val="single" w:sz="4" w:space="0" w:color="FDCC6A" w:themeColor="accent4" w:themeTint="99"/>
        <w:insideV w:val="single" w:sz="4" w:space="0" w:color="FDCC6A" w:themeColor="accent4" w:themeTint="99"/>
      </w:tblBorders>
    </w:tblPr>
    <w:tblStylePr w:type="firstRow">
      <w:rPr>
        <w:b/>
        <w:bCs/>
        <w:color w:val="FFFFFF" w:themeColor="background1"/>
      </w:rPr>
      <w:tblPr/>
      <w:tcPr>
        <w:tcBorders>
          <w:top w:val="single" w:sz="4" w:space="0" w:color="FDAB07" w:themeColor="accent4"/>
          <w:left w:val="single" w:sz="4" w:space="0" w:color="FDAB07" w:themeColor="accent4"/>
          <w:bottom w:val="single" w:sz="4" w:space="0" w:color="FDAB07" w:themeColor="accent4"/>
          <w:right w:val="single" w:sz="4" w:space="0" w:color="FDAB07" w:themeColor="accent4"/>
          <w:insideH w:val="nil"/>
          <w:insideV w:val="nil"/>
        </w:tcBorders>
        <w:shd w:val="clear" w:color="auto" w:fill="FDAB07" w:themeFill="accent4"/>
      </w:tcPr>
    </w:tblStylePr>
    <w:tblStylePr w:type="lastRow">
      <w:rPr>
        <w:b/>
        <w:bCs/>
      </w:rPr>
      <w:tblPr/>
      <w:tcPr>
        <w:tcBorders>
          <w:top w:val="double" w:sz="4" w:space="0" w:color="FDAB07" w:themeColor="accent4"/>
        </w:tcBorders>
      </w:tcPr>
    </w:tblStylePr>
    <w:tblStylePr w:type="firstCol">
      <w:rPr>
        <w:b/>
        <w:bCs/>
      </w:rPr>
    </w:tblStylePr>
    <w:tblStylePr w:type="lastCol">
      <w:rPr>
        <w:b/>
        <w:bCs/>
      </w:rPr>
    </w:tblStylePr>
    <w:tblStylePr w:type="band1Vert">
      <w:tblPr/>
      <w:tcPr>
        <w:shd w:val="clear" w:color="auto" w:fill="FEEECD" w:themeFill="accent4" w:themeFillTint="33"/>
      </w:tcPr>
    </w:tblStylePr>
    <w:tblStylePr w:type="band1Horz">
      <w:tblPr/>
      <w:tcPr>
        <w:shd w:val="clear" w:color="auto" w:fill="FEEECD" w:themeFill="accent4" w:themeFillTint="33"/>
      </w:tcPr>
    </w:tblStylePr>
  </w:style>
  <w:style w:type="table" w:styleId="GridTable4-Accent5">
    <w:name w:val="Grid Table 4 Accent 5"/>
    <w:basedOn w:val="TableNormal"/>
    <w:pPr>
      <w:spacing w:after="0" w:line="240" w:lineRule="auto"/>
    </w:pPr>
    <w:rPr>
      <w:rFonts w:ascii="EC Square Sans Pro" w:hAnsi="EC Square Sans Pro"/>
      <w:lang w:eastAsia="en-GB"/>
    </w:rPr>
    <w:tblPr>
      <w:tblStyleRowBandSize w:val="1"/>
      <w:tblStyleColBandSize w:val="1"/>
      <w:tblBorders>
        <w:top w:val="single" w:sz="4" w:space="0" w:color="F06C9B" w:themeColor="accent5" w:themeTint="99"/>
        <w:left w:val="single" w:sz="4" w:space="0" w:color="F06C9B" w:themeColor="accent5" w:themeTint="99"/>
        <w:bottom w:val="single" w:sz="4" w:space="0" w:color="F06C9B" w:themeColor="accent5" w:themeTint="99"/>
        <w:right w:val="single" w:sz="4" w:space="0" w:color="F06C9B" w:themeColor="accent5" w:themeTint="99"/>
        <w:insideH w:val="single" w:sz="4" w:space="0" w:color="F06C9B" w:themeColor="accent5" w:themeTint="99"/>
        <w:insideV w:val="single" w:sz="4" w:space="0" w:color="F06C9B" w:themeColor="accent5" w:themeTint="99"/>
      </w:tblBorders>
    </w:tblPr>
    <w:tblStylePr w:type="firstRow">
      <w:rPr>
        <w:b/>
        <w:bCs/>
        <w:color w:val="FFFFFF" w:themeColor="background1"/>
      </w:rPr>
      <w:tblPr/>
      <w:tcPr>
        <w:tcBorders>
          <w:top w:val="single" w:sz="4" w:space="0" w:color="DC165D" w:themeColor="accent5"/>
          <w:left w:val="single" w:sz="4" w:space="0" w:color="DC165D" w:themeColor="accent5"/>
          <w:bottom w:val="single" w:sz="4" w:space="0" w:color="DC165D" w:themeColor="accent5"/>
          <w:right w:val="single" w:sz="4" w:space="0" w:color="DC165D" w:themeColor="accent5"/>
          <w:insideH w:val="nil"/>
          <w:insideV w:val="nil"/>
        </w:tcBorders>
        <w:shd w:val="clear" w:color="auto" w:fill="DC165D" w:themeFill="accent5"/>
      </w:tcPr>
    </w:tblStylePr>
    <w:tblStylePr w:type="lastRow">
      <w:rPr>
        <w:b/>
        <w:bCs/>
      </w:rPr>
      <w:tblPr/>
      <w:tcPr>
        <w:tcBorders>
          <w:top w:val="double" w:sz="4" w:space="0" w:color="DC165D" w:themeColor="accent5"/>
        </w:tcBorders>
      </w:tcPr>
    </w:tblStylePr>
    <w:tblStylePr w:type="firstCol">
      <w:rPr>
        <w:b/>
        <w:bCs/>
      </w:rPr>
    </w:tblStylePr>
    <w:tblStylePr w:type="lastCol">
      <w:rPr>
        <w:b/>
        <w:bCs/>
      </w:rPr>
    </w:tblStylePr>
    <w:tblStylePr w:type="band1Vert">
      <w:tblPr/>
      <w:tcPr>
        <w:shd w:val="clear" w:color="auto" w:fill="FACEDD" w:themeFill="accent5" w:themeFillTint="33"/>
      </w:tcPr>
    </w:tblStylePr>
    <w:tblStylePr w:type="band1Horz">
      <w:tblPr/>
      <w:tcPr>
        <w:shd w:val="clear" w:color="auto" w:fill="FACEDD" w:themeFill="accent5" w:themeFillTint="33"/>
      </w:tcPr>
    </w:tblStylePr>
  </w:style>
  <w:style w:type="table" w:styleId="GridTable4-Accent6">
    <w:name w:val="Grid Table 4 Accent 6"/>
    <w:basedOn w:val="TableNormal"/>
    <w:pPr>
      <w:spacing w:after="0" w:line="240" w:lineRule="auto"/>
    </w:pPr>
    <w:rPr>
      <w:rFonts w:ascii="EC Square Sans Pro" w:hAnsi="EC Square Sans Pro"/>
      <w:lang w:eastAsia="en-GB"/>
    </w:rPr>
    <w:tblPr>
      <w:tblStyleRowBandSize w:val="1"/>
      <w:tblStyleColBandSize w:val="1"/>
      <w:tblBorders>
        <w:top w:val="single" w:sz="4" w:space="0" w:color="AB73D5" w:themeColor="accent6" w:themeTint="99"/>
        <w:left w:val="single" w:sz="4" w:space="0" w:color="AB73D5" w:themeColor="accent6" w:themeTint="99"/>
        <w:bottom w:val="single" w:sz="4" w:space="0" w:color="AB73D5" w:themeColor="accent6" w:themeTint="99"/>
        <w:right w:val="single" w:sz="4" w:space="0" w:color="AB73D5" w:themeColor="accent6" w:themeTint="99"/>
        <w:insideH w:val="single" w:sz="4" w:space="0" w:color="AB73D5" w:themeColor="accent6" w:themeTint="99"/>
        <w:insideV w:val="single" w:sz="4" w:space="0" w:color="AB73D5" w:themeColor="accent6" w:themeTint="99"/>
      </w:tblBorders>
    </w:tblPr>
    <w:tblStylePr w:type="firstRow">
      <w:rPr>
        <w:b/>
        <w:bCs/>
        <w:color w:val="FFFFFF" w:themeColor="background1"/>
      </w:rPr>
      <w:tblPr/>
      <w:tcPr>
        <w:tcBorders>
          <w:top w:val="single" w:sz="4" w:space="0" w:color="7030A0" w:themeColor="accent6"/>
          <w:left w:val="single" w:sz="4" w:space="0" w:color="7030A0" w:themeColor="accent6"/>
          <w:bottom w:val="single" w:sz="4" w:space="0" w:color="7030A0" w:themeColor="accent6"/>
          <w:right w:val="single" w:sz="4" w:space="0" w:color="7030A0" w:themeColor="accent6"/>
          <w:insideH w:val="nil"/>
          <w:insideV w:val="nil"/>
        </w:tcBorders>
        <w:shd w:val="clear" w:color="auto" w:fill="7030A0" w:themeFill="accent6"/>
      </w:tcPr>
    </w:tblStylePr>
    <w:tblStylePr w:type="lastRow">
      <w:rPr>
        <w:b/>
        <w:bCs/>
      </w:rPr>
      <w:tblPr/>
      <w:tcPr>
        <w:tcBorders>
          <w:top w:val="double" w:sz="4" w:space="0" w:color="7030A0" w:themeColor="accent6"/>
        </w:tcBorders>
      </w:tc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GridTable5Dark">
    <w:name w:val="Grid Table 5 Dark"/>
    <w:basedOn w:val="TableNormal"/>
    <w:pPr>
      <w:spacing w:after="0" w:line="240" w:lineRule="auto"/>
    </w:pPr>
    <w:rPr>
      <w:rFonts w:ascii="EC Square Sans Pro" w:hAnsi="EC Square Sans Pro"/>
      <w:lang w:eastAsia="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pPr>
      <w:spacing w:after="0" w:line="240" w:lineRule="auto"/>
    </w:pPr>
    <w:rPr>
      <w:rFonts w:ascii="EC Square Sans Pro" w:hAnsi="EC Square Sans Pro"/>
      <w:lang w:eastAsia="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2FFD4"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8139"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8139"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8139"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8139" w:themeFill="accent1"/>
      </w:tcPr>
    </w:tblStylePr>
    <w:tblStylePr w:type="band1Vert">
      <w:tblPr/>
      <w:tcPr>
        <w:shd w:val="clear" w:color="auto" w:fill="66FFA9" w:themeFill="accent1" w:themeFillTint="66"/>
      </w:tcPr>
    </w:tblStylePr>
    <w:tblStylePr w:type="band1Horz">
      <w:tblPr/>
      <w:tcPr>
        <w:shd w:val="clear" w:color="auto" w:fill="66FFA9" w:themeFill="accent1" w:themeFillTint="66"/>
      </w:tcPr>
    </w:tblStylePr>
  </w:style>
  <w:style w:type="table" w:styleId="GridTable5Dark-Accent2">
    <w:name w:val="Grid Table 5 Dark Accent 2"/>
    <w:basedOn w:val="TableNormal"/>
    <w:pPr>
      <w:spacing w:after="0" w:line="240" w:lineRule="auto"/>
    </w:pPr>
    <w:rPr>
      <w:rFonts w:ascii="EC Square Sans Pro" w:hAnsi="EC Square Sans Pro"/>
      <w:lang w:eastAsia="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EDEC6"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E600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E600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E600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E6002" w:themeFill="accent2"/>
      </w:tcPr>
    </w:tblStylePr>
    <w:tblStylePr w:type="band1Vert">
      <w:tblPr/>
      <w:tcPr>
        <w:shd w:val="clear" w:color="auto" w:fill="FEBD8D" w:themeFill="accent2" w:themeFillTint="66"/>
      </w:tcPr>
    </w:tblStylePr>
    <w:tblStylePr w:type="band1Horz">
      <w:tblPr/>
      <w:tcPr>
        <w:shd w:val="clear" w:color="auto" w:fill="FEBD8D" w:themeFill="accent2" w:themeFillTint="66"/>
      </w:tcPr>
    </w:tblStylePr>
  </w:style>
  <w:style w:type="table" w:styleId="GridTable5Dark-Accent3">
    <w:name w:val="Grid Table 5 Dark Accent 3"/>
    <w:basedOn w:val="TableNormal"/>
    <w:pPr>
      <w:spacing w:after="0" w:line="240" w:lineRule="auto"/>
    </w:pPr>
    <w:rPr>
      <w:rFonts w:ascii="EC Square Sans Pro" w:hAnsi="EC Square Sans Pro"/>
      <w:lang w:eastAsia="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E7FE"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688FE"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688FE"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688FE"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688FE" w:themeFill="accent3"/>
      </w:tcPr>
    </w:tblStylePr>
    <w:tblStylePr w:type="band1Vert">
      <w:tblPr/>
      <w:tcPr>
        <w:shd w:val="clear" w:color="auto" w:fill="A8CFFE" w:themeFill="accent3" w:themeFillTint="66"/>
      </w:tcPr>
    </w:tblStylePr>
    <w:tblStylePr w:type="band1Horz">
      <w:tblPr/>
      <w:tcPr>
        <w:shd w:val="clear" w:color="auto" w:fill="A8CFFE" w:themeFill="accent3" w:themeFillTint="66"/>
      </w:tcPr>
    </w:tblStylePr>
  </w:style>
  <w:style w:type="table" w:styleId="GridTable5Dark-Accent4">
    <w:name w:val="Grid Table 5 Dark Accent 4"/>
    <w:basedOn w:val="TableNormal"/>
    <w:pPr>
      <w:spacing w:after="0" w:line="240" w:lineRule="auto"/>
    </w:pPr>
    <w:rPr>
      <w:rFonts w:ascii="EC Square Sans Pro" w:hAnsi="EC Square Sans Pro"/>
      <w:lang w:eastAsia="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EEECD"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DAB0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DAB0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DAB0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DAB07" w:themeFill="accent4"/>
      </w:tcPr>
    </w:tblStylePr>
    <w:tblStylePr w:type="band1Vert">
      <w:tblPr/>
      <w:tcPr>
        <w:shd w:val="clear" w:color="auto" w:fill="FEDD9B" w:themeFill="accent4" w:themeFillTint="66"/>
      </w:tcPr>
    </w:tblStylePr>
    <w:tblStylePr w:type="band1Horz">
      <w:tblPr/>
      <w:tcPr>
        <w:shd w:val="clear" w:color="auto" w:fill="FEDD9B" w:themeFill="accent4" w:themeFillTint="66"/>
      </w:tcPr>
    </w:tblStylePr>
  </w:style>
  <w:style w:type="table" w:styleId="GridTable5Dark-Accent5">
    <w:name w:val="Grid Table 5 Dark Accent 5"/>
    <w:basedOn w:val="TableNormal"/>
    <w:pPr>
      <w:spacing w:after="0" w:line="240" w:lineRule="auto"/>
    </w:pPr>
    <w:rPr>
      <w:rFonts w:ascii="EC Square Sans Pro" w:hAnsi="EC Square Sans Pro"/>
      <w:lang w:eastAsia="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CED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C165D"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C165D"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C165D"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C165D" w:themeFill="accent5"/>
      </w:tcPr>
    </w:tblStylePr>
    <w:tblStylePr w:type="band1Vert">
      <w:tblPr/>
      <w:tcPr>
        <w:shd w:val="clear" w:color="auto" w:fill="F59DBC" w:themeFill="accent5" w:themeFillTint="66"/>
      </w:tcPr>
    </w:tblStylePr>
    <w:tblStylePr w:type="band1Horz">
      <w:tblPr/>
      <w:tcPr>
        <w:shd w:val="clear" w:color="auto" w:fill="F59DBC" w:themeFill="accent5" w:themeFillTint="66"/>
      </w:tcPr>
    </w:tblStylePr>
  </w:style>
  <w:style w:type="table" w:styleId="GridTable5Dark-Accent6">
    <w:name w:val="Grid Table 5 Dark Accent 6"/>
    <w:basedOn w:val="TableNormal"/>
    <w:pPr>
      <w:spacing w:after="0" w:line="240" w:lineRule="auto"/>
    </w:pPr>
    <w:rPr>
      <w:rFonts w:ascii="EC Square Sans Pro" w:hAnsi="EC Square Sans Pro"/>
      <w:lang w:eastAsia="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D0F1"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30A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30A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30A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30A0" w:themeFill="accent6"/>
      </w:tcPr>
    </w:tblStylePr>
    <w:tblStylePr w:type="band1Vert">
      <w:tblPr/>
      <w:tcPr>
        <w:shd w:val="clear" w:color="auto" w:fill="C6A1E3" w:themeFill="accent6" w:themeFillTint="66"/>
      </w:tcPr>
    </w:tblStylePr>
    <w:tblStylePr w:type="band1Horz">
      <w:tblPr/>
      <w:tcPr>
        <w:shd w:val="clear" w:color="auto" w:fill="C6A1E3" w:themeFill="accent6" w:themeFillTint="66"/>
      </w:tcPr>
    </w:tblStylePr>
  </w:style>
  <w:style w:type="table" w:styleId="GridTable6Colorful">
    <w:name w:val="Grid Table 6 Colorful"/>
    <w:basedOn w:val="TableNormal"/>
    <w:pPr>
      <w:spacing w:after="0" w:line="240" w:lineRule="auto"/>
    </w:pPr>
    <w:rPr>
      <w:rFonts w:ascii="EC Square Sans Pro" w:hAnsi="EC Square Sans Pro"/>
      <w:color w:val="000000" w:themeColor="text1"/>
      <w:lang w:eastAsia="en-GB"/>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pPr>
      <w:spacing w:after="0" w:line="240" w:lineRule="auto"/>
    </w:pPr>
    <w:rPr>
      <w:rFonts w:ascii="EC Square Sans Pro" w:hAnsi="EC Square Sans Pro"/>
      <w:color w:val="00602A" w:themeColor="accent1" w:themeShade="BF"/>
      <w:lang w:eastAsia="en-GB"/>
    </w:rPr>
    <w:tblPr>
      <w:tblStyleRowBandSize w:val="1"/>
      <w:tblStyleColBandSize w:val="1"/>
      <w:tblBorders>
        <w:top w:val="single" w:sz="4" w:space="0" w:color="1AFF7E" w:themeColor="accent1" w:themeTint="99"/>
        <w:left w:val="single" w:sz="4" w:space="0" w:color="1AFF7E" w:themeColor="accent1" w:themeTint="99"/>
        <w:bottom w:val="single" w:sz="4" w:space="0" w:color="1AFF7E" w:themeColor="accent1" w:themeTint="99"/>
        <w:right w:val="single" w:sz="4" w:space="0" w:color="1AFF7E" w:themeColor="accent1" w:themeTint="99"/>
        <w:insideH w:val="single" w:sz="4" w:space="0" w:color="1AFF7E" w:themeColor="accent1" w:themeTint="99"/>
        <w:insideV w:val="single" w:sz="4" w:space="0" w:color="1AFF7E" w:themeColor="accent1" w:themeTint="99"/>
      </w:tblBorders>
    </w:tblPr>
    <w:tblStylePr w:type="firstRow">
      <w:rPr>
        <w:b/>
        <w:bCs/>
      </w:rPr>
      <w:tblPr/>
      <w:tcPr>
        <w:tcBorders>
          <w:bottom w:val="single" w:sz="12" w:space="0" w:color="1AFF7E" w:themeColor="accent1" w:themeTint="99"/>
        </w:tcBorders>
      </w:tcPr>
    </w:tblStylePr>
    <w:tblStylePr w:type="lastRow">
      <w:rPr>
        <w:b/>
        <w:bCs/>
      </w:rPr>
      <w:tblPr/>
      <w:tcPr>
        <w:tcBorders>
          <w:top w:val="double" w:sz="4" w:space="0" w:color="1AFF7E" w:themeColor="accent1" w:themeTint="99"/>
        </w:tcBorders>
      </w:tcPr>
    </w:tblStylePr>
    <w:tblStylePr w:type="firstCol">
      <w:rPr>
        <w:b/>
        <w:bCs/>
      </w:rPr>
    </w:tblStylePr>
    <w:tblStylePr w:type="lastCol">
      <w:rPr>
        <w:b/>
        <w:bCs/>
      </w:rPr>
    </w:tblStylePr>
    <w:tblStylePr w:type="band1Vert">
      <w:tblPr/>
      <w:tcPr>
        <w:shd w:val="clear" w:color="auto" w:fill="B2FFD4" w:themeFill="accent1" w:themeFillTint="33"/>
      </w:tcPr>
    </w:tblStylePr>
    <w:tblStylePr w:type="band1Horz">
      <w:tblPr/>
      <w:tcPr>
        <w:shd w:val="clear" w:color="auto" w:fill="B2FFD4" w:themeFill="accent1" w:themeFillTint="33"/>
      </w:tcPr>
    </w:tblStylePr>
  </w:style>
  <w:style w:type="table" w:styleId="GridTable6Colorful-Accent2">
    <w:name w:val="Grid Table 6 Colorful Accent 2"/>
    <w:basedOn w:val="TableNormal"/>
    <w:pPr>
      <w:spacing w:after="0" w:line="240" w:lineRule="auto"/>
    </w:pPr>
    <w:rPr>
      <w:rFonts w:ascii="EC Square Sans Pro" w:hAnsi="EC Square Sans Pro"/>
      <w:color w:val="A64701" w:themeColor="accent2" w:themeShade="BF"/>
      <w:lang w:eastAsia="en-GB"/>
    </w:rPr>
    <w:tblPr>
      <w:tblStyleRowBandSize w:val="1"/>
      <w:tblStyleColBandSize w:val="1"/>
      <w:tblBorders>
        <w:top w:val="single" w:sz="4" w:space="0" w:color="FD9C54" w:themeColor="accent2" w:themeTint="99"/>
        <w:left w:val="single" w:sz="4" w:space="0" w:color="FD9C54" w:themeColor="accent2" w:themeTint="99"/>
        <w:bottom w:val="single" w:sz="4" w:space="0" w:color="FD9C54" w:themeColor="accent2" w:themeTint="99"/>
        <w:right w:val="single" w:sz="4" w:space="0" w:color="FD9C54" w:themeColor="accent2" w:themeTint="99"/>
        <w:insideH w:val="single" w:sz="4" w:space="0" w:color="FD9C54" w:themeColor="accent2" w:themeTint="99"/>
        <w:insideV w:val="single" w:sz="4" w:space="0" w:color="FD9C54" w:themeColor="accent2" w:themeTint="99"/>
      </w:tblBorders>
    </w:tblPr>
    <w:tblStylePr w:type="firstRow">
      <w:rPr>
        <w:b/>
        <w:bCs/>
      </w:rPr>
      <w:tblPr/>
      <w:tcPr>
        <w:tcBorders>
          <w:bottom w:val="single" w:sz="12" w:space="0" w:color="FD9C54" w:themeColor="accent2" w:themeTint="99"/>
        </w:tcBorders>
      </w:tcPr>
    </w:tblStylePr>
    <w:tblStylePr w:type="lastRow">
      <w:rPr>
        <w:b/>
        <w:bCs/>
      </w:rPr>
      <w:tblPr/>
      <w:tcPr>
        <w:tcBorders>
          <w:top w:val="double" w:sz="4" w:space="0" w:color="FD9C54" w:themeColor="accent2" w:themeTint="99"/>
        </w:tcBorders>
      </w:tcPr>
    </w:tblStylePr>
    <w:tblStylePr w:type="firstCol">
      <w:rPr>
        <w:b/>
        <w:bCs/>
      </w:rPr>
    </w:tblStylePr>
    <w:tblStylePr w:type="lastCol">
      <w:rPr>
        <w:b/>
        <w:bCs/>
      </w:rPr>
    </w:tblStylePr>
    <w:tblStylePr w:type="band1Vert">
      <w:tblPr/>
      <w:tcPr>
        <w:shd w:val="clear" w:color="auto" w:fill="FEDEC6" w:themeFill="accent2" w:themeFillTint="33"/>
      </w:tcPr>
    </w:tblStylePr>
    <w:tblStylePr w:type="band1Horz">
      <w:tblPr/>
      <w:tcPr>
        <w:shd w:val="clear" w:color="auto" w:fill="FEDEC6" w:themeFill="accent2" w:themeFillTint="33"/>
      </w:tcPr>
    </w:tblStylePr>
  </w:style>
  <w:style w:type="table" w:styleId="GridTable6Colorful-Accent3">
    <w:name w:val="Grid Table 6 Colorful Accent 3"/>
    <w:basedOn w:val="TableNormal"/>
    <w:pPr>
      <w:spacing w:after="0" w:line="240" w:lineRule="auto"/>
    </w:pPr>
    <w:rPr>
      <w:rFonts w:ascii="EC Square Sans Pro" w:hAnsi="EC Square Sans Pro"/>
      <w:color w:val="0162D9" w:themeColor="accent3" w:themeShade="BF"/>
      <w:lang w:eastAsia="en-GB"/>
    </w:rPr>
    <w:tblPr>
      <w:tblStyleRowBandSize w:val="1"/>
      <w:tblStyleColBandSize w:val="1"/>
      <w:tblBorders>
        <w:top w:val="single" w:sz="4" w:space="0" w:color="7CB7FE" w:themeColor="accent3" w:themeTint="99"/>
        <w:left w:val="single" w:sz="4" w:space="0" w:color="7CB7FE" w:themeColor="accent3" w:themeTint="99"/>
        <w:bottom w:val="single" w:sz="4" w:space="0" w:color="7CB7FE" w:themeColor="accent3" w:themeTint="99"/>
        <w:right w:val="single" w:sz="4" w:space="0" w:color="7CB7FE" w:themeColor="accent3" w:themeTint="99"/>
        <w:insideH w:val="single" w:sz="4" w:space="0" w:color="7CB7FE" w:themeColor="accent3" w:themeTint="99"/>
        <w:insideV w:val="single" w:sz="4" w:space="0" w:color="7CB7FE" w:themeColor="accent3" w:themeTint="99"/>
      </w:tblBorders>
    </w:tblPr>
    <w:tblStylePr w:type="firstRow">
      <w:rPr>
        <w:b/>
        <w:bCs/>
      </w:rPr>
      <w:tblPr/>
      <w:tcPr>
        <w:tcBorders>
          <w:bottom w:val="single" w:sz="12" w:space="0" w:color="7CB7FE" w:themeColor="accent3" w:themeTint="99"/>
        </w:tcBorders>
      </w:tcPr>
    </w:tblStylePr>
    <w:tblStylePr w:type="lastRow">
      <w:rPr>
        <w:b/>
        <w:bCs/>
      </w:rPr>
      <w:tblPr/>
      <w:tcPr>
        <w:tcBorders>
          <w:top w:val="double" w:sz="4" w:space="0" w:color="7CB7FE" w:themeColor="accent3" w:themeTint="99"/>
        </w:tcBorders>
      </w:tcPr>
    </w:tblStylePr>
    <w:tblStylePr w:type="firstCol">
      <w:rPr>
        <w:b/>
        <w:bCs/>
      </w:rPr>
    </w:tblStylePr>
    <w:tblStylePr w:type="lastCol">
      <w:rPr>
        <w:b/>
        <w:bCs/>
      </w:rPr>
    </w:tblStylePr>
    <w:tblStylePr w:type="band1Vert">
      <w:tblPr/>
      <w:tcPr>
        <w:shd w:val="clear" w:color="auto" w:fill="D3E7FE" w:themeFill="accent3" w:themeFillTint="33"/>
      </w:tcPr>
    </w:tblStylePr>
    <w:tblStylePr w:type="band1Horz">
      <w:tblPr/>
      <w:tcPr>
        <w:shd w:val="clear" w:color="auto" w:fill="D3E7FE" w:themeFill="accent3" w:themeFillTint="33"/>
      </w:tcPr>
    </w:tblStylePr>
  </w:style>
  <w:style w:type="table" w:styleId="GridTable6Colorful-Accent4">
    <w:name w:val="Grid Table 6 Colorful Accent 4"/>
    <w:basedOn w:val="TableNormal"/>
    <w:pPr>
      <w:spacing w:after="0" w:line="240" w:lineRule="auto"/>
    </w:pPr>
    <w:rPr>
      <w:rFonts w:ascii="EC Square Sans Pro" w:hAnsi="EC Square Sans Pro"/>
      <w:color w:val="C18101" w:themeColor="accent4" w:themeShade="BF"/>
      <w:lang w:eastAsia="en-GB"/>
    </w:rPr>
    <w:tblPr>
      <w:tblStyleRowBandSize w:val="1"/>
      <w:tblStyleColBandSize w:val="1"/>
      <w:tblBorders>
        <w:top w:val="single" w:sz="4" w:space="0" w:color="FDCC6A" w:themeColor="accent4" w:themeTint="99"/>
        <w:left w:val="single" w:sz="4" w:space="0" w:color="FDCC6A" w:themeColor="accent4" w:themeTint="99"/>
        <w:bottom w:val="single" w:sz="4" w:space="0" w:color="FDCC6A" w:themeColor="accent4" w:themeTint="99"/>
        <w:right w:val="single" w:sz="4" w:space="0" w:color="FDCC6A" w:themeColor="accent4" w:themeTint="99"/>
        <w:insideH w:val="single" w:sz="4" w:space="0" w:color="FDCC6A" w:themeColor="accent4" w:themeTint="99"/>
        <w:insideV w:val="single" w:sz="4" w:space="0" w:color="FDCC6A" w:themeColor="accent4" w:themeTint="99"/>
      </w:tblBorders>
    </w:tblPr>
    <w:tblStylePr w:type="firstRow">
      <w:rPr>
        <w:b/>
        <w:bCs/>
      </w:rPr>
      <w:tblPr/>
      <w:tcPr>
        <w:tcBorders>
          <w:bottom w:val="single" w:sz="12" w:space="0" w:color="FDCC6A" w:themeColor="accent4" w:themeTint="99"/>
        </w:tcBorders>
      </w:tcPr>
    </w:tblStylePr>
    <w:tblStylePr w:type="lastRow">
      <w:rPr>
        <w:b/>
        <w:bCs/>
      </w:rPr>
      <w:tblPr/>
      <w:tcPr>
        <w:tcBorders>
          <w:top w:val="double" w:sz="4" w:space="0" w:color="FDCC6A" w:themeColor="accent4" w:themeTint="99"/>
        </w:tcBorders>
      </w:tcPr>
    </w:tblStylePr>
    <w:tblStylePr w:type="firstCol">
      <w:rPr>
        <w:b/>
        <w:bCs/>
      </w:rPr>
    </w:tblStylePr>
    <w:tblStylePr w:type="lastCol">
      <w:rPr>
        <w:b/>
        <w:bCs/>
      </w:rPr>
    </w:tblStylePr>
    <w:tblStylePr w:type="band1Vert">
      <w:tblPr/>
      <w:tcPr>
        <w:shd w:val="clear" w:color="auto" w:fill="FEEECD" w:themeFill="accent4" w:themeFillTint="33"/>
      </w:tcPr>
    </w:tblStylePr>
    <w:tblStylePr w:type="band1Horz">
      <w:tblPr/>
      <w:tcPr>
        <w:shd w:val="clear" w:color="auto" w:fill="FEEECD" w:themeFill="accent4" w:themeFillTint="33"/>
      </w:tcPr>
    </w:tblStylePr>
  </w:style>
  <w:style w:type="table" w:styleId="GridTable6Colorful-Accent5">
    <w:name w:val="Grid Table 6 Colorful Accent 5"/>
    <w:basedOn w:val="TableNormal"/>
    <w:pPr>
      <w:spacing w:after="0" w:line="240" w:lineRule="auto"/>
    </w:pPr>
    <w:rPr>
      <w:rFonts w:ascii="EC Square Sans Pro" w:hAnsi="EC Square Sans Pro"/>
      <w:color w:val="A41045" w:themeColor="accent5" w:themeShade="BF"/>
      <w:lang w:eastAsia="en-GB"/>
    </w:rPr>
    <w:tblPr>
      <w:tblStyleRowBandSize w:val="1"/>
      <w:tblStyleColBandSize w:val="1"/>
      <w:tblBorders>
        <w:top w:val="single" w:sz="4" w:space="0" w:color="F06C9B" w:themeColor="accent5" w:themeTint="99"/>
        <w:left w:val="single" w:sz="4" w:space="0" w:color="F06C9B" w:themeColor="accent5" w:themeTint="99"/>
        <w:bottom w:val="single" w:sz="4" w:space="0" w:color="F06C9B" w:themeColor="accent5" w:themeTint="99"/>
        <w:right w:val="single" w:sz="4" w:space="0" w:color="F06C9B" w:themeColor="accent5" w:themeTint="99"/>
        <w:insideH w:val="single" w:sz="4" w:space="0" w:color="F06C9B" w:themeColor="accent5" w:themeTint="99"/>
        <w:insideV w:val="single" w:sz="4" w:space="0" w:color="F06C9B" w:themeColor="accent5" w:themeTint="99"/>
      </w:tblBorders>
    </w:tblPr>
    <w:tblStylePr w:type="firstRow">
      <w:rPr>
        <w:b/>
        <w:bCs/>
      </w:rPr>
      <w:tblPr/>
      <w:tcPr>
        <w:tcBorders>
          <w:bottom w:val="single" w:sz="12" w:space="0" w:color="F06C9B" w:themeColor="accent5" w:themeTint="99"/>
        </w:tcBorders>
      </w:tcPr>
    </w:tblStylePr>
    <w:tblStylePr w:type="lastRow">
      <w:rPr>
        <w:b/>
        <w:bCs/>
      </w:rPr>
      <w:tblPr/>
      <w:tcPr>
        <w:tcBorders>
          <w:top w:val="double" w:sz="4" w:space="0" w:color="F06C9B" w:themeColor="accent5" w:themeTint="99"/>
        </w:tcBorders>
      </w:tcPr>
    </w:tblStylePr>
    <w:tblStylePr w:type="firstCol">
      <w:rPr>
        <w:b/>
        <w:bCs/>
      </w:rPr>
    </w:tblStylePr>
    <w:tblStylePr w:type="lastCol">
      <w:rPr>
        <w:b/>
        <w:bCs/>
      </w:rPr>
    </w:tblStylePr>
    <w:tblStylePr w:type="band1Vert">
      <w:tblPr/>
      <w:tcPr>
        <w:shd w:val="clear" w:color="auto" w:fill="FACEDD" w:themeFill="accent5" w:themeFillTint="33"/>
      </w:tcPr>
    </w:tblStylePr>
    <w:tblStylePr w:type="band1Horz">
      <w:tblPr/>
      <w:tcPr>
        <w:shd w:val="clear" w:color="auto" w:fill="FACEDD" w:themeFill="accent5" w:themeFillTint="33"/>
      </w:tcPr>
    </w:tblStylePr>
  </w:style>
  <w:style w:type="table" w:styleId="GridTable6Colorful-Accent6">
    <w:name w:val="Grid Table 6 Colorful Accent 6"/>
    <w:basedOn w:val="TableNormal"/>
    <w:pPr>
      <w:spacing w:after="0" w:line="240" w:lineRule="auto"/>
    </w:pPr>
    <w:rPr>
      <w:rFonts w:ascii="EC Square Sans Pro" w:hAnsi="EC Square Sans Pro"/>
      <w:color w:val="532477" w:themeColor="accent6" w:themeShade="BF"/>
      <w:lang w:eastAsia="en-GB"/>
    </w:rPr>
    <w:tblPr>
      <w:tblStyleRowBandSize w:val="1"/>
      <w:tblStyleColBandSize w:val="1"/>
      <w:tblBorders>
        <w:top w:val="single" w:sz="4" w:space="0" w:color="AB73D5" w:themeColor="accent6" w:themeTint="99"/>
        <w:left w:val="single" w:sz="4" w:space="0" w:color="AB73D5" w:themeColor="accent6" w:themeTint="99"/>
        <w:bottom w:val="single" w:sz="4" w:space="0" w:color="AB73D5" w:themeColor="accent6" w:themeTint="99"/>
        <w:right w:val="single" w:sz="4" w:space="0" w:color="AB73D5" w:themeColor="accent6" w:themeTint="99"/>
        <w:insideH w:val="single" w:sz="4" w:space="0" w:color="AB73D5" w:themeColor="accent6" w:themeTint="99"/>
        <w:insideV w:val="single" w:sz="4" w:space="0" w:color="AB73D5" w:themeColor="accent6" w:themeTint="99"/>
      </w:tblBorders>
    </w:tblPr>
    <w:tblStylePr w:type="firstRow">
      <w:rPr>
        <w:b/>
        <w:bCs/>
      </w:rPr>
      <w:tblPr/>
      <w:tcPr>
        <w:tcBorders>
          <w:bottom w:val="single" w:sz="12" w:space="0" w:color="AB73D5" w:themeColor="accent6" w:themeTint="99"/>
        </w:tcBorders>
      </w:tcPr>
    </w:tblStylePr>
    <w:tblStylePr w:type="lastRow">
      <w:rPr>
        <w:b/>
        <w:bCs/>
      </w:rPr>
      <w:tblPr/>
      <w:tcPr>
        <w:tcBorders>
          <w:top w:val="double" w:sz="4" w:space="0" w:color="AB73D5" w:themeColor="accent6" w:themeTint="99"/>
        </w:tcBorders>
      </w:tc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GridTable7Colorful">
    <w:name w:val="Grid Table 7 Colorful"/>
    <w:basedOn w:val="TableNormal"/>
    <w:pPr>
      <w:spacing w:after="0" w:line="240" w:lineRule="auto"/>
    </w:pPr>
    <w:rPr>
      <w:rFonts w:ascii="EC Square Sans Pro" w:hAnsi="EC Square Sans Pro"/>
      <w:color w:val="000000" w:themeColor="text1"/>
      <w:lang w:eastAsia="en-GB"/>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pPr>
      <w:spacing w:after="0" w:line="240" w:lineRule="auto"/>
    </w:pPr>
    <w:rPr>
      <w:rFonts w:ascii="EC Square Sans Pro" w:hAnsi="EC Square Sans Pro"/>
      <w:color w:val="00602A" w:themeColor="accent1" w:themeShade="BF"/>
      <w:lang w:eastAsia="en-GB"/>
    </w:rPr>
    <w:tblPr>
      <w:tblStyleRowBandSize w:val="1"/>
      <w:tblStyleColBandSize w:val="1"/>
      <w:tblBorders>
        <w:top w:val="single" w:sz="4" w:space="0" w:color="1AFF7E" w:themeColor="accent1" w:themeTint="99"/>
        <w:left w:val="single" w:sz="4" w:space="0" w:color="1AFF7E" w:themeColor="accent1" w:themeTint="99"/>
        <w:bottom w:val="single" w:sz="4" w:space="0" w:color="1AFF7E" w:themeColor="accent1" w:themeTint="99"/>
        <w:right w:val="single" w:sz="4" w:space="0" w:color="1AFF7E" w:themeColor="accent1" w:themeTint="99"/>
        <w:insideH w:val="single" w:sz="4" w:space="0" w:color="1AFF7E" w:themeColor="accent1" w:themeTint="99"/>
        <w:insideV w:val="single" w:sz="4" w:space="0" w:color="1AFF7E"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FFD4" w:themeFill="accent1" w:themeFillTint="33"/>
      </w:tcPr>
    </w:tblStylePr>
    <w:tblStylePr w:type="band1Horz">
      <w:tblPr/>
      <w:tcPr>
        <w:shd w:val="clear" w:color="auto" w:fill="B2FFD4" w:themeFill="accent1" w:themeFillTint="33"/>
      </w:tcPr>
    </w:tblStylePr>
    <w:tblStylePr w:type="neCell">
      <w:tblPr/>
      <w:tcPr>
        <w:tcBorders>
          <w:bottom w:val="single" w:sz="4" w:space="0" w:color="1AFF7E" w:themeColor="accent1" w:themeTint="99"/>
        </w:tcBorders>
      </w:tcPr>
    </w:tblStylePr>
    <w:tblStylePr w:type="nwCell">
      <w:tblPr/>
      <w:tcPr>
        <w:tcBorders>
          <w:bottom w:val="single" w:sz="4" w:space="0" w:color="1AFF7E" w:themeColor="accent1" w:themeTint="99"/>
        </w:tcBorders>
      </w:tcPr>
    </w:tblStylePr>
    <w:tblStylePr w:type="seCell">
      <w:tblPr/>
      <w:tcPr>
        <w:tcBorders>
          <w:top w:val="single" w:sz="4" w:space="0" w:color="1AFF7E" w:themeColor="accent1" w:themeTint="99"/>
        </w:tcBorders>
      </w:tcPr>
    </w:tblStylePr>
    <w:tblStylePr w:type="swCell">
      <w:tblPr/>
      <w:tcPr>
        <w:tcBorders>
          <w:top w:val="single" w:sz="4" w:space="0" w:color="1AFF7E" w:themeColor="accent1" w:themeTint="99"/>
        </w:tcBorders>
      </w:tcPr>
    </w:tblStylePr>
  </w:style>
  <w:style w:type="table" w:styleId="GridTable7Colorful-Accent2">
    <w:name w:val="Grid Table 7 Colorful Accent 2"/>
    <w:basedOn w:val="TableNormal"/>
    <w:pPr>
      <w:spacing w:after="0" w:line="240" w:lineRule="auto"/>
    </w:pPr>
    <w:rPr>
      <w:rFonts w:ascii="EC Square Sans Pro" w:hAnsi="EC Square Sans Pro"/>
      <w:color w:val="A64701" w:themeColor="accent2" w:themeShade="BF"/>
      <w:lang w:eastAsia="en-GB"/>
    </w:rPr>
    <w:tblPr>
      <w:tblStyleRowBandSize w:val="1"/>
      <w:tblStyleColBandSize w:val="1"/>
      <w:tblBorders>
        <w:top w:val="single" w:sz="4" w:space="0" w:color="FD9C54" w:themeColor="accent2" w:themeTint="99"/>
        <w:left w:val="single" w:sz="4" w:space="0" w:color="FD9C54" w:themeColor="accent2" w:themeTint="99"/>
        <w:bottom w:val="single" w:sz="4" w:space="0" w:color="FD9C54" w:themeColor="accent2" w:themeTint="99"/>
        <w:right w:val="single" w:sz="4" w:space="0" w:color="FD9C54" w:themeColor="accent2" w:themeTint="99"/>
        <w:insideH w:val="single" w:sz="4" w:space="0" w:color="FD9C54" w:themeColor="accent2" w:themeTint="99"/>
        <w:insideV w:val="single" w:sz="4" w:space="0" w:color="FD9C5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DEC6" w:themeFill="accent2" w:themeFillTint="33"/>
      </w:tcPr>
    </w:tblStylePr>
    <w:tblStylePr w:type="band1Horz">
      <w:tblPr/>
      <w:tcPr>
        <w:shd w:val="clear" w:color="auto" w:fill="FEDEC6" w:themeFill="accent2" w:themeFillTint="33"/>
      </w:tcPr>
    </w:tblStylePr>
    <w:tblStylePr w:type="neCell">
      <w:tblPr/>
      <w:tcPr>
        <w:tcBorders>
          <w:bottom w:val="single" w:sz="4" w:space="0" w:color="FD9C54" w:themeColor="accent2" w:themeTint="99"/>
        </w:tcBorders>
      </w:tcPr>
    </w:tblStylePr>
    <w:tblStylePr w:type="nwCell">
      <w:tblPr/>
      <w:tcPr>
        <w:tcBorders>
          <w:bottom w:val="single" w:sz="4" w:space="0" w:color="FD9C54" w:themeColor="accent2" w:themeTint="99"/>
        </w:tcBorders>
      </w:tcPr>
    </w:tblStylePr>
    <w:tblStylePr w:type="seCell">
      <w:tblPr/>
      <w:tcPr>
        <w:tcBorders>
          <w:top w:val="single" w:sz="4" w:space="0" w:color="FD9C54" w:themeColor="accent2" w:themeTint="99"/>
        </w:tcBorders>
      </w:tcPr>
    </w:tblStylePr>
    <w:tblStylePr w:type="swCell">
      <w:tblPr/>
      <w:tcPr>
        <w:tcBorders>
          <w:top w:val="single" w:sz="4" w:space="0" w:color="FD9C54" w:themeColor="accent2" w:themeTint="99"/>
        </w:tcBorders>
      </w:tcPr>
    </w:tblStylePr>
  </w:style>
  <w:style w:type="table" w:styleId="GridTable7Colorful-Accent3">
    <w:name w:val="Grid Table 7 Colorful Accent 3"/>
    <w:basedOn w:val="TableNormal"/>
    <w:pPr>
      <w:spacing w:after="0" w:line="240" w:lineRule="auto"/>
    </w:pPr>
    <w:rPr>
      <w:rFonts w:ascii="EC Square Sans Pro" w:hAnsi="EC Square Sans Pro"/>
      <w:color w:val="0162D9" w:themeColor="accent3" w:themeShade="BF"/>
      <w:lang w:eastAsia="en-GB"/>
    </w:rPr>
    <w:tblPr>
      <w:tblStyleRowBandSize w:val="1"/>
      <w:tblStyleColBandSize w:val="1"/>
      <w:tblBorders>
        <w:top w:val="single" w:sz="4" w:space="0" w:color="7CB7FE" w:themeColor="accent3" w:themeTint="99"/>
        <w:left w:val="single" w:sz="4" w:space="0" w:color="7CB7FE" w:themeColor="accent3" w:themeTint="99"/>
        <w:bottom w:val="single" w:sz="4" w:space="0" w:color="7CB7FE" w:themeColor="accent3" w:themeTint="99"/>
        <w:right w:val="single" w:sz="4" w:space="0" w:color="7CB7FE" w:themeColor="accent3" w:themeTint="99"/>
        <w:insideH w:val="single" w:sz="4" w:space="0" w:color="7CB7FE" w:themeColor="accent3" w:themeTint="99"/>
        <w:insideV w:val="single" w:sz="4" w:space="0" w:color="7CB7FE"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E7FE" w:themeFill="accent3" w:themeFillTint="33"/>
      </w:tcPr>
    </w:tblStylePr>
    <w:tblStylePr w:type="band1Horz">
      <w:tblPr/>
      <w:tcPr>
        <w:shd w:val="clear" w:color="auto" w:fill="D3E7FE" w:themeFill="accent3" w:themeFillTint="33"/>
      </w:tcPr>
    </w:tblStylePr>
    <w:tblStylePr w:type="neCell">
      <w:tblPr/>
      <w:tcPr>
        <w:tcBorders>
          <w:bottom w:val="single" w:sz="4" w:space="0" w:color="7CB7FE" w:themeColor="accent3" w:themeTint="99"/>
        </w:tcBorders>
      </w:tcPr>
    </w:tblStylePr>
    <w:tblStylePr w:type="nwCell">
      <w:tblPr/>
      <w:tcPr>
        <w:tcBorders>
          <w:bottom w:val="single" w:sz="4" w:space="0" w:color="7CB7FE" w:themeColor="accent3" w:themeTint="99"/>
        </w:tcBorders>
      </w:tcPr>
    </w:tblStylePr>
    <w:tblStylePr w:type="seCell">
      <w:tblPr/>
      <w:tcPr>
        <w:tcBorders>
          <w:top w:val="single" w:sz="4" w:space="0" w:color="7CB7FE" w:themeColor="accent3" w:themeTint="99"/>
        </w:tcBorders>
      </w:tcPr>
    </w:tblStylePr>
    <w:tblStylePr w:type="swCell">
      <w:tblPr/>
      <w:tcPr>
        <w:tcBorders>
          <w:top w:val="single" w:sz="4" w:space="0" w:color="7CB7FE" w:themeColor="accent3" w:themeTint="99"/>
        </w:tcBorders>
      </w:tcPr>
    </w:tblStylePr>
  </w:style>
  <w:style w:type="table" w:styleId="GridTable7Colorful-Accent4">
    <w:name w:val="Grid Table 7 Colorful Accent 4"/>
    <w:basedOn w:val="TableNormal"/>
    <w:pPr>
      <w:spacing w:after="0" w:line="240" w:lineRule="auto"/>
    </w:pPr>
    <w:rPr>
      <w:rFonts w:ascii="EC Square Sans Pro" w:hAnsi="EC Square Sans Pro"/>
      <w:color w:val="C18101" w:themeColor="accent4" w:themeShade="BF"/>
      <w:lang w:eastAsia="en-GB"/>
    </w:rPr>
    <w:tblPr>
      <w:tblStyleRowBandSize w:val="1"/>
      <w:tblStyleColBandSize w:val="1"/>
      <w:tblBorders>
        <w:top w:val="single" w:sz="4" w:space="0" w:color="FDCC6A" w:themeColor="accent4" w:themeTint="99"/>
        <w:left w:val="single" w:sz="4" w:space="0" w:color="FDCC6A" w:themeColor="accent4" w:themeTint="99"/>
        <w:bottom w:val="single" w:sz="4" w:space="0" w:color="FDCC6A" w:themeColor="accent4" w:themeTint="99"/>
        <w:right w:val="single" w:sz="4" w:space="0" w:color="FDCC6A" w:themeColor="accent4" w:themeTint="99"/>
        <w:insideH w:val="single" w:sz="4" w:space="0" w:color="FDCC6A" w:themeColor="accent4" w:themeTint="99"/>
        <w:insideV w:val="single" w:sz="4" w:space="0" w:color="FDCC6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EECD" w:themeFill="accent4" w:themeFillTint="33"/>
      </w:tcPr>
    </w:tblStylePr>
    <w:tblStylePr w:type="band1Horz">
      <w:tblPr/>
      <w:tcPr>
        <w:shd w:val="clear" w:color="auto" w:fill="FEEECD" w:themeFill="accent4" w:themeFillTint="33"/>
      </w:tcPr>
    </w:tblStylePr>
    <w:tblStylePr w:type="neCell">
      <w:tblPr/>
      <w:tcPr>
        <w:tcBorders>
          <w:bottom w:val="single" w:sz="4" w:space="0" w:color="FDCC6A" w:themeColor="accent4" w:themeTint="99"/>
        </w:tcBorders>
      </w:tcPr>
    </w:tblStylePr>
    <w:tblStylePr w:type="nwCell">
      <w:tblPr/>
      <w:tcPr>
        <w:tcBorders>
          <w:bottom w:val="single" w:sz="4" w:space="0" w:color="FDCC6A" w:themeColor="accent4" w:themeTint="99"/>
        </w:tcBorders>
      </w:tcPr>
    </w:tblStylePr>
    <w:tblStylePr w:type="seCell">
      <w:tblPr/>
      <w:tcPr>
        <w:tcBorders>
          <w:top w:val="single" w:sz="4" w:space="0" w:color="FDCC6A" w:themeColor="accent4" w:themeTint="99"/>
        </w:tcBorders>
      </w:tcPr>
    </w:tblStylePr>
    <w:tblStylePr w:type="swCell">
      <w:tblPr/>
      <w:tcPr>
        <w:tcBorders>
          <w:top w:val="single" w:sz="4" w:space="0" w:color="FDCC6A" w:themeColor="accent4" w:themeTint="99"/>
        </w:tcBorders>
      </w:tcPr>
    </w:tblStylePr>
  </w:style>
  <w:style w:type="table" w:styleId="GridTable7Colorful-Accent5">
    <w:name w:val="Grid Table 7 Colorful Accent 5"/>
    <w:basedOn w:val="TableNormal"/>
    <w:pPr>
      <w:spacing w:after="0" w:line="240" w:lineRule="auto"/>
    </w:pPr>
    <w:rPr>
      <w:rFonts w:ascii="EC Square Sans Pro" w:hAnsi="EC Square Sans Pro"/>
      <w:color w:val="A41045" w:themeColor="accent5" w:themeShade="BF"/>
      <w:lang w:eastAsia="en-GB"/>
    </w:rPr>
    <w:tblPr>
      <w:tblStyleRowBandSize w:val="1"/>
      <w:tblStyleColBandSize w:val="1"/>
      <w:tblBorders>
        <w:top w:val="single" w:sz="4" w:space="0" w:color="F06C9B" w:themeColor="accent5" w:themeTint="99"/>
        <w:left w:val="single" w:sz="4" w:space="0" w:color="F06C9B" w:themeColor="accent5" w:themeTint="99"/>
        <w:bottom w:val="single" w:sz="4" w:space="0" w:color="F06C9B" w:themeColor="accent5" w:themeTint="99"/>
        <w:right w:val="single" w:sz="4" w:space="0" w:color="F06C9B" w:themeColor="accent5" w:themeTint="99"/>
        <w:insideH w:val="single" w:sz="4" w:space="0" w:color="F06C9B" w:themeColor="accent5" w:themeTint="99"/>
        <w:insideV w:val="single" w:sz="4" w:space="0" w:color="F06C9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CEDD" w:themeFill="accent5" w:themeFillTint="33"/>
      </w:tcPr>
    </w:tblStylePr>
    <w:tblStylePr w:type="band1Horz">
      <w:tblPr/>
      <w:tcPr>
        <w:shd w:val="clear" w:color="auto" w:fill="FACEDD" w:themeFill="accent5" w:themeFillTint="33"/>
      </w:tcPr>
    </w:tblStylePr>
    <w:tblStylePr w:type="neCell">
      <w:tblPr/>
      <w:tcPr>
        <w:tcBorders>
          <w:bottom w:val="single" w:sz="4" w:space="0" w:color="F06C9B" w:themeColor="accent5" w:themeTint="99"/>
        </w:tcBorders>
      </w:tcPr>
    </w:tblStylePr>
    <w:tblStylePr w:type="nwCell">
      <w:tblPr/>
      <w:tcPr>
        <w:tcBorders>
          <w:bottom w:val="single" w:sz="4" w:space="0" w:color="F06C9B" w:themeColor="accent5" w:themeTint="99"/>
        </w:tcBorders>
      </w:tcPr>
    </w:tblStylePr>
    <w:tblStylePr w:type="seCell">
      <w:tblPr/>
      <w:tcPr>
        <w:tcBorders>
          <w:top w:val="single" w:sz="4" w:space="0" w:color="F06C9B" w:themeColor="accent5" w:themeTint="99"/>
        </w:tcBorders>
      </w:tcPr>
    </w:tblStylePr>
    <w:tblStylePr w:type="swCell">
      <w:tblPr/>
      <w:tcPr>
        <w:tcBorders>
          <w:top w:val="single" w:sz="4" w:space="0" w:color="F06C9B" w:themeColor="accent5" w:themeTint="99"/>
        </w:tcBorders>
      </w:tcPr>
    </w:tblStylePr>
  </w:style>
  <w:style w:type="table" w:styleId="GridTable7Colorful-Accent6">
    <w:name w:val="Grid Table 7 Colorful Accent 6"/>
    <w:basedOn w:val="TableNormal"/>
    <w:pPr>
      <w:spacing w:after="0" w:line="240" w:lineRule="auto"/>
    </w:pPr>
    <w:rPr>
      <w:rFonts w:ascii="EC Square Sans Pro" w:hAnsi="EC Square Sans Pro"/>
      <w:color w:val="532477" w:themeColor="accent6" w:themeShade="BF"/>
      <w:lang w:eastAsia="en-GB"/>
    </w:rPr>
    <w:tblPr>
      <w:tblStyleRowBandSize w:val="1"/>
      <w:tblStyleColBandSize w:val="1"/>
      <w:tblBorders>
        <w:top w:val="single" w:sz="4" w:space="0" w:color="AB73D5" w:themeColor="accent6" w:themeTint="99"/>
        <w:left w:val="single" w:sz="4" w:space="0" w:color="AB73D5" w:themeColor="accent6" w:themeTint="99"/>
        <w:bottom w:val="single" w:sz="4" w:space="0" w:color="AB73D5" w:themeColor="accent6" w:themeTint="99"/>
        <w:right w:val="single" w:sz="4" w:space="0" w:color="AB73D5" w:themeColor="accent6" w:themeTint="99"/>
        <w:insideH w:val="single" w:sz="4" w:space="0" w:color="AB73D5" w:themeColor="accent6" w:themeTint="99"/>
        <w:insideV w:val="single" w:sz="4" w:space="0" w:color="AB73D5"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D0F1" w:themeFill="accent6" w:themeFillTint="33"/>
      </w:tcPr>
    </w:tblStylePr>
    <w:tblStylePr w:type="band1Horz">
      <w:tblPr/>
      <w:tcPr>
        <w:shd w:val="clear" w:color="auto" w:fill="E2D0F1" w:themeFill="accent6" w:themeFillTint="33"/>
      </w:tcPr>
    </w:tblStylePr>
    <w:tblStylePr w:type="neCell">
      <w:tblPr/>
      <w:tcPr>
        <w:tcBorders>
          <w:bottom w:val="single" w:sz="4" w:space="0" w:color="AB73D5" w:themeColor="accent6" w:themeTint="99"/>
        </w:tcBorders>
      </w:tcPr>
    </w:tblStylePr>
    <w:tblStylePr w:type="nwCell">
      <w:tblPr/>
      <w:tcPr>
        <w:tcBorders>
          <w:bottom w:val="single" w:sz="4" w:space="0" w:color="AB73D5" w:themeColor="accent6" w:themeTint="99"/>
        </w:tcBorders>
      </w:tcPr>
    </w:tblStylePr>
    <w:tblStylePr w:type="seCell">
      <w:tblPr/>
      <w:tcPr>
        <w:tcBorders>
          <w:top w:val="single" w:sz="4" w:space="0" w:color="AB73D5" w:themeColor="accent6" w:themeTint="99"/>
        </w:tcBorders>
      </w:tcPr>
    </w:tblStylePr>
    <w:tblStylePr w:type="swCell">
      <w:tblPr/>
      <w:tcPr>
        <w:tcBorders>
          <w:top w:val="single" w:sz="4" w:space="0" w:color="AB73D5" w:themeColor="accent6" w:themeTint="99"/>
        </w:tcBorders>
      </w:tcPr>
    </w:tblStylePr>
  </w:style>
  <w:style w:type="table" w:styleId="LightGrid">
    <w:name w:val="Light Grid"/>
    <w:basedOn w:val="TableNormal"/>
    <w:pPr>
      <w:spacing w:before="0" w:after="0" w:line="240" w:lineRule="auto"/>
    </w:pPr>
    <w:rPr>
      <w:rFonts w:ascii="EC Square Sans Pro" w:hAnsi="EC Square Sans Pro"/>
      <w:lang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pPr>
      <w:spacing w:before="0" w:after="0" w:line="240" w:lineRule="auto"/>
    </w:pPr>
    <w:rPr>
      <w:rFonts w:ascii="EC Square Sans Pro" w:hAnsi="EC Square Sans Pro"/>
      <w:lang w:eastAsia="en-GB"/>
    </w:rPr>
    <w:tblPr>
      <w:tblStyleRowBandSize w:val="1"/>
      <w:tblStyleColBandSize w:val="1"/>
      <w:tblBorders>
        <w:top w:val="single" w:sz="8" w:space="0" w:color="008139" w:themeColor="accent1"/>
        <w:left w:val="single" w:sz="8" w:space="0" w:color="008139" w:themeColor="accent1"/>
        <w:bottom w:val="single" w:sz="8" w:space="0" w:color="008139" w:themeColor="accent1"/>
        <w:right w:val="single" w:sz="8" w:space="0" w:color="008139" w:themeColor="accent1"/>
        <w:insideH w:val="single" w:sz="8" w:space="0" w:color="008139" w:themeColor="accent1"/>
        <w:insideV w:val="single" w:sz="8" w:space="0" w:color="008139"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139" w:themeColor="accent1"/>
          <w:left w:val="single" w:sz="8" w:space="0" w:color="008139" w:themeColor="accent1"/>
          <w:bottom w:val="single" w:sz="18" w:space="0" w:color="008139" w:themeColor="accent1"/>
          <w:right w:val="single" w:sz="8" w:space="0" w:color="008139" w:themeColor="accent1"/>
          <w:insideH w:val="nil"/>
          <w:insideV w:val="single" w:sz="8" w:space="0" w:color="008139"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139" w:themeColor="accent1"/>
          <w:left w:val="single" w:sz="8" w:space="0" w:color="008139" w:themeColor="accent1"/>
          <w:bottom w:val="single" w:sz="8" w:space="0" w:color="008139" w:themeColor="accent1"/>
          <w:right w:val="single" w:sz="8" w:space="0" w:color="008139" w:themeColor="accent1"/>
          <w:insideH w:val="nil"/>
          <w:insideV w:val="single" w:sz="8" w:space="0" w:color="008139"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139" w:themeColor="accent1"/>
          <w:left w:val="single" w:sz="8" w:space="0" w:color="008139" w:themeColor="accent1"/>
          <w:bottom w:val="single" w:sz="8" w:space="0" w:color="008139" w:themeColor="accent1"/>
          <w:right w:val="single" w:sz="8" w:space="0" w:color="008139" w:themeColor="accent1"/>
        </w:tcBorders>
      </w:tcPr>
    </w:tblStylePr>
    <w:tblStylePr w:type="band1Vert">
      <w:tblPr/>
      <w:tcPr>
        <w:tcBorders>
          <w:top w:val="single" w:sz="8" w:space="0" w:color="008139" w:themeColor="accent1"/>
          <w:left w:val="single" w:sz="8" w:space="0" w:color="008139" w:themeColor="accent1"/>
          <w:bottom w:val="single" w:sz="8" w:space="0" w:color="008139" w:themeColor="accent1"/>
          <w:right w:val="single" w:sz="8" w:space="0" w:color="008139" w:themeColor="accent1"/>
        </w:tcBorders>
        <w:shd w:val="clear" w:color="auto" w:fill="A0FFCA" w:themeFill="accent1" w:themeFillTint="3F"/>
      </w:tcPr>
    </w:tblStylePr>
    <w:tblStylePr w:type="band1Horz">
      <w:tblPr/>
      <w:tcPr>
        <w:tcBorders>
          <w:top w:val="single" w:sz="8" w:space="0" w:color="008139" w:themeColor="accent1"/>
          <w:left w:val="single" w:sz="8" w:space="0" w:color="008139" w:themeColor="accent1"/>
          <w:bottom w:val="single" w:sz="8" w:space="0" w:color="008139" w:themeColor="accent1"/>
          <w:right w:val="single" w:sz="8" w:space="0" w:color="008139" w:themeColor="accent1"/>
          <w:insideV w:val="single" w:sz="8" w:space="0" w:color="008139" w:themeColor="accent1"/>
        </w:tcBorders>
        <w:shd w:val="clear" w:color="auto" w:fill="A0FFCA" w:themeFill="accent1" w:themeFillTint="3F"/>
      </w:tcPr>
    </w:tblStylePr>
    <w:tblStylePr w:type="band2Horz">
      <w:tblPr/>
      <w:tcPr>
        <w:tcBorders>
          <w:top w:val="single" w:sz="8" w:space="0" w:color="008139" w:themeColor="accent1"/>
          <w:left w:val="single" w:sz="8" w:space="0" w:color="008139" w:themeColor="accent1"/>
          <w:bottom w:val="single" w:sz="8" w:space="0" w:color="008139" w:themeColor="accent1"/>
          <w:right w:val="single" w:sz="8" w:space="0" w:color="008139" w:themeColor="accent1"/>
          <w:insideV w:val="single" w:sz="8" w:space="0" w:color="008139" w:themeColor="accent1"/>
        </w:tcBorders>
      </w:tcPr>
    </w:tblStylePr>
  </w:style>
  <w:style w:type="table" w:styleId="LightGrid-Accent2">
    <w:name w:val="Light Grid Accent 2"/>
    <w:basedOn w:val="TableNormal"/>
    <w:pPr>
      <w:spacing w:before="0" w:after="0" w:line="240" w:lineRule="auto"/>
    </w:pPr>
    <w:rPr>
      <w:rFonts w:ascii="EC Square Sans Pro" w:hAnsi="EC Square Sans Pro"/>
      <w:lang w:eastAsia="en-GB"/>
    </w:rPr>
    <w:tblPr>
      <w:tblStyleRowBandSize w:val="1"/>
      <w:tblStyleColBandSize w:val="1"/>
      <w:tblBorders>
        <w:top w:val="single" w:sz="8" w:space="0" w:color="DE6002" w:themeColor="accent2"/>
        <w:left w:val="single" w:sz="8" w:space="0" w:color="DE6002" w:themeColor="accent2"/>
        <w:bottom w:val="single" w:sz="8" w:space="0" w:color="DE6002" w:themeColor="accent2"/>
        <w:right w:val="single" w:sz="8" w:space="0" w:color="DE6002" w:themeColor="accent2"/>
        <w:insideH w:val="single" w:sz="8" w:space="0" w:color="DE6002" w:themeColor="accent2"/>
        <w:insideV w:val="single" w:sz="8" w:space="0" w:color="DE600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E6002" w:themeColor="accent2"/>
          <w:left w:val="single" w:sz="8" w:space="0" w:color="DE6002" w:themeColor="accent2"/>
          <w:bottom w:val="single" w:sz="18" w:space="0" w:color="DE6002" w:themeColor="accent2"/>
          <w:right w:val="single" w:sz="8" w:space="0" w:color="DE6002" w:themeColor="accent2"/>
          <w:insideH w:val="nil"/>
          <w:insideV w:val="single" w:sz="8" w:space="0" w:color="DE600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E6002" w:themeColor="accent2"/>
          <w:left w:val="single" w:sz="8" w:space="0" w:color="DE6002" w:themeColor="accent2"/>
          <w:bottom w:val="single" w:sz="8" w:space="0" w:color="DE6002" w:themeColor="accent2"/>
          <w:right w:val="single" w:sz="8" w:space="0" w:color="DE6002" w:themeColor="accent2"/>
          <w:insideH w:val="nil"/>
          <w:insideV w:val="single" w:sz="8" w:space="0" w:color="DE600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E6002" w:themeColor="accent2"/>
          <w:left w:val="single" w:sz="8" w:space="0" w:color="DE6002" w:themeColor="accent2"/>
          <w:bottom w:val="single" w:sz="8" w:space="0" w:color="DE6002" w:themeColor="accent2"/>
          <w:right w:val="single" w:sz="8" w:space="0" w:color="DE6002" w:themeColor="accent2"/>
        </w:tcBorders>
      </w:tcPr>
    </w:tblStylePr>
    <w:tblStylePr w:type="band1Vert">
      <w:tblPr/>
      <w:tcPr>
        <w:tcBorders>
          <w:top w:val="single" w:sz="8" w:space="0" w:color="DE6002" w:themeColor="accent2"/>
          <w:left w:val="single" w:sz="8" w:space="0" w:color="DE6002" w:themeColor="accent2"/>
          <w:bottom w:val="single" w:sz="8" w:space="0" w:color="DE6002" w:themeColor="accent2"/>
          <w:right w:val="single" w:sz="8" w:space="0" w:color="DE6002" w:themeColor="accent2"/>
        </w:tcBorders>
        <w:shd w:val="clear" w:color="auto" w:fill="FED6B8" w:themeFill="accent2" w:themeFillTint="3F"/>
      </w:tcPr>
    </w:tblStylePr>
    <w:tblStylePr w:type="band1Horz">
      <w:tblPr/>
      <w:tcPr>
        <w:tcBorders>
          <w:top w:val="single" w:sz="8" w:space="0" w:color="DE6002" w:themeColor="accent2"/>
          <w:left w:val="single" w:sz="8" w:space="0" w:color="DE6002" w:themeColor="accent2"/>
          <w:bottom w:val="single" w:sz="8" w:space="0" w:color="DE6002" w:themeColor="accent2"/>
          <w:right w:val="single" w:sz="8" w:space="0" w:color="DE6002" w:themeColor="accent2"/>
          <w:insideV w:val="single" w:sz="8" w:space="0" w:color="DE6002" w:themeColor="accent2"/>
        </w:tcBorders>
        <w:shd w:val="clear" w:color="auto" w:fill="FED6B8" w:themeFill="accent2" w:themeFillTint="3F"/>
      </w:tcPr>
    </w:tblStylePr>
    <w:tblStylePr w:type="band2Horz">
      <w:tblPr/>
      <w:tcPr>
        <w:tcBorders>
          <w:top w:val="single" w:sz="8" w:space="0" w:color="DE6002" w:themeColor="accent2"/>
          <w:left w:val="single" w:sz="8" w:space="0" w:color="DE6002" w:themeColor="accent2"/>
          <w:bottom w:val="single" w:sz="8" w:space="0" w:color="DE6002" w:themeColor="accent2"/>
          <w:right w:val="single" w:sz="8" w:space="0" w:color="DE6002" w:themeColor="accent2"/>
          <w:insideV w:val="single" w:sz="8" w:space="0" w:color="DE6002" w:themeColor="accent2"/>
        </w:tcBorders>
      </w:tcPr>
    </w:tblStylePr>
  </w:style>
  <w:style w:type="table" w:styleId="LightGrid-Accent3">
    <w:name w:val="Light Grid Accent 3"/>
    <w:basedOn w:val="TableNormal"/>
    <w:pPr>
      <w:spacing w:before="0" w:after="0" w:line="240" w:lineRule="auto"/>
    </w:pPr>
    <w:rPr>
      <w:rFonts w:ascii="EC Square Sans Pro" w:hAnsi="EC Square Sans Pro"/>
      <w:lang w:eastAsia="en-GB"/>
    </w:rPr>
    <w:tblPr>
      <w:tblStyleRowBandSize w:val="1"/>
      <w:tblStyleColBandSize w:val="1"/>
      <w:tblBorders>
        <w:top w:val="single" w:sz="8" w:space="0" w:color="2688FE" w:themeColor="accent3"/>
        <w:left w:val="single" w:sz="8" w:space="0" w:color="2688FE" w:themeColor="accent3"/>
        <w:bottom w:val="single" w:sz="8" w:space="0" w:color="2688FE" w:themeColor="accent3"/>
        <w:right w:val="single" w:sz="8" w:space="0" w:color="2688FE" w:themeColor="accent3"/>
        <w:insideH w:val="single" w:sz="8" w:space="0" w:color="2688FE" w:themeColor="accent3"/>
        <w:insideV w:val="single" w:sz="8" w:space="0" w:color="2688FE"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688FE" w:themeColor="accent3"/>
          <w:left w:val="single" w:sz="8" w:space="0" w:color="2688FE" w:themeColor="accent3"/>
          <w:bottom w:val="single" w:sz="18" w:space="0" w:color="2688FE" w:themeColor="accent3"/>
          <w:right w:val="single" w:sz="8" w:space="0" w:color="2688FE" w:themeColor="accent3"/>
          <w:insideH w:val="nil"/>
          <w:insideV w:val="single" w:sz="8" w:space="0" w:color="2688FE"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688FE" w:themeColor="accent3"/>
          <w:left w:val="single" w:sz="8" w:space="0" w:color="2688FE" w:themeColor="accent3"/>
          <w:bottom w:val="single" w:sz="8" w:space="0" w:color="2688FE" w:themeColor="accent3"/>
          <w:right w:val="single" w:sz="8" w:space="0" w:color="2688FE" w:themeColor="accent3"/>
          <w:insideH w:val="nil"/>
          <w:insideV w:val="single" w:sz="8" w:space="0" w:color="2688FE"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688FE" w:themeColor="accent3"/>
          <w:left w:val="single" w:sz="8" w:space="0" w:color="2688FE" w:themeColor="accent3"/>
          <w:bottom w:val="single" w:sz="8" w:space="0" w:color="2688FE" w:themeColor="accent3"/>
          <w:right w:val="single" w:sz="8" w:space="0" w:color="2688FE" w:themeColor="accent3"/>
        </w:tcBorders>
      </w:tcPr>
    </w:tblStylePr>
    <w:tblStylePr w:type="band1Vert">
      <w:tblPr/>
      <w:tcPr>
        <w:tcBorders>
          <w:top w:val="single" w:sz="8" w:space="0" w:color="2688FE" w:themeColor="accent3"/>
          <w:left w:val="single" w:sz="8" w:space="0" w:color="2688FE" w:themeColor="accent3"/>
          <w:bottom w:val="single" w:sz="8" w:space="0" w:color="2688FE" w:themeColor="accent3"/>
          <w:right w:val="single" w:sz="8" w:space="0" w:color="2688FE" w:themeColor="accent3"/>
        </w:tcBorders>
        <w:shd w:val="clear" w:color="auto" w:fill="C9E1FE" w:themeFill="accent3" w:themeFillTint="3F"/>
      </w:tcPr>
    </w:tblStylePr>
    <w:tblStylePr w:type="band1Horz">
      <w:tblPr/>
      <w:tcPr>
        <w:tcBorders>
          <w:top w:val="single" w:sz="8" w:space="0" w:color="2688FE" w:themeColor="accent3"/>
          <w:left w:val="single" w:sz="8" w:space="0" w:color="2688FE" w:themeColor="accent3"/>
          <w:bottom w:val="single" w:sz="8" w:space="0" w:color="2688FE" w:themeColor="accent3"/>
          <w:right w:val="single" w:sz="8" w:space="0" w:color="2688FE" w:themeColor="accent3"/>
          <w:insideV w:val="single" w:sz="8" w:space="0" w:color="2688FE" w:themeColor="accent3"/>
        </w:tcBorders>
        <w:shd w:val="clear" w:color="auto" w:fill="C9E1FE" w:themeFill="accent3" w:themeFillTint="3F"/>
      </w:tcPr>
    </w:tblStylePr>
    <w:tblStylePr w:type="band2Horz">
      <w:tblPr/>
      <w:tcPr>
        <w:tcBorders>
          <w:top w:val="single" w:sz="8" w:space="0" w:color="2688FE" w:themeColor="accent3"/>
          <w:left w:val="single" w:sz="8" w:space="0" w:color="2688FE" w:themeColor="accent3"/>
          <w:bottom w:val="single" w:sz="8" w:space="0" w:color="2688FE" w:themeColor="accent3"/>
          <w:right w:val="single" w:sz="8" w:space="0" w:color="2688FE" w:themeColor="accent3"/>
          <w:insideV w:val="single" w:sz="8" w:space="0" w:color="2688FE" w:themeColor="accent3"/>
        </w:tcBorders>
      </w:tcPr>
    </w:tblStylePr>
  </w:style>
  <w:style w:type="table" w:styleId="LightGrid-Accent4">
    <w:name w:val="Light Grid Accent 4"/>
    <w:basedOn w:val="TableNormal"/>
    <w:pPr>
      <w:spacing w:before="0" w:after="0" w:line="240" w:lineRule="auto"/>
    </w:pPr>
    <w:rPr>
      <w:rFonts w:ascii="EC Square Sans Pro" w:hAnsi="EC Square Sans Pro"/>
      <w:lang w:eastAsia="en-GB"/>
    </w:rPr>
    <w:tblPr>
      <w:tblStyleRowBandSize w:val="1"/>
      <w:tblStyleColBandSize w:val="1"/>
      <w:tblBorders>
        <w:top w:val="single" w:sz="8" w:space="0" w:color="FDAB07" w:themeColor="accent4"/>
        <w:left w:val="single" w:sz="8" w:space="0" w:color="FDAB07" w:themeColor="accent4"/>
        <w:bottom w:val="single" w:sz="8" w:space="0" w:color="FDAB07" w:themeColor="accent4"/>
        <w:right w:val="single" w:sz="8" w:space="0" w:color="FDAB07" w:themeColor="accent4"/>
        <w:insideH w:val="single" w:sz="8" w:space="0" w:color="FDAB07" w:themeColor="accent4"/>
        <w:insideV w:val="single" w:sz="8" w:space="0" w:color="FDAB0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DAB07" w:themeColor="accent4"/>
          <w:left w:val="single" w:sz="8" w:space="0" w:color="FDAB07" w:themeColor="accent4"/>
          <w:bottom w:val="single" w:sz="18" w:space="0" w:color="FDAB07" w:themeColor="accent4"/>
          <w:right w:val="single" w:sz="8" w:space="0" w:color="FDAB07" w:themeColor="accent4"/>
          <w:insideH w:val="nil"/>
          <w:insideV w:val="single" w:sz="8" w:space="0" w:color="FDAB0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DAB07" w:themeColor="accent4"/>
          <w:left w:val="single" w:sz="8" w:space="0" w:color="FDAB07" w:themeColor="accent4"/>
          <w:bottom w:val="single" w:sz="8" w:space="0" w:color="FDAB07" w:themeColor="accent4"/>
          <w:right w:val="single" w:sz="8" w:space="0" w:color="FDAB07" w:themeColor="accent4"/>
          <w:insideH w:val="nil"/>
          <w:insideV w:val="single" w:sz="8" w:space="0" w:color="FDAB0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DAB07" w:themeColor="accent4"/>
          <w:left w:val="single" w:sz="8" w:space="0" w:color="FDAB07" w:themeColor="accent4"/>
          <w:bottom w:val="single" w:sz="8" w:space="0" w:color="FDAB07" w:themeColor="accent4"/>
          <w:right w:val="single" w:sz="8" w:space="0" w:color="FDAB07" w:themeColor="accent4"/>
        </w:tcBorders>
      </w:tcPr>
    </w:tblStylePr>
    <w:tblStylePr w:type="band1Vert">
      <w:tblPr/>
      <w:tcPr>
        <w:tcBorders>
          <w:top w:val="single" w:sz="8" w:space="0" w:color="FDAB07" w:themeColor="accent4"/>
          <w:left w:val="single" w:sz="8" w:space="0" w:color="FDAB07" w:themeColor="accent4"/>
          <w:bottom w:val="single" w:sz="8" w:space="0" w:color="FDAB07" w:themeColor="accent4"/>
          <w:right w:val="single" w:sz="8" w:space="0" w:color="FDAB07" w:themeColor="accent4"/>
        </w:tcBorders>
        <w:shd w:val="clear" w:color="auto" w:fill="FEEAC1" w:themeFill="accent4" w:themeFillTint="3F"/>
      </w:tcPr>
    </w:tblStylePr>
    <w:tblStylePr w:type="band1Horz">
      <w:tblPr/>
      <w:tcPr>
        <w:tcBorders>
          <w:top w:val="single" w:sz="8" w:space="0" w:color="FDAB07" w:themeColor="accent4"/>
          <w:left w:val="single" w:sz="8" w:space="0" w:color="FDAB07" w:themeColor="accent4"/>
          <w:bottom w:val="single" w:sz="8" w:space="0" w:color="FDAB07" w:themeColor="accent4"/>
          <w:right w:val="single" w:sz="8" w:space="0" w:color="FDAB07" w:themeColor="accent4"/>
          <w:insideV w:val="single" w:sz="8" w:space="0" w:color="FDAB07" w:themeColor="accent4"/>
        </w:tcBorders>
        <w:shd w:val="clear" w:color="auto" w:fill="FEEAC1" w:themeFill="accent4" w:themeFillTint="3F"/>
      </w:tcPr>
    </w:tblStylePr>
    <w:tblStylePr w:type="band2Horz">
      <w:tblPr/>
      <w:tcPr>
        <w:tcBorders>
          <w:top w:val="single" w:sz="8" w:space="0" w:color="FDAB07" w:themeColor="accent4"/>
          <w:left w:val="single" w:sz="8" w:space="0" w:color="FDAB07" w:themeColor="accent4"/>
          <w:bottom w:val="single" w:sz="8" w:space="0" w:color="FDAB07" w:themeColor="accent4"/>
          <w:right w:val="single" w:sz="8" w:space="0" w:color="FDAB07" w:themeColor="accent4"/>
          <w:insideV w:val="single" w:sz="8" w:space="0" w:color="FDAB07" w:themeColor="accent4"/>
        </w:tcBorders>
      </w:tcPr>
    </w:tblStylePr>
  </w:style>
  <w:style w:type="table" w:styleId="LightGrid-Accent5">
    <w:name w:val="Light Grid Accent 5"/>
    <w:basedOn w:val="TableNormal"/>
    <w:pPr>
      <w:spacing w:before="0" w:after="0" w:line="240" w:lineRule="auto"/>
    </w:pPr>
    <w:rPr>
      <w:rFonts w:ascii="EC Square Sans Pro" w:hAnsi="EC Square Sans Pro"/>
      <w:lang w:eastAsia="en-GB"/>
    </w:rPr>
    <w:tblPr>
      <w:tblStyleRowBandSize w:val="1"/>
      <w:tblStyleColBandSize w:val="1"/>
      <w:tblBorders>
        <w:top w:val="single" w:sz="8" w:space="0" w:color="DC165D" w:themeColor="accent5"/>
        <w:left w:val="single" w:sz="8" w:space="0" w:color="DC165D" w:themeColor="accent5"/>
        <w:bottom w:val="single" w:sz="8" w:space="0" w:color="DC165D" w:themeColor="accent5"/>
        <w:right w:val="single" w:sz="8" w:space="0" w:color="DC165D" w:themeColor="accent5"/>
        <w:insideH w:val="single" w:sz="8" w:space="0" w:color="DC165D" w:themeColor="accent5"/>
        <w:insideV w:val="single" w:sz="8" w:space="0" w:color="DC165D"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C165D" w:themeColor="accent5"/>
          <w:left w:val="single" w:sz="8" w:space="0" w:color="DC165D" w:themeColor="accent5"/>
          <w:bottom w:val="single" w:sz="18" w:space="0" w:color="DC165D" w:themeColor="accent5"/>
          <w:right w:val="single" w:sz="8" w:space="0" w:color="DC165D" w:themeColor="accent5"/>
          <w:insideH w:val="nil"/>
          <w:insideV w:val="single" w:sz="8" w:space="0" w:color="DC165D"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C165D" w:themeColor="accent5"/>
          <w:left w:val="single" w:sz="8" w:space="0" w:color="DC165D" w:themeColor="accent5"/>
          <w:bottom w:val="single" w:sz="8" w:space="0" w:color="DC165D" w:themeColor="accent5"/>
          <w:right w:val="single" w:sz="8" w:space="0" w:color="DC165D" w:themeColor="accent5"/>
          <w:insideH w:val="nil"/>
          <w:insideV w:val="single" w:sz="8" w:space="0" w:color="DC165D"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C165D" w:themeColor="accent5"/>
          <w:left w:val="single" w:sz="8" w:space="0" w:color="DC165D" w:themeColor="accent5"/>
          <w:bottom w:val="single" w:sz="8" w:space="0" w:color="DC165D" w:themeColor="accent5"/>
          <w:right w:val="single" w:sz="8" w:space="0" w:color="DC165D" w:themeColor="accent5"/>
        </w:tcBorders>
      </w:tcPr>
    </w:tblStylePr>
    <w:tblStylePr w:type="band1Vert">
      <w:tblPr/>
      <w:tcPr>
        <w:tcBorders>
          <w:top w:val="single" w:sz="8" w:space="0" w:color="DC165D" w:themeColor="accent5"/>
          <w:left w:val="single" w:sz="8" w:space="0" w:color="DC165D" w:themeColor="accent5"/>
          <w:bottom w:val="single" w:sz="8" w:space="0" w:color="DC165D" w:themeColor="accent5"/>
          <w:right w:val="single" w:sz="8" w:space="0" w:color="DC165D" w:themeColor="accent5"/>
        </w:tcBorders>
        <w:shd w:val="clear" w:color="auto" w:fill="F9C2D6" w:themeFill="accent5" w:themeFillTint="3F"/>
      </w:tcPr>
    </w:tblStylePr>
    <w:tblStylePr w:type="band1Horz">
      <w:tblPr/>
      <w:tcPr>
        <w:tcBorders>
          <w:top w:val="single" w:sz="8" w:space="0" w:color="DC165D" w:themeColor="accent5"/>
          <w:left w:val="single" w:sz="8" w:space="0" w:color="DC165D" w:themeColor="accent5"/>
          <w:bottom w:val="single" w:sz="8" w:space="0" w:color="DC165D" w:themeColor="accent5"/>
          <w:right w:val="single" w:sz="8" w:space="0" w:color="DC165D" w:themeColor="accent5"/>
          <w:insideV w:val="single" w:sz="8" w:space="0" w:color="DC165D" w:themeColor="accent5"/>
        </w:tcBorders>
        <w:shd w:val="clear" w:color="auto" w:fill="F9C2D6" w:themeFill="accent5" w:themeFillTint="3F"/>
      </w:tcPr>
    </w:tblStylePr>
    <w:tblStylePr w:type="band2Horz">
      <w:tblPr/>
      <w:tcPr>
        <w:tcBorders>
          <w:top w:val="single" w:sz="8" w:space="0" w:color="DC165D" w:themeColor="accent5"/>
          <w:left w:val="single" w:sz="8" w:space="0" w:color="DC165D" w:themeColor="accent5"/>
          <w:bottom w:val="single" w:sz="8" w:space="0" w:color="DC165D" w:themeColor="accent5"/>
          <w:right w:val="single" w:sz="8" w:space="0" w:color="DC165D" w:themeColor="accent5"/>
          <w:insideV w:val="single" w:sz="8" w:space="0" w:color="DC165D" w:themeColor="accent5"/>
        </w:tcBorders>
      </w:tcPr>
    </w:tblStylePr>
  </w:style>
  <w:style w:type="table" w:styleId="LightGrid-Accent6">
    <w:name w:val="Light Grid Accent 6"/>
    <w:basedOn w:val="TableNormal"/>
    <w:pPr>
      <w:spacing w:before="0" w:after="0" w:line="240" w:lineRule="auto"/>
    </w:pPr>
    <w:rPr>
      <w:rFonts w:ascii="EC Square Sans Pro" w:hAnsi="EC Square Sans Pro"/>
      <w:lang w:eastAsia="en-GB"/>
    </w:rPr>
    <w:tblPr>
      <w:tblStyleRowBandSize w:val="1"/>
      <w:tblStyleColBandSize w:val="1"/>
      <w:tblBorders>
        <w:top w:val="single" w:sz="8" w:space="0" w:color="7030A0" w:themeColor="accent6"/>
        <w:left w:val="single" w:sz="8" w:space="0" w:color="7030A0" w:themeColor="accent6"/>
        <w:bottom w:val="single" w:sz="8" w:space="0" w:color="7030A0" w:themeColor="accent6"/>
        <w:right w:val="single" w:sz="8" w:space="0" w:color="7030A0" w:themeColor="accent6"/>
        <w:insideH w:val="single" w:sz="8" w:space="0" w:color="7030A0" w:themeColor="accent6"/>
        <w:insideV w:val="single" w:sz="8" w:space="0" w:color="7030A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30A0" w:themeColor="accent6"/>
          <w:left w:val="single" w:sz="8" w:space="0" w:color="7030A0" w:themeColor="accent6"/>
          <w:bottom w:val="single" w:sz="18" w:space="0" w:color="7030A0" w:themeColor="accent6"/>
          <w:right w:val="single" w:sz="8" w:space="0" w:color="7030A0" w:themeColor="accent6"/>
          <w:insideH w:val="nil"/>
          <w:insideV w:val="single" w:sz="8" w:space="0" w:color="7030A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30A0" w:themeColor="accent6"/>
          <w:left w:val="single" w:sz="8" w:space="0" w:color="7030A0" w:themeColor="accent6"/>
          <w:bottom w:val="single" w:sz="8" w:space="0" w:color="7030A0" w:themeColor="accent6"/>
          <w:right w:val="single" w:sz="8" w:space="0" w:color="7030A0" w:themeColor="accent6"/>
          <w:insideH w:val="nil"/>
          <w:insideV w:val="single" w:sz="8" w:space="0" w:color="7030A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30A0" w:themeColor="accent6"/>
          <w:left w:val="single" w:sz="8" w:space="0" w:color="7030A0" w:themeColor="accent6"/>
          <w:bottom w:val="single" w:sz="8" w:space="0" w:color="7030A0" w:themeColor="accent6"/>
          <w:right w:val="single" w:sz="8" w:space="0" w:color="7030A0" w:themeColor="accent6"/>
        </w:tcBorders>
      </w:tcPr>
    </w:tblStylePr>
    <w:tblStylePr w:type="band1Vert">
      <w:tblPr/>
      <w:tcPr>
        <w:tcBorders>
          <w:top w:val="single" w:sz="8" w:space="0" w:color="7030A0" w:themeColor="accent6"/>
          <w:left w:val="single" w:sz="8" w:space="0" w:color="7030A0" w:themeColor="accent6"/>
          <w:bottom w:val="single" w:sz="8" w:space="0" w:color="7030A0" w:themeColor="accent6"/>
          <w:right w:val="single" w:sz="8" w:space="0" w:color="7030A0" w:themeColor="accent6"/>
        </w:tcBorders>
        <w:shd w:val="clear" w:color="auto" w:fill="DCC5ED" w:themeFill="accent6" w:themeFillTint="3F"/>
      </w:tcPr>
    </w:tblStylePr>
    <w:tblStylePr w:type="band1Horz">
      <w:tblPr/>
      <w:tcPr>
        <w:tcBorders>
          <w:top w:val="single" w:sz="8" w:space="0" w:color="7030A0" w:themeColor="accent6"/>
          <w:left w:val="single" w:sz="8" w:space="0" w:color="7030A0" w:themeColor="accent6"/>
          <w:bottom w:val="single" w:sz="8" w:space="0" w:color="7030A0" w:themeColor="accent6"/>
          <w:right w:val="single" w:sz="8" w:space="0" w:color="7030A0" w:themeColor="accent6"/>
          <w:insideV w:val="single" w:sz="8" w:space="0" w:color="7030A0" w:themeColor="accent6"/>
        </w:tcBorders>
        <w:shd w:val="clear" w:color="auto" w:fill="DCC5ED" w:themeFill="accent6" w:themeFillTint="3F"/>
      </w:tcPr>
    </w:tblStylePr>
    <w:tblStylePr w:type="band2Horz">
      <w:tblPr/>
      <w:tcPr>
        <w:tcBorders>
          <w:top w:val="single" w:sz="8" w:space="0" w:color="7030A0" w:themeColor="accent6"/>
          <w:left w:val="single" w:sz="8" w:space="0" w:color="7030A0" w:themeColor="accent6"/>
          <w:bottom w:val="single" w:sz="8" w:space="0" w:color="7030A0" w:themeColor="accent6"/>
          <w:right w:val="single" w:sz="8" w:space="0" w:color="7030A0" w:themeColor="accent6"/>
          <w:insideV w:val="single" w:sz="8" w:space="0" w:color="7030A0" w:themeColor="accent6"/>
        </w:tcBorders>
      </w:tcPr>
    </w:tblStylePr>
  </w:style>
  <w:style w:type="table" w:styleId="LightList">
    <w:name w:val="Light List"/>
    <w:basedOn w:val="TableNormal"/>
    <w:pPr>
      <w:spacing w:before="0" w:after="0" w:line="240" w:lineRule="auto"/>
    </w:pPr>
    <w:rPr>
      <w:rFonts w:ascii="EC Square Sans Pro" w:hAnsi="EC Square Sans Pro"/>
      <w:lang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pPr>
      <w:spacing w:before="0" w:after="0" w:line="240" w:lineRule="auto"/>
    </w:pPr>
    <w:rPr>
      <w:rFonts w:ascii="EC Square Sans Pro" w:hAnsi="EC Square Sans Pro"/>
      <w:lang w:eastAsia="en-GB"/>
    </w:rPr>
    <w:tblPr>
      <w:tblStyleRowBandSize w:val="1"/>
      <w:tblStyleColBandSize w:val="1"/>
      <w:tblBorders>
        <w:top w:val="single" w:sz="8" w:space="0" w:color="008139" w:themeColor="accent1"/>
        <w:left w:val="single" w:sz="8" w:space="0" w:color="008139" w:themeColor="accent1"/>
        <w:bottom w:val="single" w:sz="8" w:space="0" w:color="008139" w:themeColor="accent1"/>
        <w:right w:val="single" w:sz="8" w:space="0" w:color="008139" w:themeColor="accent1"/>
      </w:tblBorders>
    </w:tblPr>
    <w:tblStylePr w:type="firstRow">
      <w:pPr>
        <w:spacing w:before="0" w:after="0" w:line="240" w:lineRule="auto"/>
      </w:pPr>
      <w:rPr>
        <w:b/>
        <w:bCs/>
        <w:color w:val="FFFFFF" w:themeColor="background1"/>
      </w:rPr>
      <w:tblPr/>
      <w:tcPr>
        <w:shd w:val="clear" w:color="auto" w:fill="008139" w:themeFill="accent1"/>
      </w:tcPr>
    </w:tblStylePr>
    <w:tblStylePr w:type="lastRow">
      <w:pPr>
        <w:spacing w:before="0" w:after="0" w:line="240" w:lineRule="auto"/>
      </w:pPr>
      <w:rPr>
        <w:b/>
        <w:bCs/>
      </w:rPr>
      <w:tblPr/>
      <w:tcPr>
        <w:tcBorders>
          <w:top w:val="double" w:sz="6" w:space="0" w:color="008139" w:themeColor="accent1"/>
          <w:left w:val="single" w:sz="8" w:space="0" w:color="008139" w:themeColor="accent1"/>
          <w:bottom w:val="single" w:sz="8" w:space="0" w:color="008139" w:themeColor="accent1"/>
          <w:right w:val="single" w:sz="8" w:space="0" w:color="008139" w:themeColor="accent1"/>
        </w:tcBorders>
      </w:tcPr>
    </w:tblStylePr>
    <w:tblStylePr w:type="firstCol">
      <w:rPr>
        <w:b/>
        <w:bCs/>
      </w:rPr>
    </w:tblStylePr>
    <w:tblStylePr w:type="lastCol">
      <w:rPr>
        <w:b/>
        <w:bCs/>
      </w:rPr>
    </w:tblStylePr>
    <w:tblStylePr w:type="band1Vert">
      <w:tblPr/>
      <w:tcPr>
        <w:tcBorders>
          <w:top w:val="single" w:sz="8" w:space="0" w:color="008139" w:themeColor="accent1"/>
          <w:left w:val="single" w:sz="8" w:space="0" w:color="008139" w:themeColor="accent1"/>
          <w:bottom w:val="single" w:sz="8" w:space="0" w:color="008139" w:themeColor="accent1"/>
          <w:right w:val="single" w:sz="8" w:space="0" w:color="008139" w:themeColor="accent1"/>
        </w:tcBorders>
      </w:tcPr>
    </w:tblStylePr>
    <w:tblStylePr w:type="band1Horz">
      <w:tblPr/>
      <w:tcPr>
        <w:tcBorders>
          <w:top w:val="single" w:sz="8" w:space="0" w:color="008139" w:themeColor="accent1"/>
          <w:left w:val="single" w:sz="8" w:space="0" w:color="008139" w:themeColor="accent1"/>
          <w:bottom w:val="single" w:sz="8" w:space="0" w:color="008139" w:themeColor="accent1"/>
          <w:right w:val="single" w:sz="8" w:space="0" w:color="008139" w:themeColor="accent1"/>
        </w:tcBorders>
      </w:tcPr>
    </w:tblStylePr>
  </w:style>
  <w:style w:type="table" w:styleId="LightList-Accent2">
    <w:name w:val="Light List Accent 2"/>
    <w:basedOn w:val="TableNormal"/>
    <w:pPr>
      <w:spacing w:before="0" w:after="0" w:line="240" w:lineRule="auto"/>
    </w:pPr>
    <w:rPr>
      <w:rFonts w:ascii="EC Square Sans Pro" w:hAnsi="EC Square Sans Pro"/>
      <w:lang w:eastAsia="en-GB"/>
    </w:rPr>
    <w:tblPr>
      <w:tblStyleRowBandSize w:val="1"/>
      <w:tblStyleColBandSize w:val="1"/>
      <w:tblBorders>
        <w:top w:val="single" w:sz="8" w:space="0" w:color="DE6002" w:themeColor="accent2"/>
        <w:left w:val="single" w:sz="8" w:space="0" w:color="DE6002" w:themeColor="accent2"/>
        <w:bottom w:val="single" w:sz="8" w:space="0" w:color="DE6002" w:themeColor="accent2"/>
        <w:right w:val="single" w:sz="8" w:space="0" w:color="DE6002" w:themeColor="accent2"/>
      </w:tblBorders>
    </w:tblPr>
    <w:tblStylePr w:type="firstRow">
      <w:pPr>
        <w:spacing w:before="0" w:after="0" w:line="240" w:lineRule="auto"/>
      </w:pPr>
      <w:rPr>
        <w:b/>
        <w:bCs/>
        <w:color w:val="FFFFFF" w:themeColor="background1"/>
      </w:rPr>
      <w:tblPr/>
      <w:tcPr>
        <w:shd w:val="clear" w:color="auto" w:fill="DE6002" w:themeFill="accent2"/>
      </w:tcPr>
    </w:tblStylePr>
    <w:tblStylePr w:type="lastRow">
      <w:pPr>
        <w:spacing w:before="0" w:after="0" w:line="240" w:lineRule="auto"/>
      </w:pPr>
      <w:rPr>
        <w:b/>
        <w:bCs/>
      </w:rPr>
      <w:tblPr/>
      <w:tcPr>
        <w:tcBorders>
          <w:top w:val="double" w:sz="6" w:space="0" w:color="DE6002" w:themeColor="accent2"/>
          <w:left w:val="single" w:sz="8" w:space="0" w:color="DE6002" w:themeColor="accent2"/>
          <w:bottom w:val="single" w:sz="8" w:space="0" w:color="DE6002" w:themeColor="accent2"/>
          <w:right w:val="single" w:sz="8" w:space="0" w:color="DE6002" w:themeColor="accent2"/>
        </w:tcBorders>
      </w:tcPr>
    </w:tblStylePr>
    <w:tblStylePr w:type="firstCol">
      <w:rPr>
        <w:b/>
        <w:bCs/>
      </w:rPr>
    </w:tblStylePr>
    <w:tblStylePr w:type="lastCol">
      <w:rPr>
        <w:b/>
        <w:bCs/>
      </w:rPr>
    </w:tblStylePr>
    <w:tblStylePr w:type="band1Vert">
      <w:tblPr/>
      <w:tcPr>
        <w:tcBorders>
          <w:top w:val="single" w:sz="8" w:space="0" w:color="DE6002" w:themeColor="accent2"/>
          <w:left w:val="single" w:sz="8" w:space="0" w:color="DE6002" w:themeColor="accent2"/>
          <w:bottom w:val="single" w:sz="8" w:space="0" w:color="DE6002" w:themeColor="accent2"/>
          <w:right w:val="single" w:sz="8" w:space="0" w:color="DE6002" w:themeColor="accent2"/>
        </w:tcBorders>
      </w:tcPr>
    </w:tblStylePr>
    <w:tblStylePr w:type="band1Horz">
      <w:tblPr/>
      <w:tcPr>
        <w:tcBorders>
          <w:top w:val="single" w:sz="8" w:space="0" w:color="DE6002" w:themeColor="accent2"/>
          <w:left w:val="single" w:sz="8" w:space="0" w:color="DE6002" w:themeColor="accent2"/>
          <w:bottom w:val="single" w:sz="8" w:space="0" w:color="DE6002" w:themeColor="accent2"/>
          <w:right w:val="single" w:sz="8" w:space="0" w:color="DE6002" w:themeColor="accent2"/>
        </w:tcBorders>
      </w:tcPr>
    </w:tblStylePr>
  </w:style>
  <w:style w:type="table" w:styleId="LightList-Accent3">
    <w:name w:val="Light List Accent 3"/>
    <w:basedOn w:val="TableNormal"/>
    <w:pPr>
      <w:spacing w:before="0" w:after="0" w:line="240" w:lineRule="auto"/>
    </w:pPr>
    <w:rPr>
      <w:rFonts w:ascii="EC Square Sans Pro" w:hAnsi="EC Square Sans Pro"/>
      <w:lang w:eastAsia="en-GB"/>
    </w:rPr>
    <w:tblPr>
      <w:tblStyleRowBandSize w:val="1"/>
      <w:tblStyleColBandSize w:val="1"/>
      <w:tblBorders>
        <w:top w:val="single" w:sz="8" w:space="0" w:color="2688FE" w:themeColor="accent3"/>
        <w:left w:val="single" w:sz="8" w:space="0" w:color="2688FE" w:themeColor="accent3"/>
        <w:bottom w:val="single" w:sz="8" w:space="0" w:color="2688FE" w:themeColor="accent3"/>
        <w:right w:val="single" w:sz="8" w:space="0" w:color="2688FE" w:themeColor="accent3"/>
      </w:tblBorders>
    </w:tblPr>
    <w:tblStylePr w:type="firstRow">
      <w:pPr>
        <w:spacing w:before="0" w:after="0" w:line="240" w:lineRule="auto"/>
      </w:pPr>
      <w:rPr>
        <w:b/>
        <w:bCs/>
        <w:color w:val="FFFFFF" w:themeColor="background1"/>
      </w:rPr>
      <w:tblPr/>
      <w:tcPr>
        <w:shd w:val="clear" w:color="auto" w:fill="2688FE" w:themeFill="accent3"/>
      </w:tcPr>
    </w:tblStylePr>
    <w:tblStylePr w:type="lastRow">
      <w:pPr>
        <w:spacing w:before="0" w:after="0" w:line="240" w:lineRule="auto"/>
      </w:pPr>
      <w:rPr>
        <w:b/>
        <w:bCs/>
      </w:rPr>
      <w:tblPr/>
      <w:tcPr>
        <w:tcBorders>
          <w:top w:val="double" w:sz="6" w:space="0" w:color="2688FE" w:themeColor="accent3"/>
          <w:left w:val="single" w:sz="8" w:space="0" w:color="2688FE" w:themeColor="accent3"/>
          <w:bottom w:val="single" w:sz="8" w:space="0" w:color="2688FE" w:themeColor="accent3"/>
          <w:right w:val="single" w:sz="8" w:space="0" w:color="2688FE" w:themeColor="accent3"/>
        </w:tcBorders>
      </w:tcPr>
    </w:tblStylePr>
    <w:tblStylePr w:type="firstCol">
      <w:rPr>
        <w:b/>
        <w:bCs/>
      </w:rPr>
    </w:tblStylePr>
    <w:tblStylePr w:type="lastCol">
      <w:rPr>
        <w:b/>
        <w:bCs/>
      </w:rPr>
    </w:tblStylePr>
    <w:tblStylePr w:type="band1Vert">
      <w:tblPr/>
      <w:tcPr>
        <w:tcBorders>
          <w:top w:val="single" w:sz="8" w:space="0" w:color="2688FE" w:themeColor="accent3"/>
          <w:left w:val="single" w:sz="8" w:space="0" w:color="2688FE" w:themeColor="accent3"/>
          <w:bottom w:val="single" w:sz="8" w:space="0" w:color="2688FE" w:themeColor="accent3"/>
          <w:right w:val="single" w:sz="8" w:space="0" w:color="2688FE" w:themeColor="accent3"/>
        </w:tcBorders>
      </w:tcPr>
    </w:tblStylePr>
    <w:tblStylePr w:type="band1Horz">
      <w:tblPr/>
      <w:tcPr>
        <w:tcBorders>
          <w:top w:val="single" w:sz="8" w:space="0" w:color="2688FE" w:themeColor="accent3"/>
          <w:left w:val="single" w:sz="8" w:space="0" w:color="2688FE" w:themeColor="accent3"/>
          <w:bottom w:val="single" w:sz="8" w:space="0" w:color="2688FE" w:themeColor="accent3"/>
          <w:right w:val="single" w:sz="8" w:space="0" w:color="2688FE" w:themeColor="accent3"/>
        </w:tcBorders>
      </w:tcPr>
    </w:tblStylePr>
  </w:style>
  <w:style w:type="table" w:styleId="LightList-Accent4">
    <w:name w:val="Light List Accent 4"/>
    <w:basedOn w:val="TableNormal"/>
    <w:pPr>
      <w:spacing w:before="0" w:after="0" w:line="240" w:lineRule="auto"/>
    </w:pPr>
    <w:rPr>
      <w:rFonts w:ascii="EC Square Sans Pro" w:hAnsi="EC Square Sans Pro"/>
      <w:lang w:eastAsia="en-GB"/>
    </w:rPr>
    <w:tblPr>
      <w:tblStyleRowBandSize w:val="1"/>
      <w:tblStyleColBandSize w:val="1"/>
      <w:tblBorders>
        <w:top w:val="single" w:sz="8" w:space="0" w:color="FDAB07" w:themeColor="accent4"/>
        <w:left w:val="single" w:sz="8" w:space="0" w:color="FDAB07" w:themeColor="accent4"/>
        <w:bottom w:val="single" w:sz="8" w:space="0" w:color="FDAB07" w:themeColor="accent4"/>
        <w:right w:val="single" w:sz="8" w:space="0" w:color="FDAB07" w:themeColor="accent4"/>
      </w:tblBorders>
    </w:tblPr>
    <w:tblStylePr w:type="firstRow">
      <w:pPr>
        <w:spacing w:before="0" w:after="0" w:line="240" w:lineRule="auto"/>
      </w:pPr>
      <w:rPr>
        <w:b/>
        <w:bCs/>
        <w:color w:val="FFFFFF" w:themeColor="background1"/>
      </w:rPr>
      <w:tblPr/>
      <w:tcPr>
        <w:shd w:val="clear" w:color="auto" w:fill="FDAB07" w:themeFill="accent4"/>
      </w:tcPr>
    </w:tblStylePr>
    <w:tblStylePr w:type="lastRow">
      <w:pPr>
        <w:spacing w:before="0" w:after="0" w:line="240" w:lineRule="auto"/>
      </w:pPr>
      <w:rPr>
        <w:b/>
        <w:bCs/>
      </w:rPr>
      <w:tblPr/>
      <w:tcPr>
        <w:tcBorders>
          <w:top w:val="double" w:sz="6" w:space="0" w:color="FDAB07" w:themeColor="accent4"/>
          <w:left w:val="single" w:sz="8" w:space="0" w:color="FDAB07" w:themeColor="accent4"/>
          <w:bottom w:val="single" w:sz="8" w:space="0" w:color="FDAB07" w:themeColor="accent4"/>
          <w:right w:val="single" w:sz="8" w:space="0" w:color="FDAB07" w:themeColor="accent4"/>
        </w:tcBorders>
      </w:tcPr>
    </w:tblStylePr>
    <w:tblStylePr w:type="firstCol">
      <w:rPr>
        <w:b/>
        <w:bCs/>
      </w:rPr>
    </w:tblStylePr>
    <w:tblStylePr w:type="lastCol">
      <w:rPr>
        <w:b/>
        <w:bCs/>
      </w:rPr>
    </w:tblStylePr>
    <w:tblStylePr w:type="band1Vert">
      <w:tblPr/>
      <w:tcPr>
        <w:tcBorders>
          <w:top w:val="single" w:sz="8" w:space="0" w:color="FDAB07" w:themeColor="accent4"/>
          <w:left w:val="single" w:sz="8" w:space="0" w:color="FDAB07" w:themeColor="accent4"/>
          <w:bottom w:val="single" w:sz="8" w:space="0" w:color="FDAB07" w:themeColor="accent4"/>
          <w:right w:val="single" w:sz="8" w:space="0" w:color="FDAB07" w:themeColor="accent4"/>
        </w:tcBorders>
      </w:tcPr>
    </w:tblStylePr>
    <w:tblStylePr w:type="band1Horz">
      <w:tblPr/>
      <w:tcPr>
        <w:tcBorders>
          <w:top w:val="single" w:sz="8" w:space="0" w:color="FDAB07" w:themeColor="accent4"/>
          <w:left w:val="single" w:sz="8" w:space="0" w:color="FDAB07" w:themeColor="accent4"/>
          <w:bottom w:val="single" w:sz="8" w:space="0" w:color="FDAB07" w:themeColor="accent4"/>
          <w:right w:val="single" w:sz="8" w:space="0" w:color="FDAB07" w:themeColor="accent4"/>
        </w:tcBorders>
      </w:tcPr>
    </w:tblStylePr>
  </w:style>
  <w:style w:type="table" w:styleId="LightList-Accent5">
    <w:name w:val="Light List Accent 5"/>
    <w:basedOn w:val="TableNormal"/>
    <w:pPr>
      <w:spacing w:before="0" w:after="0" w:line="240" w:lineRule="auto"/>
    </w:pPr>
    <w:rPr>
      <w:rFonts w:ascii="EC Square Sans Pro" w:hAnsi="EC Square Sans Pro"/>
      <w:lang w:eastAsia="en-GB"/>
    </w:rPr>
    <w:tblPr>
      <w:tblStyleRowBandSize w:val="1"/>
      <w:tblStyleColBandSize w:val="1"/>
      <w:tblBorders>
        <w:top w:val="single" w:sz="8" w:space="0" w:color="DC165D" w:themeColor="accent5"/>
        <w:left w:val="single" w:sz="8" w:space="0" w:color="DC165D" w:themeColor="accent5"/>
        <w:bottom w:val="single" w:sz="8" w:space="0" w:color="DC165D" w:themeColor="accent5"/>
        <w:right w:val="single" w:sz="8" w:space="0" w:color="DC165D" w:themeColor="accent5"/>
      </w:tblBorders>
    </w:tblPr>
    <w:tblStylePr w:type="firstRow">
      <w:pPr>
        <w:spacing w:before="0" w:after="0" w:line="240" w:lineRule="auto"/>
      </w:pPr>
      <w:rPr>
        <w:b/>
        <w:bCs/>
        <w:color w:val="FFFFFF" w:themeColor="background1"/>
      </w:rPr>
      <w:tblPr/>
      <w:tcPr>
        <w:shd w:val="clear" w:color="auto" w:fill="DC165D" w:themeFill="accent5"/>
      </w:tcPr>
    </w:tblStylePr>
    <w:tblStylePr w:type="lastRow">
      <w:pPr>
        <w:spacing w:before="0" w:after="0" w:line="240" w:lineRule="auto"/>
      </w:pPr>
      <w:rPr>
        <w:b/>
        <w:bCs/>
      </w:rPr>
      <w:tblPr/>
      <w:tcPr>
        <w:tcBorders>
          <w:top w:val="double" w:sz="6" w:space="0" w:color="DC165D" w:themeColor="accent5"/>
          <w:left w:val="single" w:sz="8" w:space="0" w:color="DC165D" w:themeColor="accent5"/>
          <w:bottom w:val="single" w:sz="8" w:space="0" w:color="DC165D" w:themeColor="accent5"/>
          <w:right w:val="single" w:sz="8" w:space="0" w:color="DC165D" w:themeColor="accent5"/>
        </w:tcBorders>
      </w:tcPr>
    </w:tblStylePr>
    <w:tblStylePr w:type="firstCol">
      <w:rPr>
        <w:b/>
        <w:bCs/>
      </w:rPr>
    </w:tblStylePr>
    <w:tblStylePr w:type="lastCol">
      <w:rPr>
        <w:b/>
        <w:bCs/>
      </w:rPr>
    </w:tblStylePr>
    <w:tblStylePr w:type="band1Vert">
      <w:tblPr/>
      <w:tcPr>
        <w:tcBorders>
          <w:top w:val="single" w:sz="8" w:space="0" w:color="DC165D" w:themeColor="accent5"/>
          <w:left w:val="single" w:sz="8" w:space="0" w:color="DC165D" w:themeColor="accent5"/>
          <w:bottom w:val="single" w:sz="8" w:space="0" w:color="DC165D" w:themeColor="accent5"/>
          <w:right w:val="single" w:sz="8" w:space="0" w:color="DC165D" w:themeColor="accent5"/>
        </w:tcBorders>
      </w:tcPr>
    </w:tblStylePr>
    <w:tblStylePr w:type="band1Horz">
      <w:tblPr/>
      <w:tcPr>
        <w:tcBorders>
          <w:top w:val="single" w:sz="8" w:space="0" w:color="DC165D" w:themeColor="accent5"/>
          <w:left w:val="single" w:sz="8" w:space="0" w:color="DC165D" w:themeColor="accent5"/>
          <w:bottom w:val="single" w:sz="8" w:space="0" w:color="DC165D" w:themeColor="accent5"/>
          <w:right w:val="single" w:sz="8" w:space="0" w:color="DC165D" w:themeColor="accent5"/>
        </w:tcBorders>
      </w:tcPr>
    </w:tblStylePr>
  </w:style>
  <w:style w:type="table" w:styleId="LightList-Accent6">
    <w:name w:val="Light List Accent 6"/>
    <w:basedOn w:val="TableNormal"/>
    <w:pPr>
      <w:spacing w:before="0" w:after="0" w:line="240" w:lineRule="auto"/>
    </w:pPr>
    <w:rPr>
      <w:rFonts w:ascii="EC Square Sans Pro" w:hAnsi="EC Square Sans Pro"/>
      <w:lang w:eastAsia="en-GB"/>
    </w:rPr>
    <w:tblPr>
      <w:tblStyleRowBandSize w:val="1"/>
      <w:tblStyleColBandSize w:val="1"/>
      <w:tblBorders>
        <w:top w:val="single" w:sz="8" w:space="0" w:color="7030A0" w:themeColor="accent6"/>
        <w:left w:val="single" w:sz="8" w:space="0" w:color="7030A0" w:themeColor="accent6"/>
        <w:bottom w:val="single" w:sz="8" w:space="0" w:color="7030A0" w:themeColor="accent6"/>
        <w:right w:val="single" w:sz="8" w:space="0" w:color="7030A0" w:themeColor="accent6"/>
      </w:tblBorders>
    </w:tblPr>
    <w:tblStylePr w:type="firstRow">
      <w:pPr>
        <w:spacing w:before="0" w:after="0" w:line="240" w:lineRule="auto"/>
      </w:pPr>
      <w:rPr>
        <w:b/>
        <w:bCs/>
        <w:color w:val="FFFFFF" w:themeColor="background1"/>
      </w:rPr>
      <w:tblPr/>
      <w:tcPr>
        <w:shd w:val="clear" w:color="auto" w:fill="7030A0" w:themeFill="accent6"/>
      </w:tcPr>
    </w:tblStylePr>
    <w:tblStylePr w:type="lastRow">
      <w:pPr>
        <w:spacing w:before="0" w:after="0" w:line="240" w:lineRule="auto"/>
      </w:pPr>
      <w:rPr>
        <w:b/>
        <w:bCs/>
      </w:rPr>
      <w:tblPr/>
      <w:tcPr>
        <w:tcBorders>
          <w:top w:val="double" w:sz="6" w:space="0" w:color="7030A0" w:themeColor="accent6"/>
          <w:left w:val="single" w:sz="8" w:space="0" w:color="7030A0" w:themeColor="accent6"/>
          <w:bottom w:val="single" w:sz="8" w:space="0" w:color="7030A0" w:themeColor="accent6"/>
          <w:right w:val="single" w:sz="8" w:space="0" w:color="7030A0" w:themeColor="accent6"/>
        </w:tcBorders>
      </w:tcPr>
    </w:tblStylePr>
    <w:tblStylePr w:type="firstCol">
      <w:rPr>
        <w:b/>
        <w:bCs/>
      </w:rPr>
    </w:tblStylePr>
    <w:tblStylePr w:type="lastCol">
      <w:rPr>
        <w:b/>
        <w:bCs/>
      </w:rPr>
    </w:tblStylePr>
    <w:tblStylePr w:type="band1Vert">
      <w:tblPr/>
      <w:tcPr>
        <w:tcBorders>
          <w:top w:val="single" w:sz="8" w:space="0" w:color="7030A0" w:themeColor="accent6"/>
          <w:left w:val="single" w:sz="8" w:space="0" w:color="7030A0" w:themeColor="accent6"/>
          <w:bottom w:val="single" w:sz="8" w:space="0" w:color="7030A0" w:themeColor="accent6"/>
          <w:right w:val="single" w:sz="8" w:space="0" w:color="7030A0" w:themeColor="accent6"/>
        </w:tcBorders>
      </w:tcPr>
    </w:tblStylePr>
    <w:tblStylePr w:type="band1Horz">
      <w:tblPr/>
      <w:tcPr>
        <w:tcBorders>
          <w:top w:val="single" w:sz="8" w:space="0" w:color="7030A0" w:themeColor="accent6"/>
          <w:left w:val="single" w:sz="8" w:space="0" w:color="7030A0" w:themeColor="accent6"/>
          <w:bottom w:val="single" w:sz="8" w:space="0" w:color="7030A0" w:themeColor="accent6"/>
          <w:right w:val="single" w:sz="8" w:space="0" w:color="7030A0" w:themeColor="accent6"/>
        </w:tcBorders>
      </w:tcPr>
    </w:tblStylePr>
  </w:style>
  <w:style w:type="table" w:styleId="LightShading">
    <w:name w:val="Light Shading"/>
    <w:basedOn w:val="TableNormal"/>
    <w:pPr>
      <w:spacing w:before="0" w:after="0" w:line="240" w:lineRule="auto"/>
    </w:pPr>
    <w:rPr>
      <w:rFonts w:ascii="EC Square Sans Pro" w:hAnsi="EC Square Sans Pro"/>
      <w:color w:val="000000" w:themeColor="text1" w:themeShade="BF"/>
      <w:lang w:eastAsia="en-GB"/>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pPr>
      <w:spacing w:before="0" w:after="0" w:line="240" w:lineRule="auto"/>
    </w:pPr>
    <w:rPr>
      <w:rFonts w:ascii="EC Square Sans Pro" w:hAnsi="EC Square Sans Pro"/>
      <w:color w:val="00602A" w:themeColor="accent1" w:themeShade="BF"/>
      <w:lang w:eastAsia="en-GB"/>
    </w:rPr>
    <w:tblPr>
      <w:tblStyleRowBandSize w:val="1"/>
      <w:tblStyleColBandSize w:val="1"/>
      <w:tblBorders>
        <w:top w:val="single" w:sz="8" w:space="0" w:color="008139" w:themeColor="accent1"/>
        <w:bottom w:val="single" w:sz="8" w:space="0" w:color="008139" w:themeColor="accent1"/>
      </w:tblBorders>
    </w:tblPr>
    <w:tblStylePr w:type="firstRow">
      <w:pPr>
        <w:spacing w:before="0" w:after="0" w:line="240" w:lineRule="auto"/>
      </w:pPr>
      <w:rPr>
        <w:b/>
        <w:bCs/>
      </w:rPr>
      <w:tblPr/>
      <w:tcPr>
        <w:tcBorders>
          <w:top w:val="single" w:sz="8" w:space="0" w:color="008139" w:themeColor="accent1"/>
          <w:left w:val="nil"/>
          <w:bottom w:val="single" w:sz="8" w:space="0" w:color="008139" w:themeColor="accent1"/>
          <w:right w:val="nil"/>
          <w:insideH w:val="nil"/>
          <w:insideV w:val="nil"/>
        </w:tcBorders>
      </w:tcPr>
    </w:tblStylePr>
    <w:tblStylePr w:type="lastRow">
      <w:pPr>
        <w:spacing w:before="0" w:after="0" w:line="240" w:lineRule="auto"/>
      </w:pPr>
      <w:rPr>
        <w:b/>
        <w:bCs/>
      </w:rPr>
      <w:tblPr/>
      <w:tcPr>
        <w:tcBorders>
          <w:top w:val="single" w:sz="8" w:space="0" w:color="008139" w:themeColor="accent1"/>
          <w:left w:val="nil"/>
          <w:bottom w:val="single" w:sz="8" w:space="0" w:color="00813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0FFCA" w:themeFill="accent1" w:themeFillTint="3F"/>
      </w:tcPr>
    </w:tblStylePr>
    <w:tblStylePr w:type="band1Horz">
      <w:tblPr/>
      <w:tcPr>
        <w:tcBorders>
          <w:left w:val="nil"/>
          <w:right w:val="nil"/>
          <w:insideH w:val="nil"/>
          <w:insideV w:val="nil"/>
        </w:tcBorders>
        <w:shd w:val="clear" w:color="auto" w:fill="A0FFCA" w:themeFill="accent1" w:themeFillTint="3F"/>
      </w:tcPr>
    </w:tblStylePr>
  </w:style>
  <w:style w:type="table" w:styleId="LightShading-Accent2">
    <w:name w:val="Light Shading Accent 2"/>
    <w:basedOn w:val="TableNormal"/>
    <w:pPr>
      <w:spacing w:before="0" w:after="0" w:line="240" w:lineRule="auto"/>
    </w:pPr>
    <w:rPr>
      <w:rFonts w:ascii="EC Square Sans Pro" w:hAnsi="EC Square Sans Pro"/>
      <w:color w:val="A64701" w:themeColor="accent2" w:themeShade="BF"/>
      <w:lang w:eastAsia="en-GB"/>
    </w:rPr>
    <w:tblPr>
      <w:tblStyleRowBandSize w:val="1"/>
      <w:tblStyleColBandSize w:val="1"/>
      <w:tblBorders>
        <w:top w:val="single" w:sz="8" w:space="0" w:color="DE6002" w:themeColor="accent2"/>
        <w:bottom w:val="single" w:sz="8" w:space="0" w:color="DE6002" w:themeColor="accent2"/>
      </w:tblBorders>
    </w:tblPr>
    <w:tblStylePr w:type="firstRow">
      <w:pPr>
        <w:spacing w:before="0" w:after="0" w:line="240" w:lineRule="auto"/>
      </w:pPr>
      <w:rPr>
        <w:b/>
        <w:bCs/>
      </w:rPr>
      <w:tblPr/>
      <w:tcPr>
        <w:tcBorders>
          <w:top w:val="single" w:sz="8" w:space="0" w:color="DE6002" w:themeColor="accent2"/>
          <w:left w:val="nil"/>
          <w:bottom w:val="single" w:sz="8" w:space="0" w:color="DE6002" w:themeColor="accent2"/>
          <w:right w:val="nil"/>
          <w:insideH w:val="nil"/>
          <w:insideV w:val="nil"/>
        </w:tcBorders>
      </w:tcPr>
    </w:tblStylePr>
    <w:tblStylePr w:type="lastRow">
      <w:pPr>
        <w:spacing w:before="0" w:after="0" w:line="240" w:lineRule="auto"/>
      </w:pPr>
      <w:rPr>
        <w:b/>
        <w:bCs/>
      </w:rPr>
      <w:tblPr/>
      <w:tcPr>
        <w:tcBorders>
          <w:top w:val="single" w:sz="8" w:space="0" w:color="DE6002" w:themeColor="accent2"/>
          <w:left w:val="nil"/>
          <w:bottom w:val="single" w:sz="8" w:space="0" w:color="DE600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D6B8" w:themeFill="accent2" w:themeFillTint="3F"/>
      </w:tcPr>
    </w:tblStylePr>
    <w:tblStylePr w:type="band1Horz">
      <w:tblPr/>
      <w:tcPr>
        <w:tcBorders>
          <w:left w:val="nil"/>
          <w:right w:val="nil"/>
          <w:insideH w:val="nil"/>
          <w:insideV w:val="nil"/>
        </w:tcBorders>
        <w:shd w:val="clear" w:color="auto" w:fill="FED6B8" w:themeFill="accent2" w:themeFillTint="3F"/>
      </w:tcPr>
    </w:tblStylePr>
  </w:style>
  <w:style w:type="table" w:styleId="LightShading-Accent3">
    <w:name w:val="Light Shading Accent 3"/>
    <w:basedOn w:val="TableNormal"/>
    <w:pPr>
      <w:spacing w:before="0" w:after="0" w:line="240" w:lineRule="auto"/>
    </w:pPr>
    <w:rPr>
      <w:rFonts w:ascii="EC Square Sans Pro" w:hAnsi="EC Square Sans Pro"/>
      <w:color w:val="0162D9" w:themeColor="accent3" w:themeShade="BF"/>
      <w:lang w:eastAsia="en-GB"/>
    </w:rPr>
    <w:tblPr>
      <w:tblStyleRowBandSize w:val="1"/>
      <w:tblStyleColBandSize w:val="1"/>
      <w:tblBorders>
        <w:top w:val="single" w:sz="8" w:space="0" w:color="2688FE" w:themeColor="accent3"/>
        <w:bottom w:val="single" w:sz="8" w:space="0" w:color="2688FE" w:themeColor="accent3"/>
      </w:tblBorders>
    </w:tblPr>
    <w:tblStylePr w:type="firstRow">
      <w:pPr>
        <w:spacing w:before="0" w:after="0" w:line="240" w:lineRule="auto"/>
      </w:pPr>
      <w:rPr>
        <w:b/>
        <w:bCs/>
      </w:rPr>
      <w:tblPr/>
      <w:tcPr>
        <w:tcBorders>
          <w:top w:val="single" w:sz="8" w:space="0" w:color="2688FE" w:themeColor="accent3"/>
          <w:left w:val="nil"/>
          <w:bottom w:val="single" w:sz="8" w:space="0" w:color="2688FE" w:themeColor="accent3"/>
          <w:right w:val="nil"/>
          <w:insideH w:val="nil"/>
          <w:insideV w:val="nil"/>
        </w:tcBorders>
      </w:tcPr>
    </w:tblStylePr>
    <w:tblStylePr w:type="lastRow">
      <w:pPr>
        <w:spacing w:before="0" w:after="0" w:line="240" w:lineRule="auto"/>
      </w:pPr>
      <w:rPr>
        <w:b/>
        <w:bCs/>
      </w:rPr>
      <w:tblPr/>
      <w:tcPr>
        <w:tcBorders>
          <w:top w:val="single" w:sz="8" w:space="0" w:color="2688FE" w:themeColor="accent3"/>
          <w:left w:val="nil"/>
          <w:bottom w:val="single" w:sz="8" w:space="0" w:color="2688F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E1FE" w:themeFill="accent3" w:themeFillTint="3F"/>
      </w:tcPr>
    </w:tblStylePr>
    <w:tblStylePr w:type="band1Horz">
      <w:tblPr/>
      <w:tcPr>
        <w:tcBorders>
          <w:left w:val="nil"/>
          <w:right w:val="nil"/>
          <w:insideH w:val="nil"/>
          <w:insideV w:val="nil"/>
        </w:tcBorders>
        <w:shd w:val="clear" w:color="auto" w:fill="C9E1FE" w:themeFill="accent3" w:themeFillTint="3F"/>
      </w:tcPr>
    </w:tblStylePr>
  </w:style>
  <w:style w:type="table" w:styleId="LightShading-Accent4">
    <w:name w:val="Light Shading Accent 4"/>
    <w:basedOn w:val="TableNormal"/>
    <w:pPr>
      <w:spacing w:before="0" w:after="0" w:line="240" w:lineRule="auto"/>
    </w:pPr>
    <w:rPr>
      <w:rFonts w:ascii="EC Square Sans Pro" w:hAnsi="EC Square Sans Pro"/>
      <w:color w:val="C18101" w:themeColor="accent4" w:themeShade="BF"/>
      <w:lang w:eastAsia="en-GB"/>
    </w:rPr>
    <w:tblPr>
      <w:tblStyleRowBandSize w:val="1"/>
      <w:tblStyleColBandSize w:val="1"/>
      <w:tblBorders>
        <w:top w:val="single" w:sz="8" w:space="0" w:color="FDAB07" w:themeColor="accent4"/>
        <w:bottom w:val="single" w:sz="8" w:space="0" w:color="FDAB07" w:themeColor="accent4"/>
      </w:tblBorders>
    </w:tblPr>
    <w:tblStylePr w:type="firstRow">
      <w:pPr>
        <w:spacing w:before="0" w:after="0" w:line="240" w:lineRule="auto"/>
      </w:pPr>
      <w:rPr>
        <w:b/>
        <w:bCs/>
      </w:rPr>
      <w:tblPr/>
      <w:tcPr>
        <w:tcBorders>
          <w:top w:val="single" w:sz="8" w:space="0" w:color="FDAB07" w:themeColor="accent4"/>
          <w:left w:val="nil"/>
          <w:bottom w:val="single" w:sz="8" w:space="0" w:color="FDAB07" w:themeColor="accent4"/>
          <w:right w:val="nil"/>
          <w:insideH w:val="nil"/>
          <w:insideV w:val="nil"/>
        </w:tcBorders>
      </w:tcPr>
    </w:tblStylePr>
    <w:tblStylePr w:type="lastRow">
      <w:pPr>
        <w:spacing w:before="0" w:after="0" w:line="240" w:lineRule="auto"/>
      </w:pPr>
      <w:rPr>
        <w:b/>
        <w:bCs/>
      </w:rPr>
      <w:tblPr/>
      <w:tcPr>
        <w:tcBorders>
          <w:top w:val="single" w:sz="8" w:space="0" w:color="FDAB07" w:themeColor="accent4"/>
          <w:left w:val="nil"/>
          <w:bottom w:val="single" w:sz="8" w:space="0" w:color="FDAB0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EAC1" w:themeFill="accent4" w:themeFillTint="3F"/>
      </w:tcPr>
    </w:tblStylePr>
    <w:tblStylePr w:type="band1Horz">
      <w:tblPr/>
      <w:tcPr>
        <w:tcBorders>
          <w:left w:val="nil"/>
          <w:right w:val="nil"/>
          <w:insideH w:val="nil"/>
          <w:insideV w:val="nil"/>
        </w:tcBorders>
        <w:shd w:val="clear" w:color="auto" w:fill="FEEAC1" w:themeFill="accent4" w:themeFillTint="3F"/>
      </w:tcPr>
    </w:tblStylePr>
  </w:style>
  <w:style w:type="table" w:styleId="LightShading-Accent5">
    <w:name w:val="Light Shading Accent 5"/>
    <w:basedOn w:val="TableNormal"/>
    <w:pPr>
      <w:spacing w:before="0" w:after="0" w:line="240" w:lineRule="auto"/>
    </w:pPr>
    <w:rPr>
      <w:rFonts w:ascii="EC Square Sans Pro" w:hAnsi="EC Square Sans Pro"/>
      <w:color w:val="A41045" w:themeColor="accent5" w:themeShade="BF"/>
      <w:lang w:eastAsia="en-GB"/>
    </w:rPr>
    <w:tblPr>
      <w:tblStyleRowBandSize w:val="1"/>
      <w:tblStyleColBandSize w:val="1"/>
      <w:tblBorders>
        <w:top w:val="single" w:sz="8" w:space="0" w:color="DC165D" w:themeColor="accent5"/>
        <w:bottom w:val="single" w:sz="8" w:space="0" w:color="DC165D" w:themeColor="accent5"/>
      </w:tblBorders>
    </w:tblPr>
    <w:tblStylePr w:type="firstRow">
      <w:pPr>
        <w:spacing w:before="0" w:after="0" w:line="240" w:lineRule="auto"/>
      </w:pPr>
      <w:rPr>
        <w:b/>
        <w:bCs/>
      </w:rPr>
      <w:tblPr/>
      <w:tcPr>
        <w:tcBorders>
          <w:top w:val="single" w:sz="8" w:space="0" w:color="DC165D" w:themeColor="accent5"/>
          <w:left w:val="nil"/>
          <w:bottom w:val="single" w:sz="8" w:space="0" w:color="DC165D" w:themeColor="accent5"/>
          <w:right w:val="nil"/>
          <w:insideH w:val="nil"/>
          <w:insideV w:val="nil"/>
        </w:tcBorders>
      </w:tcPr>
    </w:tblStylePr>
    <w:tblStylePr w:type="lastRow">
      <w:pPr>
        <w:spacing w:before="0" w:after="0" w:line="240" w:lineRule="auto"/>
      </w:pPr>
      <w:rPr>
        <w:b/>
        <w:bCs/>
      </w:rPr>
      <w:tblPr/>
      <w:tcPr>
        <w:tcBorders>
          <w:top w:val="single" w:sz="8" w:space="0" w:color="DC165D" w:themeColor="accent5"/>
          <w:left w:val="nil"/>
          <w:bottom w:val="single" w:sz="8" w:space="0" w:color="DC165D"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C2D6" w:themeFill="accent5" w:themeFillTint="3F"/>
      </w:tcPr>
    </w:tblStylePr>
    <w:tblStylePr w:type="band1Horz">
      <w:tblPr/>
      <w:tcPr>
        <w:tcBorders>
          <w:left w:val="nil"/>
          <w:right w:val="nil"/>
          <w:insideH w:val="nil"/>
          <w:insideV w:val="nil"/>
        </w:tcBorders>
        <w:shd w:val="clear" w:color="auto" w:fill="F9C2D6" w:themeFill="accent5" w:themeFillTint="3F"/>
      </w:tcPr>
    </w:tblStylePr>
  </w:style>
  <w:style w:type="table" w:styleId="LightShading-Accent6">
    <w:name w:val="Light Shading Accent 6"/>
    <w:basedOn w:val="TableNormal"/>
    <w:pPr>
      <w:spacing w:before="0" w:after="0" w:line="240" w:lineRule="auto"/>
    </w:pPr>
    <w:rPr>
      <w:rFonts w:ascii="EC Square Sans Pro" w:hAnsi="EC Square Sans Pro"/>
      <w:color w:val="532477" w:themeColor="accent6" w:themeShade="BF"/>
      <w:lang w:eastAsia="en-GB"/>
    </w:rPr>
    <w:tblPr>
      <w:tblStyleRowBandSize w:val="1"/>
      <w:tblStyleColBandSize w:val="1"/>
      <w:tblBorders>
        <w:top w:val="single" w:sz="8" w:space="0" w:color="7030A0" w:themeColor="accent6"/>
        <w:bottom w:val="single" w:sz="8" w:space="0" w:color="7030A0" w:themeColor="accent6"/>
      </w:tblBorders>
    </w:tblPr>
    <w:tblStylePr w:type="firstRow">
      <w:pPr>
        <w:spacing w:before="0" w:after="0" w:line="240" w:lineRule="auto"/>
      </w:pPr>
      <w:rPr>
        <w:b/>
        <w:bCs/>
      </w:rPr>
      <w:tblPr/>
      <w:tcPr>
        <w:tcBorders>
          <w:top w:val="single" w:sz="8" w:space="0" w:color="7030A0" w:themeColor="accent6"/>
          <w:left w:val="nil"/>
          <w:bottom w:val="single" w:sz="8" w:space="0" w:color="7030A0" w:themeColor="accent6"/>
          <w:right w:val="nil"/>
          <w:insideH w:val="nil"/>
          <w:insideV w:val="nil"/>
        </w:tcBorders>
      </w:tcPr>
    </w:tblStylePr>
    <w:tblStylePr w:type="lastRow">
      <w:pPr>
        <w:spacing w:before="0" w:after="0" w:line="240" w:lineRule="auto"/>
      </w:pPr>
      <w:rPr>
        <w:b/>
        <w:bCs/>
      </w:rPr>
      <w:tblPr/>
      <w:tcPr>
        <w:tcBorders>
          <w:top w:val="single" w:sz="8" w:space="0" w:color="7030A0" w:themeColor="accent6"/>
          <w:left w:val="nil"/>
          <w:bottom w:val="single" w:sz="8" w:space="0" w:color="7030A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CC5ED" w:themeFill="accent6" w:themeFillTint="3F"/>
      </w:tcPr>
    </w:tblStylePr>
    <w:tblStylePr w:type="band1Horz">
      <w:tblPr/>
      <w:tcPr>
        <w:tcBorders>
          <w:left w:val="nil"/>
          <w:right w:val="nil"/>
          <w:insideH w:val="nil"/>
          <w:insideV w:val="nil"/>
        </w:tcBorders>
        <w:shd w:val="clear" w:color="auto" w:fill="DCC5ED" w:themeFill="accent6" w:themeFillTint="3F"/>
      </w:tcPr>
    </w:tblStylePr>
  </w:style>
  <w:style w:type="table" w:styleId="ListTable1Light">
    <w:name w:val="List Table 1 Light"/>
    <w:basedOn w:val="TableNormal"/>
    <w:pPr>
      <w:spacing w:after="0" w:line="240" w:lineRule="auto"/>
    </w:pPr>
    <w:rPr>
      <w:rFonts w:ascii="EC Square Sans Pro" w:hAnsi="EC Square Sans Pro"/>
      <w:lang w:eastAsia="en-GB"/>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pPr>
      <w:spacing w:after="0" w:line="240" w:lineRule="auto"/>
    </w:pPr>
    <w:rPr>
      <w:rFonts w:ascii="EC Square Sans Pro" w:hAnsi="EC Square Sans Pro"/>
      <w:lang w:eastAsia="en-GB"/>
    </w:rPr>
    <w:tblPr>
      <w:tblStyleRowBandSize w:val="1"/>
      <w:tblStyleColBandSize w:val="1"/>
    </w:tblPr>
    <w:tblStylePr w:type="firstRow">
      <w:rPr>
        <w:b/>
        <w:bCs/>
      </w:rPr>
      <w:tblPr/>
      <w:tcPr>
        <w:tcBorders>
          <w:bottom w:val="single" w:sz="4" w:space="0" w:color="1AFF7E" w:themeColor="accent1" w:themeTint="99"/>
        </w:tcBorders>
      </w:tcPr>
    </w:tblStylePr>
    <w:tblStylePr w:type="lastRow">
      <w:rPr>
        <w:b/>
        <w:bCs/>
      </w:rPr>
      <w:tblPr/>
      <w:tcPr>
        <w:tcBorders>
          <w:top w:val="single" w:sz="4" w:space="0" w:color="1AFF7E" w:themeColor="accent1" w:themeTint="99"/>
        </w:tcBorders>
      </w:tcPr>
    </w:tblStylePr>
    <w:tblStylePr w:type="firstCol">
      <w:rPr>
        <w:b/>
        <w:bCs/>
      </w:rPr>
    </w:tblStylePr>
    <w:tblStylePr w:type="lastCol">
      <w:rPr>
        <w:b/>
        <w:bCs/>
      </w:rPr>
    </w:tblStylePr>
    <w:tblStylePr w:type="band1Vert">
      <w:tblPr/>
      <w:tcPr>
        <w:shd w:val="clear" w:color="auto" w:fill="B2FFD4" w:themeFill="accent1" w:themeFillTint="33"/>
      </w:tcPr>
    </w:tblStylePr>
    <w:tblStylePr w:type="band1Horz">
      <w:tblPr/>
      <w:tcPr>
        <w:shd w:val="clear" w:color="auto" w:fill="B2FFD4" w:themeFill="accent1" w:themeFillTint="33"/>
      </w:tcPr>
    </w:tblStylePr>
  </w:style>
  <w:style w:type="table" w:styleId="ListTable1Light-Accent2">
    <w:name w:val="List Table 1 Light Accent 2"/>
    <w:basedOn w:val="TableNormal"/>
    <w:pPr>
      <w:spacing w:after="0" w:line="240" w:lineRule="auto"/>
    </w:pPr>
    <w:rPr>
      <w:rFonts w:ascii="EC Square Sans Pro" w:hAnsi="EC Square Sans Pro"/>
      <w:lang w:eastAsia="en-GB"/>
    </w:rPr>
    <w:tblPr>
      <w:tblStyleRowBandSize w:val="1"/>
      <w:tblStyleColBandSize w:val="1"/>
    </w:tblPr>
    <w:tblStylePr w:type="firstRow">
      <w:rPr>
        <w:b/>
        <w:bCs/>
      </w:rPr>
      <w:tblPr/>
      <w:tcPr>
        <w:tcBorders>
          <w:bottom w:val="single" w:sz="4" w:space="0" w:color="FD9C54" w:themeColor="accent2" w:themeTint="99"/>
        </w:tcBorders>
      </w:tcPr>
    </w:tblStylePr>
    <w:tblStylePr w:type="lastRow">
      <w:rPr>
        <w:b/>
        <w:bCs/>
      </w:rPr>
      <w:tblPr/>
      <w:tcPr>
        <w:tcBorders>
          <w:top w:val="single" w:sz="4" w:space="0" w:color="FD9C54" w:themeColor="accent2" w:themeTint="99"/>
        </w:tcBorders>
      </w:tcPr>
    </w:tblStylePr>
    <w:tblStylePr w:type="firstCol">
      <w:rPr>
        <w:b/>
        <w:bCs/>
      </w:rPr>
    </w:tblStylePr>
    <w:tblStylePr w:type="lastCol">
      <w:rPr>
        <w:b/>
        <w:bCs/>
      </w:rPr>
    </w:tblStylePr>
    <w:tblStylePr w:type="band1Vert">
      <w:tblPr/>
      <w:tcPr>
        <w:shd w:val="clear" w:color="auto" w:fill="FEDEC6" w:themeFill="accent2" w:themeFillTint="33"/>
      </w:tcPr>
    </w:tblStylePr>
    <w:tblStylePr w:type="band1Horz">
      <w:tblPr/>
      <w:tcPr>
        <w:shd w:val="clear" w:color="auto" w:fill="FEDEC6" w:themeFill="accent2" w:themeFillTint="33"/>
      </w:tcPr>
    </w:tblStylePr>
  </w:style>
  <w:style w:type="table" w:styleId="ListTable1Light-Accent3">
    <w:name w:val="List Table 1 Light Accent 3"/>
    <w:basedOn w:val="TableNormal"/>
    <w:pPr>
      <w:spacing w:after="0" w:line="240" w:lineRule="auto"/>
    </w:pPr>
    <w:rPr>
      <w:rFonts w:ascii="EC Square Sans Pro" w:hAnsi="EC Square Sans Pro"/>
      <w:lang w:eastAsia="en-GB"/>
    </w:rPr>
    <w:tblPr>
      <w:tblStyleRowBandSize w:val="1"/>
      <w:tblStyleColBandSize w:val="1"/>
    </w:tblPr>
    <w:tblStylePr w:type="firstRow">
      <w:rPr>
        <w:b/>
        <w:bCs/>
      </w:rPr>
      <w:tblPr/>
      <w:tcPr>
        <w:tcBorders>
          <w:bottom w:val="single" w:sz="4" w:space="0" w:color="7CB7FE" w:themeColor="accent3" w:themeTint="99"/>
        </w:tcBorders>
      </w:tcPr>
    </w:tblStylePr>
    <w:tblStylePr w:type="lastRow">
      <w:rPr>
        <w:b/>
        <w:bCs/>
      </w:rPr>
      <w:tblPr/>
      <w:tcPr>
        <w:tcBorders>
          <w:top w:val="single" w:sz="4" w:space="0" w:color="7CB7FE" w:themeColor="accent3" w:themeTint="99"/>
        </w:tcBorders>
      </w:tcPr>
    </w:tblStylePr>
    <w:tblStylePr w:type="firstCol">
      <w:rPr>
        <w:b/>
        <w:bCs/>
      </w:rPr>
    </w:tblStylePr>
    <w:tblStylePr w:type="lastCol">
      <w:rPr>
        <w:b/>
        <w:bCs/>
      </w:rPr>
    </w:tblStylePr>
    <w:tblStylePr w:type="band1Vert">
      <w:tblPr/>
      <w:tcPr>
        <w:shd w:val="clear" w:color="auto" w:fill="D3E7FE" w:themeFill="accent3" w:themeFillTint="33"/>
      </w:tcPr>
    </w:tblStylePr>
    <w:tblStylePr w:type="band1Horz">
      <w:tblPr/>
      <w:tcPr>
        <w:shd w:val="clear" w:color="auto" w:fill="D3E7FE" w:themeFill="accent3" w:themeFillTint="33"/>
      </w:tcPr>
    </w:tblStylePr>
  </w:style>
  <w:style w:type="table" w:styleId="ListTable1Light-Accent4">
    <w:name w:val="List Table 1 Light Accent 4"/>
    <w:basedOn w:val="TableNormal"/>
    <w:pPr>
      <w:spacing w:after="0" w:line="240" w:lineRule="auto"/>
    </w:pPr>
    <w:rPr>
      <w:rFonts w:ascii="EC Square Sans Pro" w:hAnsi="EC Square Sans Pro"/>
      <w:lang w:eastAsia="en-GB"/>
    </w:rPr>
    <w:tblPr>
      <w:tblStyleRowBandSize w:val="1"/>
      <w:tblStyleColBandSize w:val="1"/>
    </w:tblPr>
    <w:tblStylePr w:type="firstRow">
      <w:rPr>
        <w:b/>
        <w:bCs/>
      </w:rPr>
      <w:tblPr/>
      <w:tcPr>
        <w:tcBorders>
          <w:bottom w:val="single" w:sz="4" w:space="0" w:color="FDCC6A" w:themeColor="accent4" w:themeTint="99"/>
        </w:tcBorders>
      </w:tcPr>
    </w:tblStylePr>
    <w:tblStylePr w:type="lastRow">
      <w:rPr>
        <w:b/>
        <w:bCs/>
      </w:rPr>
      <w:tblPr/>
      <w:tcPr>
        <w:tcBorders>
          <w:top w:val="single" w:sz="4" w:space="0" w:color="FDCC6A" w:themeColor="accent4" w:themeTint="99"/>
        </w:tcBorders>
      </w:tcPr>
    </w:tblStylePr>
    <w:tblStylePr w:type="firstCol">
      <w:rPr>
        <w:b/>
        <w:bCs/>
      </w:rPr>
    </w:tblStylePr>
    <w:tblStylePr w:type="lastCol">
      <w:rPr>
        <w:b/>
        <w:bCs/>
      </w:rPr>
    </w:tblStylePr>
    <w:tblStylePr w:type="band1Vert">
      <w:tblPr/>
      <w:tcPr>
        <w:shd w:val="clear" w:color="auto" w:fill="FEEECD" w:themeFill="accent4" w:themeFillTint="33"/>
      </w:tcPr>
    </w:tblStylePr>
    <w:tblStylePr w:type="band1Horz">
      <w:tblPr/>
      <w:tcPr>
        <w:shd w:val="clear" w:color="auto" w:fill="FEEECD" w:themeFill="accent4" w:themeFillTint="33"/>
      </w:tcPr>
    </w:tblStylePr>
  </w:style>
  <w:style w:type="table" w:styleId="ListTable1Light-Accent5">
    <w:name w:val="List Table 1 Light Accent 5"/>
    <w:basedOn w:val="TableNormal"/>
    <w:pPr>
      <w:spacing w:after="0" w:line="240" w:lineRule="auto"/>
    </w:pPr>
    <w:rPr>
      <w:rFonts w:ascii="EC Square Sans Pro" w:hAnsi="EC Square Sans Pro"/>
      <w:lang w:eastAsia="en-GB"/>
    </w:rPr>
    <w:tblPr>
      <w:tblStyleRowBandSize w:val="1"/>
      <w:tblStyleColBandSize w:val="1"/>
    </w:tblPr>
    <w:tblStylePr w:type="firstRow">
      <w:rPr>
        <w:b/>
        <w:bCs/>
      </w:rPr>
      <w:tblPr/>
      <w:tcPr>
        <w:tcBorders>
          <w:bottom w:val="single" w:sz="4" w:space="0" w:color="F06C9B" w:themeColor="accent5" w:themeTint="99"/>
        </w:tcBorders>
      </w:tcPr>
    </w:tblStylePr>
    <w:tblStylePr w:type="lastRow">
      <w:rPr>
        <w:b/>
        <w:bCs/>
      </w:rPr>
      <w:tblPr/>
      <w:tcPr>
        <w:tcBorders>
          <w:top w:val="single" w:sz="4" w:space="0" w:color="F06C9B" w:themeColor="accent5" w:themeTint="99"/>
        </w:tcBorders>
      </w:tcPr>
    </w:tblStylePr>
    <w:tblStylePr w:type="firstCol">
      <w:rPr>
        <w:b/>
        <w:bCs/>
      </w:rPr>
    </w:tblStylePr>
    <w:tblStylePr w:type="lastCol">
      <w:rPr>
        <w:b/>
        <w:bCs/>
      </w:rPr>
    </w:tblStylePr>
    <w:tblStylePr w:type="band1Vert">
      <w:tblPr/>
      <w:tcPr>
        <w:shd w:val="clear" w:color="auto" w:fill="FACEDD" w:themeFill="accent5" w:themeFillTint="33"/>
      </w:tcPr>
    </w:tblStylePr>
    <w:tblStylePr w:type="band1Horz">
      <w:tblPr/>
      <w:tcPr>
        <w:shd w:val="clear" w:color="auto" w:fill="FACEDD" w:themeFill="accent5" w:themeFillTint="33"/>
      </w:tcPr>
    </w:tblStylePr>
  </w:style>
  <w:style w:type="table" w:styleId="ListTable1Light-Accent6">
    <w:name w:val="List Table 1 Light Accent 6"/>
    <w:basedOn w:val="TableNormal"/>
    <w:pPr>
      <w:spacing w:after="0" w:line="240" w:lineRule="auto"/>
    </w:pPr>
    <w:rPr>
      <w:rFonts w:ascii="EC Square Sans Pro" w:hAnsi="EC Square Sans Pro"/>
      <w:lang w:eastAsia="en-GB"/>
    </w:rPr>
    <w:tblPr>
      <w:tblStyleRowBandSize w:val="1"/>
      <w:tblStyleColBandSize w:val="1"/>
    </w:tblPr>
    <w:tblStylePr w:type="firstRow">
      <w:rPr>
        <w:b/>
        <w:bCs/>
      </w:rPr>
      <w:tblPr/>
      <w:tcPr>
        <w:tcBorders>
          <w:bottom w:val="single" w:sz="4" w:space="0" w:color="AB73D5" w:themeColor="accent6" w:themeTint="99"/>
        </w:tcBorders>
      </w:tcPr>
    </w:tblStylePr>
    <w:tblStylePr w:type="lastRow">
      <w:rPr>
        <w:b/>
        <w:bCs/>
      </w:rPr>
      <w:tblPr/>
      <w:tcPr>
        <w:tcBorders>
          <w:top w:val="single" w:sz="4" w:space="0" w:color="AB73D5" w:themeColor="accent6" w:themeTint="99"/>
        </w:tcBorders>
      </w:tc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ListTable2">
    <w:name w:val="List Table 2"/>
    <w:basedOn w:val="TableNormal"/>
    <w:pPr>
      <w:spacing w:after="0" w:line="240" w:lineRule="auto"/>
    </w:pPr>
    <w:rPr>
      <w:rFonts w:ascii="EC Square Sans Pro" w:hAnsi="EC Square Sans Pro"/>
      <w:lang w:eastAsia="en-GB"/>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pPr>
      <w:spacing w:after="0" w:line="240" w:lineRule="auto"/>
    </w:pPr>
    <w:rPr>
      <w:rFonts w:ascii="EC Square Sans Pro" w:hAnsi="EC Square Sans Pro"/>
      <w:lang w:eastAsia="en-GB"/>
    </w:rPr>
    <w:tblPr>
      <w:tblStyleRowBandSize w:val="1"/>
      <w:tblStyleColBandSize w:val="1"/>
      <w:tblBorders>
        <w:top w:val="single" w:sz="4" w:space="0" w:color="1AFF7E" w:themeColor="accent1" w:themeTint="99"/>
        <w:bottom w:val="single" w:sz="4" w:space="0" w:color="1AFF7E" w:themeColor="accent1" w:themeTint="99"/>
        <w:insideH w:val="single" w:sz="4" w:space="0" w:color="1AFF7E"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2FFD4" w:themeFill="accent1" w:themeFillTint="33"/>
      </w:tcPr>
    </w:tblStylePr>
    <w:tblStylePr w:type="band1Horz">
      <w:tblPr/>
      <w:tcPr>
        <w:shd w:val="clear" w:color="auto" w:fill="B2FFD4" w:themeFill="accent1" w:themeFillTint="33"/>
      </w:tcPr>
    </w:tblStylePr>
  </w:style>
  <w:style w:type="table" w:styleId="ListTable2-Accent2">
    <w:name w:val="List Table 2 Accent 2"/>
    <w:basedOn w:val="TableNormal"/>
    <w:pPr>
      <w:spacing w:after="0" w:line="240" w:lineRule="auto"/>
    </w:pPr>
    <w:rPr>
      <w:rFonts w:ascii="EC Square Sans Pro" w:hAnsi="EC Square Sans Pro"/>
      <w:lang w:eastAsia="en-GB"/>
    </w:rPr>
    <w:tblPr>
      <w:tblStyleRowBandSize w:val="1"/>
      <w:tblStyleColBandSize w:val="1"/>
      <w:tblBorders>
        <w:top w:val="single" w:sz="4" w:space="0" w:color="FD9C54" w:themeColor="accent2" w:themeTint="99"/>
        <w:bottom w:val="single" w:sz="4" w:space="0" w:color="FD9C54" w:themeColor="accent2" w:themeTint="99"/>
        <w:insideH w:val="single" w:sz="4" w:space="0" w:color="FD9C5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EDEC6" w:themeFill="accent2" w:themeFillTint="33"/>
      </w:tcPr>
    </w:tblStylePr>
    <w:tblStylePr w:type="band1Horz">
      <w:tblPr/>
      <w:tcPr>
        <w:shd w:val="clear" w:color="auto" w:fill="FEDEC6" w:themeFill="accent2" w:themeFillTint="33"/>
      </w:tcPr>
    </w:tblStylePr>
  </w:style>
  <w:style w:type="table" w:styleId="ListTable2-Accent3">
    <w:name w:val="List Table 2 Accent 3"/>
    <w:basedOn w:val="TableNormal"/>
    <w:pPr>
      <w:spacing w:after="0" w:line="240" w:lineRule="auto"/>
    </w:pPr>
    <w:rPr>
      <w:rFonts w:ascii="EC Square Sans Pro" w:hAnsi="EC Square Sans Pro"/>
      <w:lang w:eastAsia="en-GB"/>
    </w:rPr>
    <w:tblPr>
      <w:tblStyleRowBandSize w:val="1"/>
      <w:tblStyleColBandSize w:val="1"/>
      <w:tblBorders>
        <w:top w:val="single" w:sz="4" w:space="0" w:color="7CB7FE" w:themeColor="accent3" w:themeTint="99"/>
        <w:bottom w:val="single" w:sz="4" w:space="0" w:color="7CB7FE" w:themeColor="accent3" w:themeTint="99"/>
        <w:insideH w:val="single" w:sz="4" w:space="0" w:color="7CB7FE"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E7FE" w:themeFill="accent3" w:themeFillTint="33"/>
      </w:tcPr>
    </w:tblStylePr>
    <w:tblStylePr w:type="band1Horz">
      <w:tblPr/>
      <w:tcPr>
        <w:shd w:val="clear" w:color="auto" w:fill="D3E7FE" w:themeFill="accent3" w:themeFillTint="33"/>
      </w:tcPr>
    </w:tblStylePr>
  </w:style>
  <w:style w:type="table" w:styleId="ListTable2-Accent4">
    <w:name w:val="List Table 2 Accent 4"/>
    <w:basedOn w:val="TableNormal"/>
    <w:pPr>
      <w:spacing w:after="0" w:line="240" w:lineRule="auto"/>
    </w:pPr>
    <w:rPr>
      <w:rFonts w:ascii="EC Square Sans Pro" w:hAnsi="EC Square Sans Pro"/>
      <w:lang w:eastAsia="en-GB"/>
    </w:rPr>
    <w:tblPr>
      <w:tblStyleRowBandSize w:val="1"/>
      <w:tblStyleColBandSize w:val="1"/>
      <w:tblBorders>
        <w:top w:val="single" w:sz="4" w:space="0" w:color="FDCC6A" w:themeColor="accent4" w:themeTint="99"/>
        <w:bottom w:val="single" w:sz="4" w:space="0" w:color="FDCC6A" w:themeColor="accent4" w:themeTint="99"/>
        <w:insideH w:val="single" w:sz="4" w:space="0" w:color="FDCC6A"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EEECD" w:themeFill="accent4" w:themeFillTint="33"/>
      </w:tcPr>
    </w:tblStylePr>
    <w:tblStylePr w:type="band1Horz">
      <w:tblPr/>
      <w:tcPr>
        <w:shd w:val="clear" w:color="auto" w:fill="FEEECD" w:themeFill="accent4" w:themeFillTint="33"/>
      </w:tcPr>
    </w:tblStylePr>
  </w:style>
  <w:style w:type="table" w:styleId="ListTable2-Accent5">
    <w:name w:val="List Table 2 Accent 5"/>
    <w:basedOn w:val="TableNormal"/>
    <w:pPr>
      <w:spacing w:after="0" w:line="240" w:lineRule="auto"/>
    </w:pPr>
    <w:rPr>
      <w:rFonts w:ascii="EC Square Sans Pro" w:hAnsi="EC Square Sans Pro"/>
      <w:lang w:eastAsia="en-GB"/>
    </w:rPr>
    <w:tblPr>
      <w:tblStyleRowBandSize w:val="1"/>
      <w:tblStyleColBandSize w:val="1"/>
      <w:tblBorders>
        <w:top w:val="single" w:sz="4" w:space="0" w:color="F06C9B" w:themeColor="accent5" w:themeTint="99"/>
        <w:bottom w:val="single" w:sz="4" w:space="0" w:color="F06C9B" w:themeColor="accent5" w:themeTint="99"/>
        <w:insideH w:val="single" w:sz="4" w:space="0" w:color="F06C9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CEDD" w:themeFill="accent5" w:themeFillTint="33"/>
      </w:tcPr>
    </w:tblStylePr>
    <w:tblStylePr w:type="band1Horz">
      <w:tblPr/>
      <w:tcPr>
        <w:shd w:val="clear" w:color="auto" w:fill="FACEDD" w:themeFill="accent5" w:themeFillTint="33"/>
      </w:tcPr>
    </w:tblStylePr>
  </w:style>
  <w:style w:type="table" w:styleId="ListTable2-Accent6">
    <w:name w:val="List Table 2 Accent 6"/>
    <w:basedOn w:val="TableNormal"/>
    <w:pPr>
      <w:spacing w:after="0" w:line="240" w:lineRule="auto"/>
    </w:pPr>
    <w:rPr>
      <w:rFonts w:ascii="EC Square Sans Pro" w:hAnsi="EC Square Sans Pro"/>
      <w:lang w:eastAsia="en-GB"/>
    </w:rPr>
    <w:tblPr>
      <w:tblStyleRowBandSize w:val="1"/>
      <w:tblStyleColBandSize w:val="1"/>
      <w:tblBorders>
        <w:top w:val="single" w:sz="4" w:space="0" w:color="AB73D5" w:themeColor="accent6" w:themeTint="99"/>
        <w:bottom w:val="single" w:sz="4" w:space="0" w:color="AB73D5" w:themeColor="accent6" w:themeTint="99"/>
        <w:insideH w:val="single" w:sz="4" w:space="0" w:color="AB73D5"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ListTable3">
    <w:name w:val="List Table 3"/>
    <w:basedOn w:val="TableNormal"/>
    <w:pPr>
      <w:spacing w:after="0" w:line="240" w:lineRule="auto"/>
    </w:pPr>
    <w:rPr>
      <w:rFonts w:ascii="EC Square Sans Pro" w:hAnsi="EC Square Sans Pro"/>
      <w:lang w:eastAsia="en-GB"/>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pPr>
      <w:spacing w:after="0" w:line="240" w:lineRule="auto"/>
    </w:pPr>
    <w:rPr>
      <w:rFonts w:ascii="EC Square Sans Pro" w:hAnsi="EC Square Sans Pro"/>
      <w:lang w:eastAsia="en-GB"/>
    </w:rPr>
    <w:tblPr>
      <w:tblStyleRowBandSize w:val="1"/>
      <w:tblStyleColBandSize w:val="1"/>
      <w:tblBorders>
        <w:top w:val="single" w:sz="4" w:space="0" w:color="008139" w:themeColor="accent1"/>
        <w:left w:val="single" w:sz="4" w:space="0" w:color="008139" w:themeColor="accent1"/>
        <w:bottom w:val="single" w:sz="4" w:space="0" w:color="008139" w:themeColor="accent1"/>
        <w:right w:val="single" w:sz="4" w:space="0" w:color="008139" w:themeColor="accent1"/>
      </w:tblBorders>
    </w:tblPr>
    <w:tblStylePr w:type="firstRow">
      <w:rPr>
        <w:b/>
        <w:bCs/>
        <w:color w:val="FFFFFF" w:themeColor="background1"/>
      </w:rPr>
      <w:tblPr/>
      <w:tcPr>
        <w:shd w:val="clear" w:color="auto" w:fill="008139" w:themeFill="accent1"/>
      </w:tcPr>
    </w:tblStylePr>
    <w:tblStylePr w:type="lastRow">
      <w:rPr>
        <w:b/>
        <w:bCs/>
      </w:rPr>
      <w:tblPr/>
      <w:tcPr>
        <w:tcBorders>
          <w:top w:val="double" w:sz="4" w:space="0" w:color="008139"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8139" w:themeColor="accent1"/>
          <w:right w:val="single" w:sz="4" w:space="0" w:color="008139" w:themeColor="accent1"/>
        </w:tcBorders>
      </w:tcPr>
    </w:tblStylePr>
    <w:tblStylePr w:type="band1Horz">
      <w:tblPr/>
      <w:tcPr>
        <w:tcBorders>
          <w:top w:val="single" w:sz="4" w:space="0" w:color="008139" w:themeColor="accent1"/>
          <w:bottom w:val="single" w:sz="4" w:space="0" w:color="00813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8139" w:themeColor="accent1"/>
          <w:left w:val="nil"/>
        </w:tcBorders>
      </w:tcPr>
    </w:tblStylePr>
    <w:tblStylePr w:type="swCell">
      <w:tblPr/>
      <w:tcPr>
        <w:tcBorders>
          <w:top w:val="double" w:sz="4" w:space="0" w:color="008139" w:themeColor="accent1"/>
          <w:right w:val="nil"/>
        </w:tcBorders>
      </w:tcPr>
    </w:tblStylePr>
  </w:style>
  <w:style w:type="table" w:styleId="ListTable3-Accent2">
    <w:name w:val="List Table 3 Accent 2"/>
    <w:basedOn w:val="TableNormal"/>
    <w:pPr>
      <w:spacing w:after="0" w:line="240" w:lineRule="auto"/>
    </w:pPr>
    <w:rPr>
      <w:rFonts w:ascii="EC Square Sans Pro" w:hAnsi="EC Square Sans Pro"/>
      <w:lang w:eastAsia="en-GB"/>
    </w:rPr>
    <w:tblPr>
      <w:tblStyleRowBandSize w:val="1"/>
      <w:tblStyleColBandSize w:val="1"/>
      <w:tblBorders>
        <w:top w:val="single" w:sz="4" w:space="0" w:color="DE6002" w:themeColor="accent2"/>
        <w:left w:val="single" w:sz="4" w:space="0" w:color="DE6002" w:themeColor="accent2"/>
        <w:bottom w:val="single" w:sz="4" w:space="0" w:color="DE6002" w:themeColor="accent2"/>
        <w:right w:val="single" w:sz="4" w:space="0" w:color="DE6002" w:themeColor="accent2"/>
      </w:tblBorders>
    </w:tblPr>
    <w:tblStylePr w:type="firstRow">
      <w:rPr>
        <w:b/>
        <w:bCs/>
        <w:color w:val="FFFFFF" w:themeColor="background1"/>
      </w:rPr>
      <w:tblPr/>
      <w:tcPr>
        <w:shd w:val="clear" w:color="auto" w:fill="DE6002" w:themeFill="accent2"/>
      </w:tcPr>
    </w:tblStylePr>
    <w:tblStylePr w:type="lastRow">
      <w:rPr>
        <w:b/>
        <w:bCs/>
      </w:rPr>
      <w:tblPr/>
      <w:tcPr>
        <w:tcBorders>
          <w:top w:val="double" w:sz="4" w:space="0" w:color="DE600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E6002" w:themeColor="accent2"/>
          <w:right w:val="single" w:sz="4" w:space="0" w:color="DE6002" w:themeColor="accent2"/>
        </w:tcBorders>
      </w:tcPr>
    </w:tblStylePr>
    <w:tblStylePr w:type="band1Horz">
      <w:tblPr/>
      <w:tcPr>
        <w:tcBorders>
          <w:top w:val="single" w:sz="4" w:space="0" w:color="DE6002" w:themeColor="accent2"/>
          <w:bottom w:val="single" w:sz="4" w:space="0" w:color="DE600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E6002" w:themeColor="accent2"/>
          <w:left w:val="nil"/>
        </w:tcBorders>
      </w:tcPr>
    </w:tblStylePr>
    <w:tblStylePr w:type="swCell">
      <w:tblPr/>
      <w:tcPr>
        <w:tcBorders>
          <w:top w:val="double" w:sz="4" w:space="0" w:color="DE6002" w:themeColor="accent2"/>
          <w:right w:val="nil"/>
        </w:tcBorders>
      </w:tcPr>
    </w:tblStylePr>
  </w:style>
  <w:style w:type="table" w:styleId="ListTable3-Accent3">
    <w:name w:val="List Table 3 Accent 3"/>
    <w:basedOn w:val="TableNormal"/>
    <w:pPr>
      <w:spacing w:after="0" w:line="240" w:lineRule="auto"/>
    </w:pPr>
    <w:rPr>
      <w:rFonts w:ascii="EC Square Sans Pro" w:hAnsi="EC Square Sans Pro"/>
      <w:lang w:eastAsia="en-GB"/>
    </w:rPr>
    <w:tblPr>
      <w:tblStyleRowBandSize w:val="1"/>
      <w:tblStyleColBandSize w:val="1"/>
      <w:tblBorders>
        <w:top w:val="single" w:sz="4" w:space="0" w:color="2688FE" w:themeColor="accent3"/>
        <w:left w:val="single" w:sz="4" w:space="0" w:color="2688FE" w:themeColor="accent3"/>
        <w:bottom w:val="single" w:sz="4" w:space="0" w:color="2688FE" w:themeColor="accent3"/>
        <w:right w:val="single" w:sz="4" w:space="0" w:color="2688FE" w:themeColor="accent3"/>
      </w:tblBorders>
    </w:tblPr>
    <w:tblStylePr w:type="firstRow">
      <w:rPr>
        <w:b/>
        <w:bCs/>
        <w:color w:val="FFFFFF" w:themeColor="background1"/>
      </w:rPr>
      <w:tblPr/>
      <w:tcPr>
        <w:shd w:val="clear" w:color="auto" w:fill="2688FE" w:themeFill="accent3"/>
      </w:tcPr>
    </w:tblStylePr>
    <w:tblStylePr w:type="lastRow">
      <w:rPr>
        <w:b/>
        <w:bCs/>
      </w:rPr>
      <w:tblPr/>
      <w:tcPr>
        <w:tcBorders>
          <w:top w:val="double" w:sz="4" w:space="0" w:color="2688FE"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688FE" w:themeColor="accent3"/>
          <w:right w:val="single" w:sz="4" w:space="0" w:color="2688FE" w:themeColor="accent3"/>
        </w:tcBorders>
      </w:tcPr>
    </w:tblStylePr>
    <w:tblStylePr w:type="band1Horz">
      <w:tblPr/>
      <w:tcPr>
        <w:tcBorders>
          <w:top w:val="single" w:sz="4" w:space="0" w:color="2688FE" w:themeColor="accent3"/>
          <w:bottom w:val="single" w:sz="4" w:space="0" w:color="2688FE"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688FE" w:themeColor="accent3"/>
          <w:left w:val="nil"/>
        </w:tcBorders>
      </w:tcPr>
    </w:tblStylePr>
    <w:tblStylePr w:type="swCell">
      <w:tblPr/>
      <w:tcPr>
        <w:tcBorders>
          <w:top w:val="double" w:sz="4" w:space="0" w:color="2688FE" w:themeColor="accent3"/>
          <w:right w:val="nil"/>
        </w:tcBorders>
      </w:tcPr>
    </w:tblStylePr>
  </w:style>
  <w:style w:type="table" w:styleId="ListTable3-Accent4">
    <w:name w:val="List Table 3 Accent 4"/>
    <w:basedOn w:val="TableNormal"/>
    <w:pPr>
      <w:spacing w:after="0" w:line="240" w:lineRule="auto"/>
    </w:pPr>
    <w:rPr>
      <w:rFonts w:ascii="EC Square Sans Pro" w:hAnsi="EC Square Sans Pro"/>
      <w:lang w:eastAsia="en-GB"/>
    </w:rPr>
    <w:tblPr>
      <w:tblStyleRowBandSize w:val="1"/>
      <w:tblStyleColBandSize w:val="1"/>
      <w:tblBorders>
        <w:top w:val="single" w:sz="4" w:space="0" w:color="FDAB07" w:themeColor="accent4"/>
        <w:left w:val="single" w:sz="4" w:space="0" w:color="FDAB07" w:themeColor="accent4"/>
        <w:bottom w:val="single" w:sz="4" w:space="0" w:color="FDAB07" w:themeColor="accent4"/>
        <w:right w:val="single" w:sz="4" w:space="0" w:color="FDAB07" w:themeColor="accent4"/>
      </w:tblBorders>
    </w:tblPr>
    <w:tblStylePr w:type="firstRow">
      <w:rPr>
        <w:b/>
        <w:bCs/>
        <w:color w:val="FFFFFF" w:themeColor="background1"/>
      </w:rPr>
      <w:tblPr/>
      <w:tcPr>
        <w:shd w:val="clear" w:color="auto" w:fill="FDAB07" w:themeFill="accent4"/>
      </w:tcPr>
    </w:tblStylePr>
    <w:tblStylePr w:type="lastRow">
      <w:rPr>
        <w:b/>
        <w:bCs/>
      </w:rPr>
      <w:tblPr/>
      <w:tcPr>
        <w:tcBorders>
          <w:top w:val="double" w:sz="4" w:space="0" w:color="FDAB0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DAB07" w:themeColor="accent4"/>
          <w:right w:val="single" w:sz="4" w:space="0" w:color="FDAB07" w:themeColor="accent4"/>
        </w:tcBorders>
      </w:tcPr>
    </w:tblStylePr>
    <w:tblStylePr w:type="band1Horz">
      <w:tblPr/>
      <w:tcPr>
        <w:tcBorders>
          <w:top w:val="single" w:sz="4" w:space="0" w:color="FDAB07" w:themeColor="accent4"/>
          <w:bottom w:val="single" w:sz="4" w:space="0" w:color="FDAB0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DAB07" w:themeColor="accent4"/>
          <w:left w:val="nil"/>
        </w:tcBorders>
      </w:tcPr>
    </w:tblStylePr>
    <w:tblStylePr w:type="swCell">
      <w:tblPr/>
      <w:tcPr>
        <w:tcBorders>
          <w:top w:val="double" w:sz="4" w:space="0" w:color="FDAB07" w:themeColor="accent4"/>
          <w:right w:val="nil"/>
        </w:tcBorders>
      </w:tcPr>
    </w:tblStylePr>
  </w:style>
  <w:style w:type="table" w:styleId="ListTable3-Accent5">
    <w:name w:val="List Table 3 Accent 5"/>
    <w:basedOn w:val="TableNormal"/>
    <w:pPr>
      <w:spacing w:after="0" w:line="240" w:lineRule="auto"/>
    </w:pPr>
    <w:rPr>
      <w:rFonts w:ascii="EC Square Sans Pro" w:hAnsi="EC Square Sans Pro"/>
      <w:lang w:eastAsia="en-GB"/>
    </w:rPr>
    <w:tblPr>
      <w:tblStyleRowBandSize w:val="1"/>
      <w:tblStyleColBandSize w:val="1"/>
      <w:tblBorders>
        <w:top w:val="single" w:sz="4" w:space="0" w:color="DC165D" w:themeColor="accent5"/>
        <w:left w:val="single" w:sz="4" w:space="0" w:color="DC165D" w:themeColor="accent5"/>
        <w:bottom w:val="single" w:sz="4" w:space="0" w:color="DC165D" w:themeColor="accent5"/>
        <w:right w:val="single" w:sz="4" w:space="0" w:color="DC165D" w:themeColor="accent5"/>
      </w:tblBorders>
    </w:tblPr>
    <w:tblStylePr w:type="firstRow">
      <w:rPr>
        <w:b/>
        <w:bCs/>
        <w:color w:val="FFFFFF" w:themeColor="background1"/>
      </w:rPr>
      <w:tblPr/>
      <w:tcPr>
        <w:shd w:val="clear" w:color="auto" w:fill="DC165D" w:themeFill="accent5"/>
      </w:tcPr>
    </w:tblStylePr>
    <w:tblStylePr w:type="lastRow">
      <w:rPr>
        <w:b/>
        <w:bCs/>
      </w:rPr>
      <w:tblPr/>
      <w:tcPr>
        <w:tcBorders>
          <w:top w:val="double" w:sz="4" w:space="0" w:color="DC165D"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C165D" w:themeColor="accent5"/>
          <w:right w:val="single" w:sz="4" w:space="0" w:color="DC165D" w:themeColor="accent5"/>
        </w:tcBorders>
      </w:tcPr>
    </w:tblStylePr>
    <w:tblStylePr w:type="band1Horz">
      <w:tblPr/>
      <w:tcPr>
        <w:tcBorders>
          <w:top w:val="single" w:sz="4" w:space="0" w:color="DC165D" w:themeColor="accent5"/>
          <w:bottom w:val="single" w:sz="4" w:space="0" w:color="DC165D"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C165D" w:themeColor="accent5"/>
          <w:left w:val="nil"/>
        </w:tcBorders>
      </w:tcPr>
    </w:tblStylePr>
    <w:tblStylePr w:type="swCell">
      <w:tblPr/>
      <w:tcPr>
        <w:tcBorders>
          <w:top w:val="double" w:sz="4" w:space="0" w:color="DC165D" w:themeColor="accent5"/>
          <w:right w:val="nil"/>
        </w:tcBorders>
      </w:tcPr>
    </w:tblStylePr>
  </w:style>
  <w:style w:type="table" w:styleId="ListTable3-Accent6">
    <w:name w:val="List Table 3 Accent 6"/>
    <w:basedOn w:val="TableNormal"/>
    <w:pPr>
      <w:spacing w:after="0" w:line="240" w:lineRule="auto"/>
    </w:pPr>
    <w:rPr>
      <w:rFonts w:ascii="EC Square Sans Pro" w:hAnsi="EC Square Sans Pro"/>
      <w:lang w:eastAsia="en-GB"/>
    </w:rPr>
    <w:tblPr>
      <w:tblStyleRowBandSize w:val="1"/>
      <w:tblStyleColBandSize w:val="1"/>
      <w:tblBorders>
        <w:top w:val="single" w:sz="4" w:space="0" w:color="7030A0" w:themeColor="accent6"/>
        <w:left w:val="single" w:sz="4" w:space="0" w:color="7030A0" w:themeColor="accent6"/>
        <w:bottom w:val="single" w:sz="4" w:space="0" w:color="7030A0" w:themeColor="accent6"/>
        <w:right w:val="single" w:sz="4" w:space="0" w:color="7030A0" w:themeColor="accent6"/>
      </w:tblBorders>
    </w:tblPr>
    <w:tblStylePr w:type="firstRow">
      <w:rPr>
        <w:b/>
        <w:bCs/>
        <w:color w:val="FFFFFF" w:themeColor="background1"/>
      </w:rPr>
      <w:tblPr/>
      <w:tcPr>
        <w:shd w:val="clear" w:color="auto" w:fill="7030A0" w:themeFill="accent6"/>
      </w:tcPr>
    </w:tblStylePr>
    <w:tblStylePr w:type="lastRow">
      <w:rPr>
        <w:b/>
        <w:bCs/>
      </w:rPr>
      <w:tblPr/>
      <w:tcPr>
        <w:tcBorders>
          <w:top w:val="double" w:sz="4" w:space="0" w:color="7030A0"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30A0" w:themeColor="accent6"/>
          <w:right w:val="single" w:sz="4" w:space="0" w:color="7030A0" w:themeColor="accent6"/>
        </w:tcBorders>
      </w:tcPr>
    </w:tblStylePr>
    <w:tblStylePr w:type="band1Horz">
      <w:tblPr/>
      <w:tcPr>
        <w:tcBorders>
          <w:top w:val="single" w:sz="4" w:space="0" w:color="7030A0" w:themeColor="accent6"/>
          <w:bottom w:val="single" w:sz="4" w:space="0" w:color="7030A0"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30A0" w:themeColor="accent6"/>
          <w:left w:val="nil"/>
        </w:tcBorders>
      </w:tcPr>
    </w:tblStylePr>
    <w:tblStylePr w:type="swCell">
      <w:tblPr/>
      <w:tcPr>
        <w:tcBorders>
          <w:top w:val="double" w:sz="4" w:space="0" w:color="7030A0" w:themeColor="accent6"/>
          <w:right w:val="nil"/>
        </w:tcBorders>
      </w:tcPr>
    </w:tblStylePr>
  </w:style>
  <w:style w:type="table" w:styleId="ListTable4">
    <w:name w:val="List Table 4"/>
    <w:basedOn w:val="TableNormal"/>
    <w:pPr>
      <w:spacing w:after="0" w:line="240" w:lineRule="auto"/>
    </w:pPr>
    <w:rPr>
      <w:rFonts w:ascii="EC Square Sans Pro" w:hAnsi="EC Square Sans Pro"/>
      <w:lang w:eastAsia="en-GB"/>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pPr>
      <w:spacing w:after="0" w:line="240" w:lineRule="auto"/>
    </w:pPr>
    <w:rPr>
      <w:rFonts w:ascii="EC Square Sans Pro" w:hAnsi="EC Square Sans Pro"/>
      <w:lang w:eastAsia="en-GB"/>
    </w:rPr>
    <w:tblPr>
      <w:tblStyleRowBandSize w:val="1"/>
      <w:tblStyleColBandSize w:val="1"/>
      <w:tblBorders>
        <w:top w:val="single" w:sz="4" w:space="0" w:color="1AFF7E" w:themeColor="accent1" w:themeTint="99"/>
        <w:left w:val="single" w:sz="4" w:space="0" w:color="1AFF7E" w:themeColor="accent1" w:themeTint="99"/>
        <w:bottom w:val="single" w:sz="4" w:space="0" w:color="1AFF7E" w:themeColor="accent1" w:themeTint="99"/>
        <w:right w:val="single" w:sz="4" w:space="0" w:color="1AFF7E" w:themeColor="accent1" w:themeTint="99"/>
        <w:insideH w:val="single" w:sz="4" w:space="0" w:color="1AFF7E" w:themeColor="accent1" w:themeTint="99"/>
      </w:tblBorders>
    </w:tblPr>
    <w:tblStylePr w:type="firstRow">
      <w:rPr>
        <w:b/>
        <w:bCs/>
        <w:color w:val="FFFFFF" w:themeColor="background1"/>
      </w:rPr>
      <w:tblPr/>
      <w:tcPr>
        <w:tcBorders>
          <w:top w:val="single" w:sz="4" w:space="0" w:color="008139" w:themeColor="accent1"/>
          <w:left w:val="single" w:sz="4" w:space="0" w:color="008139" w:themeColor="accent1"/>
          <w:bottom w:val="single" w:sz="4" w:space="0" w:color="008139" w:themeColor="accent1"/>
          <w:right w:val="single" w:sz="4" w:space="0" w:color="008139" w:themeColor="accent1"/>
          <w:insideH w:val="nil"/>
        </w:tcBorders>
        <w:shd w:val="clear" w:color="auto" w:fill="008139" w:themeFill="accent1"/>
      </w:tcPr>
    </w:tblStylePr>
    <w:tblStylePr w:type="lastRow">
      <w:rPr>
        <w:b/>
        <w:bCs/>
      </w:rPr>
      <w:tblPr/>
      <w:tcPr>
        <w:tcBorders>
          <w:top w:val="double" w:sz="4" w:space="0" w:color="1AFF7E" w:themeColor="accent1" w:themeTint="99"/>
        </w:tcBorders>
      </w:tcPr>
    </w:tblStylePr>
    <w:tblStylePr w:type="firstCol">
      <w:rPr>
        <w:b/>
        <w:bCs/>
      </w:rPr>
    </w:tblStylePr>
    <w:tblStylePr w:type="lastCol">
      <w:rPr>
        <w:b/>
        <w:bCs/>
      </w:rPr>
    </w:tblStylePr>
    <w:tblStylePr w:type="band1Vert">
      <w:tblPr/>
      <w:tcPr>
        <w:shd w:val="clear" w:color="auto" w:fill="B2FFD4" w:themeFill="accent1" w:themeFillTint="33"/>
      </w:tcPr>
    </w:tblStylePr>
    <w:tblStylePr w:type="band1Horz">
      <w:tblPr/>
      <w:tcPr>
        <w:shd w:val="clear" w:color="auto" w:fill="B2FFD4" w:themeFill="accent1" w:themeFillTint="33"/>
      </w:tcPr>
    </w:tblStylePr>
  </w:style>
  <w:style w:type="table" w:styleId="ListTable4-Accent2">
    <w:name w:val="List Table 4 Accent 2"/>
    <w:basedOn w:val="TableNormal"/>
    <w:pPr>
      <w:spacing w:after="0" w:line="240" w:lineRule="auto"/>
    </w:pPr>
    <w:rPr>
      <w:rFonts w:ascii="EC Square Sans Pro" w:hAnsi="EC Square Sans Pro"/>
      <w:lang w:eastAsia="en-GB"/>
    </w:rPr>
    <w:tblPr>
      <w:tblStyleRowBandSize w:val="1"/>
      <w:tblStyleColBandSize w:val="1"/>
      <w:tblBorders>
        <w:top w:val="single" w:sz="4" w:space="0" w:color="FD9C54" w:themeColor="accent2" w:themeTint="99"/>
        <w:left w:val="single" w:sz="4" w:space="0" w:color="FD9C54" w:themeColor="accent2" w:themeTint="99"/>
        <w:bottom w:val="single" w:sz="4" w:space="0" w:color="FD9C54" w:themeColor="accent2" w:themeTint="99"/>
        <w:right w:val="single" w:sz="4" w:space="0" w:color="FD9C54" w:themeColor="accent2" w:themeTint="99"/>
        <w:insideH w:val="single" w:sz="4" w:space="0" w:color="FD9C54" w:themeColor="accent2" w:themeTint="99"/>
      </w:tblBorders>
    </w:tblPr>
    <w:tblStylePr w:type="firstRow">
      <w:rPr>
        <w:b/>
        <w:bCs/>
        <w:color w:val="FFFFFF" w:themeColor="background1"/>
      </w:rPr>
      <w:tblPr/>
      <w:tcPr>
        <w:tcBorders>
          <w:top w:val="single" w:sz="4" w:space="0" w:color="DE6002" w:themeColor="accent2"/>
          <w:left w:val="single" w:sz="4" w:space="0" w:color="DE6002" w:themeColor="accent2"/>
          <w:bottom w:val="single" w:sz="4" w:space="0" w:color="DE6002" w:themeColor="accent2"/>
          <w:right w:val="single" w:sz="4" w:space="0" w:color="DE6002" w:themeColor="accent2"/>
          <w:insideH w:val="nil"/>
        </w:tcBorders>
        <w:shd w:val="clear" w:color="auto" w:fill="DE6002" w:themeFill="accent2"/>
      </w:tcPr>
    </w:tblStylePr>
    <w:tblStylePr w:type="lastRow">
      <w:rPr>
        <w:b/>
        <w:bCs/>
      </w:rPr>
      <w:tblPr/>
      <w:tcPr>
        <w:tcBorders>
          <w:top w:val="double" w:sz="4" w:space="0" w:color="FD9C54" w:themeColor="accent2" w:themeTint="99"/>
        </w:tcBorders>
      </w:tcPr>
    </w:tblStylePr>
    <w:tblStylePr w:type="firstCol">
      <w:rPr>
        <w:b/>
        <w:bCs/>
      </w:rPr>
    </w:tblStylePr>
    <w:tblStylePr w:type="lastCol">
      <w:rPr>
        <w:b/>
        <w:bCs/>
      </w:rPr>
    </w:tblStylePr>
    <w:tblStylePr w:type="band1Vert">
      <w:tblPr/>
      <w:tcPr>
        <w:shd w:val="clear" w:color="auto" w:fill="FEDEC6" w:themeFill="accent2" w:themeFillTint="33"/>
      </w:tcPr>
    </w:tblStylePr>
    <w:tblStylePr w:type="band1Horz">
      <w:tblPr/>
      <w:tcPr>
        <w:shd w:val="clear" w:color="auto" w:fill="FEDEC6" w:themeFill="accent2" w:themeFillTint="33"/>
      </w:tcPr>
    </w:tblStylePr>
  </w:style>
  <w:style w:type="table" w:styleId="ListTable4-Accent3">
    <w:name w:val="List Table 4 Accent 3"/>
    <w:basedOn w:val="TableNormal"/>
    <w:pPr>
      <w:spacing w:after="0" w:line="240" w:lineRule="auto"/>
    </w:pPr>
    <w:rPr>
      <w:rFonts w:ascii="EC Square Sans Pro" w:hAnsi="EC Square Sans Pro"/>
      <w:lang w:eastAsia="en-GB"/>
    </w:rPr>
    <w:tblPr>
      <w:tblStyleRowBandSize w:val="1"/>
      <w:tblStyleColBandSize w:val="1"/>
      <w:tblBorders>
        <w:top w:val="single" w:sz="4" w:space="0" w:color="7CB7FE" w:themeColor="accent3" w:themeTint="99"/>
        <w:left w:val="single" w:sz="4" w:space="0" w:color="7CB7FE" w:themeColor="accent3" w:themeTint="99"/>
        <w:bottom w:val="single" w:sz="4" w:space="0" w:color="7CB7FE" w:themeColor="accent3" w:themeTint="99"/>
        <w:right w:val="single" w:sz="4" w:space="0" w:color="7CB7FE" w:themeColor="accent3" w:themeTint="99"/>
        <w:insideH w:val="single" w:sz="4" w:space="0" w:color="7CB7FE" w:themeColor="accent3" w:themeTint="99"/>
      </w:tblBorders>
    </w:tblPr>
    <w:tblStylePr w:type="firstRow">
      <w:rPr>
        <w:b/>
        <w:bCs/>
        <w:color w:val="FFFFFF" w:themeColor="background1"/>
      </w:rPr>
      <w:tblPr/>
      <w:tcPr>
        <w:tcBorders>
          <w:top w:val="single" w:sz="4" w:space="0" w:color="2688FE" w:themeColor="accent3"/>
          <w:left w:val="single" w:sz="4" w:space="0" w:color="2688FE" w:themeColor="accent3"/>
          <w:bottom w:val="single" w:sz="4" w:space="0" w:color="2688FE" w:themeColor="accent3"/>
          <w:right w:val="single" w:sz="4" w:space="0" w:color="2688FE" w:themeColor="accent3"/>
          <w:insideH w:val="nil"/>
        </w:tcBorders>
        <w:shd w:val="clear" w:color="auto" w:fill="2688FE" w:themeFill="accent3"/>
      </w:tcPr>
    </w:tblStylePr>
    <w:tblStylePr w:type="lastRow">
      <w:rPr>
        <w:b/>
        <w:bCs/>
      </w:rPr>
      <w:tblPr/>
      <w:tcPr>
        <w:tcBorders>
          <w:top w:val="double" w:sz="4" w:space="0" w:color="7CB7FE" w:themeColor="accent3" w:themeTint="99"/>
        </w:tcBorders>
      </w:tcPr>
    </w:tblStylePr>
    <w:tblStylePr w:type="firstCol">
      <w:rPr>
        <w:b/>
        <w:bCs/>
      </w:rPr>
    </w:tblStylePr>
    <w:tblStylePr w:type="lastCol">
      <w:rPr>
        <w:b/>
        <w:bCs/>
      </w:rPr>
    </w:tblStylePr>
    <w:tblStylePr w:type="band1Vert">
      <w:tblPr/>
      <w:tcPr>
        <w:shd w:val="clear" w:color="auto" w:fill="D3E7FE" w:themeFill="accent3" w:themeFillTint="33"/>
      </w:tcPr>
    </w:tblStylePr>
    <w:tblStylePr w:type="band1Horz">
      <w:tblPr/>
      <w:tcPr>
        <w:shd w:val="clear" w:color="auto" w:fill="D3E7FE" w:themeFill="accent3" w:themeFillTint="33"/>
      </w:tcPr>
    </w:tblStylePr>
  </w:style>
  <w:style w:type="table" w:styleId="ListTable4-Accent4">
    <w:name w:val="List Table 4 Accent 4"/>
    <w:basedOn w:val="TableNormal"/>
    <w:pPr>
      <w:spacing w:after="0" w:line="240" w:lineRule="auto"/>
    </w:pPr>
    <w:rPr>
      <w:rFonts w:ascii="EC Square Sans Pro" w:hAnsi="EC Square Sans Pro"/>
      <w:lang w:eastAsia="en-GB"/>
    </w:rPr>
    <w:tblPr>
      <w:tblStyleRowBandSize w:val="1"/>
      <w:tblStyleColBandSize w:val="1"/>
      <w:tblBorders>
        <w:top w:val="single" w:sz="4" w:space="0" w:color="FDCC6A" w:themeColor="accent4" w:themeTint="99"/>
        <w:left w:val="single" w:sz="4" w:space="0" w:color="FDCC6A" w:themeColor="accent4" w:themeTint="99"/>
        <w:bottom w:val="single" w:sz="4" w:space="0" w:color="FDCC6A" w:themeColor="accent4" w:themeTint="99"/>
        <w:right w:val="single" w:sz="4" w:space="0" w:color="FDCC6A" w:themeColor="accent4" w:themeTint="99"/>
        <w:insideH w:val="single" w:sz="4" w:space="0" w:color="FDCC6A" w:themeColor="accent4" w:themeTint="99"/>
      </w:tblBorders>
    </w:tblPr>
    <w:tblStylePr w:type="firstRow">
      <w:rPr>
        <w:b/>
        <w:bCs/>
        <w:color w:val="FFFFFF" w:themeColor="background1"/>
      </w:rPr>
      <w:tblPr/>
      <w:tcPr>
        <w:tcBorders>
          <w:top w:val="single" w:sz="4" w:space="0" w:color="FDAB07" w:themeColor="accent4"/>
          <w:left w:val="single" w:sz="4" w:space="0" w:color="FDAB07" w:themeColor="accent4"/>
          <w:bottom w:val="single" w:sz="4" w:space="0" w:color="FDAB07" w:themeColor="accent4"/>
          <w:right w:val="single" w:sz="4" w:space="0" w:color="FDAB07" w:themeColor="accent4"/>
          <w:insideH w:val="nil"/>
        </w:tcBorders>
        <w:shd w:val="clear" w:color="auto" w:fill="FDAB07" w:themeFill="accent4"/>
      </w:tcPr>
    </w:tblStylePr>
    <w:tblStylePr w:type="lastRow">
      <w:rPr>
        <w:b/>
        <w:bCs/>
      </w:rPr>
      <w:tblPr/>
      <w:tcPr>
        <w:tcBorders>
          <w:top w:val="double" w:sz="4" w:space="0" w:color="FDCC6A" w:themeColor="accent4" w:themeTint="99"/>
        </w:tcBorders>
      </w:tcPr>
    </w:tblStylePr>
    <w:tblStylePr w:type="firstCol">
      <w:rPr>
        <w:b/>
        <w:bCs/>
      </w:rPr>
    </w:tblStylePr>
    <w:tblStylePr w:type="lastCol">
      <w:rPr>
        <w:b/>
        <w:bCs/>
      </w:rPr>
    </w:tblStylePr>
    <w:tblStylePr w:type="band1Vert">
      <w:tblPr/>
      <w:tcPr>
        <w:shd w:val="clear" w:color="auto" w:fill="FEEECD" w:themeFill="accent4" w:themeFillTint="33"/>
      </w:tcPr>
    </w:tblStylePr>
    <w:tblStylePr w:type="band1Horz">
      <w:tblPr/>
      <w:tcPr>
        <w:shd w:val="clear" w:color="auto" w:fill="FEEECD" w:themeFill="accent4" w:themeFillTint="33"/>
      </w:tcPr>
    </w:tblStylePr>
  </w:style>
  <w:style w:type="table" w:styleId="ListTable4-Accent5">
    <w:name w:val="List Table 4 Accent 5"/>
    <w:basedOn w:val="TableNormal"/>
    <w:pPr>
      <w:spacing w:after="0" w:line="240" w:lineRule="auto"/>
    </w:pPr>
    <w:rPr>
      <w:rFonts w:ascii="EC Square Sans Pro" w:hAnsi="EC Square Sans Pro"/>
      <w:lang w:eastAsia="en-GB"/>
    </w:rPr>
    <w:tblPr>
      <w:tblStyleRowBandSize w:val="1"/>
      <w:tblStyleColBandSize w:val="1"/>
      <w:tblBorders>
        <w:top w:val="single" w:sz="4" w:space="0" w:color="F06C9B" w:themeColor="accent5" w:themeTint="99"/>
        <w:left w:val="single" w:sz="4" w:space="0" w:color="F06C9B" w:themeColor="accent5" w:themeTint="99"/>
        <w:bottom w:val="single" w:sz="4" w:space="0" w:color="F06C9B" w:themeColor="accent5" w:themeTint="99"/>
        <w:right w:val="single" w:sz="4" w:space="0" w:color="F06C9B" w:themeColor="accent5" w:themeTint="99"/>
        <w:insideH w:val="single" w:sz="4" w:space="0" w:color="F06C9B" w:themeColor="accent5" w:themeTint="99"/>
      </w:tblBorders>
    </w:tblPr>
    <w:tblStylePr w:type="firstRow">
      <w:rPr>
        <w:b/>
        <w:bCs/>
        <w:color w:val="FFFFFF" w:themeColor="background1"/>
      </w:rPr>
      <w:tblPr/>
      <w:tcPr>
        <w:tcBorders>
          <w:top w:val="single" w:sz="4" w:space="0" w:color="DC165D" w:themeColor="accent5"/>
          <w:left w:val="single" w:sz="4" w:space="0" w:color="DC165D" w:themeColor="accent5"/>
          <w:bottom w:val="single" w:sz="4" w:space="0" w:color="DC165D" w:themeColor="accent5"/>
          <w:right w:val="single" w:sz="4" w:space="0" w:color="DC165D" w:themeColor="accent5"/>
          <w:insideH w:val="nil"/>
        </w:tcBorders>
        <w:shd w:val="clear" w:color="auto" w:fill="DC165D" w:themeFill="accent5"/>
      </w:tcPr>
    </w:tblStylePr>
    <w:tblStylePr w:type="lastRow">
      <w:rPr>
        <w:b/>
        <w:bCs/>
      </w:rPr>
      <w:tblPr/>
      <w:tcPr>
        <w:tcBorders>
          <w:top w:val="double" w:sz="4" w:space="0" w:color="F06C9B" w:themeColor="accent5" w:themeTint="99"/>
        </w:tcBorders>
      </w:tcPr>
    </w:tblStylePr>
    <w:tblStylePr w:type="firstCol">
      <w:rPr>
        <w:b/>
        <w:bCs/>
      </w:rPr>
    </w:tblStylePr>
    <w:tblStylePr w:type="lastCol">
      <w:rPr>
        <w:b/>
        <w:bCs/>
      </w:rPr>
    </w:tblStylePr>
    <w:tblStylePr w:type="band1Vert">
      <w:tblPr/>
      <w:tcPr>
        <w:shd w:val="clear" w:color="auto" w:fill="FACEDD" w:themeFill="accent5" w:themeFillTint="33"/>
      </w:tcPr>
    </w:tblStylePr>
    <w:tblStylePr w:type="band1Horz">
      <w:tblPr/>
      <w:tcPr>
        <w:shd w:val="clear" w:color="auto" w:fill="FACEDD" w:themeFill="accent5" w:themeFillTint="33"/>
      </w:tcPr>
    </w:tblStylePr>
  </w:style>
  <w:style w:type="table" w:styleId="ListTable4-Accent6">
    <w:name w:val="List Table 4 Accent 6"/>
    <w:basedOn w:val="TableNormal"/>
    <w:pPr>
      <w:spacing w:after="0" w:line="240" w:lineRule="auto"/>
    </w:pPr>
    <w:rPr>
      <w:rFonts w:ascii="EC Square Sans Pro" w:hAnsi="EC Square Sans Pro"/>
      <w:lang w:eastAsia="en-GB"/>
    </w:rPr>
    <w:tblPr>
      <w:tblStyleRowBandSize w:val="1"/>
      <w:tblStyleColBandSize w:val="1"/>
      <w:tblBorders>
        <w:top w:val="single" w:sz="4" w:space="0" w:color="AB73D5" w:themeColor="accent6" w:themeTint="99"/>
        <w:left w:val="single" w:sz="4" w:space="0" w:color="AB73D5" w:themeColor="accent6" w:themeTint="99"/>
        <w:bottom w:val="single" w:sz="4" w:space="0" w:color="AB73D5" w:themeColor="accent6" w:themeTint="99"/>
        <w:right w:val="single" w:sz="4" w:space="0" w:color="AB73D5" w:themeColor="accent6" w:themeTint="99"/>
        <w:insideH w:val="single" w:sz="4" w:space="0" w:color="AB73D5" w:themeColor="accent6" w:themeTint="99"/>
      </w:tblBorders>
    </w:tblPr>
    <w:tblStylePr w:type="firstRow">
      <w:rPr>
        <w:b/>
        <w:bCs/>
        <w:color w:val="FFFFFF" w:themeColor="background1"/>
      </w:rPr>
      <w:tblPr/>
      <w:tcPr>
        <w:tcBorders>
          <w:top w:val="single" w:sz="4" w:space="0" w:color="7030A0" w:themeColor="accent6"/>
          <w:left w:val="single" w:sz="4" w:space="0" w:color="7030A0" w:themeColor="accent6"/>
          <w:bottom w:val="single" w:sz="4" w:space="0" w:color="7030A0" w:themeColor="accent6"/>
          <w:right w:val="single" w:sz="4" w:space="0" w:color="7030A0" w:themeColor="accent6"/>
          <w:insideH w:val="nil"/>
        </w:tcBorders>
        <w:shd w:val="clear" w:color="auto" w:fill="7030A0" w:themeFill="accent6"/>
      </w:tcPr>
    </w:tblStylePr>
    <w:tblStylePr w:type="lastRow">
      <w:rPr>
        <w:b/>
        <w:bCs/>
      </w:rPr>
      <w:tblPr/>
      <w:tcPr>
        <w:tcBorders>
          <w:top w:val="double" w:sz="4" w:space="0" w:color="AB73D5" w:themeColor="accent6" w:themeTint="99"/>
        </w:tcBorders>
      </w:tc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ListTable5Dark">
    <w:name w:val="List Table 5 Dark"/>
    <w:basedOn w:val="TableNormal"/>
    <w:pPr>
      <w:spacing w:after="0" w:line="240" w:lineRule="auto"/>
    </w:pPr>
    <w:rPr>
      <w:rFonts w:ascii="EC Square Sans Pro" w:hAnsi="EC Square Sans Pro"/>
      <w:color w:val="FFFFFF" w:themeColor="background1"/>
      <w:lang w:eastAsia="en-GB"/>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pPr>
      <w:spacing w:after="0" w:line="240" w:lineRule="auto"/>
    </w:pPr>
    <w:rPr>
      <w:rFonts w:ascii="EC Square Sans Pro" w:hAnsi="EC Square Sans Pro"/>
      <w:color w:val="FFFFFF" w:themeColor="background1"/>
      <w:lang w:eastAsia="en-GB"/>
    </w:rPr>
    <w:tblPr>
      <w:tblStyleRowBandSize w:val="1"/>
      <w:tblStyleColBandSize w:val="1"/>
      <w:tblBorders>
        <w:top w:val="single" w:sz="24" w:space="0" w:color="008139" w:themeColor="accent1"/>
        <w:left w:val="single" w:sz="24" w:space="0" w:color="008139" w:themeColor="accent1"/>
        <w:bottom w:val="single" w:sz="24" w:space="0" w:color="008139" w:themeColor="accent1"/>
        <w:right w:val="single" w:sz="24" w:space="0" w:color="008139" w:themeColor="accent1"/>
      </w:tblBorders>
    </w:tblPr>
    <w:tcPr>
      <w:shd w:val="clear" w:color="auto" w:fill="008139"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pPr>
      <w:spacing w:after="0" w:line="240" w:lineRule="auto"/>
    </w:pPr>
    <w:rPr>
      <w:rFonts w:ascii="EC Square Sans Pro" w:hAnsi="EC Square Sans Pro"/>
      <w:color w:val="FFFFFF" w:themeColor="background1"/>
      <w:lang w:eastAsia="en-GB"/>
    </w:rPr>
    <w:tblPr>
      <w:tblStyleRowBandSize w:val="1"/>
      <w:tblStyleColBandSize w:val="1"/>
      <w:tblBorders>
        <w:top w:val="single" w:sz="24" w:space="0" w:color="DE6002" w:themeColor="accent2"/>
        <w:left w:val="single" w:sz="24" w:space="0" w:color="DE6002" w:themeColor="accent2"/>
        <w:bottom w:val="single" w:sz="24" w:space="0" w:color="DE6002" w:themeColor="accent2"/>
        <w:right w:val="single" w:sz="24" w:space="0" w:color="DE6002" w:themeColor="accent2"/>
      </w:tblBorders>
    </w:tblPr>
    <w:tcPr>
      <w:shd w:val="clear" w:color="auto" w:fill="DE600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pPr>
      <w:spacing w:after="0" w:line="240" w:lineRule="auto"/>
    </w:pPr>
    <w:rPr>
      <w:rFonts w:ascii="EC Square Sans Pro" w:hAnsi="EC Square Sans Pro"/>
      <w:color w:val="FFFFFF" w:themeColor="background1"/>
      <w:lang w:eastAsia="en-GB"/>
    </w:rPr>
    <w:tblPr>
      <w:tblStyleRowBandSize w:val="1"/>
      <w:tblStyleColBandSize w:val="1"/>
      <w:tblBorders>
        <w:top w:val="single" w:sz="24" w:space="0" w:color="2688FE" w:themeColor="accent3"/>
        <w:left w:val="single" w:sz="24" w:space="0" w:color="2688FE" w:themeColor="accent3"/>
        <w:bottom w:val="single" w:sz="24" w:space="0" w:color="2688FE" w:themeColor="accent3"/>
        <w:right w:val="single" w:sz="24" w:space="0" w:color="2688FE" w:themeColor="accent3"/>
      </w:tblBorders>
    </w:tblPr>
    <w:tcPr>
      <w:shd w:val="clear" w:color="auto" w:fill="2688FE"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pPr>
      <w:spacing w:after="0" w:line="240" w:lineRule="auto"/>
    </w:pPr>
    <w:rPr>
      <w:rFonts w:ascii="EC Square Sans Pro" w:hAnsi="EC Square Sans Pro"/>
      <w:color w:val="FFFFFF" w:themeColor="background1"/>
      <w:lang w:eastAsia="en-GB"/>
    </w:rPr>
    <w:tblPr>
      <w:tblStyleRowBandSize w:val="1"/>
      <w:tblStyleColBandSize w:val="1"/>
      <w:tblBorders>
        <w:top w:val="single" w:sz="24" w:space="0" w:color="FDAB07" w:themeColor="accent4"/>
        <w:left w:val="single" w:sz="24" w:space="0" w:color="FDAB07" w:themeColor="accent4"/>
        <w:bottom w:val="single" w:sz="24" w:space="0" w:color="FDAB07" w:themeColor="accent4"/>
        <w:right w:val="single" w:sz="24" w:space="0" w:color="FDAB07" w:themeColor="accent4"/>
      </w:tblBorders>
    </w:tblPr>
    <w:tcPr>
      <w:shd w:val="clear" w:color="auto" w:fill="FDAB0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pPr>
      <w:spacing w:after="0" w:line="240" w:lineRule="auto"/>
    </w:pPr>
    <w:rPr>
      <w:rFonts w:ascii="EC Square Sans Pro" w:hAnsi="EC Square Sans Pro"/>
      <w:color w:val="FFFFFF" w:themeColor="background1"/>
      <w:lang w:eastAsia="en-GB"/>
    </w:rPr>
    <w:tblPr>
      <w:tblStyleRowBandSize w:val="1"/>
      <w:tblStyleColBandSize w:val="1"/>
      <w:tblBorders>
        <w:top w:val="single" w:sz="24" w:space="0" w:color="DC165D" w:themeColor="accent5"/>
        <w:left w:val="single" w:sz="24" w:space="0" w:color="DC165D" w:themeColor="accent5"/>
        <w:bottom w:val="single" w:sz="24" w:space="0" w:color="DC165D" w:themeColor="accent5"/>
        <w:right w:val="single" w:sz="24" w:space="0" w:color="DC165D" w:themeColor="accent5"/>
      </w:tblBorders>
    </w:tblPr>
    <w:tcPr>
      <w:shd w:val="clear" w:color="auto" w:fill="DC165D"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pPr>
      <w:spacing w:after="0" w:line="240" w:lineRule="auto"/>
    </w:pPr>
    <w:rPr>
      <w:rFonts w:ascii="EC Square Sans Pro" w:hAnsi="EC Square Sans Pro"/>
      <w:color w:val="FFFFFF" w:themeColor="background1"/>
      <w:lang w:eastAsia="en-GB"/>
    </w:rPr>
    <w:tblPr>
      <w:tblStyleRowBandSize w:val="1"/>
      <w:tblStyleColBandSize w:val="1"/>
      <w:tblBorders>
        <w:top w:val="single" w:sz="24" w:space="0" w:color="7030A0" w:themeColor="accent6"/>
        <w:left w:val="single" w:sz="24" w:space="0" w:color="7030A0" w:themeColor="accent6"/>
        <w:bottom w:val="single" w:sz="24" w:space="0" w:color="7030A0" w:themeColor="accent6"/>
        <w:right w:val="single" w:sz="24" w:space="0" w:color="7030A0" w:themeColor="accent6"/>
      </w:tblBorders>
    </w:tblPr>
    <w:tcPr>
      <w:shd w:val="clear" w:color="auto" w:fill="7030A0"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pPr>
      <w:spacing w:after="0" w:line="240" w:lineRule="auto"/>
    </w:pPr>
    <w:rPr>
      <w:rFonts w:ascii="EC Square Sans Pro" w:hAnsi="EC Square Sans Pro"/>
      <w:color w:val="000000" w:themeColor="text1"/>
      <w:lang w:eastAsia="en-GB"/>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pPr>
      <w:spacing w:after="0" w:line="240" w:lineRule="auto"/>
    </w:pPr>
    <w:rPr>
      <w:rFonts w:ascii="EC Square Sans Pro" w:hAnsi="EC Square Sans Pro"/>
      <w:color w:val="00602A" w:themeColor="accent1" w:themeShade="BF"/>
      <w:lang w:eastAsia="en-GB"/>
    </w:rPr>
    <w:tblPr>
      <w:tblStyleRowBandSize w:val="1"/>
      <w:tblStyleColBandSize w:val="1"/>
      <w:tblBorders>
        <w:top w:val="single" w:sz="4" w:space="0" w:color="008139" w:themeColor="accent1"/>
        <w:bottom w:val="single" w:sz="4" w:space="0" w:color="008139" w:themeColor="accent1"/>
      </w:tblBorders>
    </w:tblPr>
    <w:tblStylePr w:type="firstRow">
      <w:rPr>
        <w:b/>
        <w:bCs/>
      </w:rPr>
      <w:tblPr/>
      <w:tcPr>
        <w:tcBorders>
          <w:bottom w:val="single" w:sz="4" w:space="0" w:color="008139" w:themeColor="accent1"/>
        </w:tcBorders>
      </w:tcPr>
    </w:tblStylePr>
    <w:tblStylePr w:type="lastRow">
      <w:rPr>
        <w:b/>
        <w:bCs/>
      </w:rPr>
      <w:tblPr/>
      <w:tcPr>
        <w:tcBorders>
          <w:top w:val="double" w:sz="4" w:space="0" w:color="008139" w:themeColor="accent1"/>
        </w:tcBorders>
      </w:tcPr>
    </w:tblStylePr>
    <w:tblStylePr w:type="firstCol">
      <w:rPr>
        <w:b/>
        <w:bCs/>
      </w:rPr>
    </w:tblStylePr>
    <w:tblStylePr w:type="lastCol">
      <w:rPr>
        <w:b/>
        <w:bCs/>
      </w:rPr>
    </w:tblStylePr>
    <w:tblStylePr w:type="band1Vert">
      <w:tblPr/>
      <w:tcPr>
        <w:shd w:val="clear" w:color="auto" w:fill="B2FFD4" w:themeFill="accent1" w:themeFillTint="33"/>
      </w:tcPr>
    </w:tblStylePr>
    <w:tblStylePr w:type="band1Horz">
      <w:tblPr/>
      <w:tcPr>
        <w:shd w:val="clear" w:color="auto" w:fill="B2FFD4" w:themeFill="accent1" w:themeFillTint="33"/>
      </w:tcPr>
    </w:tblStylePr>
  </w:style>
  <w:style w:type="table" w:styleId="ListTable6Colorful-Accent2">
    <w:name w:val="List Table 6 Colorful Accent 2"/>
    <w:basedOn w:val="TableNormal"/>
    <w:pPr>
      <w:spacing w:after="0" w:line="240" w:lineRule="auto"/>
    </w:pPr>
    <w:rPr>
      <w:rFonts w:ascii="EC Square Sans Pro" w:hAnsi="EC Square Sans Pro"/>
      <w:color w:val="A64701" w:themeColor="accent2" w:themeShade="BF"/>
      <w:lang w:eastAsia="en-GB"/>
    </w:rPr>
    <w:tblPr>
      <w:tblStyleRowBandSize w:val="1"/>
      <w:tblStyleColBandSize w:val="1"/>
      <w:tblBorders>
        <w:top w:val="single" w:sz="4" w:space="0" w:color="DE6002" w:themeColor="accent2"/>
        <w:bottom w:val="single" w:sz="4" w:space="0" w:color="DE6002" w:themeColor="accent2"/>
      </w:tblBorders>
    </w:tblPr>
    <w:tblStylePr w:type="firstRow">
      <w:rPr>
        <w:b/>
        <w:bCs/>
      </w:rPr>
      <w:tblPr/>
      <w:tcPr>
        <w:tcBorders>
          <w:bottom w:val="single" w:sz="4" w:space="0" w:color="DE6002" w:themeColor="accent2"/>
        </w:tcBorders>
      </w:tcPr>
    </w:tblStylePr>
    <w:tblStylePr w:type="lastRow">
      <w:rPr>
        <w:b/>
        <w:bCs/>
      </w:rPr>
      <w:tblPr/>
      <w:tcPr>
        <w:tcBorders>
          <w:top w:val="double" w:sz="4" w:space="0" w:color="DE6002" w:themeColor="accent2"/>
        </w:tcBorders>
      </w:tcPr>
    </w:tblStylePr>
    <w:tblStylePr w:type="firstCol">
      <w:rPr>
        <w:b/>
        <w:bCs/>
      </w:rPr>
    </w:tblStylePr>
    <w:tblStylePr w:type="lastCol">
      <w:rPr>
        <w:b/>
        <w:bCs/>
      </w:rPr>
    </w:tblStylePr>
    <w:tblStylePr w:type="band1Vert">
      <w:tblPr/>
      <w:tcPr>
        <w:shd w:val="clear" w:color="auto" w:fill="FEDEC6" w:themeFill="accent2" w:themeFillTint="33"/>
      </w:tcPr>
    </w:tblStylePr>
    <w:tblStylePr w:type="band1Horz">
      <w:tblPr/>
      <w:tcPr>
        <w:shd w:val="clear" w:color="auto" w:fill="FEDEC6" w:themeFill="accent2" w:themeFillTint="33"/>
      </w:tcPr>
    </w:tblStylePr>
  </w:style>
  <w:style w:type="table" w:styleId="ListTable6Colorful-Accent3">
    <w:name w:val="List Table 6 Colorful Accent 3"/>
    <w:basedOn w:val="TableNormal"/>
    <w:pPr>
      <w:spacing w:after="0" w:line="240" w:lineRule="auto"/>
    </w:pPr>
    <w:rPr>
      <w:rFonts w:ascii="EC Square Sans Pro" w:hAnsi="EC Square Sans Pro"/>
      <w:color w:val="0162D9" w:themeColor="accent3" w:themeShade="BF"/>
      <w:lang w:eastAsia="en-GB"/>
    </w:rPr>
    <w:tblPr>
      <w:tblStyleRowBandSize w:val="1"/>
      <w:tblStyleColBandSize w:val="1"/>
      <w:tblBorders>
        <w:top w:val="single" w:sz="4" w:space="0" w:color="2688FE" w:themeColor="accent3"/>
        <w:bottom w:val="single" w:sz="4" w:space="0" w:color="2688FE" w:themeColor="accent3"/>
      </w:tblBorders>
    </w:tblPr>
    <w:tblStylePr w:type="firstRow">
      <w:rPr>
        <w:b/>
        <w:bCs/>
      </w:rPr>
      <w:tblPr/>
      <w:tcPr>
        <w:tcBorders>
          <w:bottom w:val="single" w:sz="4" w:space="0" w:color="2688FE" w:themeColor="accent3"/>
        </w:tcBorders>
      </w:tcPr>
    </w:tblStylePr>
    <w:tblStylePr w:type="lastRow">
      <w:rPr>
        <w:b/>
        <w:bCs/>
      </w:rPr>
      <w:tblPr/>
      <w:tcPr>
        <w:tcBorders>
          <w:top w:val="double" w:sz="4" w:space="0" w:color="2688FE" w:themeColor="accent3"/>
        </w:tcBorders>
      </w:tcPr>
    </w:tblStylePr>
    <w:tblStylePr w:type="firstCol">
      <w:rPr>
        <w:b/>
        <w:bCs/>
      </w:rPr>
    </w:tblStylePr>
    <w:tblStylePr w:type="lastCol">
      <w:rPr>
        <w:b/>
        <w:bCs/>
      </w:rPr>
    </w:tblStylePr>
    <w:tblStylePr w:type="band1Vert">
      <w:tblPr/>
      <w:tcPr>
        <w:shd w:val="clear" w:color="auto" w:fill="D3E7FE" w:themeFill="accent3" w:themeFillTint="33"/>
      </w:tcPr>
    </w:tblStylePr>
    <w:tblStylePr w:type="band1Horz">
      <w:tblPr/>
      <w:tcPr>
        <w:shd w:val="clear" w:color="auto" w:fill="D3E7FE" w:themeFill="accent3" w:themeFillTint="33"/>
      </w:tcPr>
    </w:tblStylePr>
  </w:style>
  <w:style w:type="table" w:styleId="ListTable6Colorful-Accent4">
    <w:name w:val="List Table 6 Colorful Accent 4"/>
    <w:basedOn w:val="TableNormal"/>
    <w:pPr>
      <w:spacing w:after="0" w:line="240" w:lineRule="auto"/>
    </w:pPr>
    <w:rPr>
      <w:rFonts w:ascii="EC Square Sans Pro" w:hAnsi="EC Square Sans Pro"/>
      <w:color w:val="C18101" w:themeColor="accent4" w:themeShade="BF"/>
      <w:lang w:eastAsia="en-GB"/>
    </w:rPr>
    <w:tblPr>
      <w:tblStyleRowBandSize w:val="1"/>
      <w:tblStyleColBandSize w:val="1"/>
      <w:tblBorders>
        <w:top w:val="single" w:sz="4" w:space="0" w:color="FDAB07" w:themeColor="accent4"/>
        <w:bottom w:val="single" w:sz="4" w:space="0" w:color="FDAB07" w:themeColor="accent4"/>
      </w:tblBorders>
    </w:tblPr>
    <w:tblStylePr w:type="firstRow">
      <w:rPr>
        <w:b/>
        <w:bCs/>
      </w:rPr>
      <w:tblPr/>
      <w:tcPr>
        <w:tcBorders>
          <w:bottom w:val="single" w:sz="4" w:space="0" w:color="FDAB07" w:themeColor="accent4"/>
        </w:tcBorders>
      </w:tcPr>
    </w:tblStylePr>
    <w:tblStylePr w:type="lastRow">
      <w:rPr>
        <w:b/>
        <w:bCs/>
      </w:rPr>
      <w:tblPr/>
      <w:tcPr>
        <w:tcBorders>
          <w:top w:val="double" w:sz="4" w:space="0" w:color="FDAB07" w:themeColor="accent4"/>
        </w:tcBorders>
      </w:tcPr>
    </w:tblStylePr>
    <w:tblStylePr w:type="firstCol">
      <w:rPr>
        <w:b/>
        <w:bCs/>
      </w:rPr>
    </w:tblStylePr>
    <w:tblStylePr w:type="lastCol">
      <w:rPr>
        <w:b/>
        <w:bCs/>
      </w:rPr>
    </w:tblStylePr>
    <w:tblStylePr w:type="band1Vert">
      <w:tblPr/>
      <w:tcPr>
        <w:shd w:val="clear" w:color="auto" w:fill="FEEECD" w:themeFill="accent4" w:themeFillTint="33"/>
      </w:tcPr>
    </w:tblStylePr>
    <w:tblStylePr w:type="band1Horz">
      <w:tblPr/>
      <w:tcPr>
        <w:shd w:val="clear" w:color="auto" w:fill="FEEECD" w:themeFill="accent4" w:themeFillTint="33"/>
      </w:tcPr>
    </w:tblStylePr>
  </w:style>
  <w:style w:type="table" w:styleId="ListTable6Colorful-Accent5">
    <w:name w:val="List Table 6 Colorful Accent 5"/>
    <w:basedOn w:val="TableNormal"/>
    <w:pPr>
      <w:spacing w:after="0" w:line="240" w:lineRule="auto"/>
    </w:pPr>
    <w:rPr>
      <w:rFonts w:ascii="EC Square Sans Pro" w:hAnsi="EC Square Sans Pro"/>
      <w:color w:val="A41045" w:themeColor="accent5" w:themeShade="BF"/>
      <w:lang w:eastAsia="en-GB"/>
    </w:rPr>
    <w:tblPr>
      <w:tblStyleRowBandSize w:val="1"/>
      <w:tblStyleColBandSize w:val="1"/>
      <w:tblBorders>
        <w:top w:val="single" w:sz="4" w:space="0" w:color="DC165D" w:themeColor="accent5"/>
        <w:bottom w:val="single" w:sz="4" w:space="0" w:color="DC165D" w:themeColor="accent5"/>
      </w:tblBorders>
    </w:tblPr>
    <w:tblStylePr w:type="firstRow">
      <w:rPr>
        <w:b/>
        <w:bCs/>
      </w:rPr>
      <w:tblPr/>
      <w:tcPr>
        <w:tcBorders>
          <w:bottom w:val="single" w:sz="4" w:space="0" w:color="DC165D" w:themeColor="accent5"/>
        </w:tcBorders>
      </w:tcPr>
    </w:tblStylePr>
    <w:tblStylePr w:type="lastRow">
      <w:rPr>
        <w:b/>
        <w:bCs/>
      </w:rPr>
      <w:tblPr/>
      <w:tcPr>
        <w:tcBorders>
          <w:top w:val="double" w:sz="4" w:space="0" w:color="DC165D" w:themeColor="accent5"/>
        </w:tcBorders>
      </w:tcPr>
    </w:tblStylePr>
    <w:tblStylePr w:type="firstCol">
      <w:rPr>
        <w:b/>
        <w:bCs/>
      </w:rPr>
    </w:tblStylePr>
    <w:tblStylePr w:type="lastCol">
      <w:rPr>
        <w:b/>
        <w:bCs/>
      </w:rPr>
    </w:tblStylePr>
    <w:tblStylePr w:type="band1Vert">
      <w:tblPr/>
      <w:tcPr>
        <w:shd w:val="clear" w:color="auto" w:fill="FACEDD" w:themeFill="accent5" w:themeFillTint="33"/>
      </w:tcPr>
    </w:tblStylePr>
    <w:tblStylePr w:type="band1Horz">
      <w:tblPr/>
      <w:tcPr>
        <w:shd w:val="clear" w:color="auto" w:fill="FACEDD" w:themeFill="accent5" w:themeFillTint="33"/>
      </w:tcPr>
    </w:tblStylePr>
  </w:style>
  <w:style w:type="table" w:styleId="ListTable6Colorful-Accent6">
    <w:name w:val="List Table 6 Colorful Accent 6"/>
    <w:basedOn w:val="TableNormal"/>
    <w:pPr>
      <w:spacing w:after="0" w:line="240" w:lineRule="auto"/>
    </w:pPr>
    <w:rPr>
      <w:rFonts w:ascii="EC Square Sans Pro" w:hAnsi="EC Square Sans Pro"/>
      <w:color w:val="532477" w:themeColor="accent6" w:themeShade="BF"/>
      <w:lang w:eastAsia="en-GB"/>
    </w:rPr>
    <w:tblPr>
      <w:tblStyleRowBandSize w:val="1"/>
      <w:tblStyleColBandSize w:val="1"/>
      <w:tblBorders>
        <w:top w:val="single" w:sz="4" w:space="0" w:color="7030A0" w:themeColor="accent6"/>
        <w:bottom w:val="single" w:sz="4" w:space="0" w:color="7030A0" w:themeColor="accent6"/>
      </w:tblBorders>
    </w:tblPr>
    <w:tblStylePr w:type="firstRow">
      <w:rPr>
        <w:b/>
        <w:bCs/>
      </w:rPr>
      <w:tblPr/>
      <w:tcPr>
        <w:tcBorders>
          <w:bottom w:val="single" w:sz="4" w:space="0" w:color="7030A0" w:themeColor="accent6"/>
        </w:tcBorders>
      </w:tcPr>
    </w:tblStylePr>
    <w:tblStylePr w:type="lastRow">
      <w:rPr>
        <w:b/>
        <w:bCs/>
      </w:rPr>
      <w:tblPr/>
      <w:tcPr>
        <w:tcBorders>
          <w:top w:val="double" w:sz="4" w:space="0" w:color="7030A0" w:themeColor="accent6"/>
        </w:tcBorders>
      </w:tc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ListTable7Colorful">
    <w:name w:val="List Table 7 Colorful"/>
    <w:basedOn w:val="TableNormal"/>
    <w:pPr>
      <w:spacing w:after="0" w:line="240" w:lineRule="auto"/>
    </w:pPr>
    <w:rPr>
      <w:rFonts w:ascii="EC Square Sans Pro" w:hAnsi="EC Square Sans Pro"/>
      <w:color w:val="000000" w:themeColor="text1"/>
      <w:lang w:eastAsia="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pPr>
      <w:spacing w:after="0" w:line="240" w:lineRule="auto"/>
    </w:pPr>
    <w:rPr>
      <w:rFonts w:ascii="EC Square Sans Pro" w:hAnsi="EC Square Sans Pro"/>
      <w:color w:val="00602A" w:themeColor="accent1" w:themeShade="BF"/>
      <w:lang w:eastAsia="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8139"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8139"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8139"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8139" w:themeColor="accent1"/>
        </w:tcBorders>
        <w:shd w:val="clear" w:color="auto" w:fill="FFFFFF" w:themeFill="background1"/>
      </w:tcPr>
    </w:tblStylePr>
    <w:tblStylePr w:type="band1Vert">
      <w:tblPr/>
      <w:tcPr>
        <w:shd w:val="clear" w:color="auto" w:fill="B2FFD4" w:themeFill="accent1" w:themeFillTint="33"/>
      </w:tcPr>
    </w:tblStylePr>
    <w:tblStylePr w:type="band1Horz">
      <w:tblPr/>
      <w:tcPr>
        <w:shd w:val="clear" w:color="auto" w:fill="B2FFD4"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pPr>
      <w:spacing w:after="0" w:line="240" w:lineRule="auto"/>
    </w:pPr>
    <w:rPr>
      <w:rFonts w:ascii="EC Square Sans Pro" w:hAnsi="EC Square Sans Pro"/>
      <w:color w:val="A64701" w:themeColor="accent2" w:themeShade="BF"/>
      <w:lang w:eastAsia="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E600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E600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E600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E6002" w:themeColor="accent2"/>
        </w:tcBorders>
        <w:shd w:val="clear" w:color="auto" w:fill="FFFFFF" w:themeFill="background1"/>
      </w:tcPr>
    </w:tblStylePr>
    <w:tblStylePr w:type="band1Vert">
      <w:tblPr/>
      <w:tcPr>
        <w:shd w:val="clear" w:color="auto" w:fill="FEDEC6" w:themeFill="accent2" w:themeFillTint="33"/>
      </w:tcPr>
    </w:tblStylePr>
    <w:tblStylePr w:type="band1Horz">
      <w:tblPr/>
      <w:tcPr>
        <w:shd w:val="clear" w:color="auto" w:fill="FEDEC6"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pPr>
      <w:spacing w:after="0" w:line="240" w:lineRule="auto"/>
    </w:pPr>
    <w:rPr>
      <w:rFonts w:ascii="EC Square Sans Pro" w:hAnsi="EC Square Sans Pro"/>
      <w:color w:val="0162D9" w:themeColor="accent3" w:themeShade="BF"/>
      <w:lang w:eastAsia="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688FE"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688FE"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688FE"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688FE" w:themeColor="accent3"/>
        </w:tcBorders>
        <w:shd w:val="clear" w:color="auto" w:fill="FFFFFF" w:themeFill="background1"/>
      </w:tcPr>
    </w:tblStylePr>
    <w:tblStylePr w:type="band1Vert">
      <w:tblPr/>
      <w:tcPr>
        <w:shd w:val="clear" w:color="auto" w:fill="D3E7FE" w:themeFill="accent3" w:themeFillTint="33"/>
      </w:tcPr>
    </w:tblStylePr>
    <w:tblStylePr w:type="band1Horz">
      <w:tblPr/>
      <w:tcPr>
        <w:shd w:val="clear" w:color="auto" w:fill="D3E7FE"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pPr>
      <w:spacing w:after="0" w:line="240" w:lineRule="auto"/>
    </w:pPr>
    <w:rPr>
      <w:rFonts w:ascii="EC Square Sans Pro" w:hAnsi="EC Square Sans Pro"/>
      <w:color w:val="C18101" w:themeColor="accent4" w:themeShade="BF"/>
      <w:lang w:eastAsia="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DAB0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DAB0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DAB0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DAB07" w:themeColor="accent4"/>
        </w:tcBorders>
        <w:shd w:val="clear" w:color="auto" w:fill="FFFFFF" w:themeFill="background1"/>
      </w:tcPr>
    </w:tblStylePr>
    <w:tblStylePr w:type="band1Vert">
      <w:tblPr/>
      <w:tcPr>
        <w:shd w:val="clear" w:color="auto" w:fill="FEEECD" w:themeFill="accent4" w:themeFillTint="33"/>
      </w:tcPr>
    </w:tblStylePr>
    <w:tblStylePr w:type="band1Horz">
      <w:tblPr/>
      <w:tcPr>
        <w:shd w:val="clear" w:color="auto" w:fill="FEEECD"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pPr>
      <w:spacing w:after="0" w:line="240" w:lineRule="auto"/>
    </w:pPr>
    <w:rPr>
      <w:rFonts w:ascii="EC Square Sans Pro" w:hAnsi="EC Square Sans Pro"/>
      <w:color w:val="A41045" w:themeColor="accent5" w:themeShade="BF"/>
      <w:lang w:eastAsia="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C165D"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C165D"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C165D"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C165D" w:themeColor="accent5"/>
        </w:tcBorders>
        <w:shd w:val="clear" w:color="auto" w:fill="FFFFFF" w:themeFill="background1"/>
      </w:tcPr>
    </w:tblStylePr>
    <w:tblStylePr w:type="band1Vert">
      <w:tblPr/>
      <w:tcPr>
        <w:shd w:val="clear" w:color="auto" w:fill="FACEDD" w:themeFill="accent5" w:themeFillTint="33"/>
      </w:tcPr>
    </w:tblStylePr>
    <w:tblStylePr w:type="band1Horz">
      <w:tblPr/>
      <w:tcPr>
        <w:shd w:val="clear" w:color="auto" w:fill="FACED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pPr>
      <w:spacing w:after="0" w:line="240" w:lineRule="auto"/>
    </w:pPr>
    <w:rPr>
      <w:rFonts w:ascii="EC Square Sans Pro" w:hAnsi="EC Square Sans Pro"/>
      <w:color w:val="532477" w:themeColor="accent6" w:themeShade="BF"/>
      <w:lang w:eastAsia="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30A0"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30A0"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30A0"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30A0" w:themeColor="accent6"/>
        </w:tcBorders>
        <w:shd w:val="clear" w:color="auto" w:fill="FFFFFF" w:themeFill="background1"/>
      </w:tcPr>
    </w:tblStylePr>
    <w:tblStylePr w:type="band1Vert">
      <w:tblPr/>
      <w:tcPr>
        <w:shd w:val="clear" w:color="auto" w:fill="E2D0F1" w:themeFill="accent6" w:themeFillTint="33"/>
      </w:tcPr>
    </w:tblStylePr>
    <w:tblStylePr w:type="band1Horz">
      <w:tblPr/>
      <w:tcPr>
        <w:shd w:val="clear" w:color="auto" w:fill="E2D0F1"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pPr>
      <w:spacing w:before="0" w:after="0" w:line="240" w:lineRule="auto"/>
    </w:pPr>
    <w:rPr>
      <w:rFonts w:ascii="EC Square Sans Pro" w:hAnsi="EC Square Sans Pro"/>
      <w:lang w:eastAsia="en-GB"/>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pPr>
      <w:spacing w:before="0" w:after="0" w:line="240" w:lineRule="auto"/>
    </w:pPr>
    <w:rPr>
      <w:rFonts w:ascii="EC Square Sans Pro" w:hAnsi="EC Square Sans Pro"/>
      <w:lang w:eastAsia="en-GB"/>
    </w:rPr>
    <w:tblPr>
      <w:tblStyleRowBandSize w:val="1"/>
      <w:tblStyleColBandSize w:val="1"/>
      <w:tblBorders>
        <w:top w:val="single" w:sz="8" w:space="0" w:color="00E062" w:themeColor="accent1" w:themeTint="BF"/>
        <w:left w:val="single" w:sz="8" w:space="0" w:color="00E062" w:themeColor="accent1" w:themeTint="BF"/>
        <w:bottom w:val="single" w:sz="8" w:space="0" w:color="00E062" w:themeColor="accent1" w:themeTint="BF"/>
        <w:right w:val="single" w:sz="8" w:space="0" w:color="00E062" w:themeColor="accent1" w:themeTint="BF"/>
        <w:insideH w:val="single" w:sz="8" w:space="0" w:color="00E062" w:themeColor="accent1" w:themeTint="BF"/>
        <w:insideV w:val="single" w:sz="8" w:space="0" w:color="00E062" w:themeColor="accent1" w:themeTint="BF"/>
      </w:tblBorders>
    </w:tblPr>
    <w:tcPr>
      <w:shd w:val="clear" w:color="auto" w:fill="A0FFCA" w:themeFill="accent1" w:themeFillTint="3F"/>
    </w:tcPr>
    <w:tblStylePr w:type="firstRow">
      <w:rPr>
        <w:b/>
        <w:bCs/>
      </w:rPr>
    </w:tblStylePr>
    <w:tblStylePr w:type="lastRow">
      <w:rPr>
        <w:b/>
        <w:bCs/>
      </w:rPr>
      <w:tblPr/>
      <w:tcPr>
        <w:tcBorders>
          <w:top w:val="single" w:sz="18" w:space="0" w:color="00E062" w:themeColor="accent1" w:themeTint="BF"/>
        </w:tcBorders>
      </w:tcPr>
    </w:tblStylePr>
    <w:tblStylePr w:type="firstCol">
      <w:rPr>
        <w:b/>
        <w:bCs/>
      </w:rPr>
    </w:tblStylePr>
    <w:tblStylePr w:type="lastCol">
      <w:rPr>
        <w:b/>
        <w:bCs/>
      </w:rPr>
    </w:tblStylePr>
    <w:tblStylePr w:type="band1Vert">
      <w:tblPr/>
      <w:tcPr>
        <w:shd w:val="clear" w:color="auto" w:fill="41FF94" w:themeFill="accent1" w:themeFillTint="7F"/>
      </w:tcPr>
    </w:tblStylePr>
    <w:tblStylePr w:type="band1Horz">
      <w:tblPr/>
      <w:tcPr>
        <w:shd w:val="clear" w:color="auto" w:fill="41FF94" w:themeFill="accent1" w:themeFillTint="7F"/>
      </w:tcPr>
    </w:tblStylePr>
  </w:style>
  <w:style w:type="table" w:styleId="MediumGrid1-Accent2">
    <w:name w:val="Medium Grid 1 Accent 2"/>
    <w:basedOn w:val="TableNormal"/>
    <w:pPr>
      <w:spacing w:before="0" w:after="0" w:line="240" w:lineRule="auto"/>
    </w:pPr>
    <w:rPr>
      <w:rFonts w:ascii="EC Square Sans Pro" w:hAnsi="EC Square Sans Pro"/>
      <w:lang w:eastAsia="en-GB"/>
    </w:rPr>
    <w:tblPr>
      <w:tblStyleRowBandSize w:val="1"/>
      <w:tblStyleColBandSize w:val="1"/>
      <w:tblBorders>
        <w:top w:val="single" w:sz="8" w:space="0" w:color="FD832A" w:themeColor="accent2" w:themeTint="BF"/>
        <w:left w:val="single" w:sz="8" w:space="0" w:color="FD832A" w:themeColor="accent2" w:themeTint="BF"/>
        <w:bottom w:val="single" w:sz="8" w:space="0" w:color="FD832A" w:themeColor="accent2" w:themeTint="BF"/>
        <w:right w:val="single" w:sz="8" w:space="0" w:color="FD832A" w:themeColor="accent2" w:themeTint="BF"/>
        <w:insideH w:val="single" w:sz="8" w:space="0" w:color="FD832A" w:themeColor="accent2" w:themeTint="BF"/>
        <w:insideV w:val="single" w:sz="8" w:space="0" w:color="FD832A" w:themeColor="accent2" w:themeTint="BF"/>
      </w:tblBorders>
    </w:tblPr>
    <w:tcPr>
      <w:shd w:val="clear" w:color="auto" w:fill="FED6B8" w:themeFill="accent2" w:themeFillTint="3F"/>
    </w:tcPr>
    <w:tblStylePr w:type="firstRow">
      <w:rPr>
        <w:b/>
        <w:bCs/>
      </w:rPr>
    </w:tblStylePr>
    <w:tblStylePr w:type="lastRow">
      <w:rPr>
        <w:b/>
        <w:bCs/>
      </w:rPr>
      <w:tblPr/>
      <w:tcPr>
        <w:tcBorders>
          <w:top w:val="single" w:sz="18" w:space="0" w:color="FD832A" w:themeColor="accent2" w:themeTint="BF"/>
        </w:tcBorders>
      </w:tcPr>
    </w:tblStylePr>
    <w:tblStylePr w:type="firstCol">
      <w:rPr>
        <w:b/>
        <w:bCs/>
      </w:rPr>
    </w:tblStylePr>
    <w:tblStylePr w:type="lastCol">
      <w:rPr>
        <w:b/>
        <w:bCs/>
      </w:rPr>
    </w:tblStylePr>
    <w:tblStylePr w:type="band1Vert">
      <w:tblPr/>
      <w:tcPr>
        <w:shd w:val="clear" w:color="auto" w:fill="FDAC71" w:themeFill="accent2" w:themeFillTint="7F"/>
      </w:tcPr>
    </w:tblStylePr>
    <w:tblStylePr w:type="band1Horz">
      <w:tblPr/>
      <w:tcPr>
        <w:shd w:val="clear" w:color="auto" w:fill="FDAC71" w:themeFill="accent2" w:themeFillTint="7F"/>
      </w:tcPr>
    </w:tblStylePr>
  </w:style>
  <w:style w:type="table" w:styleId="MediumGrid1-Accent3">
    <w:name w:val="Medium Grid 1 Accent 3"/>
    <w:basedOn w:val="TableNormal"/>
    <w:pPr>
      <w:spacing w:before="0" w:after="0" w:line="240" w:lineRule="auto"/>
    </w:pPr>
    <w:rPr>
      <w:rFonts w:ascii="EC Square Sans Pro" w:hAnsi="EC Square Sans Pro"/>
      <w:lang w:eastAsia="en-GB"/>
    </w:rPr>
    <w:tblPr>
      <w:tblStyleRowBandSize w:val="1"/>
      <w:tblStyleColBandSize w:val="1"/>
      <w:tblBorders>
        <w:top w:val="single" w:sz="8" w:space="0" w:color="5CA5FE" w:themeColor="accent3" w:themeTint="BF"/>
        <w:left w:val="single" w:sz="8" w:space="0" w:color="5CA5FE" w:themeColor="accent3" w:themeTint="BF"/>
        <w:bottom w:val="single" w:sz="8" w:space="0" w:color="5CA5FE" w:themeColor="accent3" w:themeTint="BF"/>
        <w:right w:val="single" w:sz="8" w:space="0" w:color="5CA5FE" w:themeColor="accent3" w:themeTint="BF"/>
        <w:insideH w:val="single" w:sz="8" w:space="0" w:color="5CA5FE" w:themeColor="accent3" w:themeTint="BF"/>
        <w:insideV w:val="single" w:sz="8" w:space="0" w:color="5CA5FE" w:themeColor="accent3" w:themeTint="BF"/>
      </w:tblBorders>
    </w:tblPr>
    <w:tcPr>
      <w:shd w:val="clear" w:color="auto" w:fill="C9E1FE" w:themeFill="accent3" w:themeFillTint="3F"/>
    </w:tcPr>
    <w:tblStylePr w:type="firstRow">
      <w:rPr>
        <w:b/>
        <w:bCs/>
      </w:rPr>
    </w:tblStylePr>
    <w:tblStylePr w:type="lastRow">
      <w:rPr>
        <w:b/>
        <w:bCs/>
      </w:rPr>
      <w:tblPr/>
      <w:tcPr>
        <w:tcBorders>
          <w:top w:val="single" w:sz="18" w:space="0" w:color="5CA5FE" w:themeColor="accent3" w:themeTint="BF"/>
        </w:tcBorders>
      </w:tcPr>
    </w:tblStylePr>
    <w:tblStylePr w:type="firstCol">
      <w:rPr>
        <w:b/>
        <w:bCs/>
      </w:rPr>
    </w:tblStylePr>
    <w:tblStylePr w:type="lastCol">
      <w:rPr>
        <w:b/>
        <w:bCs/>
      </w:rPr>
    </w:tblStylePr>
    <w:tblStylePr w:type="band1Vert">
      <w:tblPr/>
      <w:tcPr>
        <w:shd w:val="clear" w:color="auto" w:fill="92C3FE" w:themeFill="accent3" w:themeFillTint="7F"/>
      </w:tcPr>
    </w:tblStylePr>
    <w:tblStylePr w:type="band1Horz">
      <w:tblPr/>
      <w:tcPr>
        <w:shd w:val="clear" w:color="auto" w:fill="92C3FE" w:themeFill="accent3" w:themeFillTint="7F"/>
      </w:tcPr>
    </w:tblStylePr>
  </w:style>
  <w:style w:type="table" w:styleId="MediumGrid1-Accent4">
    <w:name w:val="Medium Grid 1 Accent 4"/>
    <w:basedOn w:val="TableNormal"/>
    <w:pPr>
      <w:spacing w:before="0" w:after="0" w:line="240" w:lineRule="auto"/>
    </w:pPr>
    <w:rPr>
      <w:rFonts w:ascii="EC Square Sans Pro" w:hAnsi="EC Square Sans Pro"/>
      <w:lang w:eastAsia="en-GB"/>
    </w:rPr>
    <w:tblPr>
      <w:tblStyleRowBandSize w:val="1"/>
      <w:tblStyleColBandSize w:val="1"/>
      <w:tblBorders>
        <w:top w:val="single" w:sz="8" w:space="0" w:color="FDC045" w:themeColor="accent4" w:themeTint="BF"/>
        <w:left w:val="single" w:sz="8" w:space="0" w:color="FDC045" w:themeColor="accent4" w:themeTint="BF"/>
        <w:bottom w:val="single" w:sz="8" w:space="0" w:color="FDC045" w:themeColor="accent4" w:themeTint="BF"/>
        <w:right w:val="single" w:sz="8" w:space="0" w:color="FDC045" w:themeColor="accent4" w:themeTint="BF"/>
        <w:insideH w:val="single" w:sz="8" w:space="0" w:color="FDC045" w:themeColor="accent4" w:themeTint="BF"/>
        <w:insideV w:val="single" w:sz="8" w:space="0" w:color="FDC045" w:themeColor="accent4" w:themeTint="BF"/>
      </w:tblBorders>
    </w:tblPr>
    <w:tcPr>
      <w:shd w:val="clear" w:color="auto" w:fill="FEEAC1" w:themeFill="accent4" w:themeFillTint="3F"/>
    </w:tcPr>
    <w:tblStylePr w:type="firstRow">
      <w:rPr>
        <w:b/>
        <w:bCs/>
      </w:rPr>
    </w:tblStylePr>
    <w:tblStylePr w:type="lastRow">
      <w:rPr>
        <w:b/>
        <w:bCs/>
      </w:rPr>
      <w:tblPr/>
      <w:tcPr>
        <w:tcBorders>
          <w:top w:val="single" w:sz="18" w:space="0" w:color="FDC045" w:themeColor="accent4" w:themeTint="BF"/>
        </w:tcBorders>
      </w:tcPr>
    </w:tblStylePr>
    <w:tblStylePr w:type="firstCol">
      <w:rPr>
        <w:b/>
        <w:bCs/>
      </w:rPr>
    </w:tblStylePr>
    <w:tblStylePr w:type="lastCol">
      <w:rPr>
        <w:b/>
        <w:bCs/>
      </w:rPr>
    </w:tblStylePr>
    <w:tblStylePr w:type="band1Vert">
      <w:tblPr/>
      <w:tcPr>
        <w:shd w:val="clear" w:color="auto" w:fill="FED583" w:themeFill="accent4" w:themeFillTint="7F"/>
      </w:tcPr>
    </w:tblStylePr>
    <w:tblStylePr w:type="band1Horz">
      <w:tblPr/>
      <w:tcPr>
        <w:shd w:val="clear" w:color="auto" w:fill="FED583" w:themeFill="accent4" w:themeFillTint="7F"/>
      </w:tcPr>
    </w:tblStylePr>
  </w:style>
  <w:style w:type="table" w:styleId="MediumGrid1-Accent5">
    <w:name w:val="Medium Grid 1 Accent 5"/>
    <w:basedOn w:val="TableNormal"/>
    <w:pPr>
      <w:spacing w:before="0" w:after="0" w:line="240" w:lineRule="auto"/>
    </w:pPr>
    <w:rPr>
      <w:rFonts w:ascii="EC Square Sans Pro" w:hAnsi="EC Square Sans Pro"/>
      <w:lang w:eastAsia="en-GB"/>
    </w:rPr>
    <w:tblPr>
      <w:tblStyleRowBandSize w:val="1"/>
      <w:tblStyleColBandSize w:val="1"/>
      <w:tblBorders>
        <w:top w:val="single" w:sz="8" w:space="0" w:color="EC4882" w:themeColor="accent5" w:themeTint="BF"/>
        <w:left w:val="single" w:sz="8" w:space="0" w:color="EC4882" w:themeColor="accent5" w:themeTint="BF"/>
        <w:bottom w:val="single" w:sz="8" w:space="0" w:color="EC4882" w:themeColor="accent5" w:themeTint="BF"/>
        <w:right w:val="single" w:sz="8" w:space="0" w:color="EC4882" w:themeColor="accent5" w:themeTint="BF"/>
        <w:insideH w:val="single" w:sz="8" w:space="0" w:color="EC4882" w:themeColor="accent5" w:themeTint="BF"/>
        <w:insideV w:val="single" w:sz="8" w:space="0" w:color="EC4882" w:themeColor="accent5" w:themeTint="BF"/>
      </w:tblBorders>
    </w:tblPr>
    <w:tcPr>
      <w:shd w:val="clear" w:color="auto" w:fill="F9C2D6" w:themeFill="accent5" w:themeFillTint="3F"/>
    </w:tcPr>
    <w:tblStylePr w:type="firstRow">
      <w:rPr>
        <w:b/>
        <w:bCs/>
      </w:rPr>
    </w:tblStylePr>
    <w:tblStylePr w:type="lastRow">
      <w:rPr>
        <w:b/>
        <w:bCs/>
      </w:rPr>
      <w:tblPr/>
      <w:tcPr>
        <w:tcBorders>
          <w:top w:val="single" w:sz="18" w:space="0" w:color="EC4882" w:themeColor="accent5" w:themeTint="BF"/>
        </w:tcBorders>
      </w:tcPr>
    </w:tblStylePr>
    <w:tblStylePr w:type="firstCol">
      <w:rPr>
        <w:b/>
        <w:bCs/>
      </w:rPr>
    </w:tblStylePr>
    <w:tblStylePr w:type="lastCol">
      <w:rPr>
        <w:b/>
        <w:bCs/>
      </w:rPr>
    </w:tblStylePr>
    <w:tblStylePr w:type="band1Vert">
      <w:tblPr/>
      <w:tcPr>
        <w:shd w:val="clear" w:color="auto" w:fill="F285AC" w:themeFill="accent5" w:themeFillTint="7F"/>
      </w:tcPr>
    </w:tblStylePr>
    <w:tblStylePr w:type="band1Horz">
      <w:tblPr/>
      <w:tcPr>
        <w:shd w:val="clear" w:color="auto" w:fill="F285AC" w:themeFill="accent5" w:themeFillTint="7F"/>
      </w:tcPr>
    </w:tblStylePr>
  </w:style>
  <w:style w:type="table" w:styleId="MediumGrid1-Accent6">
    <w:name w:val="Medium Grid 1 Accent 6"/>
    <w:basedOn w:val="TableNormal"/>
    <w:pPr>
      <w:spacing w:before="0" w:after="0" w:line="240" w:lineRule="auto"/>
    </w:pPr>
    <w:rPr>
      <w:rFonts w:ascii="EC Square Sans Pro" w:hAnsi="EC Square Sans Pro"/>
      <w:lang w:eastAsia="en-GB"/>
    </w:rPr>
    <w:tblPr>
      <w:tblStyleRowBandSize w:val="1"/>
      <w:tblStyleColBandSize w:val="1"/>
      <w:tblBorders>
        <w:top w:val="single" w:sz="8" w:space="0" w:color="9650CA" w:themeColor="accent6" w:themeTint="BF"/>
        <w:left w:val="single" w:sz="8" w:space="0" w:color="9650CA" w:themeColor="accent6" w:themeTint="BF"/>
        <w:bottom w:val="single" w:sz="8" w:space="0" w:color="9650CA" w:themeColor="accent6" w:themeTint="BF"/>
        <w:right w:val="single" w:sz="8" w:space="0" w:color="9650CA" w:themeColor="accent6" w:themeTint="BF"/>
        <w:insideH w:val="single" w:sz="8" w:space="0" w:color="9650CA" w:themeColor="accent6" w:themeTint="BF"/>
        <w:insideV w:val="single" w:sz="8" w:space="0" w:color="9650CA" w:themeColor="accent6" w:themeTint="BF"/>
      </w:tblBorders>
    </w:tblPr>
    <w:tcPr>
      <w:shd w:val="clear" w:color="auto" w:fill="DCC5ED" w:themeFill="accent6" w:themeFillTint="3F"/>
    </w:tcPr>
    <w:tblStylePr w:type="firstRow">
      <w:rPr>
        <w:b/>
        <w:bCs/>
      </w:rPr>
    </w:tblStylePr>
    <w:tblStylePr w:type="lastRow">
      <w:rPr>
        <w:b/>
        <w:bCs/>
      </w:rPr>
      <w:tblPr/>
      <w:tcPr>
        <w:tcBorders>
          <w:top w:val="single" w:sz="18" w:space="0" w:color="9650CA" w:themeColor="accent6" w:themeTint="BF"/>
        </w:tcBorders>
      </w:tcPr>
    </w:tblStylePr>
    <w:tblStylePr w:type="firstCol">
      <w:rPr>
        <w:b/>
        <w:bCs/>
      </w:rPr>
    </w:tblStylePr>
    <w:tblStylePr w:type="lastCol">
      <w:rPr>
        <w:b/>
        <w:bCs/>
      </w:rPr>
    </w:tblStylePr>
    <w:tblStylePr w:type="band1Vert">
      <w:tblPr/>
      <w:tcPr>
        <w:shd w:val="clear" w:color="auto" w:fill="B98BDC" w:themeFill="accent6" w:themeFillTint="7F"/>
      </w:tcPr>
    </w:tblStylePr>
    <w:tblStylePr w:type="band1Horz">
      <w:tblPr/>
      <w:tcPr>
        <w:shd w:val="clear" w:color="auto" w:fill="B98BDC" w:themeFill="accent6" w:themeFillTint="7F"/>
      </w:tcPr>
    </w:tblStylePr>
  </w:style>
  <w:style w:type="table" w:styleId="MediumGrid2">
    <w:name w:val="Medium Grid 2"/>
    <w:basedOn w:val="TableNormal"/>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008139" w:themeColor="accent1"/>
        <w:left w:val="single" w:sz="8" w:space="0" w:color="008139" w:themeColor="accent1"/>
        <w:bottom w:val="single" w:sz="8" w:space="0" w:color="008139" w:themeColor="accent1"/>
        <w:right w:val="single" w:sz="8" w:space="0" w:color="008139" w:themeColor="accent1"/>
        <w:insideH w:val="single" w:sz="8" w:space="0" w:color="008139" w:themeColor="accent1"/>
        <w:insideV w:val="single" w:sz="8" w:space="0" w:color="008139" w:themeColor="accent1"/>
      </w:tblBorders>
    </w:tblPr>
    <w:tcPr>
      <w:shd w:val="clear" w:color="auto" w:fill="A0FFCA" w:themeFill="accent1" w:themeFillTint="3F"/>
    </w:tcPr>
    <w:tblStylePr w:type="firstRow">
      <w:rPr>
        <w:b/>
        <w:bCs/>
        <w:color w:val="000000" w:themeColor="text1"/>
      </w:rPr>
      <w:tblPr/>
      <w:tcPr>
        <w:shd w:val="clear" w:color="auto" w:fill="D9FFE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2FFD4" w:themeFill="accent1" w:themeFillTint="33"/>
      </w:tcPr>
    </w:tblStylePr>
    <w:tblStylePr w:type="band1Vert">
      <w:tblPr/>
      <w:tcPr>
        <w:shd w:val="clear" w:color="auto" w:fill="41FF94" w:themeFill="accent1" w:themeFillTint="7F"/>
      </w:tcPr>
    </w:tblStylePr>
    <w:tblStylePr w:type="band1Horz">
      <w:tblPr/>
      <w:tcPr>
        <w:tcBorders>
          <w:insideH w:val="single" w:sz="6" w:space="0" w:color="008139" w:themeColor="accent1"/>
          <w:insideV w:val="single" w:sz="6" w:space="0" w:color="008139" w:themeColor="accent1"/>
        </w:tcBorders>
        <w:shd w:val="clear" w:color="auto" w:fill="41FF94"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DE6002" w:themeColor="accent2"/>
        <w:left w:val="single" w:sz="8" w:space="0" w:color="DE6002" w:themeColor="accent2"/>
        <w:bottom w:val="single" w:sz="8" w:space="0" w:color="DE6002" w:themeColor="accent2"/>
        <w:right w:val="single" w:sz="8" w:space="0" w:color="DE6002" w:themeColor="accent2"/>
        <w:insideH w:val="single" w:sz="8" w:space="0" w:color="DE6002" w:themeColor="accent2"/>
        <w:insideV w:val="single" w:sz="8" w:space="0" w:color="DE6002" w:themeColor="accent2"/>
      </w:tblBorders>
    </w:tblPr>
    <w:tcPr>
      <w:shd w:val="clear" w:color="auto" w:fill="FED6B8" w:themeFill="accent2" w:themeFillTint="3F"/>
    </w:tcPr>
    <w:tblStylePr w:type="firstRow">
      <w:rPr>
        <w:b/>
        <w:bCs/>
        <w:color w:val="000000" w:themeColor="text1"/>
      </w:rPr>
      <w:tblPr/>
      <w:tcPr>
        <w:shd w:val="clear" w:color="auto" w:fill="FEEEE2"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EDEC6" w:themeFill="accent2" w:themeFillTint="33"/>
      </w:tcPr>
    </w:tblStylePr>
    <w:tblStylePr w:type="band1Vert">
      <w:tblPr/>
      <w:tcPr>
        <w:shd w:val="clear" w:color="auto" w:fill="FDAC71" w:themeFill="accent2" w:themeFillTint="7F"/>
      </w:tcPr>
    </w:tblStylePr>
    <w:tblStylePr w:type="band1Horz">
      <w:tblPr/>
      <w:tcPr>
        <w:tcBorders>
          <w:insideH w:val="single" w:sz="6" w:space="0" w:color="DE6002" w:themeColor="accent2"/>
          <w:insideV w:val="single" w:sz="6" w:space="0" w:color="DE6002" w:themeColor="accent2"/>
        </w:tcBorders>
        <w:shd w:val="clear" w:color="auto" w:fill="FDAC71"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2688FE" w:themeColor="accent3"/>
        <w:left w:val="single" w:sz="8" w:space="0" w:color="2688FE" w:themeColor="accent3"/>
        <w:bottom w:val="single" w:sz="8" w:space="0" w:color="2688FE" w:themeColor="accent3"/>
        <w:right w:val="single" w:sz="8" w:space="0" w:color="2688FE" w:themeColor="accent3"/>
        <w:insideH w:val="single" w:sz="8" w:space="0" w:color="2688FE" w:themeColor="accent3"/>
        <w:insideV w:val="single" w:sz="8" w:space="0" w:color="2688FE" w:themeColor="accent3"/>
      </w:tblBorders>
    </w:tblPr>
    <w:tcPr>
      <w:shd w:val="clear" w:color="auto" w:fill="C9E1FE" w:themeFill="accent3" w:themeFillTint="3F"/>
    </w:tcPr>
    <w:tblStylePr w:type="firstRow">
      <w:rPr>
        <w:b/>
        <w:bCs/>
        <w:color w:val="000000" w:themeColor="text1"/>
      </w:rPr>
      <w:tblPr/>
      <w:tcPr>
        <w:shd w:val="clear" w:color="auto" w:fill="E9F3F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7FE" w:themeFill="accent3" w:themeFillTint="33"/>
      </w:tcPr>
    </w:tblStylePr>
    <w:tblStylePr w:type="band1Vert">
      <w:tblPr/>
      <w:tcPr>
        <w:shd w:val="clear" w:color="auto" w:fill="92C3FE" w:themeFill="accent3" w:themeFillTint="7F"/>
      </w:tcPr>
    </w:tblStylePr>
    <w:tblStylePr w:type="band1Horz">
      <w:tblPr/>
      <w:tcPr>
        <w:tcBorders>
          <w:insideH w:val="single" w:sz="6" w:space="0" w:color="2688FE" w:themeColor="accent3"/>
          <w:insideV w:val="single" w:sz="6" w:space="0" w:color="2688FE" w:themeColor="accent3"/>
        </w:tcBorders>
        <w:shd w:val="clear" w:color="auto" w:fill="92C3FE"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FDAB07" w:themeColor="accent4"/>
        <w:left w:val="single" w:sz="8" w:space="0" w:color="FDAB07" w:themeColor="accent4"/>
        <w:bottom w:val="single" w:sz="8" w:space="0" w:color="FDAB07" w:themeColor="accent4"/>
        <w:right w:val="single" w:sz="8" w:space="0" w:color="FDAB07" w:themeColor="accent4"/>
        <w:insideH w:val="single" w:sz="8" w:space="0" w:color="FDAB07" w:themeColor="accent4"/>
        <w:insideV w:val="single" w:sz="8" w:space="0" w:color="FDAB07" w:themeColor="accent4"/>
      </w:tblBorders>
    </w:tblPr>
    <w:tcPr>
      <w:shd w:val="clear" w:color="auto" w:fill="FEEAC1" w:themeFill="accent4" w:themeFillTint="3F"/>
    </w:tcPr>
    <w:tblStylePr w:type="firstRow">
      <w:rPr>
        <w:b/>
        <w:bCs/>
        <w:color w:val="000000" w:themeColor="text1"/>
      </w:rPr>
      <w:tblPr/>
      <w:tcPr>
        <w:shd w:val="clear" w:color="auto" w:fill="FEF6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EEECD" w:themeFill="accent4" w:themeFillTint="33"/>
      </w:tcPr>
    </w:tblStylePr>
    <w:tblStylePr w:type="band1Vert">
      <w:tblPr/>
      <w:tcPr>
        <w:shd w:val="clear" w:color="auto" w:fill="FED583" w:themeFill="accent4" w:themeFillTint="7F"/>
      </w:tcPr>
    </w:tblStylePr>
    <w:tblStylePr w:type="band1Horz">
      <w:tblPr/>
      <w:tcPr>
        <w:tcBorders>
          <w:insideH w:val="single" w:sz="6" w:space="0" w:color="FDAB07" w:themeColor="accent4"/>
          <w:insideV w:val="single" w:sz="6" w:space="0" w:color="FDAB07" w:themeColor="accent4"/>
        </w:tcBorders>
        <w:shd w:val="clear" w:color="auto" w:fill="FED583"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DC165D" w:themeColor="accent5"/>
        <w:left w:val="single" w:sz="8" w:space="0" w:color="DC165D" w:themeColor="accent5"/>
        <w:bottom w:val="single" w:sz="8" w:space="0" w:color="DC165D" w:themeColor="accent5"/>
        <w:right w:val="single" w:sz="8" w:space="0" w:color="DC165D" w:themeColor="accent5"/>
        <w:insideH w:val="single" w:sz="8" w:space="0" w:color="DC165D" w:themeColor="accent5"/>
        <w:insideV w:val="single" w:sz="8" w:space="0" w:color="DC165D" w:themeColor="accent5"/>
      </w:tblBorders>
    </w:tblPr>
    <w:tcPr>
      <w:shd w:val="clear" w:color="auto" w:fill="F9C2D6" w:themeFill="accent5" w:themeFillTint="3F"/>
    </w:tcPr>
    <w:tblStylePr w:type="firstRow">
      <w:rPr>
        <w:b/>
        <w:bCs/>
        <w:color w:val="000000" w:themeColor="text1"/>
      </w:rPr>
      <w:tblPr/>
      <w:tcPr>
        <w:shd w:val="clear" w:color="auto" w:fill="FCE7EE"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CEDD" w:themeFill="accent5" w:themeFillTint="33"/>
      </w:tcPr>
    </w:tblStylePr>
    <w:tblStylePr w:type="band1Vert">
      <w:tblPr/>
      <w:tcPr>
        <w:shd w:val="clear" w:color="auto" w:fill="F285AC" w:themeFill="accent5" w:themeFillTint="7F"/>
      </w:tcPr>
    </w:tblStylePr>
    <w:tblStylePr w:type="band1Horz">
      <w:tblPr/>
      <w:tcPr>
        <w:tcBorders>
          <w:insideH w:val="single" w:sz="6" w:space="0" w:color="DC165D" w:themeColor="accent5"/>
          <w:insideV w:val="single" w:sz="6" w:space="0" w:color="DC165D" w:themeColor="accent5"/>
        </w:tcBorders>
        <w:shd w:val="clear" w:color="auto" w:fill="F285AC"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7030A0" w:themeColor="accent6"/>
        <w:left w:val="single" w:sz="8" w:space="0" w:color="7030A0" w:themeColor="accent6"/>
        <w:bottom w:val="single" w:sz="8" w:space="0" w:color="7030A0" w:themeColor="accent6"/>
        <w:right w:val="single" w:sz="8" w:space="0" w:color="7030A0" w:themeColor="accent6"/>
        <w:insideH w:val="single" w:sz="8" w:space="0" w:color="7030A0" w:themeColor="accent6"/>
        <w:insideV w:val="single" w:sz="8" w:space="0" w:color="7030A0" w:themeColor="accent6"/>
      </w:tblBorders>
    </w:tblPr>
    <w:tcPr>
      <w:shd w:val="clear" w:color="auto" w:fill="DCC5ED" w:themeFill="accent6" w:themeFillTint="3F"/>
    </w:tcPr>
    <w:tblStylePr w:type="firstRow">
      <w:rPr>
        <w:b/>
        <w:bCs/>
        <w:color w:val="000000" w:themeColor="text1"/>
      </w:rPr>
      <w:tblPr/>
      <w:tcPr>
        <w:shd w:val="clear" w:color="auto" w:fill="F1E8F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D0F1" w:themeFill="accent6" w:themeFillTint="33"/>
      </w:tcPr>
    </w:tblStylePr>
    <w:tblStylePr w:type="band1Vert">
      <w:tblPr/>
      <w:tcPr>
        <w:shd w:val="clear" w:color="auto" w:fill="B98BDC" w:themeFill="accent6" w:themeFillTint="7F"/>
      </w:tcPr>
    </w:tblStylePr>
    <w:tblStylePr w:type="band1Horz">
      <w:tblPr/>
      <w:tcPr>
        <w:tcBorders>
          <w:insideH w:val="single" w:sz="6" w:space="0" w:color="7030A0" w:themeColor="accent6"/>
          <w:insideV w:val="single" w:sz="6" w:space="0" w:color="7030A0" w:themeColor="accent6"/>
        </w:tcBorders>
        <w:shd w:val="clear" w:color="auto" w:fill="B98BDC" w:themeFill="accent6" w:themeFillTint="7F"/>
      </w:tcPr>
    </w:tblStylePr>
    <w:tblStylePr w:type="nwCell">
      <w:tblPr/>
      <w:tcPr>
        <w:shd w:val="clear" w:color="auto" w:fill="FFFFFF" w:themeFill="background1"/>
      </w:tcPr>
    </w:tblStylePr>
  </w:style>
  <w:style w:type="table" w:styleId="MediumGrid3">
    <w:name w:val="Medium Grid 3"/>
    <w:basedOn w:val="TableNormal"/>
    <w:pPr>
      <w:spacing w:before="0" w:after="0" w:line="240" w:lineRule="auto"/>
    </w:pPr>
    <w:rPr>
      <w:rFonts w:ascii="EC Square Sans Pro" w:hAnsi="EC Square Sans Pro"/>
      <w:lang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pPr>
      <w:spacing w:before="0" w:after="0" w:line="240" w:lineRule="auto"/>
    </w:pPr>
    <w:rPr>
      <w:rFonts w:ascii="EC Square Sans Pro" w:hAnsi="EC Square Sans Pro"/>
      <w:lang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0FFCA"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8139"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8139"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8139"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8139"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1FF94"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1FF94" w:themeFill="accent1" w:themeFillTint="7F"/>
      </w:tcPr>
    </w:tblStylePr>
  </w:style>
  <w:style w:type="table" w:styleId="MediumGrid3-Accent2">
    <w:name w:val="Medium Grid 3 Accent 2"/>
    <w:basedOn w:val="TableNormal"/>
    <w:pPr>
      <w:spacing w:before="0" w:after="0" w:line="240" w:lineRule="auto"/>
    </w:pPr>
    <w:rPr>
      <w:rFonts w:ascii="EC Square Sans Pro" w:hAnsi="EC Square Sans Pro"/>
      <w:lang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ED6B8"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E600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E600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E600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E600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DAC71"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DAC71" w:themeFill="accent2" w:themeFillTint="7F"/>
      </w:tcPr>
    </w:tblStylePr>
  </w:style>
  <w:style w:type="table" w:styleId="MediumGrid3-Accent3">
    <w:name w:val="Medium Grid 3 Accent 3"/>
    <w:basedOn w:val="TableNormal"/>
    <w:pPr>
      <w:spacing w:before="0" w:after="0" w:line="240" w:lineRule="auto"/>
    </w:pPr>
    <w:rPr>
      <w:rFonts w:ascii="EC Square Sans Pro" w:hAnsi="EC Square Sans Pro"/>
      <w:lang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E1FE"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688FE"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688FE"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688FE"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688FE"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C3FE"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C3FE" w:themeFill="accent3" w:themeFillTint="7F"/>
      </w:tcPr>
    </w:tblStylePr>
  </w:style>
  <w:style w:type="table" w:styleId="MediumGrid3-Accent4">
    <w:name w:val="Medium Grid 3 Accent 4"/>
    <w:basedOn w:val="TableNormal"/>
    <w:pPr>
      <w:spacing w:before="0" w:after="0" w:line="240" w:lineRule="auto"/>
    </w:pPr>
    <w:rPr>
      <w:rFonts w:ascii="EC Square Sans Pro" w:hAnsi="EC Square Sans Pro"/>
      <w:lang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EEAC1"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DAB0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DAB0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DAB0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DAB0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ED583"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ED583" w:themeFill="accent4" w:themeFillTint="7F"/>
      </w:tcPr>
    </w:tblStylePr>
  </w:style>
  <w:style w:type="table" w:styleId="MediumGrid3-Accent5">
    <w:name w:val="Medium Grid 3 Accent 5"/>
    <w:basedOn w:val="TableNormal"/>
    <w:pPr>
      <w:spacing w:before="0" w:after="0" w:line="240" w:lineRule="auto"/>
    </w:pPr>
    <w:rPr>
      <w:rFonts w:ascii="EC Square Sans Pro" w:hAnsi="EC Square Sans Pro"/>
      <w:lang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C2D6"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C165D"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C165D"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C165D"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C165D"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285AC"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285AC" w:themeFill="accent5" w:themeFillTint="7F"/>
      </w:tcPr>
    </w:tblStylePr>
  </w:style>
  <w:style w:type="table" w:styleId="MediumGrid3-Accent6">
    <w:name w:val="Medium Grid 3 Accent 6"/>
    <w:basedOn w:val="TableNormal"/>
    <w:pPr>
      <w:spacing w:before="0" w:after="0" w:line="240" w:lineRule="auto"/>
    </w:pPr>
    <w:rPr>
      <w:rFonts w:ascii="EC Square Sans Pro" w:hAnsi="EC Square Sans Pro"/>
      <w:lang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CC5ED"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30A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30A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30A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30A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98BDC"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98BDC" w:themeFill="accent6" w:themeFillTint="7F"/>
      </w:tcPr>
    </w:tblStylePr>
  </w:style>
  <w:style w:type="table" w:styleId="MediumList1">
    <w:name w:val="Medium List 1"/>
    <w:basedOn w:val="TableNormal"/>
    <w:pPr>
      <w:spacing w:before="0" w:after="0" w:line="240" w:lineRule="auto"/>
    </w:pPr>
    <w:rPr>
      <w:rFonts w:ascii="EC Square Sans Pro" w:hAnsi="EC Square Sans Pro"/>
      <w:color w:val="000000" w:themeColor="text1"/>
      <w:lang w:eastAsia="en-GB"/>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3399"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pPr>
      <w:spacing w:before="0" w:after="0" w:line="240" w:lineRule="auto"/>
    </w:pPr>
    <w:rPr>
      <w:rFonts w:ascii="EC Square Sans Pro" w:hAnsi="EC Square Sans Pro"/>
      <w:color w:val="000000" w:themeColor="text1"/>
      <w:lang w:eastAsia="en-GB"/>
    </w:rPr>
    <w:tblPr>
      <w:tblStyleRowBandSize w:val="1"/>
      <w:tblStyleColBandSize w:val="1"/>
      <w:tblBorders>
        <w:top w:val="single" w:sz="8" w:space="0" w:color="008139" w:themeColor="accent1"/>
        <w:bottom w:val="single" w:sz="8" w:space="0" w:color="008139" w:themeColor="accent1"/>
      </w:tblBorders>
    </w:tblPr>
    <w:tblStylePr w:type="firstRow">
      <w:rPr>
        <w:rFonts w:asciiTheme="majorHAnsi" w:eastAsiaTheme="majorEastAsia" w:hAnsiTheme="majorHAnsi" w:cstheme="majorBidi"/>
      </w:rPr>
      <w:tblPr/>
      <w:tcPr>
        <w:tcBorders>
          <w:top w:val="nil"/>
          <w:bottom w:val="single" w:sz="8" w:space="0" w:color="008139" w:themeColor="accent1"/>
        </w:tcBorders>
      </w:tcPr>
    </w:tblStylePr>
    <w:tblStylePr w:type="lastRow">
      <w:rPr>
        <w:b/>
        <w:bCs/>
        <w:color w:val="003399" w:themeColor="text2"/>
      </w:rPr>
      <w:tblPr/>
      <w:tcPr>
        <w:tcBorders>
          <w:top w:val="single" w:sz="8" w:space="0" w:color="008139" w:themeColor="accent1"/>
          <w:bottom w:val="single" w:sz="8" w:space="0" w:color="008139" w:themeColor="accent1"/>
        </w:tcBorders>
      </w:tcPr>
    </w:tblStylePr>
    <w:tblStylePr w:type="firstCol">
      <w:rPr>
        <w:b/>
        <w:bCs/>
      </w:rPr>
    </w:tblStylePr>
    <w:tblStylePr w:type="lastCol">
      <w:rPr>
        <w:b/>
        <w:bCs/>
      </w:rPr>
      <w:tblPr/>
      <w:tcPr>
        <w:tcBorders>
          <w:top w:val="single" w:sz="8" w:space="0" w:color="008139" w:themeColor="accent1"/>
          <w:bottom w:val="single" w:sz="8" w:space="0" w:color="008139" w:themeColor="accent1"/>
        </w:tcBorders>
      </w:tcPr>
    </w:tblStylePr>
    <w:tblStylePr w:type="band1Vert">
      <w:tblPr/>
      <w:tcPr>
        <w:shd w:val="clear" w:color="auto" w:fill="A0FFCA" w:themeFill="accent1" w:themeFillTint="3F"/>
      </w:tcPr>
    </w:tblStylePr>
    <w:tblStylePr w:type="band1Horz">
      <w:tblPr/>
      <w:tcPr>
        <w:shd w:val="clear" w:color="auto" w:fill="A0FFCA" w:themeFill="accent1" w:themeFillTint="3F"/>
      </w:tcPr>
    </w:tblStylePr>
  </w:style>
  <w:style w:type="table" w:styleId="MediumList1-Accent2">
    <w:name w:val="Medium List 1 Accent 2"/>
    <w:basedOn w:val="TableNormal"/>
    <w:pPr>
      <w:spacing w:before="0" w:after="0" w:line="240" w:lineRule="auto"/>
    </w:pPr>
    <w:rPr>
      <w:rFonts w:ascii="EC Square Sans Pro" w:hAnsi="EC Square Sans Pro"/>
      <w:color w:val="000000" w:themeColor="text1"/>
      <w:lang w:eastAsia="en-GB"/>
    </w:rPr>
    <w:tblPr>
      <w:tblStyleRowBandSize w:val="1"/>
      <w:tblStyleColBandSize w:val="1"/>
      <w:tblBorders>
        <w:top w:val="single" w:sz="8" w:space="0" w:color="DE6002" w:themeColor="accent2"/>
        <w:bottom w:val="single" w:sz="8" w:space="0" w:color="DE6002" w:themeColor="accent2"/>
      </w:tblBorders>
    </w:tblPr>
    <w:tblStylePr w:type="firstRow">
      <w:rPr>
        <w:rFonts w:asciiTheme="majorHAnsi" w:eastAsiaTheme="majorEastAsia" w:hAnsiTheme="majorHAnsi" w:cstheme="majorBidi"/>
      </w:rPr>
      <w:tblPr/>
      <w:tcPr>
        <w:tcBorders>
          <w:top w:val="nil"/>
          <w:bottom w:val="single" w:sz="8" w:space="0" w:color="DE6002" w:themeColor="accent2"/>
        </w:tcBorders>
      </w:tcPr>
    </w:tblStylePr>
    <w:tblStylePr w:type="lastRow">
      <w:rPr>
        <w:b/>
        <w:bCs/>
        <w:color w:val="003399" w:themeColor="text2"/>
      </w:rPr>
      <w:tblPr/>
      <w:tcPr>
        <w:tcBorders>
          <w:top w:val="single" w:sz="8" w:space="0" w:color="DE6002" w:themeColor="accent2"/>
          <w:bottom w:val="single" w:sz="8" w:space="0" w:color="DE6002" w:themeColor="accent2"/>
        </w:tcBorders>
      </w:tcPr>
    </w:tblStylePr>
    <w:tblStylePr w:type="firstCol">
      <w:rPr>
        <w:b/>
        <w:bCs/>
      </w:rPr>
    </w:tblStylePr>
    <w:tblStylePr w:type="lastCol">
      <w:rPr>
        <w:b/>
        <w:bCs/>
      </w:rPr>
      <w:tblPr/>
      <w:tcPr>
        <w:tcBorders>
          <w:top w:val="single" w:sz="8" w:space="0" w:color="DE6002" w:themeColor="accent2"/>
          <w:bottom w:val="single" w:sz="8" w:space="0" w:color="DE6002" w:themeColor="accent2"/>
        </w:tcBorders>
      </w:tcPr>
    </w:tblStylePr>
    <w:tblStylePr w:type="band1Vert">
      <w:tblPr/>
      <w:tcPr>
        <w:shd w:val="clear" w:color="auto" w:fill="FED6B8" w:themeFill="accent2" w:themeFillTint="3F"/>
      </w:tcPr>
    </w:tblStylePr>
    <w:tblStylePr w:type="band1Horz">
      <w:tblPr/>
      <w:tcPr>
        <w:shd w:val="clear" w:color="auto" w:fill="FED6B8" w:themeFill="accent2" w:themeFillTint="3F"/>
      </w:tcPr>
    </w:tblStylePr>
  </w:style>
  <w:style w:type="table" w:styleId="MediumList1-Accent3">
    <w:name w:val="Medium List 1 Accent 3"/>
    <w:basedOn w:val="TableNormal"/>
    <w:pPr>
      <w:spacing w:before="0" w:after="0" w:line="240" w:lineRule="auto"/>
    </w:pPr>
    <w:rPr>
      <w:rFonts w:ascii="EC Square Sans Pro" w:hAnsi="EC Square Sans Pro"/>
      <w:color w:val="000000" w:themeColor="text1"/>
      <w:lang w:eastAsia="en-GB"/>
    </w:rPr>
    <w:tblPr>
      <w:tblStyleRowBandSize w:val="1"/>
      <w:tblStyleColBandSize w:val="1"/>
      <w:tblBorders>
        <w:top w:val="single" w:sz="8" w:space="0" w:color="2688FE" w:themeColor="accent3"/>
        <w:bottom w:val="single" w:sz="8" w:space="0" w:color="2688FE" w:themeColor="accent3"/>
      </w:tblBorders>
    </w:tblPr>
    <w:tblStylePr w:type="firstRow">
      <w:rPr>
        <w:rFonts w:asciiTheme="majorHAnsi" w:eastAsiaTheme="majorEastAsia" w:hAnsiTheme="majorHAnsi" w:cstheme="majorBidi"/>
      </w:rPr>
      <w:tblPr/>
      <w:tcPr>
        <w:tcBorders>
          <w:top w:val="nil"/>
          <w:bottom w:val="single" w:sz="8" w:space="0" w:color="2688FE" w:themeColor="accent3"/>
        </w:tcBorders>
      </w:tcPr>
    </w:tblStylePr>
    <w:tblStylePr w:type="lastRow">
      <w:rPr>
        <w:b/>
        <w:bCs/>
        <w:color w:val="003399" w:themeColor="text2"/>
      </w:rPr>
      <w:tblPr/>
      <w:tcPr>
        <w:tcBorders>
          <w:top w:val="single" w:sz="8" w:space="0" w:color="2688FE" w:themeColor="accent3"/>
          <w:bottom w:val="single" w:sz="8" w:space="0" w:color="2688FE" w:themeColor="accent3"/>
        </w:tcBorders>
      </w:tcPr>
    </w:tblStylePr>
    <w:tblStylePr w:type="firstCol">
      <w:rPr>
        <w:b/>
        <w:bCs/>
      </w:rPr>
    </w:tblStylePr>
    <w:tblStylePr w:type="lastCol">
      <w:rPr>
        <w:b/>
        <w:bCs/>
      </w:rPr>
      <w:tblPr/>
      <w:tcPr>
        <w:tcBorders>
          <w:top w:val="single" w:sz="8" w:space="0" w:color="2688FE" w:themeColor="accent3"/>
          <w:bottom w:val="single" w:sz="8" w:space="0" w:color="2688FE" w:themeColor="accent3"/>
        </w:tcBorders>
      </w:tcPr>
    </w:tblStylePr>
    <w:tblStylePr w:type="band1Vert">
      <w:tblPr/>
      <w:tcPr>
        <w:shd w:val="clear" w:color="auto" w:fill="C9E1FE" w:themeFill="accent3" w:themeFillTint="3F"/>
      </w:tcPr>
    </w:tblStylePr>
    <w:tblStylePr w:type="band1Horz">
      <w:tblPr/>
      <w:tcPr>
        <w:shd w:val="clear" w:color="auto" w:fill="C9E1FE" w:themeFill="accent3" w:themeFillTint="3F"/>
      </w:tcPr>
    </w:tblStylePr>
  </w:style>
  <w:style w:type="table" w:styleId="MediumList1-Accent4">
    <w:name w:val="Medium List 1 Accent 4"/>
    <w:basedOn w:val="TableNormal"/>
    <w:pPr>
      <w:spacing w:before="0" w:after="0" w:line="240" w:lineRule="auto"/>
    </w:pPr>
    <w:rPr>
      <w:rFonts w:ascii="EC Square Sans Pro" w:hAnsi="EC Square Sans Pro"/>
      <w:color w:val="000000" w:themeColor="text1"/>
      <w:lang w:eastAsia="en-GB"/>
    </w:rPr>
    <w:tblPr>
      <w:tblStyleRowBandSize w:val="1"/>
      <w:tblStyleColBandSize w:val="1"/>
      <w:tblBorders>
        <w:top w:val="single" w:sz="8" w:space="0" w:color="FDAB07" w:themeColor="accent4"/>
        <w:bottom w:val="single" w:sz="8" w:space="0" w:color="FDAB07" w:themeColor="accent4"/>
      </w:tblBorders>
    </w:tblPr>
    <w:tblStylePr w:type="firstRow">
      <w:rPr>
        <w:rFonts w:asciiTheme="majorHAnsi" w:eastAsiaTheme="majorEastAsia" w:hAnsiTheme="majorHAnsi" w:cstheme="majorBidi"/>
      </w:rPr>
      <w:tblPr/>
      <w:tcPr>
        <w:tcBorders>
          <w:top w:val="nil"/>
          <w:bottom w:val="single" w:sz="8" w:space="0" w:color="FDAB07" w:themeColor="accent4"/>
        </w:tcBorders>
      </w:tcPr>
    </w:tblStylePr>
    <w:tblStylePr w:type="lastRow">
      <w:rPr>
        <w:b/>
        <w:bCs/>
        <w:color w:val="003399" w:themeColor="text2"/>
      </w:rPr>
      <w:tblPr/>
      <w:tcPr>
        <w:tcBorders>
          <w:top w:val="single" w:sz="8" w:space="0" w:color="FDAB07" w:themeColor="accent4"/>
          <w:bottom w:val="single" w:sz="8" w:space="0" w:color="FDAB07" w:themeColor="accent4"/>
        </w:tcBorders>
      </w:tcPr>
    </w:tblStylePr>
    <w:tblStylePr w:type="firstCol">
      <w:rPr>
        <w:b/>
        <w:bCs/>
      </w:rPr>
    </w:tblStylePr>
    <w:tblStylePr w:type="lastCol">
      <w:rPr>
        <w:b/>
        <w:bCs/>
      </w:rPr>
      <w:tblPr/>
      <w:tcPr>
        <w:tcBorders>
          <w:top w:val="single" w:sz="8" w:space="0" w:color="FDAB07" w:themeColor="accent4"/>
          <w:bottom w:val="single" w:sz="8" w:space="0" w:color="FDAB07" w:themeColor="accent4"/>
        </w:tcBorders>
      </w:tcPr>
    </w:tblStylePr>
    <w:tblStylePr w:type="band1Vert">
      <w:tblPr/>
      <w:tcPr>
        <w:shd w:val="clear" w:color="auto" w:fill="FEEAC1" w:themeFill="accent4" w:themeFillTint="3F"/>
      </w:tcPr>
    </w:tblStylePr>
    <w:tblStylePr w:type="band1Horz">
      <w:tblPr/>
      <w:tcPr>
        <w:shd w:val="clear" w:color="auto" w:fill="FEEAC1" w:themeFill="accent4" w:themeFillTint="3F"/>
      </w:tcPr>
    </w:tblStylePr>
  </w:style>
  <w:style w:type="table" w:styleId="MediumList1-Accent5">
    <w:name w:val="Medium List 1 Accent 5"/>
    <w:basedOn w:val="TableNormal"/>
    <w:pPr>
      <w:spacing w:before="0" w:after="0" w:line="240" w:lineRule="auto"/>
    </w:pPr>
    <w:rPr>
      <w:rFonts w:ascii="EC Square Sans Pro" w:hAnsi="EC Square Sans Pro"/>
      <w:color w:val="000000" w:themeColor="text1"/>
      <w:lang w:eastAsia="en-GB"/>
    </w:rPr>
    <w:tblPr>
      <w:tblStyleRowBandSize w:val="1"/>
      <w:tblStyleColBandSize w:val="1"/>
      <w:tblBorders>
        <w:top w:val="single" w:sz="8" w:space="0" w:color="DC165D" w:themeColor="accent5"/>
        <w:bottom w:val="single" w:sz="8" w:space="0" w:color="DC165D" w:themeColor="accent5"/>
      </w:tblBorders>
    </w:tblPr>
    <w:tblStylePr w:type="firstRow">
      <w:rPr>
        <w:rFonts w:asciiTheme="majorHAnsi" w:eastAsiaTheme="majorEastAsia" w:hAnsiTheme="majorHAnsi" w:cstheme="majorBidi"/>
      </w:rPr>
      <w:tblPr/>
      <w:tcPr>
        <w:tcBorders>
          <w:top w:val="nil"/>
          <w:bottom w:val="single" w:sz="8" w:space="0" w:color="DC165D" w:themeColor="accent5"/>
        </w:tcBorders>
      </w:tcPr>
    </w:tblStylePr>
    <w:tblStylePr w:type="lastRow">
      <w:rPr>
        <w:b/>
        <w:bCs/>
        <w:color w:val="003399" w:themeColor="text2"/>
      </w:rPr>
      <w:tblPr/>
      <w:tcPr>
        <w:tcBorders>
          <w:top w:val="single" w:sz="8" w:space="0" w:color="DC165D" w:themeColor="accent5"/>
          <w:bottom w:val="single" w:sz="8" w:space="0" w:color="DC165D" w:themeColor="accent5"/>
        </w:tcBorders>
      </w:tcPr>
    </w:tblStylePr>
    <w:tblStylePr w:type="firstCol">
      <w:rPr>
        <w:b/>
        <w:bCs/>
      </w:rPr>
    </w:tblStylePr>
    <w:tblStylePr w:type="lastCol">
      <w:rPr>
        <w:b/>
        <w:bCs/>
      </w:rPr>
      <w:tblPr/>
      <w:tcPr>
        <w:tcBorders>
          <w:top w:val="single" w:sz="8" w:space="0" w:color="DC165D" w:themeColor="accent5"/>
          <w:bottom w:val="single" w:sz="8" w:space="0" w:color="DC165D" w:themeColor="accent5"/>
        </w:tcBorders>
      </w:tcPr>
    </w:tblStylePr>
    <w:tblStylePr w:type="band1Vert">
      <w:tblPr/>
      <w:tcPr>
        <w:shd w:val="clear" w:color="auto" w:fill="F9C2D6" w:themeFill="accent5" w:themeFillTint="3F"/>
      </w:tcPr>
    </w:tblStylePr>
    <w:tblStylePr w:type="band1Horz">
      <w:tblPr/>
      <w:tcPr>
        <w:shd w:val="clear" w:color="auto" w:fill="F9C2D6" w:themeFill="accent5" w:themeFillTint="3F"/>
      </w:tcPr>
    </w:tblStylePr>
  </w:style>
  <w:style w:type="table" w:styleId="MediumList1-Accent6">
    <w:name w:val="Medium List 1 Accent 6"/>
    <w:basedOn w:val="TableNormal"/>
    <w:pPr>
      <w:spacing w:before="0" w:after="0" w:line="240" w:lineRule="auto"/>
    </w:pPr>
    <w:rPr>
      <w:rFonts w:ascii="EC Square Sans Pro" w:hAnsi="EC Square Sans Pro"/>
      <w:color w:val="000000" w:themeColor="text1"/>
      <w:lang w:eastAsia="en-GB"/>
    </w:rPr>
    <w:tblPr>
      <w:tblStyleRowBandSize w:val="1"/>
      <w:tblStyleColBandSize w:val="1"/>
      <w:tblBorders>
        <w:top w:val="single" w:sz="8" w:space="0" w:color="7030A0" w:themeColor="accent6"/>
        <w:bottom w:val="single" w:sz="8" w:space="0" w:color="7030A0" w:themeColor="accent6"/>
      </w:tblBorders>
    </w:tblPr>
    <w:tblStylePr w:type="firstRow">
      <w:rPr>
        <w:rFonts w:asciiTheme="majorHAnsi" w:eastAsiaTheme="majorEastAsia" w:hAnsiTheme="majorHAnsi" w:cstheme="majorBidi"/>
      </w:rPr>
      <w:tblPr/>
      <w:tcPr>
        <w:tcBorders>
          <w:top w:val="nil"/>
          <w:bottom w:val="single" w:sz="8" w:space="0" w:color="7030A0" w:themeColor="accent6"/>
        </w:tcBorders>
      </w:tcPr>
    </w:tblStylePr>
    <w:tblStylePr w:type="lastRow">
      <w:rPr>
        <w:b/>
        <w:bCs/>
        <w:color w:val="003399" w:themeColor="text2"/>
      </w:rPr>
      <w:tblPr/>
      <w:tcPr>
        <w:tcBorders>
          <w:top w:val="single" w:sz="8" w:space="0" w:color="7030A0" w:themeColor="accent6"/>
          <w:bottom w:val="single" w:sz="8" w:space="0" w:color="7030A0" w:themeColor="accent6"/>
        </w:tcBorders>
      </w:tcPr>
    </w:tblStylePr>
    <w:tblStylePr w:type="firstCol">
      <w:rPr>
        <w:b/>
        <w:bCs/>
      </w:rPr>
    </w:tblStylePr>
    <w:tblStylePr w:type="lastCol">
      <w:rPr>
        <w:b/>
        <w:bCs/>
      </w:rPr>
      <w:tblPr/>
      <w:tcPr>
        <w:tcBorders>
          <w:top w:val="single" w:sz="8" w:space="0" w:color="7030A0" w:themeColor="accent6"/>
          <w:bottom w:val="single" w:sz="8" w:space="0" w:color="7030A0" w:themeColor="accent6"/>
        </w:tcBorders>
      </w:tcPr>
    </w:tblStylePr>
    <w:tblStylePr w:type="band1Vert">
      <w:tblPr/>
      <w:tcPr>
        <w:shd w:val="clear" w:color="auto" w:fill="DCC5ED" w:themeFill="accent6" w:themeFillTint="3F"/>
      </w:tcPr>
    </w:tblStylePr>
    <w:tblStylePr w:type="band1Horz">
      <w:tblPr/>
      <w:tcPr>
        <w:shd w:val="clear" w:color="auto" w:fill="DCC5ED" w:themeFill="accent6" w:themeFillTint="3F"/>
      </w:tcPr>
    </w:tblStylePr>
  </w:style>
  <w:style w:type="table" w:styleId="MediumList2">
    <w:name w:val="Medium List 2"/>
    <w:basedOn w:val="TableNormal"/>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008139" w:themeColor="accent1"/>
        <w:left w:val="single" w:sz="8" w:space="0" w:color="008139" w:themeColor="accent1"/>
        <w:bottom w:val="single" w:sz="8" w:space="0" w:color="008139" w:themeColor="accent1"/>
        <w:right w:val="single" w:sz="8" w:space="0" w:color="008139" w:themeColor="accent1"/>
      </w:tblBorders>
    </w:tblPr>
    <w:tblStylePr w:type="firstRow">
      <w:rPr>
        <w:sz w:val="24"/>
        <w:szCs w:val="24"/>
      </w:rPr>
      <w:tblPr/>
      <w:tcPr>
        <w:tcBorders>
          <w:top w:val="nil"/>
          <w:left w:val="nil"/>
          <w:bottom w:val="single" w:sz="24" w:space="0" w:color="008139" w:themeColor="accent1"/>
          <w:right w:val="nil"/>
          <w:insideH w:val="nil"/>
          <w:insideV w:val="nil"/>
        </w:tcBorders>
        <w:shd w:val="clear" w:color="auto" w:fill="FFFFFF" w:themeFill="background1"/>
      </w:tcPr>
    </w:tblStylePr>
    <w:tblStylePr w:type="lastRow">
      <w:tblPr/>
      <w:tcPr>
        <w:tcBorders>
          <w:top w:val="single" w:sz="8" w:space="0" w:color="008139"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8139" w:themeColor="accent1"/>
          <w:insideH w:val="nil"/>
          <w:insideV w:val="nil"/>
        </w:tcBorders>
        <w:shd w:val="clear" w:color="auto" w:fill="FFFFFF" w:themeFill="background1"/>
      </w:tcPr>
    </w:tblStylePr>
    <w:tblStylePr w:type="lastCol">
      <w:tblPr/>
      <w:tcPr>
        <w:tcBorders>
          <w:top w:val="nil"/>
          <w:left w:val="single" w:sz="8" w:space="0" w:color="008139"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0FFCA" w:themeFill="accent1" w:themeFillTint="3F"/>
      </w:tcPr>
    </w:tblStylePr>
    <w:tblStylePr w:type="band1Horz">
      <w:tblPr/>
      <w:tcPr>
        <w:tcBorders>
          <w:top w:val="nil"/>
          <w:bottom w:val="nil"/>
          <w:insideH w:val="nil"/>
          <w:insideV w:val="nil"/>
        </w:tcBorders>
        <w:shd w:val="clear" w:color="auto" w:fill="A0FFCA"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DE6002" w:themeColor="accent2"/>
        <w:left w:val="single" w:sz="8" w:space="0" w:color="DE6002" w:themeColor="accent2"/>
        <w:bottom w:val="single" w:sz="8" w:space="0" w:color="DE6002" w:themeColor="accent2"/>
        <w:right w:val="single" w:sz="8" w:space="0" w:color="DE6002" w:themeColor="accent2"/>
      </w:tblBorders>
    </w:tblPr>
    <w:tblStylePr w:type="firstRow">
      <w:rPr>
        <w:sz w:val="24"/>
        <w:szCs w:val="24"/>
      </w:rPr>
      <w:tblPr/>
      <w:tcPr>
        <w:tcBorders>
          <w:top w:val="nil"/>
          <w:left w:val="nil"/>
          <w:bottom w:val="single" w:sz="24" w:space="0" w:color="DE6002" w:themeColor="accent2"/>
          <w:right w:val="nil"/>
          <w:insideH w:val="nil"/>
          <w:insideV w:val="nil"/>
        </w:tcBorders>
        <w:shd w:val="clear" w:color="auto" w:fill="FFFFFF" w:themeFill="background1"/>
      </w:tcPr>
    </w:tblStylePr>
    <w:tblStylePr w:type="lastRow">
      <w:tblPr/>
      <w:tcPr>
        <w:tcBorders>
          <w:top w:val="single" w:sz="8" w:space="0" w:color="DE600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DE6002" w:themeColor="accent2"/>
          <w:insideH w:val="nil"/>
          <w:insideV w:val="nil"/>
        </w:tcBorders>
        <w:shd w:val="clear" w:color="auto" w:fill="FFFFFF" w:themeFill="background1"/>
      </w:tcPr>
    </w:tblStylePr>
    <w:tblStylePr w:type="lastCol">
      <w:tblPr/>
      <w:tcPr>
        <w:tcBorders>
          <w:top w:val="nil"/>
          <w:left w:val="single" w:sz="8" w:space="0" w:color="DE600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ED6B8" w:themeFill="accent2" w:themeFillTint="3F"/>
      </w:tcPr>
    </w:tblStylePr>
    <w:tblStylePr w:type="band1Horz">
      <w:tblPr/>
      <w:tcPr>
        <w:tcBorders>
          <w:top w:val="nil"/>
          <w:bottom w:val="nil"/>
          <w:insideH w:val="nil"/>
          <w:insideV w:val="nil"/>
        </w:tcBorders>
        <w:shd w:val="clear" w:color="auto" w:fill="FED6B8"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2688FE" w:themeColor="accent3"/>
        <w:left w:val="single" w:sz="8" w:space="0" w:color="2688FE" w:themeColor="accent3"/>
        <w:bottom w:val="single" w:sz="8" w:space="0" w:color="2688FE" w:themeColor="accent3"/>
        <w:right w:val="single" w:sz="8" w:space="0" w:color="2688FE" w:themeColor="accent3"/>
      </w:tblBorders>
    </w:tblPr>
    <w:tblStylePr w:type="firstRow">
      <w:rPr>
        <w:sz w:val="24"/>
        <w:szCs w:val="24"/>
      </w:rPr>
      <w:tblPr/>
      <w:tcPr>
        <w:tcBorders>
          <w:top w:val="nil"/>
          <w:left w:val="nil"/>
          <w:bottom w:val="single" w:sz="24" w:space="0" w:color="2688FE" w:themeColor="accent3"/>
          <w:right w:val="nil"/>
          <w:insideH w:val="nil"/>
          <w:insideV w:val="nil"/>
        </w:tcBorders>
        <w:shd w:val="clear" w:color="auto" w:fill="FFFFFF" w:themeFill="background1"/>
      </w:tcPr>
    </w:tblStylePr>
    <w:tblStylePr w:type="lastRow">
      <w:tblPr/>
      <w:tcPr>
        <w:tcBorders>
          <w:top w:val="single" w:sz="8" w:space="0" w:color="2688FE"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688FE" w:themeColor="accent3"/>
          <w:insideH w:val="nil"/>
          <w:insideV w:val="nil"/>
        </w:tcBorders>
        <w:shd w:val="clear" w:color="auto" w:fill="FFFFFF" w:themeFill="background1"/>
      </w:tcPr>
    </w:tblStylePr>
    <w:tblStylePr w:type="lastCol">
      <w:tblPr/>
      <w:tcPr>
        <w:tcBorders>
          <w:top w:val="nil"/>
          <w:left w:val="single" w:sz="8" w:space="0" w:color="2688FE"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E1FE" w:themeFill="accent3" w:themeFillTint="3F"/>
      </w:tcPr>
    </w:tblStylePr>
    <w:tblStylePr w:type="band1Horz">
      <w:tblPr/>
      <w:tcPr>
        <w:tcBorders>
          <w:top w:val="nil"/>
          <w:bottom w:val="nil"/>
          <w:insideH w:val="nil"/>
          <w:insideV w:val="nil"/>
        </w:tcBorders>
        <w:shd w:val="clear" w:color="auto" w:fill="C9E1FE"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FDAB07" w:themeColor="accent4"/>
        <w:left w:val="single" w:sz="8" w:space="0" w:color="FDAB07" w:themeColor="accent4"/>
        <w:bottom w:val="single" w:sz="8" w:space="0" w:color="FDAB07" w:themeColor="accent4"/>
        <w:right w:val="single" w:sz="8" w:space="0" w:color="FDAB07" w:themeColor="accent4"/>
      </w:tblBorders>
    </w:tblPr>
    <w:tblStylePr w:type="firstRow">
      <w:rPr>
        <w:sz w:val="24"/>
        <w:szCs w:val="24"/>
      </w:rPr>
      <w:tblPr/>
      <w:tcPr>
        <w:tcBorders>
          <w:top w:val="nil"/>
          <w:left w:val="nil"/>
          <w:bottom w:val="single" w:sz="24" w:space="0" w:color="FDAB07" w:themeColor="accent4"/>
          <w:right w:val="nil"/>
          <w:insideH w:val="nil"/>
          <w:insideV w:val="nil"/>
        </w:tcBorders>
        <w:shd w:val="clear" w:color="auto" w:fill="FFFFFF" w:themeFill="background1"/>
      </w:tcPr>
    </w:tblStylePr>
    <w:tblStylePr w:type="lastRow">
      <w:tblPr/>
      <w:tcPr>
        <w:tcBorders>
          <w:top w:val="single" w:sz="8" w:space="0" w:color="FDAB0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DAB07" w:themeColor="accent4"/>
          <w:insideH w:val="nil"/>
          <w:insideV w:val="nil"/>
        </w:tcBorders>
        <w:shd w:val="clear" w:color="auto" w:fill="FFFFFF" w:themeFill="background1"/>
      </w:tcPr>
    </w:tblStylePr>
    <w:tblStylePr w:type="lastCol">
      <w:tblPr/>
      <w:tcPr>
        <w:tcBorders>
          <w:top w:val="nil"/>
          <w:left w:val="single" w:sz="8" w:space="0" w:color="FDAB0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EEAC1" w:themeFill="accent4" w:themeFillTint="3F"/>
      </w:tcPr>
    </w:tblStylePr>
    <w:tblStylePr w:type="band1Horz">
      <w:tblPr/>
      <w:tcPr>
        <w:tcBorders>
          <w:top w:val="nil"/>
          <w:bottom w:val="nil"/>
          <w:insideH w:val="nil"/>
          <w:insideV w:val="nil"/>
        </w:tcBorders>
        <w:shd w:val="clear" w:color="auto" w:fill="FEEAC1"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DC165D" w:themeColor="accent5"/>
        <w:left w:val="single" w:sz="8" w:space="0" w:color="DC165D" w:themeColor="accent5"/>
        <w:bottom w:val="single" w:sz="8" w:space="0" w:color="DC165D" w:themeColor="accent5"/>
        <w:right w:val="single" w:sz="8" w:space="0" w:color="DC165D" w:themeColor="accent5"/>
      </w:tblBorders>
    </w:tblPr>
    <w:tblStylePr w:type="firstRow">
      <w:rPr>
        <w:sz w:val="24"/>
        <w:szCs w:val="24"/>
      </w:rPr>
      <w:tblPr/>
      <w:tcPr>
        <w:tcBorders>
          <w:top w:val="nil"/>
          <w:left w:val="nil"/>
          <w:bottom w:val="single" w:sz="24" w:space="0" w:color="DC165D" w:themeColor="accent5"/>
          <w:right w:val="nil"/>
          <w:insideH w:val="nil"/>
          <w:insideV w:val="nil"/>
        </w:tcBorders>
        <w:shd w:val="clear" w:color="auto" w:fill="FFFFFF" w:themeFill="background1"/>
      </w:tcPr>
    </w:tblStylePr>
    <w:tblStylePr w:type="lastRow">
      <w:tblPr/>
      <w:tcPr>
        <w:tcBorders>
          <w:top w:val="single" w:sz="8" w:space="0" w:color="DC165D"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C165D" w:themeColor="accent5"/>
          <w:insideH w:val="nil"/>
          <w:insideV w:val="nil"/>
        </w:tcBorders>
        <w:shd w:val="clear" w:color="auto" w:fill="FFFFFF" w:themeFill="background1"/>
      </w:tcPr>
    </w:tblStylePr>
    <w:tblStylePr w:type="lastCol">
      <w:tblPr/>
      <w:tcPr>
        <w:tcBorders>
          <w:top w:val="nil"/>
          <w:left w:val="single" w:sz="8" w:space="0" w:color="DC165D"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C2D6" w:themeFill="accent5" w:themeFillTint="3F"/>
      </w:tcPr>
    </w:tblStylePr>
    <w:tblStylePr w:type="band1Horz">
      <w:tblPr/>
      <w:tcPr>
        <w:tcBorders>
          <w:top w:val="nil"/>
          <w:bottom w:val="nil"/>
          <w:insideH w:val="nil"/>
          <w:insideV w:val="nil"/>
        </w:tcBorders>
        <w:shd w:val="clear" w:color="auto" w:fill="F9C2D6"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7030A0" w:themeColor="accent6"/>
        <w:left w:val="single" w:sz="8" w:space="0" w:color="7030A0" w:themeColor="accent6"/>
        <w:bottom w:val="single" w:sz="8" w:space="0" w:color="7030A0" w:themeColor="accent6"/>
        <w:right w:val="single" w:sz="8" w:space="0" w:color="7030A0" w:themeColor="accent6"/>
      </w:tblBorders>
    </w:tblPr>
    <w:tblStylePr w:type="firstRow">
      <w:rPr>
        <w:sz w:val="24"/>
        <w:szCs w:val="24"/>
      </w:rPr>
      <w:tblPr/>
      <w:tcPr>
        <w:tcBorders>
          <w:top w:val="nil"/>
          <w:left w:val="nil"/>
          <w:bottom w:val="single" w:sz="24" w:space="0" w:color="7030A0" w:themeColor="accent6"/>
          <w:right w:val="nil"/>
          <w:insideH w:val="nil"/>
          <w:insideV w:val="nil"/>
        </w:tcBorders>
        <w:shd w:val="clear" w:color="auto" w:fill="FFFFFF" w:themeFill="background1"/>
      </w:tcPr>
    </w:tblStylePr>
    <w:tblStylePr w:type="lastRow">
      <w:tblPr/>
      <w:tcPr>
        <w:tcBorders>
          <w:top w:val="single" w:sz="8" w:space="0" w:color="7030A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30A0" w:themeColor="accent6"/>
          <w:insideH w:val="nil"/>
          <w:insideV w:val="nil"/>
        </w:tcBorders>
        <w:shd w:val="clear" w:color="auto" w:fill="FFFFFF" w:themeFill="background1"/>
      </w:tcPr>
    </w:tblStylePr>
    <w:tblStylePr w:type="lastCol">
      <w:tblPr/>
      <w:tcPr>
        <w:tcBorders>
          <w:top w:val="nil"/>
          <w:left w:val="single" w:sz="8" w:space="0" w:color="7030A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CC5ED" w:themeFill="accent6" w:themeFillTint="3F"/>
      </w:tcPr>
    </w:tblStylePr>
    <w:tblStylePr w:type="band1Horz">
      <w:tblPr/>
      <w:tcPr>
        <w:tcBorders>
          <w:top w:val="nil"/>
          <w:bottom w:val="nil"/>
          <w:insideH w:val="nil"/>
          <w:insideV w:val="nil"/>
        </w:tcBorders>
        <w:shd w:val="clear" w:color="auto" w:fill="DCC5ED"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pPr>
      <w:spacing w:before="0" w:after="0" w:line="240" w:lineRule="auto"/>
    </w:pPr>
    <w:rPr>
      <w:rFonts w:ascii="EC Square Sans Pro" w:hAnsi="EC Square Sans Pro"/>
      <w:lang w:eastAsia="en-GB"/>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pPr>
      <w:spacing w:before="0" w:after="0" w:line="240" w:lineRule="auto"/>
    </w:pPr>
    <w:rPr>
      <w:rFonts w:ascii="EC Square Sans Pro" w:hAnsi="EC Square Sans Pro"/>
      <w:lang w:eastAsia="en-GB"/>
    </w:rPr>
    <w:tblPr>
      <w:tblStyleRowBandSize w:val="1"/>
      <w:tblStyleColBandSize w:val="1"/>
      <w:tblBorders>
        <w:top w:val="single" w:sz="8" w:space="0" w:color="00E062" w:themeColor="accent1" w:themeTint="BF"/>
        <w:left w:val="single" w:sz="8" w:space="0" w:color="00E062" w:themeColor="accent1" w:themeTint="BF"/>
        <w:bottom w:val="single" w:sz="8" w:space="0" w:color="00E062" w:themeColor="accent1" w:themeTint="BF"/>
        <w:right w:val="single" w:sz="8" w:space="0" w:color="00E062" w:themeColor="accent1" w:themeTint="BF"/>
        <w:insideH w:val="single" w:sz="8" w:space="0" w:color="00E062" w:themeColor="accent1" w:themeTint="BF"/>
      </w:tblBorders>
    </w:tblPr>
    <w:tblStylePr w:type="firstRow">
      <w:pPr>
        <w:spacing w:before="0" w:after="0" w:line="240" w:lineRule="auto"/>
      </w:pPr>
      <w:rPr>
        <w:b/>
        <w:bCs/>
        <w:color w:val="FFFFFF" w:themeColor="background1"/>
      </w:rPr>
      <w:tblPr/>
      <w:tcPr>
        <w:tcBorders>
          <w:top w:val="single" w:sz="8" w:space="0" w:color="00E062" w:themeColor="accent1" w:themeTint="BF"/>
          <w:left w:val="single" w:sz="8" w:space="0" w:color="00E062" w:themeColor="accent1" w:themeTint="BF"/>
          <w:bottom w:val="single" w:sz="8" w:space="0" w:color="00E062" w:themeColor="accent1" w:themeTint="BF"/>
          <w:right w:val="single" w:sz="8" w:space="0" w:color="00E062" w:themeColor="accent1" w:themeTint="BF"/>
          <w:insideH w:val="nil"/>
          <w:insideV w:val="nil"/>
        </w:tcBorders>
        <w:shd w:val="clear" w:color="auto" w:fill="008139" w:themeFill="accent1"/>
      </w:tcPr>
    </w:tblStylePr>
    <w:tblStylePr w:type="lastRow">
      <w:pPr>
        <w:spacing w:before="0" w:after="0" w:line="240" w:lineRule="auto"/>
      </w:pPr>
      <w:rPr>
        <w:b/>
        <w:bCs/>
      </w:rPr>
      <w:tblPr/>
      <w:tcPr>
        <w:tcBorders>
          <w:top w:val="double" w:sz="6" w:space="0" w:color="00E062" w:themeColor="accent1" w:themeTint="BF"/>
          <w:left w:val="single" w:sz="8" w:space="0" w:color="00E062" w:themeColor="accent1" w:themeTint="BF"/>
          <w:bottom w:val="single" w:sz="8" w:space="0" w:color="00E062" w:themeColor="accent1" w:themeTint="BF"/>
          <w:right w:val="single" w:sz="8" w:space="0" w:color="00E062" w:themeColor="accent1" w:themeTint="BF"/>
          <w:insideH w:val="nil"/>
          <w:insideV w:val="nil"/>
        </w:tcBorders>
      </w:tcPr>
    </w:tblStylePr>
    <w:tblStylePr w:type="firstCol">
      <w:rPr>
        <w:b/>
        <w:bCs/>
      </w:rPr>
    </w:tblStylePr>
    <w:tblStylePr w:type="lastCol">
      <w:rPr>
        <w:b/>
        <w:bCs/>
      </w:rPr>
    </w:tblStylePr>
    <w:tblStylePr w:type="band1Vert">
      <w:tblPr/>
      <w:tcPr>
        <w:shd w:val="clear" w:color="auto" w:fill="A0FFCA" w:themeFill="accent1" w:themeFillTint="3F"/>
      </w:tcPr>
    </w:tblStylePr>
    <w:tblStylePr w:type="band1Horz">
      <w:tblPr/>
      <w:tcPr>
        <w:tcBorders>
          <w:insideH w:val="nil"/>
          <w:insideV w:val="nil"/>
        </w:tcBorders>
        <w:shd w:val="clear" w:color="auto" w:fill="A0FFCA"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pPr>
      <w:spacing w:before="0" w:after="0" w:line="240" w:lineRule="auto"/>
    </w:pPr>
    <w:rPr>
      <w:rFonts w:ascii="EC Square Sans Pro" w:hAnsi="EC Square Sans Pro"/>
      <w:lang w:eastAsia="en-GB"/>
    </w:rPr>
    <w:tblPr>
      <w:tblStyleRowBandSize w:val="1"/>
      <w:tblStyleColBandSize w:val="1"/>
      <w:tblBorders>
        <w:top w:val="single" w:sz="8" w:space="0" w:color="FD832A" w:themeColor="accent2" w:themeTint="BF"/>
        <w:left w:val="single" w:sz="8" w:space="0" w:color="FD832A" w:themeColor="accent2" w:themeTint="BF"/>
        <w:bottom w:val="single" w:sz="8" w:space="0" w:color="FD832A" w:themeColor="accent2" w:themeTint="BF"/>
        <w:right w:val="single" w:sz="8" w:space="0" w:color="FD832A" w:themeColor="accent2" w:themeTint="BF"/>
        <w:insideH w:val="single" w:sz="8" w:space="0" w:color="FD832A" w:themeColor="accent2" w:themeTint="BF"/>
      </w:tblBorders>
    </w:tblPr>
    <w:tblStylePr w:type="firstRow">
      <w:pPr>
        <w:spacing w:before="0" w:after="0" w:line="240" w:lineRule="auto"/>
      </w:pPr>
      <w:rPr>
        <w:b/>
        <w:bCs/>
        <w:color w:val="FFFFFF" w:themeColor="background1"/>
      </w:rPr>
      <w:tblPr/>
      <w:tcPr>
        <w:tcBorders>
          <w:top w:val="single" w:sz="8" w:space="0" w:color="FD832A" w:themeColor="accent2" w:themeTint="BF"/>
          <w:left w:val="single" w:sz="8" w:space="0" w:color="FD832A" w:themeColor="accent2" w:themeTint="BF"/>
          <w:bottom w:val="single" w:sz="8" w:space="0" w:color="FD832A" w:themeColor="accent2" w:themeTint="BF"/>
          <w:right w:val="single" w:sz="8" w:space="0" w:color="FD832A" w:themeColor="accent2" w:themeTint="BF"/>
          <w:insideH w:val="nil"/>
          <w:insideV w:val="nil"/>
        </w:tcBorders>
        <w:shd w:val="clear" w:color="auto" w:fill="DE6002" w:themeFill="accent2"/>
      </w:tcPr>
    </w:tblStylePr>
    <w:tblStylePr w:type="lastRow">
      <w:pPr>
        <w:spacing w:before="0" w:after="0" w:line="240" w:lineRule="auto"/>
      </w:pPr>
      <w:rPr>
        <w:b/>
        <w:bCs/>
      </w:rPr>
      <w:tblPr/>
      <w:tcPr>
        <w:tcBorders>
          <w:top w:val="double" w:sz="6" w:space="0" w:color="FD832A" w:themeColor="accent2" w:themeTint="BF"/>
          <w:left w:val="single" w:sz="8" w:space="0" w:color="FD832A" w:themeColor="accent2" w:themeTint="BF"/>
          <w:bottom w:val="single" w:sz="8" w:space="0" w:color="FD832A" w:themeColor="accent2" w:themeTint="BF"/>
          <w:right w:val="single" w:sz="8" w:space="0" w:color="FD832A" w:themeColor="accent2" w:themeTint="BF"/>
          <w:insideH w:val="nil"/>
          <w:insideV w:val="nil"/>
        </w:tcBorders>
      </w:tcPr>
    </w:tblStylePr>
    <w:tblStylePr w:type="firstCol">
      <w:rPr>
        <w:b/>
        <w:bCs/>
      </w:rPr>
    </w:tblStylePr>
    <w:tblStylePr w:type="lastCol">
      <w:rPr>
        <w:b/>
        <w:bCs/>
      </w:rPr>
    </w:tblStylePr>
    <w:tblStylePr w:type="band1Vert">
      <w:tblPr/>
      <w:tcPr>
        <w:shd w:val="clear" w:color="auto" w:fill="FED6B8" w:themeFill="accent2" w:themeFillTint="3F"/>
      </w:tcPr>
    </w:tblStylePr>
    <w:tblStylePr w:type="band1Horz">
      <w:tblPr/>
      <w:tcPr>
        <w:tcBorders>
          <w:insideH w:val="nil"/>
          <w:insideV w:val="nil"/>
        </w:tcBorders>
        <w:shd w:val="clear" w:color="auto" w:fill="FED6B8"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pPr>
      <w:spacing w:before="0" w:after="0" w:line="240" w:lineRule="auto"/>
    </w:pPr>
    <w:rPr>
      <w:rFonts w:ascii="EC Square Sans Pro" w:hAnsi="EC Square Sans Pro"/>
      <w:lang w:eastAsia="en-GB"/>
    </w:rPr>
    <w:tblPr>
      <w:tblStyleRowBandSize w:val="1"/>
      <w:tblStyleColBandSize w:val="1"/>
      <w:tblBorders>
        <w:top w:val="single" w:sz="8" w:space="0" w:color="5CA5FE" w:themeColor="accent3" w:themeTint="BF"/>
        <w:left w:val="single" w:sz="8" w:space="0" w:color="5CA5FE" w:themeColor="accent3" w:themeTint="BF"/>
        <w:bottom w:val="single" w:sz="8" w:space="0" w:color="5CA5FE" w:themeColor="accent3" w:themeTint="BF"/>
        <w:right w:val="single" w:sz="8" w:space="0" w:color="5CA5FE" w:themeColor="accent3" w:themeTint="BF"/>
        <w:insideH w:val="single" w:sz="8" w:space="0" w:color="5CA5FE" w:themeColor="accent3" w:themeTint="BF"/>
      </w:tblBorders>
    </w:tblPr>
    <w:tblStylePr w:type="firstRow">
      <w:pPr>
        <w:spacing w:before="0" w:after="0" w:line="240" w:lineRule="auto"/>
      </w:pPr>
      <w:rPr>
        <w:b/>
        <w:bCs/>
        <w:color w:val="FFFFFF" w:themeColor="background1"/>
      </w:rPr>
      <w:tblPr/>
      <w:tcPr>
        <w:tcBorders>
          <w:top w:val="single" w:sz="8" w:space="0" w:color="5CA5FE" w:themeColor="accent3" w:themeTint="BF"/>
          <w:left w:val="single" w:sz="8" w:space="0" w:color="5CA5FE" w:themeColor="accent3" w:themeTint="BF"/>
          <w:bottom w:val="single" w:sz="8" w:space="0" w:color="5CA5FE" w:themeColor="accent3" w:themeTint="BF"/>
          <w:right w:val="single" w:sz="8" w:space="0" w:color="5CA5FE" w:themeColor="accent3" w:themeTint="BF"/>
          <w:insideH w:val="nil"/>
          <w:insideV w:val="nil"/>
        </w:tcBorders>
        <w:shd w:val="clear" w:color="auto" w:fill="2688FE" w:themeFill="accent3"/>
      </w:tcPr>
    </w:tblStylePr>
    <w:tblStylePr w:type="lastRow">
      <w:pPr>
        <w:spacing w:before="0" w:after="0" w:line="240" w:lineRule="auto"/>
      </w:pPr>
      <w:rPr>
        <w:b/>
        <w:bCs/>
      </w:rPr>
      <w:tblPr/>
      <w:tcPr>
        <w:tcBorders>
          <w:top w:val="double" w:sz="6" w:space="0" w:color="5CA5FE" w:themeColor="accent3" w:themeTint="BF"/>
          <w:left w:val="single" w:sz="8" w:space="0" w:color="5CA5FE" w:themeColor="accent3" w:themeTint="BF"/>
          <w:bottom w:val="single" w:sz="8" w:space="0" w:color="5CA5FE" w:themeColor="accent3" w:themeTint="BF"/>
          <w:right w:val="single" w:sz="8" w:space="0" w:color="5CA5FE" w:themeColor="accent3" w:themeTint="BF"/>
          <w:insideH w:val="nil"/>
          <w:insideV w:val="nil"/>
        </w:tcBorders>
      </w:tcPr>
    </w:tblStylePr>
    <w:tblStylePr w:type="firstCol">
      <w:rPr>
        <w:b/>
        <w:bCs/>
      </w:rPr>
    </w:tblStylePr>
    <w:tblStylePr w:type="lastCol">
      <w:rPr>
        <w:b/>
        <w:bCs/>
      </w:rPr>
    </w:tblStylePr>
    <w:tblStylePr w:type="band1Vert">
      <w:tblPr/>
      <w:tcPr>
        <w:shd w:val="clear" w:color="auto" w:fill="C9E1FE" w:themeFill="accent3" w:themeFillTint="3F"/>
      </w:tcPr>
    </w:tblStylePr>
    <w:tblStylePr w:type="band1Horz">
      <w:tblPr/>
      <w:tcPr>
        <w:tcBorders>
          <w:insideH w:val="nil"/>
          <w:insideV w:val="nil"/>
        </w:tcBorders>
        <w:shd w:val="clear" w:color="auto" w:fill="C9E1FE"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pPr>
      <w:spacing w:before="0" w:after="0" w:line="240" w:lineRule="auto"/>
    </w:pPr>
    <w:rPr>
      <w:rFonts w:ascii="EC Square Sans Pro" w:hAnsi="EC Square Sans Pro"/>
      <w:lang w:eastAsia="en-GB"/>
    </w:rPr>
    <w:tblPr>
      <w:tblStyleRowBandSize w:val="1"/>
      <w:tblStyleColBandSize w:val="1"/>
      <w:tblBorders>
        <w:top w:val="single" w:sz="8" w:space="0" w:color="FDC045" w:themeColor="accent4" w:themeTint="BF"/>
        <w:left w:val="single" w:sz="8" w:space="0" w:color="FDC045" w:themeColor="accent4" w:themeTint="BF"/>
        <w:bottom w:val="single" w:sz="8" w:space="0" w:color="FDC045" w:themeColor="accent4" w:themeTint="BF"/>
        <w:right w:val="single" w:sz="8" w:space="0" w:color="FDC045" w:themeColor="accent4" w:themeTint="BF"/>
        <w:insideH w:val="single" w:sz="8" w:space="0" w:color="FDC045" w:themeColor="accent4" w:themeTint="BF"/>
      </w:tblBorders>
    </w:tblPr>
    <w:tblStylePr w:type="firstRow">
      <w:pPr>
        <w:spacing w:before="0" w:after="0" w:line="240" w:lineRule="auto"/>
      </w:pPr>
      <w:rPr>
        <w:b/>
        <w:bCs/>
        <w:color w:val="FFFFFF" w:themeColor="background1"/>
      </w:rPr>
      <w:tblPr/>
      <w:tcPr>
        <w:tcBorders>
          <w:top w:val="single" w:sz="8" w:space="0" w:color="FDC045" w:themeColor="accent4" w:themeTint="BF"/>
          <w:left w:val="single" w:sz="8" w:space="0" w:color="FDC045" w:themeColor="accent4" w:themeTint="BF"/>
          <w:bottom w:val="single" w:sz="8" w:space="0" w:color="FDC045" w:themeColor="accent4" w:themeTint="BF"/>
          <w:right w:val="single" w:sz="8" w:space="0" w:color="FDC045" w:themeColor="accent4" w:themeTint="BF"/>
          <w:insideH w:val="nil"/>
          <w:insideV w:val="nil"/>
        </w:tcBorders>
        <w:shd w:val="clear" w:color="auto" w:fill="FDAB07" w:themeFill="accent4"/>
      </w:tcPr>
    </w:tblStylePr>
    <w:tblStylePr w:type="lastRow">
      <w:pPr>
        <w:spacing w:before="0" w:after="0" w:line="240" w:lineRule="auto"/>
      </w:pPr>
      <w:rPr>
        <w:b/>
        <w:bCs/>
      </w:rPr>
      <w:tblPr/>
      <w:tcPr>
        <w:tcBorders>
          <w:top w:val="double" w:sz="6" w:space="0" w:color="FDC045" w:themeColor="accent4" w:themeTint="BF"/>
          <w:left w:val="single" w:sz="8" w:space="0" w:color="FDC045" w:themeColor="accent4" w:themeTint="BF"/>
          <w:bottom w:val="single" w:sz="8" w:space="0" w:color="FDC045" w:themeColor="accent4" w:themeTint="BF"/>
          <w:right w:val="single" w:sz="8" w:space="0" w:color="FDC045" w:themeColor="accent4" w:themeTint="BF"/>
          <w:insideH w:val="nil"/>
          <w:insideV w:val="nil"/>
        </w:tcBorders>
      </w:tcPr>
    </w:tblStylePr>
    <w:tblStylePr w:type="firstCol">
      <w:rPr>
        <w:b/>
        <w:bCs/>
      </w:rPr>
    </w:tblStylePr>
    <w:tblStylePr w:type="lastCol">
      <w:rPr>
        <w:b/>
        <w:bCs/>
      </w:rPr>
    </w:tblStylePr>
    <w:tblStylePr w:type="band1Vert">
      <w:tblPr/>
      <w:tcPr>
        <w:shd w:val="clear" w:color="auto" w:fill="FEEAC1" w:themeFill="accent4" w:themeFillTint="3F"/>
      </w:tcPr>
    </w:tblStylePr>
    <w:tblStylePr w:type="band1Horz">
      <w:tblPr/>
      <w:tcPr>
        <w:tcBorders>
          <w:insideH w:val="nil"/>
          <w:insideV w:val="nil"/>
        </w:tcBorders>
        <w:shd w:val="clear" w:color="auto" w:fill="FEEAC1"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pPr>
      <w:spacing w:before="0" w:after="0" w:line="240" w:lineRule="auto"/>
    </w:pPr>
    <w:rPr>
      <w:rFonts w:ascii="EC Square Sans Pro" w:hAnsi="EC Square Sans Pro"/>
      <w:lang w:eastAsia="en-GB"/>
    </w:rPr>
    <w:tblPr>
      <w:tblStyleRowBandSize w:val="1"/>
      <w:tblStyleColBandSize w:val="1"/>
      <w:tblBorders>
        <w:top w:val="single" w:sz="8" w:space="0" w:color="EC4882" w:themeColor="accent5" w:themeTint="BF"/>
        <w:left w:val="single" w:sz="8" w:space="0" w:color="EC4882" w:themeColor="accent5" w:themeTint="BF"/>
        <w:bottom w:val="single" w:sz="8" w:space="0" w:color="EC4882" w:themeColor="accent5" w:themeTint="BF"/>
        <w:right w:val="single" w:sz="8" w:space="0" w:color="EC4882" w:themeColor="accent5" w:themeTint="BF"/>
        <w:insideH w:val="single" w:sz="8" w:space="0" w:color="EC4882" w:themeColor="accent5" w:themeTint="BF"/>
      </w:tblBorders>
    </w:tblPr>
    <w:tblStylePr w:type="firstRow">
      <w:pPr>
        <w:spacing w:before="0" w:after="0" w:line="240" w:lineRule="auto"/>
      </w:pPr>
      <w:rPr>
        <w:b/>
        <w:bCs/>
        <w:color w:val="FFFFFF" w:themeColor="background1"/>
      </w:rPr>
      <w:tblPr/>
      <w:tcPr>
        <w:tcBorders>
          <w:top w:val="single" w:sz="8" w:space="0" w:color="EC4882" w:themeColor="accent5" w:themeTint="BF"/>
          <w:left w:val="single" w:sz="8" w:space="0" w:color="EC4882" w:themeColor="accent5" w:themeTint="BF"/>
          <w:bottom w:val="single" w:sz="8" w:space="0" w:color="EC4882" w:themeColor="accent5" w:themeTint="BF"/>
          <w:right w:val="single" w:sz="8" w:space="0" w:color="EC4882" w:themeColor="accent5" w:themeTint="BF"/>
          <w:insideH w:val="nil"/>
          <w:insideV w:val="nil"/>
        </w:tcBorders>
        <w:shd w:val="clear" w:color="auto" w:fill="DC165D" w:themeFill="accent5"/>
      </w:tcPr>
    </w:tblStylePr>
    <w:tblStylePr w:type="lastRow">
      <w:pPr>
        <w:spacing w:before="0" w:after="0" w:line="240" w:lineRule="auto"/>
      </w:pPr>
      <w:rPr>
        <w:b/>
        <w:bCs/>
      </w:rPr>
      <w:tblPr/>
      <w:tcPr>
        <w:tcBorders>
          <w:top w:val="double" w:sz="6" w:space="0" w:color="EC4882" w:themeColor="accent5" w:themeTint="BF"/>
          <w:left w:val="single" w:sz="8" w:space="0" w:color="EC4882" w:themeColor="accent5" w:themeTint="BF"/>
          <w:bottom w:val="single" w:sz="8" w:space="0" w:color="EC4882" w:themeColor="accent5" w:themeTint="BF"/>
          <w:right w:val="single" w:sz="8" w:space="0" w:color="EC4882" w:themeColor="accent5" w:themeTint="BF"/>
          <w:insideH w:val="nil"/>
          <w:insideV w:val="nil"/>
        </w:tcBorders>
      </w:tcPr>
    </w:tblStylePr>
    <w:tblStylePr w:type="firstCol">
      <w:rPr>
        <w:b/>
        <w:bCs/>
      </w:rPr>
    </w:tblStylePr>
    <w:tblStylePr w:type="lastCol">
      <w:rPr>
        <w:b/>
        <w:bCs/>
      </w:rPr>
    </w:tblStylePr>
    <w:tblStylePr w:type="band1Vert">
      <w:tblPr/>
      <w:tcPr>
        <w:shd w:val="clear" w:color="auto" w:fill="F9C2D6" w:themeFill="accent5" w:themeFillTint="3F"/>
      </w:tcPr>
    </w:tblStylePr>
    <w:tblStylePr w:type="band1Horz">
      <w:tblPr/>
      <w:tcPr>
        <w:tcBorders>
          <w:insideH w:val="nil"/>
          <w:insideV w:val="nil"/>
        </w:tcBorders>
        <w:shd w:val="clear" w:color="auto" w:fill="F9C2D6"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pPr>
      <w:spacing w:before="0" w:after="0" w:line="240" w:lineRule="auto"/>
    </w:pPr>
    <w:rPr>
      <w:rFonts w:ascii="EC Square Sans Pro" w:hAnsi="EC Square Sans Pro"/>
      <w:lang w:eastAsia="en-GB"/>
    </w:rPr>
    <w:tblPr>
      <w:tblStyleRowBandSize w:val="1"/>
      <w:tblStyleColBandSize w:val="1"/>
      <w:tblBorders>
        <w:top w:val="single" w:sz="8" w:space="0" w:color="9650CA" w:themeColor="accent6" w:themeTint="BF"/>
        <w:left w:val="single" w:sz="8" w:space="0" w:color="9650CA" w:themeColor="accent6" w:themeTint="BF"/>
        <w:bottom w:val="single" w:sz="8" w:space="0" w:color="9650CA" w:themeColor="accent6" w:themeTint="BF"/>
        <w:right w:val="single" w:sz="8" w:space="0" w:color="9650CA" w:themeColor="accent6" w:themeTint="BF"/>
        <w:insideH w:val="single" w:sz="8" w:space="0" w:color="9650CA" w:themeColor="accent6" w:themeTint="BF"/>
      </w:tblBorders>
    </w:tblPr>
    <w:tblStylePr w:type="firstRow">
      <w:pPr>
        <w:spacing w:before="0" w:after="0" w:line="240" w:lineRule="auto"/>
      </w:pPr>
      <w:rPr>
        <w:b/>
        <w:bCs/>
        <w:color w:val="FFFFFF" w:themeColor="background1"/>
      </w:rPr>
      <w:tblPr/>
      <w:tcPr>
        <w:tcBorders>
          <w:top w:val="single" w:sz="8" w:space="0" w:color="9650CA" w:themeColor="accent6" w:themeTint="BF"/>
          <w:left w:val="single" w:sz="8" w:space="0" w:color="9650CA" w:themeColor="accent6" w:themeTint="BF"/>
          <w:bottom w:val="single" w:sz="8" w:space="0" w:color="9650CA" w:themeColor="accent6" w:themeTint="BF"/>
          <w:right w:val="single" w:sz="8" w:space="0" w:color="9650CA" w:themeColor="accent6" w:themeTint="BF"/>
          <w:insideH w:val="nil"/>
          <w:insideV w:val="nil"/>
        </w:tcBorders>
        <w:shd w:val="clear" w:color="auto" w:fill="7030A0" w:themeFill="accent6"/>
      </w:tcPr>
    </w:tblStylePr>
    <w:tblStylePr w:type="lastRow">
      <w:pPr>
        <w:spacing w:before="0" w:after="0" w:line="240" w:lineRule="auto"/>
      </w:pPr>
      <w:rPr>
        <w:b/>
        <w:bCs/>
      </w:rPr>
      <w:tblPr/>
      <w:tcPr>
        <w:tcBorders>
          <w:top w:val="double" w:sz="6" w:space="0" w:color="9650CA" w:themeColor="accent6" w:themeTint="BF"/>
          <w:left w:val="single" w:sz="8" w:space="0" w:color="9650CA" w:themeColor="accent6" w:themeTint="BF"/>
          <w:bottom w:val="single" w:sz="8" w:space="0" w:color="9650CA" w:themeColor="accent6" w:themeTint="BF"/>
          <w:right w:val="single" w:sz="8" w:space="0" w:color="9650CA" w:themeColor="accent6" w:themeTint="BF"/>
          <w:insideH w:val="nil"/>
          <w:insideV w:val="nil"/>
        </w:tcBorders>
      </w:tcPr>
    </w:tblStylePr>
    <w:tblStylePr w:type="firstCol">
      <w:rPr>
        <w:b/>
        <w:bCs/>
      </w:rPr>
    </w:tblStylePr>
    <w:tblStylePr w:type="lastCol">
      <w:rPr>
        <w:b/>
        <w:bCs/>
      </w:rPr>
    </w:tblStylePr>
    <w:tblStylePr w:type="band1Vert">
      <w:tblPr/>
      <w:tcPr>
        <w:shd w:val="clear" w:color="auto" w:fill="DCC5ED" w:themeFill="accent6" w:themeFillTint="3F"/>
      </w:tcPr>
    </w:tblStylePr>
    <w:tblStylePr w:type="band1Horz">
      <w:tblPr/>
      <w:tcPr>
        <w:tcBorders>
          <w:insideH w:val="nil"/>
          <w:insideV w:val="nil"/>
        </w:tcBorders>
        <w:shd w:val="clear" w:color="auto" w:fill="DCC5ED" w:themeFill="accent6" w:themeFillTint="3F"/>
      </w:tcPr>
    </w:tblStylePr>
    <w:tblStylePr w:type="band2Horz">
      <w:tblPr/>
      <w:tcPr>
        <w:tcBorders>
          <w:insideH w:val="nil"/>
          <w:insideV w:val="nil"/>
        </w:tcBorders>
      </w:tcPr>
    </w:tblStylePr>
  </w:style>
  <w:style w:type="table" w:styleId="MediumShading2">
    <w:name w:val="Medium Shading 2"/>
    <w:basedOn w:val="TableNormal"/>
    <w:pPr>
      <w:spacing w:before="0" w:after="0" w:line="240" w:lineRule="auto"/>
    </w:pPr>
    <w:rPr>
      <w:rFonts w:ascii="EC Square Sans Pro" w:hAnsi="EC Square Sans Pro"/>
      <w:lang w:eastAsia="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pPr>
      <w:spacing w:before="0" w:after="0" w:line="240" w:lineRule="auto"/>
    </w:pPr>
    <w:rPr>
      <w:rFonts w:ascii="EC Square Sans Pro" w:hAnsi="EC Square Sans Pro"/>
      <w:lang w:eastAsia="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8139"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8139" w:themeFill="accent1"/>
      </w:tcPr>
    </w:tblStylePr>
    <w:tblStylePr w:type="lastCol">
      <w:rPr>
        <w:b/>
        <w:bCs/>
        <w:color w:val="FFFFFF" w:themeColor="background1"/>
      </w:rPr>
      <w:tblPr/>
      <w:tcPr>
        <w:tcBorders>
          <w:left w:val="nil"/>
          <w:right w:val="nil"/>
          <w:insideH w:val="nil"/>
          <w:insideV w:val="nil"/>
        </w:tcBorders>
        <w:shd w:val="clear" w:color="auto" w:fill="008139"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pPr>
      <w:spacing w:before="0" w:after="0" w:line="240" w:lineRule="auto"/>
    </w:pPr>
    <w:rPr>
      <w:rFonts w:ascii="EC Square Sans Pro" w:hAnsi="EC Square Sans Pro"/>
      <w:lang w:eastAsia="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E600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E6002" w:themeFill="accent2"/>
      </w:tcPr>
    </w:tblStylePr>
    <w:tblStylePr w:type="lastCol">
      <w:rPr>
        <w:b/>
        <w:bCs/>
        <w:color w:val="FFFFFF" w:themeColor="background1"/>
      </w:rPr>
      <w:tblPr/>
      <w:tcPr>
        <w:tcBorders>
          <w:left w:val="nil"/>
          <w:right w:val="nil"/>
          <w:insideH w:val="nil"/>
          <w:insideV w:val="nil"/>
        </w:tcBorders>
        <w:shd w:val="clear" w:color="auto" w:fill="DE600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pPr>
      <w:spacing w:before="0" w:after="0" w:line="240" w:lineRule="auto"/>
    </w:pPr>
    <w:rPr>
      <w:rFonts w:ascii="EC Square Sans Pro" w:hAnsi="EC Square Sans Pro"/>
      <w:lang w:eastAsia="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688FE"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688FE" w:themeFill="accent3"/>
      </w:tcPr>
    </w:tblStylePr>
    <w:tblStylePr w:type="lastCol">
      <w:rPr>
        <w:b/>
        <w:bCs/>
        <w:color w:val="FFFFFF" w:themeColor="background1"/>
      </w:rPr>
      <w:tblPr/>
      <w:tcPr>
        <w:tcBorders>
          <w:left w:val="nil"/>
          <w:right w:val="nil"/>
          <w:insideH w:val="nil"/>
          <w:insideV w:val="nil"/>
        </w:tcBorders>
        <w:shd w:val="clear" w:color="auto" w:fill="2688FE"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pPr>
      <w:spacing w:before="0" w:after="0" w:line="240" w:lineRule="auto"/>
    </w:pPr>
    <w:rPr>
      <w:rFonts w:ascii="EC Square Sans Pro" w:hAnsi="EC Square Sans Pro"/>
      <w:lang w:eastAsia="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DAB0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DAB07" w:themeFill="accent4"/>
      </w:tcPr>
    </w:tblStylePr>
    <w:tblStylePr w:type="lastCol">
      <w:rPr>
        <w:b/>
        <w:bCs/>
        <w:color w:val="FFFFFF" w:themeColor="background1"/>
      </w:rPr>
      <w:tblPr/>
      <w:tcPr>
        <w:tcBorders>
          <w:left w:val="nil"/>
          <w:right w:val="nil"/>
          <w:insideH w:val="nil"/>
          <w:insideV w:val="nil"/>
        </w:tcBorders>
        <w:shd w:val="clear" w:color="auto" w:fill="FDAB0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pPr>
      <w:spacing w:before="0" w:after="0" w:line="240" w:lineRule="auto"/>
    </w:pPr>
    <w:rPr>
      <w:rFonts w:ascii="EC Square Sans Pro" w:hAnsi="EC Square Sans Pro"/>
      <w:lang w:eastAsia="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C165D"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C165D" w:themeFill="accent5"/>
      </w:tcPr>
    </w:tblStylePr>
    <w:tblStylePr w:type="lastCol">
      <w:rPr>
        <w:b/>
        <w:bCs/>
        <w:color w:val="FFFFFF" w:themeColor="background1"/>
      </w:rPr>
      <w:tblPr/>
      <w:tcPr>
        <w:tcBorders>
          <w:left w:val="nil"/>
          <w:right w:val="nil"/>
          <w:insideH w:val="nil"/>
          <w:insideV w:val="nil"/>
        </w:tcBorders>
        <w:shd w:val="clear" w:color="auto" w:fill="DC165D"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pPr>
      <w:spacing w:before="0" w:after="0" w:line="240" w:lineRule="auto"/>
    </w:pPr>
    <w:rPr>
      <w:rFonts w:ascii="EC Square Sans Pro" w:hAnsi="EC Square Sans Pro"/>
      <w:lang w:eastAsia="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30A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30A0" w:themeFill="accent6"/>
      </w:tcPr>
    </w:tblStylePr>
    <w:tblStylePr w:type="lastCol">
      <w:rPr>
        <w:b/>
        <w:bCs/>
        <w:color w:val="FFFFFF" w:themeColor="background1"/>
      </w:rPr>
      <w:tblPr/>
      <w:tcPr>
        <w:tcBorders>
          <w:left w:val="nil"/>
          <w:right w:val="nil"/>
          <w:insideH w:val="nil"/>
          <w:insideV w:val="nil"/>
        </w:tcBorders>
        <w:shd w:val="clear" w:color="auto" w:fill="7030A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pPr>
      <w:spacing w:after="0" w:line="240" w:lineRule="auto"/>
    </w:pPr>
    <w:rPr>
      <w:rFonts w:ascii="EC Square Sans Pro" w:hAnsi="EC Square Sans Pro"/>
      <w:lang w:eastAsia="en-GB"/>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pPr>
      <w:spacing w:after="0" w:line="240" w:lineRule="auto"/>
    </w:pPr>
    <w:rPr>
      <w:rFonts w:ascii="EC Square Sans Pro" w:hAnsi="EC Square Sans Pro"/>
      <w:lang w:eastAsia="en-GB"/>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pPr>
      <w:spacing w:after="0" w:line="240" w:lineRule="auto"/>
    </w:pPr>
    <w:rPr>
      <w:rFonts w:ascii="EC Square Sans Pro" w:hAnsi="EC Square Sans Pro"/>
      <w:lang w:eastAsia="en-GB"/>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pPr>
      <w:spacing w:after="0" w:line="240" w:lineRule="auto"/>
    </w:pPr>
    <w:rPr>
      <w:rFonts w:ascii="EC Square Sans Pro" w:hAnsi="EC Square Sans Pro"/>
      <w:lang w:eastAsia="en-GB"/>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pPr>
      <w:spacing w:after="0" w:line="240" w:lineRule="auto"/>
    </w:pPr>
    <w:rPr>
      <w:rFonts w:ascii="EC Square Sans Pro" w:hAnsi="EC Square Sans Pro"/>
      <w:lang w:eastAsia="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rPr>
      <w:rFonts w:ascii="EC Square Sans Pro" w:hAnsi="EC Square Sans Pro"/>
      <w:lang w:eastAsia="en-GB"/>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Pr>
      <w:rFonts w:ascii="EC Square Sans Pro" w:hAnsi="EC Square Sans Pro"/>
      <w:lang w:eastAsia="en-GB"/>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Pr>
      <w:rFonts w:ascii="EC Square Sans Pro" w:hAnsi="EC Square Sans Pro"/>
      <w:lang w:eastAsia="en-GB"/>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Pr>
      <w:rFonts w:ascii="EC Square Sans Pro" w:hAnsi="EC Square Sans Pro"/>
      <w:lang w:eastAsia="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Pr>
      <w:rFonts w:ascii="EC Square Sans Pro" w:hAnsi="EC Square Sans Pro"/>
      <w:lang w:eastAsia="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Pr>
      <w:rFonts w:ascii="EC Square Sans Pro" w:hAnsi="EC Square Sans Pro"/>
      <w:color w:val="000080"/>
      <w:lang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Pr>
      <w:rFonts w:ascii="EC Square Sans Pro" w:hAnsi="EC Square Sans Pro"/>
      <w:lang w:eastAsia="en-GB"/>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Pr>
      <w:rFonts w:ascii="EC Square Sans Pro" w:hAnsi="EC Square Sans Pro"/>
      <w:color w:val="FFFFFF"/>
      <w:lang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Pr>
      <w:rFonts w:ascii="EC Square Sans Pro" w:hAnsi="EC Square Sans Pro"/>
      <w:lang w:eastAsia="en-GB"/>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Pr>
      <w:rFonts w:ascii="EC Square Sans Pro" w:hAnsi="EC Square Sans Pro"/>
      <w:lang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Pr>
      <w:rFonts w:ascii="EC Square Sans Pro" w:hAnsi="EC Square Sans Pro"/>
      <w:b/>
      <w:bCs/>
      <w:lang w:eastAsia="en-G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Pr>
      <w:rFonts w:ascii="EC Square Sans Pro" w:hAnsi="EC Square Sans Pro"/>
      <w:b/>
      <w:bCs/>
      <w:lang w:eastAsia="en-GB"/>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Pr>
      <w:rFonts w:ascii="EC Square Sans Pro" w:hAnsi="EC Square Sans Pro"/>
      <w:b/>
      <w:bCs/>
      <w:lang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Pr>
      <w:rFonts w:ascii="EC Square Sans Pro" w:hAnsi="EC Square Sans Pro"/>
      <w:lang w:eastAsia="en-GB"/>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Pr>
      <w:rFonts w:ascii="EC Square Sans Pro" w:hAnsi="EC Square Sans Pro"/>
      <w:lang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Pr>
      <w:rFonts w:ascii="EC Square Sans Pro" w:hAnsi="EC Square Sans Pro"/>
      <w:lang w:eastAsia="en-GB"/>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Pr>
      <w:rFonts w:ascii="EC Square Sans Pro" w:hAnsi="EC Square Sans Pro"/>
      <w:lang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rPr>
      <w:rFonts w:ascii="EC Square Sans Pro" w:hAnsi="EC Square Sans Pro"/>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Pr>
      <w:rFonts w:ascii="EC Square Sans Pro" w:hAnsi="EC Square Sans Pro"/>
      <w:lang w:eastAsia="en-GB"/>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Pr>
      <w:rFonts w:ascii="EC Square Sans Pro" w:hAnsi="EC Square Sans Pro"/>
      <w:lang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Pr>
      <w:rFonts w:ascii="EC Square Sans Pro" w:hAnsi="EC Square Sans Pro"/>
      <w:lang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Pr>
      <w:rFonts w:ascii="EC Square Sans Pro" w:hAnsi="EC Square Sans Pro"/>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Pr>
      <w:rFonts w:ascii="EC Square Sans Pro" w:hAnsi="EC Square Sans Pro"/>
      <w:lang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Pr>
      <w:rFonts w:ascii="EC Square Sans Pro" w:hAnsi="EC Square Sans Pro"/>
      <w:b/>
      <w:bCs/>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Pr>
      <w:rFonts w:ascii="EC Square Sans Pro" w:hAnsi="EC Square Sans Pro"/>
      <w:lang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pPr>
      <w:spacing w:after="0" w:line="240" w:lineRule="auto"/>
    </w:pPr>
    <w:rPr>
      <w:rFonts w:ascii="EC Square Sans Pro" w:hAnsi="EC Square Sans Pro"/>
      <w:lang w:eastAsia="en-GB"/>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rPr>
      <w:rFonts w:ascii="EC Square Sans Pro" w:hAnsi="EC Square Sans Pro"/>
      <w:lang w:eastAsia="en-GB"/>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Pr>
      <w:rFonts w:ascii="EC Square Sans Pro" w:hAnsi="EC Square Sans Pro"/>
      <w:lang w:eastAsia="en-GB"/>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Pr>
      <w:rFonts w:ascii="EC Square Sans Pro" w:hAnsi="EC Square Sans Pro"/>
      <w:lang w:eastAsia="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Pr>
      <w:rFonts w:ascii="EC Square Sans Pro" w:hAnsi="EC Square Sans Pro"/>
      <w:lang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Pr>
      <w:rFonts w:ascii="EC Square Sans Pro" w:hAnsi="EC Square Sans Pro"/>
      <w:lang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Pr>
      <w:rFonts w:ascii="EC Square Sans Pro" w:hAnsi="EC Square Sans Pro"/>
      <w:lang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Pr>
      <w:rFonts w:ascii="EC Square Sans Pro" w:hAnsi="EC Square Sans Pro"/>
      <w:lang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Pr>
      <w:rFonts w:ascii="EC Square Sans Pro" w:hAnsi="EC Square Sans Pro"/>
      <w:lang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Pr>
      <w:rFonts w:ascii="EC Square Sans Pro" w:hAnsi="EC Square Sans Pro"/>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Pr>
      <w:rFonts w:ascii="EC Square Sans Pro" w:hAnsi="EC Square Sans Pro"/>
      <w:lang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Pr>
      <w:rFonts w:ascii="EC Square Sans Pro" w:hAnsi="EC Square Sans Pro"/>
      <w:lang w:eastAsia="en-GB"/>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Pr>
      <w:rFonts w:ascii="EC Square Sans Pro" w:hAnsi="EC Square Sans Pro"/>
      <w:lang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Pr>
      <w:rFonts w:ascii="EC Square Sans Pro" w:hAnsi="EC Square Sans Pro"/>
      <w:lang w:eastAsia="en-GB"/>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Pr>
      <w:rFonts w:ascii="EC Square Sans Pro" w:hAnsi="EC Square Sans Pro"/>
      <w:lang w:eastAsia="en-GB"/>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Pr>
      <w:rFonts w:ascii="EC Square Sans Pro" w:hAnsi="EC Square Sans Pro"/>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Pr>
      <w:rFonts w:ascii="EC Square Sans Pro" w:hAnsi="EC Square Sans Pro"/>
      <w:lang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Pr>
      <w:rFonts w:ascii="EC Square Sans Pro" w:hAnsi="EC Square Sans Pro"/>
      <w:lang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Pr>
      <w:rFonts w:ascii="EC Square Sans Pro" w:hAnsi="EC Square Sans Pro"/>
      <w:lang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Revision">
    <w:name w:val="Revision"/>
    <w:hidden/>
    <w:semiHidden/>
    <w:pPr>
      <w:spacing w:before="0" w:after="0" w:line="240" w:lineRule="auto"/>
    </w:pPr>
    <w:rPr>
      <w:rFonts w:ascii="EC Square Sans Pro" w:hAnsi="EC Square Sans Pro"/>
      <w:lang w:eastAsia="en-GB"/>
    </w:rPr>
  </w:style>
  <w:style w:type="paragraph" w:customStyle="1" w:styleId="TypedudocumentPagedecouverture">
    <w:name w:val="Type du document (Page de couverture)"/>
    <w:basedOn w:val="Normal"/>
    <w:next w:val="Normal"/>
    <w:pPr>
      <w:spacing w:before="360" w:after="0" w:line="240" w:lineRule="auto"/>
      <w:jc w:val="center"/>
    </w:pPr>
    <w:rPr>
      <w:rFonts w:ascii="Times New Roman" w:eastAsia="Calibri" w:hAnsi="Times New Roman"/>
      <w:b/>
      <w:sz w:val="24"/>
      <w:szCs w:val="22"/>
      <w:lang w:eastAsia="en-US"/>
    </w:rPr>
  </w:style>
  <w:style w:type="character" w:customStyle="1" w:styleId="Italic">
    <w:name w:val="Italic"/>
    <w:basedOn w:val="DefaultParagraphFont"/>
    <w:qFormat/>
    <w:rPr>
      <w:i/>
      <w:noProof w:val="0"/>
      <w:szCs w:val="18"/>
    </w:rPr>
  </w:style>
  <w:style w:type="character" w:customStyle="1" w:styleId="BoldItalic">
    <w:name w:val="Bold Italic"/>
    <w:basedOn w:val="DefaultParagraphFont"/>
    <w:qFormat/>
    <w:rPr>
      <w:b/>
      <w:i/>
      <w:noProof w:val="0"/>
      <w:spacing w:val="1"/>
      <w:szCs w:val="18"/>
    </w:rPr>
  </w:style>
  <w:style w:type="paragraph" w:customStyle="1" w:styleId="H1-AboutEU">
    <w:name w:val="H1 - About EU"/>
    <w:uiPriority w:val="2"/>
    <w:pPr>
      <w:suppressAutoHyphens/>
      <w:spacing w:before="480"/>
      <w:outlineLvl w:val="0"/>
    </w:pPr>
    <w:rPr>
      <w:rFonts w:asciiTheme="majorHAnsi" w:hAnsiTheme="majorHAnsi"/>
      <w:b/>
      <w:color w:val="003399" w:themeColor="text2"/>
      <w:sz w:val="28"/>
      <w:lang w:eastAsia="en-GB"/>
    </w:rPr>
  </w:style>
  <w:style w:type="paragraph" w:customStyle="1" w:styleId="Bulletforinfographic">
    <w:name w:val="Bullet for infographic"/>
    <w:uiPriority w:val="2"/>
    <w:pPr>
      <w:numPr>
        <w:numId w:val="27"/>
      </w:numPr>
      <w:suppressAutoHyphens/>
      <w:spacing w:before="60" w:after="60"/>
    </w:pPr>
    <w:rPr>
      <w:rFonts w:ascii="EC Square Sans Pro" w:hAnsi="EC Square Sans Pro"/>
      <w:sz w:val="18"/>
      <w:lang w:eastAsia="en-GB"/>
    </w:rPr>
  </w:style>
  <w:style w:type="numbering" w:customStyle="1" w:styleId="LISTBulletforinfographic">
    <w:name w:val="LIST_Bullet_for_infographic"/>
    <w:uiPriority w:val="99"/>
    <w:pPr>
      <w:numPr>
        <w:numId w:val="7"/>
      </w:numPr>
    </w:pPr>
  </w:style>
  <w:style w:type="numbering" w:customStyle="1" w:styleId="LISTAboutEUpage">
    <w:name w:val="LIST (About EU page)"/>
    <w:uiPriority w:val="99"/>
    <w:pPr>
      <w:numPr>
        <w:numId w:val="8"/>
      </w:numPr>
    </w:pPr>
  </w:style>
  <w:style w:type="numbering" w:customStyle="1" w:styleId="LISTBullet0">
    <w:name w:val="LIST_Bullet"/>
    <w:uiPriority w:val="99"/>
    <w:pPr>
      <w:numPr>
        <w:numId w:val="9"/>
      </w:numPr>
    </w:pPr>
  </w:style>
  <w:style w:type="paragraph" w:styleId="ListParagraph">
    <w:name w:val="List Paragraph"/>
    <w:basedOn w:val="ListBullet"/>
    <w:uiPriority w:val="34"/>
  </w:style>
  <w:style w:type="numbering" w:customStyle="1" w:styleId="ListBulletLIST">
    <w:name w:val="List Bullet LIST"/>
    <w:uiPriority w:val="99"/>
    <w:pPr>
      <w:numPr>
        <w:numId w:val="10"/>
      </w:numPr>
    </w:pPr>
  </w:style>
  <w:style w:type="character" w:customStyle="1" w:styleId="UnresolvedMention">
    <w:name w:val="Unresolved Mention"/>
    <w:basedOn w:val="DefaultParagraphFont"/>
    <w:uiPriority w:val="99"/>
    <w:semiHidden/>
    <w:unhideWhenUsed/>
    <w:rPr>
      <w:noProof w:val="0"/>
      <w:color w:val="605E5C"/>
      <w:shd w:val="clear" w:color="auto" w:fill="E1DFDD"/>
    </w:rPr>
  </w:style>
  <w:style w:type="table" w:customStyle="1" w:styleId="BodyTable">
    <w:name w:val="Body Table"/>
    <w:basedOn w:val="TableNormal"/>
    <w:uiPriority w:val="99"/>
    <w:unhideWhenUsed/>
    <w:pPr>
      <w:spacing w:before="60" w:after="60" w:line="240" w:lineRule="auto"/>
    </w:pPr>
    <w:rPr>
      <w:rFonts w:ascii="EC Square Sans Pro" w:eastAsia="EC Square Sans Pro" w:hAnsi="EC Square Sans Pro" w:cs="Tunga"/>
      <w:sz w:val="18"/>
      <w:lang w:eastAsia="en-US"/>
    </w:rPr>
    <w:tblPr>
      <w:tblStyleRowBandSize w:val="1"/>
      <w:jc w:val="center"/>
      <w:tblBorders>
        <w:insideH w:val="single" w:sz="4" w:space="0" w:color="8C8C8C"/>
        <w:insideV w:val="single" w:sz="4" w:space="0" w:color="8C8C8C"/>
      </w:tblBorders>
    </w:tblPr>
    <w:trPr>
      <w:cantSplit/>
      <w:jc w:val="center"/>
    </w:trPr>
    <w:tcPr>
      <w:shd w:val="clear" w:color="auto" w:fill="auto"/>
    </w:tcPr>
    <w:tblStylePr w:type="firstRow">
      <w:pPr>
        <w:wordWrap/>
        <w:spacing w:beforeLines="0" w:before="100" w:beforeAutospacing="0" w:afterLines="0" w:after="100" w:afterAutospacing="0" w:line="240" w:lineRule="auto"/>
        <w:contextualSpacing w:val="0"/>
        <w:jc w:val="center"/>
      </w:pPr>
      <w:rPr>
        <w:b/>
        <w:color w:val="FFFFFF"/>
      </w:rPr>
      <w:tblPr/>
      <w:tcPr>
        <w:tcBorders>
          <w:top w:val="single" w:sz="12" w:space="0" w:color="FFFFFF" w:themeColor="background1"/>
          <w:left w:val="single" w:sz="12" w:space="0" w:color="FFFFFF" w:themeColor="background1"/>
          <w:bottom w:val="nil"/>
          <w:right w:val="single" w:sz="12" w:space="0" w:color="FFFFFF" w:themeColor="background1"/>
          <w:insideH w:val="single" w:sz="4" w:space="0" w:color="FFFFFF" w:themeColor="background1"/>
          <w:insideV w:val="single" w:sz="4" w:space="0" w:color="FFFFFF" w:themeColor="background1"/>
          <w:tl2br w:val="nil"/>
          <w:tr2bl w:val="nil"/>
        </w:tcBorders>
        <w:shd w:val="clear" w:color="auto" w:fill="003399" w:themeFill="text2"/>
      </w:tcPr>
    </w:tblStylePr>
    <w:tblStylePr w:type="lastRow">
      <w:rPr>
        <w:b/>
        <w:i w:val="0"/>
        <w:color w:val="000000" w:themeColor="text1"/>
      </w:rPr>
      <w:tblPr/>
      <w:tcPr>
        <w:tcBorders>
          <w:top w:val="single" w:sz="4" w:space="0" w:color="8C8C8C"/>
          <w:left w:val="nil"/>
          <w:bottom w:val="nil"/>
          <w:right w:val="nil"/>
          <w:insideH w:val="nil"/>
          <w:insideV w:val="single" w:sz="4" w:space="0" w:color="8C8C8C"/>
          <w:tl2br w:val="nil"/>
          <w:tr2bl w:val="nil"/>
        </w:tcBorders>
        <w:shd w:val="clear" w:color="auto" w:fill="E1F3F2"/>
      </w:tcPr>
    </w:tblStylePr>
    <w:tblStylePr w:type="firstCol">
      <w:rPr>
        <w:b/>
        <w:i w:val="0"/>
        <w:color w:val="003399" w:themeColor="text2"/>
      </w:rPr>
    </w:tblStylePr>
    <w:tblStylePr w:type="band1Horz">
      <w:tblPr/>
      <w:tcPr>
        <w:tcBorders>
          <w:top w:val="nil"/>
          <w:left w:val="nil"/>
          <w:bottom w:val="nil"/>
          <w:right w:val="nil"/>
          <w:insideH w:val="nil"/>
          <w:insideV w:val="single" w:sz="4" w:space="0" w:color="8C8C8C"/>
          <w:tl2br w:val="nil"/>
          <w:tr2bl w:val="nil"/>
        </w:tcBorders>
        <w:shd w:val="clear" w:color="auto" w:fill="auto"/>
      </w:tcPr>
    </w:tblStylePr>
    <w:tblStylePr w:type="band2Horz">
      <w:tblPr/>
      <w:tcPr>
        <w:tcBorders>
          <w:top w:val="single" w:sz="4" w:space="0" w:color="8C8C8C"/>
          <w:left w:val="nil"/>
          <w:bottom w:val="single" w:sz="4" w:space="0" w:color="8C8C8C"/>
          <w:right w:val="nil"/>
          <w:insideH w:val="nil"/>
          <w:insideV w:val="single" w:sz="4" w:space="0" w:color="8C8C8C"/>
          <w:tl2br w:val="nil"/>
          <w:tr2bl w:val="nil"/>
        </w:tcBorders>
        <w:shd w:val="clear" w:color="auto" w:fill="F2F2F2"/>
      </w:tcPr>
    </w:tblStylePr>
  </w:style>
  <w:style w:type="table" w:customStyle="1" w:styleId="BodyTable1">
    <w:name w:val="Body Table1"/>
    <w:basedOn w:val="TableNormal"/>
    <w:uiPriority w:val="99"/>
    <w:locked/>
    <w:pPr>
      <w:spacing w:before="60" w:after="60" w:line="240" w:lineRule="auto"/>
    </w:pPr>
    <w:rPr>
      <w:rFonts w:ascii="EC Square Sans Pro" w:eastAsia="EC Square Sans Pro" w:hAnsi="EC Square Sans Pro" w:cs="Tunga"/>
      <w:sz w:val="18"/>
      <w:lang w:eastAsia="en-US"/>
    </w:rPr>
    <w:tblPr>
      <w:tblStyleRowBandSize w:val="1"/>
      <w:tblInd w:w="0" w:type="nil"/>
      <w:tblBorders>
        <w:insideH w:val="single" w:sz="4" w:space="0" w:color="8C8C8C"/>
        <w:insideV w:val="single" w:sz="4" w:space="0" w:color="8C8C8C"/>
      </w:tblBorders>
    </w:tblPr>
    <w:tblStylePr w:type="firstRow">
      <w:pPr>
        <w:wordWrap/>
        <w:spacing w:beforeLines="0" w:before="100" w:beforeAutospacing="1" w:afterLines="0" w:after="100" w:afterAutospacing="1" w:line="240" w:lineRule="auto"/>
        <w:jc w:val="center"/>
      </w:pPr>
      <w:rPr>
        <w:b/>
        <w:color w:val="FFFFFF"/>
      </w:rPr>
      <w:tblPr/>
      <w:tcPr>
        <w:tcBorders>
          <w:top w:val="single" w:sz="12" w:space="0" w:color="FFFFFF" w:themeColor="background1"/>
          <w:left w:val="single" w:sz="12" w:space="0" w:color="FFFFFF" w:themeColor="background1"/>
          <w:bottom w:val="nil"/>
          <w:right w:val="single" w:sz="12" w:space="0" w:color="FFFFFF" w:themeColor="background1"/>
          <w:insideH w:val="single" w:sz="4" w:space="0" w:color="FFFFFF" w:themeColor="background1"/>
          <w:insideV w:val="single" w:sz="4" w:space="0" w:color="FFFFFF" w:themeColor="background1"/>
          <w:tl2br w:val="nil"/>
          <w:tr2bl w:val="nil"/>
        </w:tcBorders>
        <w:shd w:val="clear" w:color="auto" w:fill="003399" w:themeFill="text2"/>
      </w:tcPr>
    </w:tblStylePr>
    <w:tblStylePr w:type="lastRow">
      <w:rPr>
        <w:b/>
        <w:i w:val="0"/>
        <w:color w:val="000000" w:themeColor="text1"/>
      </w:rPr>
      <w:tblPr/>
      <w:tcPr>
        <w:tcBorders>
          <w:top w:val="single" w:sz="4" w:space="0" w:color="8C8C8C"/>
          <w:left w:val="nil"/>
          <w:bottom w:val="nil"/>
          <w:right w:val="nil"/>
          <w:insideH w:val="nil"/>
          <w:insideV w:val="single" w:sz="4" w:space="0" w:color="8C8C8C"/>
          <w:tl2br w:val="nil"/>
          <w:tr2bl w:val="nil"/>
        </w:tcBorders>
        <w:shd w:val="clear" w:color="auto" w:fill="E1F3F2"/>
      </w:tcPr>
    </w:tblStylePr>
    <w:tblStylePr w:type="firstCol">
      <w:rPr>
        <w:b/>
        <w:i w:val="0"/>
        <w:color w:val="003399" w:themeColor="text2"/>
      </w:rPr>
    </w:tblStylePr>
    <w:tblStylePr w:type="band1Horz">
      <w:tblPr/>
      <w:tcPr>
        <w:tcBorders>
          <w:top w:val="nil"/>
          <w:left w:val="nil"/>
          <w:bottom w:val="nil"/>
          <w:right w:val="nil"/>
          <w:insideH w:val="nil"/>
          <w:insideV w:val="single" w:sz="4" w:space="0" w:color="8C8C8C"/>
          <w:tl2br w:val="nil"/>
          <w:tr2bl w:val="nil"/>
        </w:tcBorders>
      </w:tcPr>
    </w:tblStylePr>
    <w:tblStylePr w:type="band2Horz">
      <w:tblPr/>
      <w:tcPr>
        <w:tcBorders>
          <w:top w:val="single" w:sz="4" w:space="0" w:color="8C8C8C"/>
          <w:left w:val="nil"/>
          <w:bottom w:val="single" w:sz="4" w:space="0" w:color="8C8C8C"/>
          <w:right w:val="nil"/>
          <w:insideH w:val="nil"/>
          <w:insideV w:val="single" w:sz="4" w:space="0" w:color="8C8C8C"/>
          <w:tl2br w:val="nil"/>
          <w:tr2bl w:val="nil"/>
        </w:tcBorders>
        <w:shd w:val="clear" w:color="auto" w:fill="F2F2F2"/>
      </w:tcPr>
    </w:tblStylePr>
  </w:style>
  <w:style w:type="paragraph" w:customStyle="1" w:styleId="amprquotetext">
    <w:name w:val="[ampr quote] text"/>
    <w:basedOn w:val="Normal"/>
  </w:style>
  <w:style w:type="paragraph" w:customStyle="1" w:styleId="ListBulletblueLevel1">
    <w:name w:val="List Bullet_blue (Level 1)"/>
    <w:uiPriority w:val="3"/>
    <w:qFormat/>
    <w:pPr>
      <w:numPr>
        <w:numId w:val="28"/>
      </w:numPr>
      <w:spacing w:before="60" w:after="60"/>
    </w:pPr>
    <w:rPr>
      <w:rFonts w:ascii="EC Square Sans Pro" w:hAnsi="EC Square Sans Pro"/>
      <w:lang w:eastAsia="en-GB"/>
    </w:rPr>
  </w:style>
  <w:style w:type="numbering" w:customStyle="1" w:styleId="ListBulletblueLIST">
    <w:name w:val="List Bullet_blue LIST"/>
    <w:uiPriority w:val="99"/>
    <w:pPr>
      <w:numPr>
        <w:numId w:val="28"/>
      </w:numPr>
    </w:pPr>
  </w:style>
  <w:style w:type="character" w:customStyle="1" w:styleId="Hashtag">
    <w:name w:val="Hashtag"/>
    <w:basedOn w:val="DefaultParagraphFont"/>
    <w:uiPriority w:val="99"/>
    <w:semiHidden/>
    <w:unhideWhenUsed/>
    <w:rPr>
      <w:noProof w:val="0"/>
      <w:color w:val="2B579A"/>
      <w:shd w:val="clear" w:color="auto" w:fill="E1DFDD"/>
    </w:rPr>
  </w:style>
  <w:style w:type="character" w:customStyle="1" w:styleId="Mention">
    <w:name w:val="Mention"/>
    <w:basedOn w:val="DefaultParagraphFont"/>
    <w:uiPriority w:val="99"/>
    <w:unhideWhenUsed/>
    <w:rPr>
      <w:noProof w:val="0"/>
      <w:color w:val="2B579A"/>
      <w:shd w:val="clear" w:color="auto" w:fill="E1DFDD"/>
    </w:rPr>
  </w:style>
  <w:style w:type="character" w:customStyle="1" w:styleId="SmartHyperlink">
    <w:name w:val="Smart Hyperlink"/>
    <w:basedOn w:val="DefaultParagraphFont"/>
    <w:uiPriority w:val="99"/>
    <w:semiHidden/>
    <w:unhideWhenUsed/>
    <w:rPr>
      <w:noProof w:val="0"/>
      <w:u w:val="dotted"/>
    </w:rPr>
  </w:style>
  <w:style w:type="character" w:customStyle="1" w:styleId="SmartLink">
    <w:name w:val="Smart Link"/>
    <w:basedOn w:val="DefaultParagraphFont"/>
    <w:uiPriority w:val="99"/>
    <w:semiHidden/>
    <w:unhideWhenUsed/>
    <w:rPr>
      <w:noProof w:val="0"/>
      <w:color w:val="0000FF"/>
      <w:u w:val="single"/>
      <w:shd w:val="clear" w:color="auto" w:fill="F3F2F1"/>
    </w:rPr>
  </w:style>
  <w:style w:type="paragraph" w:customStyle="1" w:styleId="amprboxBLUEBoxTitle">
    <w:name w:val="[ampr box BLUE] Box Title"/>
    <w:basedOn w:val="amprboxBLUEtext"/>
    <w:next w:val="amprboxBLUEtext"/>
    <w:uiPriority w:val="4"/>
    <w:qFormat/>
    <w:pPr>
      <w:keepNext/>
      <w:keepLines/>
    </w:pPr>
    <w:rPr>
      <w:rFonts w:ascii="EC Square Sans Pro Medium" w:hAnsi="EC Square Sans Pro Medium"/>
      <w:color w:val="D13400"/>
      <w:sz w:val="22"/>
      <w:szCs w:val="22"/>
    </w:rPr>
  </w:style>
  <w:style w:type="paragraph" w:customStyle="1" w:styleId="amprboxbulletlist">
    <w:name w:val="[ampr box] bullet list"/>
    <w:basedOn w:val="amprboxtext"/>
    <w:uiPriority w:val="3"/>
    <w:qFormat/>
    <w:pPr>
      <w:numPr>
        <w:numId w:val="30"/>
      </w:numPr>
      <w:tabs>
        <w:tab w:val="num" w:pos="1492"/>
      </w:tabs>
      <w:spacing w:before="60" w:after="60"/>
    </w:pPr>
    <w:rPr>
      <w:noProof/>
    </w:rPr>
  </w:style>
  <w:style w:type="numbering" w:customStyle="1" w:styleId="amprboxbulletlistLIST">
    <w:name w:val="[ampr box] bullet list LIST"/>
    <w:uiPriority w:val="99"/>
    <w:pPr>
      <w:numPr>
        <w:numId w:val="29"/>
      </w:numPr>
    </w:pPr>
  </w:style>
  <w:style w:type="paragraph" w:customStyle="1" w:styleId="BoxTitleblue">
    <w:name w:val="Box Title (blue)"/>
    <w:basedOn w:val="BoxTitle"/>
    <w:next w:val="Normal"/>
    <w:uiPriority w:val="4"/>
    <w:qFormat/>
    <w:rPr>
      <w:color w:val="003399" w:themeColor="text2"/>
    </w:rPr>
  </w:style>
  <w:style w:type="numbering" w:customStyle="1" w:styleId="amprboxBLUEbulletlistLIST">
    <w:name w:val="[ampr box BLUE] bullet list LIST"/>
    <w:uiPriority w:val="99"/>
    <w:pPr>
      <w:numPr>
        <w:numId w:val="32"/>
      </w:numPr>
    </w:pPr>
  </w:style>
  <w:style w:type="paragraph" w:customStyle="1" w:styleId="ListBulletorangeLevel1">
    <w:name w:val="List Bullet_orange (Level 1)"/>
    <w:uiPriority w:val="3"/>
    <w:qFormat/>
    <w:pPr>
      <w:numPr>
        <w:numId w:val="33"/>
      </w:numPr>
      <w:spacing w:before="60" w:after="60"/>
    </w:pPr>
    <w:rPr>
      <w:rFonts w:ascii="EC Square Sans Pro" w:hAnsi="EC Square Sans Pro"/>
      <w:lang w:eastAsia="en-GB"/>
    </w:rPr>
  </w:style>
  <w:style w:type="numbering" w:customStyle="1" w:styleId="ListBulletorangeLIST">
    <w:name w:val="List Bullet_orange LIST"/>
    <w:uiPriority w:val="99"/>
    <w:pPr>
      <w:numPr>
        <w:numId w:val="33"/>
      </w:numPr>
    </w:pPr>
  </w:style>
  <w:style w:type="paragraph" w:customStyle="1" w:styleId="Footnotetextbullet">
    <w:name w:val="Footnote text bullet"/>
    <w:basedOn w:val="FootnoteText"/>
    <w:uiPriority w:val="1"/>
    <w:qFormat/>
    <w:pPr>
      <w:numPr>
        <w:numId w:val="34"/>
      </w:numPr>
    </w:pPr>
  </w:style>
  <w:style w:type="numbering" w:customStyle="1" w:styleId="FootnotetextbulletLIST">
    <w:name w:val="Footnote text bullet LIST"/>
    <w:uiPriority w:val="99"/>
    <w:pPr>
      <w:numPr>
        <w:numId w:val="34"/>
      </w:numPr>
    </w:pPr>
  </w:style>
  <w:style w:type="numbering" w:customStyle="1" w:styleId="NumberedwithindentLIST">
    <w:name w:val="Numbered with indent LIST"/>
    <w:uiPriority w:val="99"/>
    <w:pPr>
      <w:numPr>
        <w:numId w:val="35"/>
      </w:numPr>
    </w:pPr>
  </w:style>
  <w:style w:type="character" w:customStyle="1" w:styleId="Marker">
    <w:name w:val="Marker"/>
    <w:basedOn w:val="DefaultParagraphFont"/>
    <w:rPr>
      <w:color w:val="0000FF"/>
      <w:shd w:val="clear" w:color="auto" w:fill="auto"/>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b/>
      <w:sz w:val="32"/>
    </w:rPr>
  </w:style>
  <w:style w:type="character" w:customStyle="1" w:styleId="FooterSensitivityChar">
    <w:name w:val="Footer Sensitivity Char"/>
    <w:basedOn w:val="DefaultParagraphFont"/>
    <w:link w:val="FooterSensitivity"/>
    <w:rPr>
      <w:rFonts w:ascii="Times New Roman" w:hAnsi="Times New Roman"/>
      <w:b/>
      <w:sz w:val="32"/>
      <w:lang w:eastAsia="en-GB"/>
    </w:rPr>
  </w:style>
  <w:style w:type="paragraph" w:customStyle="1" w:styleId="HeaderCoverPage">
    <w:name w:val="Header Cover Page"/>
    <w:basedOn w:val="Normal"/>
    <w:link w:val="HeaderCoverPageChar"/>
    <w:pPr>
      <w:tabs>
        <w:tab w:val="center" w:pos="4535"/>
        <w:tab w:val="right" w:pos="9071"/>
      </w:tabs>
      <w:spacing w:before="0" w:after="120" w:line="240" w:lineRule="auto"/>
      <w:jc w:val="both"/>
    </w:pPr>
    <w:rPr>
      <w:rFonts w:ascii="Times New Roman" w:hAnsi="Times New Roman"/>
      <w:sz w:val="24"/>
    </w:rPr>
  </w:style>
  <w:style w:type="character" w:customStyle="1" w:styleId="HeaderCoverPageChar">
    <w:name w:val="Header Cover Page Char"/>
    <w:basedOn w:val="DefaultParagraphFont"/>
    <w:link w:val="HeaderCoverPage"/>
    <w:rPr>
      <w:rFonts w:ascii="Times New Roman" w:hAnsi="Times New Roman"/>
      <w:sz w:val="24"/>
      <w:lang w:eastAsia="en-GB"/>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before="0" w:after="120" w:line="240" w:lineRule="auto"/>
      <w:ind w:left="113" w:right="113"/>
      <w:jc w:val="center"/>
    </w:pPr>
    <w:rPr>
      <w:rFonts w:ascii="Times New Roman" w:hAnsi="Times New Roman"/>
      <w:b/>
      <w:sz w:val="32"/>
    </w:rPr>
  </w:style>
  <w:style w:type="character" w:customStyle="1" w:styleId="HeaderSensitivityChar">
    <w:name w:val="Header Sensitivity Char"/>
    <w:basedOn w:val="DefaultParagraphFont"/>
    <w:link w:val="HeaderSensitivity"/>
    <w:rPr>
      <w:rFonts w:ascii="Times New Roman" w:hAnsi="Times New Roman"/>
      <w:b/>
      <w:sz w:val="32"/>
      <w:lang w:eastAsia="en-GB"/>
    </w:rPr>
  </w:style>
  <w:style w:type="paragraph" w:customStyle="1" w:styleId="HeaderSensitivityRight">
    <w:name w:val="Header Sensitivity Right"/>
    <w:basedOn w:val="Normal"/>
    <w:link w:val="HeaderSensitivityRightChar"/>
    <w:pPr>
      <w:spacing w:before="0" w:after="120" w:line="240" w:lineRule="auto"/>
      <w:jc w:val="right"/>
    </w:pPr>
    <w:rPr>
      <w:rFonts w:ascii="Times New Roman" w:hAnsi="Times New Roman"/>
      <w:sz w:val="28"/>
    </w:rPr>
  </w:style>
  <w:style w:type="character" w:customStyle="1" w:styleId="HeaderSensitivityRightChar">
    <w:name w:val="Header Sensitivity Right Char"/>
    <w:basedOn w:val="DefaultParagraphFont"/>
    <w:link w:val="HeaderSensitivityRight"/>
    <w:rPr>
      <w:rFonts w:ascii="Times New Roman" w:hAnsi="Times New Roman"/>
      <w:sz w:val="28"/>
      <w:lang w:eastAsia="en-GB"/>
    </w:rPr>
  </w:style>
  <w:style w:type="paragraph" w:customStyle="1" w:styleId="BulletforinfographicVol1">
    <w:name w:val="Bullet for infographic (Vol1)"/>
    <w:basedOn w:val="Normal"/>
    <w:uiPriority w:val="1"/>
    <w:qFormat/>
    <w:pPr>
      <w:numPr>
        <w:numId w:val="11"/>
      </w:numPr>
      <w:suppressAutoHyphens w:val="0"/>
      <w:spacing w:before="0" w:after="0" w:line="240" w:lineRule="auto"/>
      <w:contextualSpacing/>
    </w:pPr>
    <w:rPr>
      <w:rFonts w:eastAsia="+mn-ea" w:cs="+mn-cs"/>
      <w:color w:val="000000"/>
      <w:kern w:val="24"/>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398717">
      <w:bodyDiv w:val="1"/>
      <w:marLeft w:val="0"/>
      <w:marRight w:val="0"/>
      <w:marTop w:val="0"/>
      <w:marBottom w:val="0"/>
      <w:divBdr>
        <w:top w:val="none" w:sz="0" w:space="0" w:color="auto"/>
        <w:left w:val="none" w:sz="0" w:space="0" w:color="auto"/>
        <w:bottom w:val="none" w:sz="0" w:space="0" w:color="auto"/>
        <w:right w:val="none" w:sz="0" w:space="0" w:color="auto"/>
      </w:divBdr>
    </w:div>
    <w:div w:id="105777642">
      <w:bodyDiv w:val="1"/>
      <w:marLeft w:val="0"/>
      <w:marRight w:val="0"/>
      <w:marTop w:val="0"/>
      <w:marBottom w:val="0"/>
      <w:divBdr>
        <w:top w:val="none" w:sz="0" w:space="0" w:color="auto"/>
        <w:left w:val="none" w:sz="0" w:space="0" w:color="auto"/>
        <w:bottom w:val="none" w:sz="0" w:space="0" w:color="auto"/>
        <w:right w:val="none" w:sz="0" w:space="0" w:color="auto"/>
      </w:divBdr>
      <w:divsChild>
        <w:div w:id="741952591">
          <w:marLeft w:val="0"/>
          <w:marRight w:val="0"/>
          <w:marTop w:val="0"/>
          <w:marBottom w:val="0"/>
          <w:divBdr>
            <w:top w:val="none" w:sz="0" w:space="0" w:color="auto"/>
            <w:left w:val="none" w:sz="0" w:space="0" w:color="auto"/>
            <w:bottom w:val="none" w:sz="0" w:space="0" w:color="auto"/>
            <w:right w:val="none" w:sz="0" w:space="0" w:color="auto"/>
          </w:divBdr>
          <w:divsChild>
            <w:div w:id="303894900">
              <w:marLeft w:val="0"/>
              <w:marRight w:val="0"/>
              <w:marTop w:val="0"/>
              <w:marBottom w:val="0"/>
              <w:divBdr>
                <w:top w:val="none" w:sz="0" w:space="0" w:color="auto"/>
                <w:left w:val="none" w:sz="0" w:space="0" w:color="auto"/>
                <w:bottom w:val="none" w:sz="0" w:space="0" w:color="auto"/>
                <w:right w:val="none" w:sz="0" w:space="0" w:color="auto"/>
              </w:divBdr>
            </w:div>
          </w:divsChild>
        </w:div>
        <w:div w:id="1616214649">
          <w:marLeft w:val="0"/>
          <w:marRight w:val="0"/>
          <w:marTop w:val="0"/>
          <w:marBottom w:val="0"/>
          <w:divBdr>
            <w:top w:val="none" w:sz="0" w:space="0" w:color="auto"/>
            <w:left w:val="none" w:sz="0" w:space="0" w:color="auto"/>
            <w:bottom w:val="none" w:sz="0" w:space="0" w:color="auto"/>
            <w:right w:val="none" w:sz="0" w:space="0" w:color="auto"/>
          </w:divBdr>
        </w:div>
      </w:divsChild>
    </w:div>
    <w:div w:id="113445638">
      <w:bodyDiv w:val="1"/>
      <w:marLeft w:val="0"/>
      <w:marRight w:val="0"/>
      <w:marTop w:val="0"/>
      <w:marBottom w:val="0"/>
      <w:divBdr>
        <w:top w:val="none" w:sz="0" w:space="0" w:color="auto"/>
        <w:left w:val="none" w:sz="0" w:space="0" w:color="auto"/>
        <w:bottom w:val="none" w:sz="0" w:space="0" w:color="auto"/>
        <w:right w:val="none" w:sz="0" w:space="0" w:color="auto"/>
      </w:divBdr>
      <w:divsChild>
        <w:div w:id="228538969">
          <w:marLeft w:val="0"/>
          <w:marRight w:val="0"/>
          <w:marTop w:val="0"/>
          <w:marBottom w:val="0"/>
          <w:divBdr>
            <w:top w:val="none" w:sz="0" w:space="0" w:color="auto"/>
            <w:left w:val="none" w:sz="0" w:space="0" w:color="auto"/>
            <w:bottom w:val="none" w:sz="0" w:space="0" w:color="auto"/>
            <w:right w:val="none" w:sz="0" w:space="0" w:color="auto"/>
          </w:divBdr>
        </w:div>
        <w:div w:id="1578319036">
          <w:marLeft w:val="0"/>
          <w:marRight w:val="0"/>
          <w:marTop w:val="0"/>
          <w:marBottom w:val="0"/>
          <w:divBdr>
            <w:top w:val="none" w:sz="0" w:space="0" w:color="auto"/>
            <w:left w:val="none" w:sz="0" w:space="0" w:color="auto"/>
            <w:bottom w:val="none" w:sz="0" w:space="0" w:color="auto"/>
            <w:right w:val="none" w:sz="0" w:space="0" w:color="auto"/>
          </w:divBdr>
        </w:div>
      </w:divsChild>
    </w:div>
    <w:div w:id="209342894">
      <w:bodyDiv w:val="1"/>
      <w:marLeft w:val="0"/>
      <w:marRight w:val="0"/>
      <w:marTop w:val="0"/>
      <w:marBottom w:val="0"/>
      <w:divBdr>
        <w:top w:val="none" w:sz="0" w:space="0" w:color="auto"/>
        <w:left w:val="none" w:sz="0" w:space="0" w:color="auto"/>
        <w:bottom w:val="none" w:sz="0" w:space="0" w:color="auto"/>
        <w:right w:val="none" w:sz="0" w:space="0" w:color="auto"/>
      </w:divBdr>
    </w:div>
    <w:div w:id="274870973">
      <w:bodyDiv w:val="1"/>
      <w:marLeft w:val="0"/>
      <w:marRight w:val="0"/>
      <w:marTop w:val="0"/>
      <w:marBottom w:val="0"/>
      <w:divBdr>
        <w:top w:val="none" w:sz="0" w:space="0" w:color="auto"/>
        <w:left w:val="none" w:sz="0" w:space="0" w:color="auto"/>
        <w:bottom w:val="none" w:sz="0" w:space="0" w:color="auto"/>
        <w:right w:val="none" w:sz="0" w:space="0" w:color="auto"/>
      </w:divBdr>
    </w:div>
    <w:div w:id="388304716">
      <w:bodyDiv w:val="1"/>
      <w:marLeft w:val="0"/>
      <w:marRight w:val="0"/>
      <w:marTop w:val="0"/>
      <w:marBottom w:val="0"/>
      <w:divBdr>
        <w:top w:val="none" w:sz="0" w:space="0" w:color="auto"/>
        <w:left w:val="none" w:sz="0" w:space="0" w:color="auto"/>
        <w:bottom w:val="none" w:sz="0" w:space="0" w:color="auto"/>
        <w:right w:val="none" w:sz="0" w:space="0" w:color="auto"/>
      </w:divBdr>
      <w:divsChild>
        <w:div w:id="1740128984">
          <w:marLeft w:val="0"/>
          <w:marRight w:val="0"/>
          <w:marTop w:val="0"/>
          <w:marBottom w:val="0"/>
          <w:divBdr>
            <w:top w:val="none" w:sz="0" w:space="0" w:color="auto"/>
            <w:left w:val="none" w:sz="0" w:space="0" w:color="auto"/>
            <w:bottom w:val="none" w:sz="0" w:space="0" w:color="auto"/>
            <w:right w:val="none" w:sz="0" w:space="0" w:color="auto"/>
          </w:divBdr>
        </w:div>
        <w:div w:id="1936550329">
          <w:marLeft w:val="0"/>
          <w:marRight w:val="0"/>
          <w:marTop w:val="0"/>
          <w:marBottom w:val="0"/>
          <w:divBdr>
            <w:top w:val="none" w:sz="0" w:space="0" w:color="auto"/>
            <w:left w:val="none" w:sz="0" w:space="0" w:color="auto"/>
            <w:bottom w:val="none" w:sz="0" w:space="0" w:color="auto"/>
            <w:right w:val="none" w:sz="0" w:space="0" w:color="auto"/>
          </w:divBdr>
          <w:divsChild>
            <w:div w:id="1972784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313855">
      <w:bodyDiv w:val="1"/>
      <w:marLeft w:val="0"/>
      <w:marRight w:val="0"/>
      <w:marTop w:val="0"/>
      <w:marBottom w:val="0"/>
      <w:divBdr>
        <w:top w:val="none" w:sz="0" w:space="0" w:color="auto"/>
        <w:left w:val="none" w:sz="0" w:space="0" w:color="auto"/>
        <w:bottom w:val="none" w:sz="0" w:space="0" w:color="auto"/>
        <w:right w:val="none" w:sz="0" w:space="0" w:color="auto"/>
      </w:divBdr>
    </w:div>
    <w:div w:id="743407118">
      <w:bodyDiv w:val="1"/>
      <w:marLeft w:val="0"/>
      <w:marRight w:val="0"/>
      <w:marTop w:val="0"/>
      <w:marBottom w:val="0"/>
      <w:divBdr>
        <w:top w:val="none" w:sz="0" w:space="0" w:color="auto"/>
        <w:left w:val="none" w:sz="0" w:space="0" w:color="auto"/>
        <w:bottom w:val="none" w:sz="0" w:space="0" w:color="auto"/>
        <w:right w:val="none" w:sz="0" w:space="0" w:color="auto"/>
      </w:divBdr>
    </w:div>
    <w:div w:id="751392483">
      <w:bodyDiv w:val="1"/>
      <w:marLeft w:val="0"/>
      <w:marRight w:val="0"/>
      <w:marTop w:val="0"/>
      <w:marBottom w:val="0"/>
      <w:divBdr>
        <w:top w:val="none" w:sz="0" w:space="0" w:color="auto"/>
        <w:left w:val="none" w:sz="0" w:space="0" w:color="auto"/>
        <w:bottom w:val="none" w:sz="0" w:space="0" w:color="auto"/>
        <w:right w:val="none" w:sz="0" w:space="0" w:color="auto"/>
      </w:divBdr>
    </w:div>
    <w:div w:id="1177768909">
      <w:bodyDiv w:val="1"/>
      <w:marLeft w:val="0"/>
      <w:marRight w:val="0"/>
      <w:marTop w:val="0"/>
      <w:marBottom w:val="0"/>
      <w:divBdr>
        <w:top w:val="none" w:sz="0" w:space="0" w:color="auto"/>
        <w:left w:val="none" w:sz="0" w:space="0" w:color="auto"/>
        <w:bottom w:val="none" w:sz="0" w:space="0" w:color="auto"/>
        <w:right w:val="none" w:sz="0" w:space="0" w:color="auto"/>
      </w:divBdr>
    </w:div>
    <w:div w:id="1225487982">
      <w:bodyDiv w:val="1"/>
      <w:marLeft w:val="0"/>
      <w:marRight w:val="0"/>
      <w:marTop w:val="0"/>
      <w:marBottom w:val="0"/>
      <w:divBdr>
        <w:top w:val="none" w:sz="0" w:space="0" w:color="auto"/>
        <w:left w:val="none" w:sz="0" w:space="0" w:color="auto"/>
        <w:bottom w:val="none" w:sz="0" w:space="0" w:color="auto"/>
        <w:right w:val="none" w:sz="0" w:space="0" w:color="auto"/>
      </w:divBdr>
    </w:div>
    <w:div w:id="1398169027">
      <w:bodyDiv w:val="1"/>
      <w:marLeft w:val="0"/>
      <w:marRight w:val="0"/>
      <w:marTop w:val="0"/>
      <w:marBottom w:val="0"/>
      <w:divBdr>
        <w:top w:val="none" w:sz="0" w:space="0" w:color="auto"/>
        <w:left w:val="none" w:sz="0" w:space="0" w:color="auto"/>
        <w:bottom w:val="none" w:sz="0" w:space="0" w:color="auto"/>
        <w:right w:val="none" w:sz="0" w:space="0" w:color="auto"/>
      </w:divBdr>
    </w:div>
    <w:div w:id="1882131546">
      <w:bodyDiv w:val="1"/>
      <w:marLeft w:val="0"/>
      <w:marRight w:val="0"/>
      <w:marTop w:val="0"/>
      <w:marBottom w:val="0"/>
      <w:divBdr>
        <w:top w:val="none" w:sz="0" w:space="0" w:color="auto"/>
        <w:left w:val="none" w:sz="0" w:space="0" w:color="auto"/>
        <w:bottom w:val="none" w:sz="0" w:space="0" w:color="auto"/>
        <w:right w:val="none" w:sz="0" w:space="0" w:color="auto"/>
      </w:divBdr>
    </w:div>
    <w:div w:id="1903710840">
      <w:bodyDiv w:val="1"/>
      <w:marLeft w:val="0"/>
      <w:marRight w:val="0"/>
      <w:marTop w:val="0"/>
      <w:marBottom w:val="0"/>
      <w:divBdr>
        <w:top w:val="none" w:sz="0" w:space="0" w:color="auto"/>
        <w:left w:val="none" w:sz="0" w:space="0" w:color="auto"/>
        <w:bottom w:val="none" w:sz="0" w:space="0" w:color="auto"/>
        <w:right w:val="none" w:sz="0" w:space="0" w:color="auto"/>
      </w:divBdr>
    </w:div>
    <w:div w:id="2013949989">
      <w:bodyDiv w:val="1"/>
      <w:marLeft w:val="0"/>
      <w:marRight w:val="0"/>
      <w:marTop w:val="0"/>
      <w:marBottom w:val="0"/>
      <w:divBdr>
        <w:top w:val="none" w:sz="0" w:space="0" w:color="auto"/>
        <w:left w:val="none" w:sz="0" w:space="0" w:color="auto"/>
        <w:bottom w:val="none" w:sz="0" w:space="0" w:color="auto"/>
        <w:right w:val="none" w:sz="0" w:space="0" w:color="auto"/>
      </w:divBdr>
      <w:divsChild>
        <w:div w:id="1860847670">
          <w:marLeft w:val="0"/>
          <w:marRight w:val="0"/>
          <w:marTop w:val="0"/>
          <w:marBottom w:val="0"/>
          <w:divBdr>
            <w:top w:val="none" w:sz="0" w:space="0" w:color="auto"/>
            <w:left w:val="none" w:sz="0" w:space="0" w:color="auto"/>
            <w:bottom w:val="none" w:sz="0" w:space="0" w:color="auto"/>
            <w:right w:val="none" w:sz="0" w:space="0" w:color="auto"/>
          </w:divBdr>
        </w:div>
        <w:div w:id="1868323189">
          <w:marLeft w:val="0"/>
          <w:marRight w:val="0"/>
          <w:marTop w:val="0"/>
          <w:marBottom w:val="0"/>
          <w:divBdr>
            <w:top w:val="none" w:sz="0" w:space="0" w:color="auto"/>
            <w:left w:val="none" w:sz="0" w:space="0" w:color="auto"/>
            <w:bottom w:val="none" w:sz="0" w:space="0" w:color="auto"/>
            <w:right w:val="none" w:sz="0" w:space="0" w:color="auto"/>
          </w:divBdr>
        </w:div>
      </w:divsChild>
    </w:div>
    <w:div w:id="2030836995">
      <w:bodyDiv w:val="1"/>
      <w:marLeft w:val="0"/>
      <w:marRight w:val="0"/>
      <w:marTop w:val="0"/>
      <w:marBottom w:val="0"/>
      <w:divBdr>
        <w:top w:val="none" w:sz="0" w:space="0" w:color="auto"/>
        <w:left w:val="none" w:sz="0" w:space="0" w:color="auto"/>
        <w:bottom w:val="none" w:sz="0" w:space="0" w:color="auto"/>
        <w:right w:val="none" w:sz="0" w:space="0" w:color="auto"/>
      </w:divBdr>
    </w:div>
    <w:div w:id="20630982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footer" Target="footer2.xml"/><Relationship Id="rId26" Type="http://schemas.openxmlformats.org/officeDocument/2006/relationships/footer" Target="footer6.xml"/><Relationship Id="rId39" Type="http://schemas.openxmlformats.org/officeDocument/2006/relationships/hyperlink" Target="https://commission.europa.eu/publications/multiannual-financial-framework_en" TargetMode="External"/><Relationship Id="rId21" Type="http://schemas.openxmlformats.org/officeDocument/2006/relationships/header" Target="header4.xml"/><Relationship Id="rId34" Type="http://schemas.openxmlformats.org/officeDocument/2006/relationships/header" Target="header11.xml"/><Relationship Id="rId42" Type="http://schemas.openxmlformats.org/officeDocument/2006/relationships/hyperlink" Target="https://commission.europa.eu/topics/competitiveness/competitiveness-compass_en" TargetMode="External"/><Relationship Id="rId47" Type="http://schemas.openxmlformats.org/officeDocument/2006/relationships/image" Target="media/image5.png"/><Relationship Id="rId50" Type="http://schemas.openxmlformats.org/officeDocument/2006/relationships/image" Target="media/image8.png"/><Relationship Id="rId55" Type="http://schemas.openxmlformats.org/officeDocument/2006/relationships/image" Target="media/image13.png"/><Relationship Id="rId63" Type="http://schemas.openxmlformats.org/officeDocument/2006/relationships/header" Target="header15.xml"/><Relationship Id="rId7" Type="http://schemas.openxmlformats.org/officeDocument/2006/relationships/customXml" Target="../customXml/item7.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footer" Target="footer7.xml"/><Relationship Id="rId41" Type="http://schemas.openxmlformats.org/officeDocument/2006/relationships/hyperlink" Target="https://commission.europa.eu/topics/competitiveness/draghi-report_en" TargetMode="External"/><Relationship Id="rId54" Type="http://schemas.openxmlformats.org/officeDocument/2006/relationships/image" Target="media/image12.png"/><Relationship Id="rId62" Type="http://schemas.openxmlformats.org/officeDocument/2006/relationships/footer" Target="footer1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oter" Target="footer5.xml"/><Relationship Id="rId32" Type="http://schemas.openxmlformats.org/officeDocument/2006/relationships/footer" Target="footer9.xml"/><Relationship Id="rId37" Type="http://schemas.openxmlformats.org/officeDocument/2006/relationships/header" Target="header12.xml"/><Relationship Id="rId40" Type="http://schemas.openxmlformats.org/officeDocument/2006/relationships/image" Target="media/image2.png"/><Relationship Id="rId45" Type="http://schemas.openxmlformats.org/officeDocument/2006/relationships/image" Target="media/image3.png"/><Relationship Id="rId53" Type="http://schemas.openxmlformats.org/officeDocument/2006/relationships/image" Target="media/image11.png"/><Relationship Id="rId58" Type="http://schemas.openxmlformats.org/officeDocument/2006/relationships/hyperlink" Target="https://www.consilium.europa.eu/ro/press/press-releases/2024/05/07/reform-and-growth-facility-for-the-western-balkans-adopted/" TargetMode="External"/><Relationship Id="rId66"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header" Target="header8.xml"/><Relationship Id="rId36" Type="http://schemas.openxmlformats.org/officeDocument/2006/relationships/footer" Target="footer11.xml"/><Relationship Id="rId49" Type="http://schemas.openxmlformats.org/officeDocument/2006/relationships/image" Target="media/image7.png"/><Relationship Id="rId57" Type="http://schemas.openxmlformats.org/officeDocument/2006/relationships/hyperlink" Target="https://international-partnerships.ec.europa.eu/policies/global-gateway/initiatives-sub-saharan-africa/eu-africa-global-gateway-investment-package_en" TargetMode="External"/><Relationship Id="rId61" Type="http://schemas.openxmlformats.org/officeDocument/2006/relationships/footer" Target="footer13.xml"/><Relationship Id="rId10" Type="http://schemas.openxmlformats.org/officeDocument/2006/relationships/settings" Target="settings.xml"/><Relationship Id="rId19" Type="http://schemas.openxmlformats.org/officeDocument/2006/relationships/header" Target="header3.xml"/><Relationship Id="rId31" Type="http://schemas.openxmlformats.org/officeDocument/2006/relationships/header" Target="header9.xml"/><Relationship Id="rId44" Type="http://schemas.openxmlformats.org/officeDocument/2006/relationships/hyperlink" Target="https://www.consilium.europa.eu/ro/press/press-releases/2025/12/19/european-council-conclusions-18-december-2025/" TargetMode="External"/><Relationship Id="rId52" Type="http://schemas.openxmlformats.org/officeDocument/2006/relationships/image" Target="media/image10.png"/><Relationship Id="rId60" Type="http://schemas.openxmlformats.org/officeDocument/2006/relationships/header" Target="header14.xml"/><Relationship Id="rId65"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emf"/><Relationship Id="rId22" Type="http://schemas.openxmlformats.org/officeDocument/2006/relationships/header" Target="header5.xml"/><Relationship Id="rId27" Type="http://schemas.openxmlformats.org/officeDocument/2006/relationships/header" Target="header7.xml"/><Relationship Id="rId30" Type="http://schemas.openxmlformats.org/officeDocument/2006/relationships/footer" Target="footer8.xml"/><Relationship Id="rId35" Type="http://schemas.openxmlformats.org/officeDocument/2006/relationships/footer" Target="footer10.xml"/><Relationship Id="rId43" Type="http://schemas.openxmlformats.org/officeDocument/2006/relationships/hyperlink" Target="https://eur-lex.europa.eu/legal-content/RO/TXT/?uri=CELEX%3A52025DC0421&amp;qid=1777385956727" TargetMode="External"/><Relationship Id="rId48" Type="http://schemas.openxmlformats.org/officeDocument/2006/relationships/image" Target="media/image6.png"/><Relationship Id="rId56" Type="http://schemas.openxmlformats.org/officeDocument/2006/relationships/image" Target="media/image14.png"/><Relationship Id="rId64" Type="http://schemas.openxmlformats.org/officeDocument/2006/relationships/footer" Target="footer15.xml"/><Relationship Id="rId8" Type="http://schemas.openxmlformats.org/officeDocument/2006/relationships/numbering" Target="numbering.xml"/><Relationship Id="rId51" Type="http://schemas.openxmlformats.org/officeDocument/2006/relationships/image" Target="media/image9.png"/><Relationship Id="rId3" Type="http://schemas.openxmlformats.org/officeDocument/2006/relationships/customXml" Target="../customXml/item3.xml"/><Relationship Id="rId12" Type="http://schemas.openxmlformats.org/officeDocument/2006/relationships/footnotes" Target="footnotes.xml"/><Relationship Id="rId17" Type="http://schemas.openxmlformats.org/officeDocument/2006/relationships/footer" Target="footer1.xml"/><Relationship Id="rId25" Type="http://schemas.openxmlformats.org/officeDocument/2006/relationships/header" Target="header6.xml"/><Relationship Id="rId33" Type="http://schemas.openxmlformats.org/officeDocument/2006/relationships/header" Target="header10.xml"/><Relationship Id="rId38" Type="http://schemas.openxmlformats.org/officeDocument/2006/relationships/footer" Target="footer12.xml"/><Relationship Id="rId46" Type="http://schemas.openxmlformats.org/officeDocument/2006/relationships/image" Target="media/image4.png"/><Relationship Id="rId59" Type="http://schemas.openxmlformats.org/officeDocument/2006/relationships/header" Target="header13.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RO/TXT/?uri=CELEX%3A52025DC0421&amp;qid=1778335917845" TargetMode="External"/><Relationship Id="rId13" Type="http://schemas.openxmlformats.org/officeDocument/2006/relationships/hyperlink" Target="https://international-partnerships.ec.europa.eu/policies/global-gateway/building-wash-facilities-schools-uganda_en" TargetMode="External"/><Relationship Id="rId18" Type="http://schemas.openxmlformats.org/officeDocument/2006/relationships/hyperlink" Target="https://op.europa.eu/ro/publication-detail/-/publication/a07eed09-94b8-11ee-b164-01aa75ed71a1" TargetMode="External"/><Relationship Id="rId26" Type="http://schemas.openxmlformats.org/officeDocument/2006/relationships/hyperlink" Target="http://data.europa.eu/eli/reg/2021/241/oj" TargetMode="External"/><Relationship Id="rId3" Type="http://schemas.openxmlformats.org/officeDocument/2006/relationships/hyperlink" Target="http://data.europa.eu/eli/reg/2024/2509/oj" TargetMode="External"/><Relationship Id="rId21" Type="http://schemas.openxmlformats.org/officeDocument/2006/relationships/hyperlink" Target="http://data.europa.eu/eli/reg/2023/2841/oj" TargetMode="External"/><Relationship Id="rId7" Type="http://schemas.openxmlformats.org/officeDocument/2006/relationships/hyperlink" Target="https://strategic-technologies.europa.eu/about/step-documents_en" TargetMode="External"/><Relationship Id="rId12" Type="http://schemas.openxmlformats.org/officeDocument/2006/relationships/hyperlink" Target="https://north-africa-middle-east-gulf.ec.europa.eu/commission-implementing-decision-financing-special-measure-favour-syria-2025_en" TargetMode="External"/><Relationship Id="rId17" Type="http://schemas.openxmlformats.org/officeDocument/2006/relationships/hyperlink" Target="https://eur-lex.europa.eu/legal-content/RO/TXT/?uri=celex:52025DC0310" TargetMode="External"/><Relationship Id="rId25" Type="http://schemas.openxmlformats.org/officeDocument/2006/relationships/hyperlink" Target="http://data.europa.eu/eli/reg/2020/2092/oj" TargetMode="External"/><Relationship Id="rId2" Type="http://schemas.openxmlformats.org/officeDocument/2006/relationships/hyperlink" Target="http://data.europa.eu/eli/treaty/tfeu_2016/art_318/oj" TargetMode="External"/><Relationship Id="rId16" Type="http://schemas.openxmlformats.org/officeDocument/2006/relationships/hyperlink" Target="https://eur-lex.europa.eu/legal-content/RO/TXT/?uri=COM%3A2026%3A200%3AFIN&amp;qid=1780494235578" TargetMode="External"/><Relationship Id="rId20" Type="http://schemas.openxmlformats.org/officeDocument/2006/relationships/hyperlink" Target="https://eur-lex.europa.eu/legal-content/RO/TXT/?uri=celex:52025DC0426" TargetMode="External"/><Relationship Id="rId1" Type="http://schemas.openxmlformats.org/officeDocument/2006/relationships/hyperlink" Target="https://commission.europa.eu/strategy-and-policy/eu-budget/how-it-works/annual-lifecycle/assessment/discharge-procedure_en" TargetMode="External"/><Relationship Id="rId6" Type="http://schemas.openxmlformats.org/officeDocument/2006/relationships/hyperlink" Target="https://strategic-technologies.europa.eu/index_en" TargetMode="External"/><Relationship Id="rId11" Type="http://schemas.openxmlformats.org/officeDocument/2006/relationships/hyperlink" Target="http://data.europa.eu/eli/reg/2026/467/oj" TargetMode="External"/><Relationship Id="rId24" Type="http://schemas.openxmlformats.org/officeDocument/2006/relationships/hyperlink" Target="https://eur-lex.europa.eu/legal-content/RO/TXT/?uri=CELEX%3A52023DC0099" TargetMode="External"/><Relationship Id="rId5" Type="http://schemas.openxmlformats.org/officeDocument/2006/relationships/hyperlink" Target="https://eur-lex.europa.eu/legal-content/RO/TXT/?uri=COM%3A2026%3A200%3AFIN&amp;qid=1780494235578" TargetMode="External"/><Relationship Id="rId15" Type="http://schemas.openxmlformats.org/officeDocument/2006/relationships/hyperlink" Target="https://ec.europa.eu/economy_finance/recovery-and-resilience-scoreboard/index.html" TargetMode="External"/><Relationship Id="rId23" Type="http://schemas.openxmlformats.org/officeDocument/2006/relationships/hyperlink" Target="http://data.europa.eu/eli/reg/2021/241/oj" TargetMode="External"/><Relationship Id="rId28" Type="http://schemas.openxmlformats.org/officeDocument/2006/relationships/hyperlink" Target="http://data.europa.eu/eli/dec_impl/2022/2506/oj" TargetMode="External"/><Relationship Id="rId10" Type="http://schemas.openxmlformats.org/officeDocument/2006/relationships/hyperlink" Target="https://joint-research-centre.ec.europa.eu/jrc-news-and-updates/2025-was-eus-most-destructive-wildfire-season-record-2026-03-31_en" TargetMode="External"/><Relationship Id="rId19" Type="http://schemas.openxmlformats.org/officeDocument/2006/relationships/hyperlink" Target="https://op.europa.eu/ro/publication-detail/-/publication/1fbc79dc-dbbe-11f0-8da2-01aa75ed71a1/language-en" TargetMode="External"/><Relationship Id="rId4" Type="http://schemas.openxmlformats.org/officeDocument/2006/relationships/hyperlink" Target="https://eur-lex.europa.eu/legal-content/RO/TXT/?uri=CELEX:52025DC0030" TargetMode="External"/><Relationship Id="rId9" Type="http://schemas.openxmlformats.org/officeDocument/2006/relationships/hyperlink" Target="https://cohesiondata.ec.europa.eu/funds/emfaf/21-27" TargetMode="External"/><Relationship Id="rId14" Type="http://schemas.openxmlformats.org/officeDocument/2006/relationships/hyperlink" Target="https://international-partnerships.ec.europa.eu/policies/global-gateway/africaconnect4-sub-saharan-africa_en" TargetMode="External"/><Relationship Id="rId22" Type="http://schemas.openxmlformats.org/officeDocument/2006/relationships/hyperlink" Target="https://kohesio.eu/" TargetMode="External"/><Relationship Id="rId27" Type="http://schemas.openxmlformats.org/officeDocument/2006/relationships/hyperlink" Target="http://data.europa.eu/eli/reg/2021/1060/oj" TargetMode="External"/></Relationships>
</file>

<file path=word/theme/theme1.xml><?xml version="1.0" encoding="utf-8"?>
<a:theme xmlns:a="http://schemas.openxmlformats.org/drawingml/2006/main" name="Management Plan 2022">
  <a:themeElements>
    <a:clrScheme name="Custom 1">
      <a:dk1>
        <a:srgbClr val="000000"/>
      </a:dk1>
      <a:lt1>
        <a:sysClr val="window" lastClr="FFFFFF"/>
      </a:lt1>
      <a:dk2>
        <a:srgbClr val="003399"/>
      </a:dk2>
      <a:lt2>
        <a:srgbClr val="F3F7FF"/>
      </a:lt2>
      <a:accent1>
        <a:srgbClr val="008139"/>
      </a:accent1>
      <a:accent2>
        <a:srgbClr val="DE6002"/>
      </a:accent2>
      <a:accent3>
        <a:srgbClr val="2688FE"/>
      </a:accent3>
      <a:accent4>
        <a:srgbClr val="FDAB07"/>
      </a:accent4>
      <a:accent5>
        <a:srgbClr val="DC165D"/>
      </a:accent5>
      <a:accent6>
        <a:srgbClr val="7030A0"/>
      </a:accent6>
      <a:hlink>
        <a:srgbClr val="003399"/>
      </a:hlink>
      <a:folHlink>
        <a:srgbClr val="003399"/>
      </a:folHlink>
    </a:clrScheme>
    <a:fontScheme name="Management Plan 2022">
      <a:majorFont>
        <a:latin typeface="EC Square Sans Pro"/>
        <a:ea typeface=""/>
        <a:cs typeface=""/>
      </a:majorFont>
      <a:minorFont>
        <a:latin typeface="EC Square Sans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rotWithShape="1">
          <a:gsLst>
            <a:gs pos="0">
              <a:schemeClr val="phClr">
                <a:lumMod val="102000"/>
                <a:satMod val="103000"/>
                <a:tint val="94000"/>
              </a:schemeClr>
            </a:gs>
            <a:gs pos="50000">
              <a:schemeClr val="phClr">
                <a:lumMod val="100000"/>
                <a:satMod val="110000"/>
                <a:shade val="100000"/>
              </a:schemeClr>
            </a:gs>
            <a:gs pos="100000">
              <a:schemeClr val="phClr">
                <a:lumMod val="99000"/>
                <a:satMod val="120000"/>
                <a:shade val="78000"/>
              </a:schemeClr>
            </a:gs>
          </a:gsLs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Texts>
  <ReferencesTablePictures>Table of Pictures</ReferencesTablePictures>
  <ReferencesIndex>Index</ReferencesIndex>
  <LabelAlternativeText>Alternative text: </LabelAlternativeText>
  <LabelTableSeqOP>Table { SEQ Table \* ARABIC } – </LabelTableSeqOP>
  <LabelSource>Source</LabelSource>
  <LabelFigureSeqEC>Figure {SEQ Figure \* ARABIC }: </LabelFigureSeqEC>
  <LabelFigureSeqWChapter>Table {field: STYLEREF "Chapter Number" \s }.{field: SEQ Table \* ARABIC } –</LabelFigureSeqWChapter>
  <OP_ManagementPlan_CopyrightPage_Copyright>© European Union, {freetext:&lt;Year&gt;}</OP_ManagementPlan_CopyrightPage_Copyright>
  <OP_ManagementPlan_CopyrightPage_ReuseIsAuthorised2>For any use or reproduction of elements that are not owned by the European Union, permission may need to be sought directly from the respective rightholders. The European Union does not own the copyright in relation to the following elements:{br}{freetext:&lt;cover, element concerned, source: e.g. Fotolia.com&gt;},{br}{freetext:&lt;page XX, element by XX source: e.g. Unsplash.com&gt;}.</OP_ManagementPlan_CopyrightPage_ReuseIsAuthorised2>
  <OP_ManagementPlan_CopyrightPage_PubIDs-EPUB>EPUB{tab}ISBN {freetext:&lt;xxx-xx-xx-xxxxx-x&gt;}{tab}ISSN {freetext:&lt;xxxx-xxxx&gt;}{tab}doi:10.{freetext:&lt;xxxx/xx...x&gt;}{tab}{freetext:&lt;xx-xx-xx-xxx-xx-x&gt;}</OP_ManagementPlan_CopyrightPage_PubIDs-EPUB>
  <OP_ManagementPlan_CopyrightPage_ManuscriptCompleted>Manuscript completed in {freetext:&lt;Month&gt;} {freetext:&lt;Year&gt;}</OP_ManagementPlan_CopyrightPage_ManuscriptCompleted>
  <OP_ManagementPlan_CopyrightPage_ReuseIsAuthorised>Reuse is authorised provided the source is acknowledged and the original meaning or message of the document is not distorted. The European Commission shall not be liable for any consequence stemming from the reuse. The reuse policy of European Commission documents is implemented under Commission Decision 2011/833/EU of 12 December 2011 on the reuse of Commission documents (OJ L 330, 14.12.2011, p. 39, ELI: {field:HYPERLINK "http://data.europa.eu/eli/dec/2011/833/oj"|http://data.europa.eu/eli/dec/2011/833/oj}).</OP_ManagementPlan_CopyrightPage_ReuseIsAuthorised>
  <OP_ManagementPlan_CopyrightPage_Edition>{freetext:&lt;Revised/Corrected/nth&gt;} edition</OP_ManagementPlan_CopyrightPage_Edition>
  <OP_ManagementPlan_CopyrightPage_PubIDs-Print>Print{tab}ISBN {freetext:&lt;xxx-xx-xx-xxxxx-x&gt;}{tab}ISSN {freetext:&lt;xxxx-xxxx&gt;}{tab}doi:10.{freetext:&lt;xxxx/xx...x&gt;}{tab}{freetext:&lt;xx-xx-xx-xxx-xx-x&gt;}</OP_ManagementPlan_CopyrightPage_PubIDs-Print>
  <OP_ManagementPlan_CopyrightPage_PubIDs-PDF>PDF{tab}ISBN {freetext:&lt;xxx-xx-xx-xxxxx-x&gt;}{tab}ISSN {freetext:&lt;xxxx-xxxx&gt;}{tab}doi:10.{freetext:&lt;xxxx/xx...x&gt;}{tab}{freetext:&lt;xx-xx-xx-xxx-xx-x&gt;}</OP_ManagementPlan_CopyrightPage_PubIDs-PDF>
  <OP_ManagementPlan_CopyrightPage_ReuseStatement>This document has been prepared for the European Commission however it reflects the views only of the authors, and the European Commission is not liable for any consequence stemming from the reuse of this publication.</OP_ManagementPlan_CopyrightPage_ReuseStatement>
  <OP_ManagementPlan_CopyrightPage_PubIDs-HTML>HTML{tab}ISBN {freetext:&lt;xxx-xx-xx-xxxxx-x&gt;}{tab}ISSN {freetext:&lt;xxxx-xxxx&gt;}{tab}doi:10.{freetext:&lt;xxxx/xx...x&gt;}{tab}{freetext:&lt;xx-xx-xx-xxx-xx-x&gt;}</OP_ManagementPlan_CopyrightPage_PubIDs-HTML>
  <OP_ManagementPlan_CopyrightPage_ReuseIsAuthorised3>For any use or reproduction of elements that are not owned by the European Union, permission may need to be sought directly from the respective rightholders.</OP_ManagementPlan_CopyrightPage_ReuseIsAuthorised3>
  <OP_ManagementPlan_CopyrightPage_LuxembourgPublicationsOffice>Luxembourg: Publications Office of the European Union, {freetext:&lt;Year&gt;}</OP_ManagementPlan_CopyrightPage_LuxembourgPublicationsOffice>
  <OP_ManagementPlan_AboutEU_Online>Online</OP_ManagementPlan_AboutEU_Online>
  <OP_ManagementPlan_AboutEU_ByForm>via the following form: {field:HYPERLINK "https://european-union.europa.eu/contact-eu/write-us_en"|european-union.europa.eu/contact-eu/write-us_en}.</OP_ManagementPlan_AboutEU_ByForm>
  <OP_ManagementPlan_AboutEU_EULawAndRelated>EU law and related documents</OP_ManagementPlan_AboutEU_EULawAndRelated>
  <OP_ManagementPlan_AboutEU_InPerson>In person</OP_ManagementPlan_AboutEU_InPerson>
  <OP_ManagementPlan_AboutEU_YouCanView>You can view or order EU publications at {field:HYPERLINK "https://op.europa.eu/en/publications"|op.europa.eu/en/publications}. Multiple copies of free publications can be obtained by contacting Europe Direct or your local documentation centre ({field:HYPERLINK "https://european-union.europa.eu/contact-eu/meet-us_en"|european-union.europa.eu/contact-eu/meet-us_en}).</OP_ManagementPlan_AboutEU_YouCanView>
  <OP_ManagementPlan_AboutEU_EUPublications>EU publications</OP_ManagementPlan_AboutEU_EUPublications>
  <OP_ManagementPlan_AboutEU_ThePortal>The portal {field:HYPERLINK "https://data.europa.eu"|data.europa.eu} provides access to open datasets from the EU institutions, bodies and agencies. These can be downloaded and reused for free, for both commercial and non-commercial purposes. The portal also provides access to a wealth of datasets from European countries.</OP_ManagementPlan_AboutEU_ThePortal>
  <OP_ManagementPlan_AboutEU_ByFreephone>by freephone: 00 800 6 7 8 9 10 11 (certain operators may charge for these calls),</OP_ManagementPlan_AboutEU_ByFreephone>
  <OP_ManagementPlan_AboutEU_ForAccessTo>For access to legal information from the EU, including all EU law since 1951 in all the official language versions, go to EUR-Lex ({field:HYPERLINK "https://eur-lex.europa.eu"|eur-lex.europa.eu}).</OP_ManagementPlan_AboutEU_ForAccessTo>
  <OP_ManagementPlan_AboutEU_FindingInformation>Finding information about the EU</OP_ManagementPlan_AboutEU_FindingInformation>
  <OP_ManagementPlan_AboutEU_EUOpenData>EU open data</OP_ManagementPlan_AboutEU_EUOpenData>
  <OP_ManagementPlan_AboutEU_InformationAbout>Information about the European Union in all the official languages of the EU is available on the Europa website ({field:HYPERLINK "https://european-union.europa.eu"|european-union.europa.eu}).</OP_ManagementPlan_AboutEU_InformationAbout>
  <OP_ManagementPlan_AboutEU_ByStandardNumber>at the following standard number: +32 22999696,</OP_ManagementPlan_AboutEU_ByStandardNumber>
  <OP_ManagementPlan_AboutEU_GettingInTouch>Getting in touch with the EU</OP_ManagementPlan_AboutEU_GettingInTouch>
  <OP_ManagementPlan_AboutEU_AllOverEU>All over the European Union there are hundreds of Europe Direct centres. You can find the address of the centre nearest you online ({field:HYPERLINK "https://european-union.europa.eu/contact-eu/meet-us_en"|european-union.europa.eu/contact-eu/meet-us_en}).</OP_ManagementPlan_AboutEU_AllOverEU>
  <OP_ManagementPlan_AboutEU_OnPhoneOrWriting>On the phone or in writing</OP_ManagementPlan_AboutEU_OnPhoneOrWriting>
  <OP_ManagementPlan_AboutEU_EuropeDirect>Europe Direct is a service that answers your questions about the European Union. You can contact this service:</OP_ManagementPlan_AboutEU_EuropeDirect>
  <ReferencesSectionTitle>References</ReferencesSectionTitle>
  <OP_ManagementPlan_OT_Objective>Objective:</OP_ManagementPlan_OT_Objective>
  <OP_ManagementPlan_CopyrightPage_CC_Statement>This document has been prepared for the European Commission however it reflects the views only of the authors, and the European Commission is not liable for any consequence stemming from the reuse of this publication.</OP_ManagementPlan_CopyrightPage_CC_Statement>
  <OP_ManagementPlan_CopyrightPage_TheReusePolicy>The Commission’s reuse policy is implemented under Commission Decision 2011/833/EU of 12 December 2011 on the reuse of Commission documents (OJ L 330, 14.12.2011, p. 39, ELI: {field:HYPERLINK "http://data.europa.eu/eli/dec/2011/833/oj"|http://data.europa.eu/eli/dec/2011/833/oj}).{br}Unless otherwise noted, the reuse of this document is authorised under the Creative Commons Attribution 4.0 International (CC BY 4.0) licence ({field:HYPERLINK "https://creativecommons.org/licenses/by/4.0/"|https://creativecommons.org/licenses/by/4.0/}). This means that reuse is allowed, provided appropriate credit is given and any changes are indicated.</OP_ManagementPlan_CopyrightPage_TheReusePolicy>
  <OP_ManagementPlan_CopyrightPage_Reproduction>For any use or reproduction of elements that are not owned by the European Union, permission may need to be sought directly from the respective rightholders.</OP_ManagementPlan_CopyrightPage_Reproduction>
  <OP_ManagementPlan_CopyrightPage_Permissions>For any use or reproduction of elements that are not owned by the European Union, permission may need to be sought directly from the respective rightholders. The European Union does not own the copyright in relation to the following elements:{br}{freetext:&lt;cover, element concerned, source: e.g. Fotolia.com&gt;},{br}{freetext:&lt;page XX, element by XX source: e.g. Unsplash.com&gt;}.</OP_ManagementPlan_CopyrightPage_Permissions>
  <LabelPictureSeq>Figure {SEQ Figure \* ARABIC }: </LabelPictureSeq>
  <LabelFigureSeqOP>Figure {SEQ Figure \* ARABIC } – </LabelFigureSeqOP>
  <OP_ManagementPlan_CopyrightPage_ReproductionIsAuthorised>Reproduction is authorised provided the source is acknowledged.</OP_ManagementPlan_CopyrightPage_ReproductionIsAuthorised>
  <OP_ManagementPlan_CopyrightPage_ReproductionIsAuthorised3>For any use or reproduction of elements that are not owned by the European Union, permission may need to be sought directly from the respective rightholders.</OP_ManagementPlan_CopyrightPage_ReproductionIsAuthorised3>
  <OP_ManagementPlan_CopyrightPage_ReproductionIsAuthorised2>For any use or reproduction of elements that are not owned by the European Union, permission may need to be sought directly from the respective rightholders. The European Union does not own the copyright in relation to the following elements:{br}{freetext:&lt;cover, element concerned, source: e.g. Fotolia.com&gt;},{br}{freetext:&lt;page XX, element by XX source: e.g. Unsplash.com&gt;}.</OP_ManagementPlan_CopyrightPage_ReproductionIsAuthorised2>
  <OP_ManagementPlan_CopyrightPage_ThisDocumentShouldNot>Neither the {freetext:[institution/body/service]} nor any person acting on behalf of the {freetext:[institution/body/service]} is responsible for the use that might be made of the following information.</OP_ManagementPlan_CopyrightPage_ThisDocumentShouldNot>
  <LabelTableSeqWChapter>Table { STYLEREF "Chapter Number" \s }.{ SEQ Table \* ARABIC } – </LabelTableSeqWChapter>
  <LabelTableSeqEC>Table {SEQ Table \* ARABIC }: </LabelTableSeqEC>
  <ReferencesTableTables>Table of Tables</ReferencesTableTables>
  <OP_ManagementPlan_LayoutPage_AfterBody2>The total page count in printed publications must be dividable by four.</OP_ManagementPlan_LayoutPage_AfterBody2>
  <OP_ManagementPlan_LayoutPage_AfterBody1>Please keep this page empty until ready for publishing.</OP_ManagementPlan_LayoutPage_AfterBody1>
  <OP_ManagementPlan_LayoutPage_AfterBody3>Before publishing, remove this comment and depending on the total page count remove this page or add more empty pages.</OP_ManagementPlan_LayoutPage_AfterBody3>
  <OP_ManagementPlan_OT_Target>Target</OP_ManagementPlan_OT_Target>
  <OP_ManagementPlan_OT_Indicator>Indicator</OP_ManagementPlan_OT_Indicator>
  <OP_ManagementPlan_OT_Output>Output</OP_ManagementPlan_OT_Output>
  <OP_ManagementPlan_LayoutPage_AfterCoverPage>Please keep this page empty after deleting this comment.</OP_ManagementPlan_LayoutPage_AfterCoverPage>
  <OP_ManagementPlan_OT_SpecificObjective>Specific Objective:</OP_ManagementPlan_OT_SpecificObjective>
  <OP_TOCHeading>Contents</OP_TOCHeading>
  <OP_ManagementPlan_OT_GeneralObjective>General Objective:</OP_ManagementPlan_OT_GeneralObjective>
  <ReferencesTableBoxes>Table of Boxes</ReferencesTableBoxes>
  <DateFormatShort>dd/MM/yyyy</DateFormatShort>
  <DateFormatLong>d MMMM yyyy</DateFormatLong>
</Texts>
</file>

<file path=customXml/item2.xml><?xml version="1.0" encoding="utf-8"?>
<ct:contentTypeSchema xmlns:ct="http://schemas.microsoft.com/office/2006/metadata/contentType" xmlns:ma="http://schemas.microsoft.com/office/2006/metadata/properties/metaAttributes" ct:_="" ma:_="" ma:contentTypeName="EC Document" ma:contentTypeID="0x0101002A9ECA2606335F4BA5305B32386134E00063A1563B14B2C349B8DD161C5ADC9DBB" ma:contentTypeVersion="23" ma:contentTypeDescription="Create a new document in this library." ma:contentTypeScope="" ma:versionID="e136fab5c578c5dbbaf04396e60b34f1">
  <xsd:schema xmlns:xsd="http://www.w3.org/2001/XMLSchema" xmlns:xs="http://www.w3.org/2001/XMLSchema" xmlns:p="http://schemas.microsoft.com/office/2006/metadata/properties" xmlns:ns3="5a2aaeef-7754-4071-a86d-fc61c328f6f7" xmlns:ns4="e226d4ca-1ed8-42f0-8f23-f43336c44f4f" targetNamespace="http://schemas.microsoft.com/office/2006/metadata/properties" ma:root="true" ma:fieldsID="a5ec91dbdf37fbba4745ee3c84746937" ns3:_="" ns4:_="">
    <xsd:import namespace="5a2aaeef-7754-4071-a86d-fc61c328f6f7"/>
    <xsd:import namespace="e226d4ca-1ed8-42f0-8f23-f43336c44f4f"/>
    <xsd:element name="properties">
      <xsd:complexType>
        <xsd:sequence>
          <xsd:element name="documentManagement">
            <xsd:complexType>
              <xsd:all>
                <xsd:element ref="ns3:EC_Collab_Reference" minOccurs="0"/>
                <xsd:element ref="ns3:EC_Collab_DocumentLanguage"/>
                <xsd:element ref="ns3:EC_Collab_Status"/>
                <xsd:element ref="ns3:EC_ARES_NUMBER" minOccurs="0"/>
                <xsd:element ref="ns3:EC_ARES_DATE_TRANSFERRED" minOccurs="0"/>
                <xsd:element ref="ns3:EC_ARES_TRANSFERRED_BY" minOccurs="0"/>
                <xsd:element ref="ns3:SharedWithUsers" minOccurs="0"/>
                <xsd:element ref="ns3:SharedWithDetails" minOccurs="0"/>
                <xsd:element ref="ns4:MediaServiceSearchProperties"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2aaeef-7754-4071-a86d-fc61c328f6f7"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3"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4"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EC_ARES_NUMBER" ma:index="15" nillable="true" ma:displayName="Ares Number" ma:format="Hyperlink" ma:internalName="EC_ARES_NUMBER"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16" nillable="true" ma:displayName="Transferred to Ares" ma:format="DateTime" ma:internalName="EC_ARES_DATE_TRANSFERRED" ma:readOnly="false">
      <xsd:simpleType>
        <xsd:restriction base="dms:DateTime"/>
      </xsd:simpleType>
    </xsd:element>
    <xsd:element name="EC_ARES_TRANSFERRED_BY" ma:index="17" nillable="true" ma:displayName="Transferred By" ma:internalName="EC_ARES_TRANSFERRED_BY" ma:readOnly="false">
      <xsd:simpleType>
        <xsd:restriction base="dms:Text"/>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26d4ca-1ed8-42f0-8f23-f43336c44f4f" elementFormDefault="qualified">
    <xsd:import namespace="http://schemas.microsoft.com/office/2006/documentManagement/types"/>
    <xsd:import namespace="http://schemas.microsoft.com/office/infopath/2007/PartnerControls"/>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C_Collab_DocumentLanguage xmlns="5a2aaeef-7754-4071-a86d-fc61c328f6f7">EN</EC_Collab_DocumentLanguage>
    <EC_Collab_Reference xmlns="5a2aaeef-7754-4071-a86d-fc61c328f6f7" xsi:nil="true"/>
    <EC_ARES_DATE_TRANSFERRED xmlns="5a2aaeef-7754-4071-a86d-fc61c328f6f7" xsi:nil="true"/>
    <EC_ARES_TRANSFERRED_BY xmlns="5a2aaeef-7754-4071-a86d-fc61c328f6f7" xsi:nil="true"/>
    <EC_ARES_NUMBER xmlns="5a2aaeef-7754-4071-a86d-fc61c328f6f7">
      <Url xsi:nil="true"/>
      <Description xsi:nil="true"/>
    </EC_ARES_NUMBER>
    <EC_Collab_Status xmlns="5a2aaeef-7754-4071-a86d-fc61c328f6f7">Not Started</EC_Collab_Status>
  </documentManagement>
</p:properties>
</file>

<file path=customXml/item4.xml><?xml version="1.0" encoding="utf-8"?>
<EurolookProperties>
  <ProductCustomizationId>EC</ProductCustomizationId>
  <Created>
    <Version>10.0.47989.0</Version>
    <Date>2026-03-16T09:35:18</Date>
    <Language>EN</Language>
    <Note>Created using 'Convert To Eurolook'</Note>
  </Created>
  <DocumentModel>
    <Id>7136d7b7-c4fa-4d30-b9ff-62b00d5a473e</Id>
    <Name>Management Report (Publication)</Name>
  </DocumentModel>
  <CustomTemplate>
    <Id/>
    <Name/>
  </CustomTemplate>
  <DocumentDate>2026-03-16T09:35:18</DocumentDate>
  <DocumentVersion>0.1</DocumentVersion>
  <CompatibilityMode>Eurolook10</CompatibilityMode>
  <DocumentMetadata>
    <PublishingFormat MetadataSerializationType="SimpleValue"/>
  </DocumentMetadata>
</EurolookProperties>
</file>

<file path=customXml/item5.xml><?xml version="1.0" encoding="utf-8"?>
<Author Role="Creator" AuthorRoleName="Writer" AuthorRoleDisplayName="Writer" AuthorRoleId="a4fbaff4-b07c-48b4-a21e-e7b9eedf3796">
  <Id>3a1d888b-7080-451f-a773-95a004840198</Id>
  <Names>
    <Latin>
      <FirstName>Raimonds</FirstName>
      <LastName>ERTS</LastName>
    </Latin>
    <Greek>
      <FirstName/>
      <LastName/>
    </Greek>
    <Cyrillic>
      <FirstName/>
      <LastName/>
    </Cyrillic>
    <DocumentScript>
      <FirstName>Raimonds</FirstName>
      <LastName>ERTS</LastName>
      <FullName>Raimonds ERTS</FullName>
    </DocumentScript>
  </Names>
  <Initials>RE</Initials>
  <Gender>m</Gender>
  <Email>Raimonds.ERTS@publications.europa.eu</Email>
  <Service>OP.B.2.001</Service>
  <Function ADCode="" ShowInSignature="true" ShowInHeader="false" HeaderText=""/>
  <WebAddress/>
  <FunctionalMailbox/>
  <InheritedWebAddress>http://europa.eu</InheritedWebAddress>
  <OrgaEntity1>
    <Id>74ad78a8-25ae-4fdf-bb31-cef090e53156</Id>
    <LogicalLevel>1</LogicalLevel>
    <Name>OP</Name>
    <HeadLine1>PUBLICATIONS OFFICE</HeadLine1>
    <HeadLine2/>
    <PrimaryAddressId>1264fb81-f6bb-475e-9f9d-a937d3be6ee2</PrimaryAddressId>
    <SecondaryAddressId/>
    <WebAddress/>
    <InheritedWebAddress>http://europa.eu</InheritedWebAddress>
    <ShowInHeader>true</ShowInHeader>
  </OrgaEntity1>
  <OrgaEntity2>
    <Id>38acf1f2-20e8-4102-9960-393d863a030f</Id>
    <LogicalLevel>2</LogicalLevel>
    <Name>OP.B</Name>
    <HeadLine1>Publication Production Services</HeadLine1>
    <HeadLine2/>
    <PrimaryAddressId>1264fb81-f6bb-475e-9f9d-a937d3be6ee2</PrimaryAddressId>
    <SecondaryAddressId/>
    <WebAddress/>
    <InheritedWebAddress>http://europa.eu</InheritedWebAddress>
    <ShowInHeader>true</ShowInHeader>
  </OrgaEntity2>
  <OrgaEntity3>
    <Id>9f5c1f18-ce6f-4964-a4fd-5bc1b01de8b1</Id>
    <LogicalLevel>3</LogicalLevel>
    <Name>OP.B.2</Name>
    <HeadLine1>Multimedia and Publications</HeadLine1>
    <HeadLine2/>
    <PrimaryAddressId>1264fb81-f6bb-475e-9f9d-a937d3be6ee2</PrimaryAddressId>
    <SecondaryAddressId/>
    <WebAddress/>
    <InheritedWebAddress>http://europa.eu</InheritedWebAddress>
    <ShowInHeader>true</ShowInHeader>
  </OrgaEntity3>
  <Hierarchy>
    <OrgaEntity>
      <Id>74ad78a8-25ae-4fdf-bb31-cef090e53156</Id>
      <LogicalLevel>1</LogicalLevel>
      <Name>OP</Name>
      <HeadLine1>PUBLICATIONS OFFICE</HeadLine1>
      <HeadLine2/>
      <PrimaryAddressId>1264fb81-f6bb-475e-9f9d-a937d3be6ee2</PrimaryAddressId>
      <SecondaryAddressId/>
      <WebAddress/>
      <InheritedWebAddress>http://europa.eu</InheritedWebAddress>
      <ShowInHeader>true</ShowInHeader>
    </OrgaEntity>
    <OrgaEntity>
      <Id>38acf1f2-20e8-4102-9960-393d863a030f</Id>
      <LogicalLevel>2</LogicalLevel>
      <Name>OP.B</Name>
      <HeadLine1>Publication Production Services</HeadLine1>
      <HeadLine2/>
      <PrimaryAddressId>1264fb81-f6bb-475e-9f9d-a937d3be6ee2</PrimaryAddressId>
      <SecondaryAddressId/>
      <WebAddress/>
      <InheritedWebAddress>http://europa.eu</InheritedWebAddress>
      <ShowInHeader>true</ShowInHeader>
    </OrgaEntity>
    <OrgaEntity>
      <Id>9f5c1f18-ce6f-4964-a4fd-5bc1b01de8b1</Id>
      <LogicalLevel>3</LogicalLevel>
      <Name>OP.B.2</Name>
      <HeadLine1>Multimedia and Publications</HeadLine1>
      <HeadLine2/>
      <PrimaryAddressId>1264fb81-f6bb-475e-9f9d-a937d3be6ee2</PrimaryAddressId>
      <SecondaryAddressId/>
      <WebAddress/>
      <InheritedWebAddress>http://europa.eu</InheritedWebAddress>
      <ShowInHeader>true</ShowInHeader>
    </OrgaEntity>
  </Hierarchy>
  <Addresse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1264fb81-f6bb-475e-9f9d-a937d3be6ee2</AddressId>
    <Fax/>
    <Phone>+352 4301-44063</Phone>
    <Office>MERP 02/A001</Office>
  </MainWorkplace>
  <Workplaces>
    <Workplace IsMain="true">
      <AddressId>1264fb81-f6bb-475e-9f9d-a937d3be6ee2</AddressId>
      <Fax/>
      <Phone>+352 4301-44063</Phone>
      <Office>MERP 02/A001</Office>
    </Workplace>
  </Workplaces>
</Author>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F90DE6-88B6-4264-9629-4D8DFDFE87D2}">
  <ds:schemaRefs/>
</ds:datastoreItem>
</file>

<file path=customXml/itemProps2.xml><?xml version="1.0" encoding="utf-8"?>
<ds:datastoreItem xmlns:ds="http://schemas.openxmlformats.org/officeDocument/2006/customXml" ds:itemID="{6CF84BAA-15C5-4D49-BFD2-D5F2C1FE83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2aaeef-7754-4071-a86d-fc61c328f6f7"/>
    <ds:schemaRef ds:uri="e226d4ca-1ed8-42f0-8f23-f43336c44f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FA0B42C-9DD4-4F57-A220-4CCCAE6E478D}">
  <ds:schemaRefs>
    <ds:schemaRef ds:uri="http://schemas.microsoft.com/office/2006/metadata/properties"/>
    <ds:schemaRef ds:uri="http://schemas.microsoft.com/office/infopath/2007/PartnerControls"/>
    <ds:schemaRef ds:uri="5a2aaeef-7754-4071-a86d-fc61c328f6f7"/>
  </ds:schemaRefs>
</ds:datastoreItem>
</file>

<file path=customXml/itemProps4.xml><?xml version="1.0" encoding="utf-8"?>
<ds:datastoreItem xmlns:ds="http://schemas.openxmlformats.org/officeDocument/2006/customXml" ds:itemID="{D3EA5527-7367-4268-9D83-5125C98D0ED2}">
  <ds:schemaRefs/>
</ds:datastoreItem>
</file>

<file path=customXml/itemProps5.xml><?xml version="1.0" encoding="utf-8"?>
<ds:datastoreItem xmlns:ds="http://schemas.openxmlformats.org/officeDocument/2006/customXml" ds:itemID="{005D4520-8633-4884-8164-6C1C92326EE2}">
  <ds:schemaRefs/>
</ds:datastoreItem>
</file>

<file path=customXml/itemProps6.xml><?xml version="1.0" encoding="utf-8"?>
<ds:datastoreItem xmlns:ds="http://schemas.openxmlformats.org/officeDocument/2006/customXml" ds:itemID="{9C2685CF-CB01-40BF-93AE-CED76610B5FD}">
  <ds:schemaRefs>
    <ds:schemaRef ds:uri="http://schemas.microsoft.com/sharepoint/v3/contenttype/forms"/>
  </ds:schemaRefs>
</ds:datastoreItem>
</file>

<file path=customXml/itemProps7.xml><?xml version="1.0" encoding="utf-8"?>
<ds:datastoreItem xmlns:ds="http://schemas.openxmlformats.org/officeDocument/2006/customXml" ds:itemID="{85C76C82-3EBE-4A15-9295-1997EE459E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TotalTime>
  <Pages>21</Pages>
  <Words>12990</Words>
  <Characters>74045</Characters>
  <Application>Microsoft Office Word</Application>
  <DocSecurity>0</DocSecurity>
  <PresentationFormat>Microsoft Word 14.0</PresentationFormat>
  <Lines>617</Lines>
  <Paragraphs>173</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86862</CharactersWithSpaces>
  <SharedDoc>false</SharedDoc>
  <HLinks>
    <vt:vector size="246" baseType="variant">
      <vt:variant>
        <vt:i4>3014770</vt:i4>
      </vt:variant>
      <vt:variant>
        <vt:i4>57</vt:i4>
      </vt:variant>
      <vt:variant>
        <vt:i4>0</vt:i4>
      </vt:variant>
      <vt:variant>
        <vt:i4>5</vt:i4>
      </vt:variant>
      <vt:variant>
        <vt:lpwstr>https://www.consilium.europa.eu/en/press/press-releases/2024/05/07/reform-and-growth-facility-for-the-western-balkans-adopted/</vt:lpwstr>
      </vt:variant>
      <vt:variant>
        <vt:lpwstr/>
      </vt:variant>
      <vt:variant>
        <vt:i4>5111918</vt:i4>
      </vt:variant>
      <vt:variant>
        <vt:i4>54</vt:i4>
      </vt:variant>
      <vt:variant>
        <vt:i4>0</vt:i4>
      </vt:variant>
      <vt:variant>
        <vt:i4>5</vt:i4>
      </vt:variant>
      <vt:variant>
        <vt:lpwstr>https://international-partnerships.ec.europa.eu/policies/global-gateway/initiatives-sub-saharan-africa/eu-africa-global-gateway-investment-package_en</vt:lpwstr>
      </vt:variant>
      <vt:variant>
        <vt:lpwstr>bycountry</vt:lpwstr>
      </vt:variant>
      <vt:variant>
        <vt:i4>589917</vt:i4>
      </vt:variant>
      <vt:variant>
        <vt:i4>51</vt:i4>
      </vt:variant>
      <vt:variant>
        <vt:i4>0</vt:i4>
      </vt:variant>
      <vt:variant>
        <vt:i4>5</vt:i4>
      </vt:variant>
      <vt:variant>
        <vt:lpwstr>https://www.consilium.europa.eu/en/press/press-releases/2025/12/19/european-council-conclusions-18-december-2025/</vt:lpwstr>
      </vt:variant>
      <vt:variant>
        <vt:lpwstr/>
      </vt:variant>
      <vt:variant>
        <vt:i4>720896</vt:i4>
      </vt:variant>
      <vt:variant>
        <vt:i4>48</vt:i4>
      </vt:variant>
      <vt:variant>
        <vt:i4>0</vt:i4>
      </vt:variant>
      <vt:variant>
        <vt:i4>5</vt:i4>
      </vt:variant>
      <vt:variant>
        <vt:lpwstr>https://eur-lex.europa.eu/legal-content/EN/TXT/?uri=CELEX%3A52025DC0421&amp;qid=1777385956727</vt:lpwstr>
      </vt:variant>
      <vt:variant>
        <vt:lpwstr/>
      </vt:variant>
      <vt:variant>
        <vt:i4>4980776</vt:i4>
      </vt:variant>
      <vt:variant>
        <vt:i4>45</vt:i4>
      </vt:variant>
      <vt:variant>
        <vt:i4>0</vt:i4>
      </vt:variant>
      <vt:variant>
        <vt:i4>5</vt:i4>
      </vt:variant>
      <vt:variant>
        <vt:lpwstr>https://commission.europa.eu/topics/competitiveness/competitiveness-compass_en</vt:lpwstr>
      </vt:variant>
      <vt:variant>
        <vt:lpwstr/>
      </vt:variant>
      <vt:variant>
        <vt:i4>7667730</vt:i4>
      </vt:variant>
      <vt:variant>
        <vt:i4>42</vt:i4>
      </vt:variant>
      <vt:variant>
        <vt:i4>0</vt:i4>
      </vt:variant>
      <vt:variant>
        <vt:i4>5</vt:i4>
      </vt:variant>
      <vt:variant>
        <vt:lpwstr>https://commission.europa.eu/topics/competitiveness/draghi-report_en</vt:lpwstr>
      </vt:variant>
      <vt:variant>
        <vt:lpwstr/>
      </vt:variant>
      <vt:variant>
        <vt:i4>2555977</vt:i4>
      </vt:variant>
      <vt:variant>
        <vt:i4>39</vt:i4>
      </vt:variant>
      <vt:variant>
        <vt:i4>0</vt:i4>
      </vt:variant>
      <vt:variant>
        <vt:i4>5</vt:i4>
      </vt:variant>
      <vt:variant>
        <vt:lpwstr>https://commission.europa.eu/publications/multiannual-financial-framework_en</vt:lpwstr>
      </vt:variant>
      <vt:variant>
        <vt:lpwstr/>
      </vt:variant>
      <vt:variant>
        <vt:i4>1900592</vt:i4>
      </vt:variant>
      <vt:variant>
        <vt:i4>32</vt:i4>
      </vt:variant>
      <vt:variant>
        <vt:i4>0</vt:i4>
      </vt:variant>
      <vt:variant>
        <vt:i4>5</vt:i4>
      </vt:variant>
      <vt:variant>
        <vt:lpwstr/>
      </vt:variant>
      <vt:variant>
        <vt:lpwstr>_Toc231479445</vt:lpwstr>
      </vt:variant>
      <vt:variant>
        <vt:i4>1900592</vt:i4>
      </vt:variant>
      <vt:variant>
        <vt:i4>26</vt:i4>
      </vt:variant>
      <vt:variant>
        <vt:i4>0</vt:i4>
      </vt:variant>
      <vt:variant>
        <vt:i4>5</vt:i4>
      </vt:variant>
      <vt:variant>
        <vt:lpwstr/>
      </vt:variant>
      <vt:variant>
        <vt:lpwstr>_Toc231479444</vt:lpwstr>
      </vt:variant>
      <vt:variant>
        <vt:i4>1900592</vt:i4>
      </vt:variant>
      <vt:variant>
        <vt:i4>20</vt:i4>
      </vt:variant>
      <vt:variant>
        <vt:i4>0</vt:i4>
      </vt:variant>
      <vt:variant>
        <vt:i4>5</vt:i4>
      </vt:variant>
      <vt:variant>
        <vt:lpwstr/>
      </vt:variant>
      <vt:variant>
        <vt:lpwstr>_Toc231479443</vt:lpwstr>
      </vt:variant>
      <vt:variant>
        <vt:i4>1900592</vt:i4>
      </vt:variant>
      <vt:variant>
        <vt:i4>14</vt:i4>
      </vt:variant>
      <vt:variant>
        <vt:i4>0</vt:i4>
      </vt:variant>
      <vt:variant>
        <vt:i4>5</vt:i4>
      </vt:variant>
      <vt:variant>
        <vt:lpwstr/>
      </vt:variant>
      <vt:variant>
        <vt:lpwstr>_Toc231479442</vt:lpwstr>
      </vt:variant>
      <vt:variant>
        <vt:i4>1900592</vt:i4>
      </vt:variant>
      <vt:variant>
        <vt:i4>8</vt:i4>
      </vt:variant>
      <vt:variant>
        <vt:i4>0</vt:i4>
      </vt:variant>
      <vt:variant>
        <vt:i4>5</vt:i4>
      </vt:variant>
      <vt:variant>
        <vt:lpwstr/>
      </vt:variant>
      <vt:variant>
        <vt:lpwstr>_Toc231479441</vt:lpwstr>
      </vt:variant>
      <vt:variant>
        <vt:i4>1900592</vt:i4>
      </vt:variant>
      <vt:variant>
        <vt:i4>2</vt:i4>
      </vt:variant>
      <vt:variant>
        <vt:i4>0</vt:i4>
      </vt:variant>
      <vt:variant>
        <vt:i4>5</vt:i4>
      </vt:variant>
      <vt:variant>
        <vt:lpwstr/>
      </vt:variant>
      <vt:variant>
        <vt:lpwstr>_Toc231479440</vt:lpwstr>
      </vt:variant>
      <vt:variant>
        <vt:i4>2031655</vt:i4>
      </vt:variant>
      <vt:variant>
        <vt:i4>81</vt:i4>
      </vt:variant>
      <vt:variant>
        <vt:i4>0</vt:i4>
      </vt:variant>
      <vt:variant>
        <vt:i4>5</vt:i4>
      </vt:variant>
      <vt:variant>
        <vt:lpwstr>http://data.europa.eu/eli/dec_impl/2022/2506/oj</vt:lpwstr>
      </vt:variant>
      <vt:variant>
        <vt:lpwstr/>
      </vt:variant>
      <vt:variant>
        <vt:i4>7209068</vt:i4>
      </vt:variant>
      <vt:variant>
        <vt:i4>78</vt:i4>
      </vt:variant>
      <vt:variant>
        <vt:i4>0</vt:i4>
      </vt:variant>
      <vt:variant>
        <vt:i4>5</vt:i4>
      </vt:variant>
      <vt:variant>
        <vt:lpwstr>http://data.europa.eu/eli/reg/2021/1060/oj</vt:lpwstr>
      </vt:variant>
      <vt:variant>
        <vt:lpwstr/>
      </vt:variant>
      <vt:variant>
        <vt:i4>4194328</vt:i4>
      </vt:variant>
      <vt:variant>
        <vt:i4>75</vt:i4>
      </vt:variant>
      <vt:variant>
        <vt:i4>0</vt:i4>
      </vt:variant>
      <vt:variant>
        <vt:i4>5</vt:i4>
      </vt:variant>
      <vt:variant>
        <vt:lpwstr>http://data.europa.eu/eli/reg/2021/241/oj</vt:lpwstr>
      </vt:variant>
      <vt:variant>
        <vt:lpwstr/>
      </vt:variant>
      <vt:variant>
        <vt:i4>6488174</vt:i4>
      </vt:variant>
      <vt:variant>
        <vt:i4>72</vt:i4>
      </vt:variant>
      <vt:variant>
        <vt:i4>0</vt:i4>
      </vt:variant>
      <vt:variant>
        <vt:i4>5</vt:i4>
      </vt:variant>
      <vt:variant>
        <vt:lpwstr>http://data.europa.eu/eli/reg/2020/2092/oj</vt:lpwstr>
      </vt:variant>
      <vt:variant>
        <vt:lpwstr/>
      </vt:variant>
      <vt:variant>
        <vt:i4>7798820</vt:i4>
      </vt:variant>
      <vt:variant>
        <vt:i4>69</vt:i4>
      </vt:variant>
      <vt:variant>
        <vt:i4>0</vt:i4>
      </vt:variant>
      <vt:variant>
        <vt:i4>5</vt:i4>
      </vt:variant>
      <vt:variant>
        <vt:lpwstr>https://eur-lex.europa.eu/legal-content/EN/TXT/?uri=CELEX%3A52023DC0099</vt:lpwstr>
      </vt:variant>
      <vt:variant>
        <vt:lpwstr/>
      </vt:variant>
      <vt:variant>
        <vt:i4>4194328</vt:i4>
      </vt:variant>
      <vt:variant>
        <vt:i4>66</vt:i4>
      </vt:variant>
      <vt:variant>
        <vt:i4>0</vt:i4>
      </vt:variant>
      <vt:variant>
        <vt:i4>5</vt:i4>
      </vt:variant>
      <vt:variant>
        <vt:lpwstr>http://data.europa.eu/eli/reg/2021/241/oj</vt:lpwstr>
      </vt:variant>
      <vt:variant>
        <vt:lpwstr/>
      </vt:variant>
      <vt:variant>
        <vt:i4>2687034</vt:i4>
      </vt:variant>
      <vt:variant>
        <vt:i4>63</vt:i4>
      </vt:variant>
      <vt:variant>
        <vt:i4>0</vt:i4>
      </vt:variant>
      <vt:variant>
        <vt:i4>5</vt:i4>
      </vt:variant>
      <vt:variant>
        <vt:lpwstr>https://kohesio.eu/</vt:lpwstr>
      </vt:variant>
      <vt:variant>
        <vt:lpwstr/>
      </vt:variant>
      <vt:variant>
        <vt:i4>7143525</vt:i4>
      </vt:variant>
      <vt:variant>
        <vt:i4>60</vt:i4>
      </vt:variant>
      <vt:variant>
        <vt:i4>0</vt:i4>
      </vt:variant>
      <vt:variant>
        <vt:i4>5</vt:i4>
      </vt:variant>
      <vt:variant>
        <vt:lpwstr>http://data.europa.eu/eli/reg/2023/2841/oj</vt:lpwstr>
      </vt:variant>
      <vt:variant>
        <vt:lpwstr/>
      </vt:variant>
      <vt:variant>
        <vt:i4>131093</vt:i4>
      </vt:variant>
      <vt:variant>
        <vt:i4>57</vt:i4>
      </vt:variant>
      <vt:variant>
        <vt:i4>0</vt:i4>
      </vt:variant>
      <vt:variant>
        <vt:i4>5</vt:i4>
      </vt:variant>
      <vt:variant>
        <vt:lpwstr>https://eur-lex.europa.eu/legal-content/EN/TXT/?uri=celex:52025DC0426</vt:lpwstr>
      </vt:variant>
      <vt:variant>
        <vt:lpwstr/>
      </vt:variant>
      <vt:variant>
        <vt:i4>3538983</vt:i4>
      </vt:variant>
      <vt:variant>
        <vt:i4>54</vt:i4>
      </vt:variant>
      <vt:variant>
        <vt:i4>0</vt:i4>
      </vt:variant>
      <vt:variant>
        <vt:i4>5</vt:i4>
      </vt:variant>
      <vt:variant>
        <vt:lpwstr>https://data.europa.eu/doi/10.2761/8167958</vt:lpwstr>
      </vt:variant>
      <vt:variant>
        <vt:lpwstr/>
      </vt:variant>
      <vt:variant>
        <vt:i4>524316</vt:i4>
      </vt:variant>
      <vt:variant>
        <vt:i4>51</vt:i4>
      </vt:variant>
      <vt:variant>
        <vt:i4>0</vt:i4>
      </vt:variant>
      <vt:variant>
        <vt:i4>5</vt:i4>
      </vt:variant>
      <vt:variant>
        <vt:lpwstr>https://data.europa.eu/doi/10.2761/302803</vt:lpwstr>
      </vt:variant>
      <vt:variant>
        <vt:lpwstr/>
      </vt:variant>
      <vt:variant>
        <vt:i4>65554</vt:i4>
      </vt:variant>
      <vt:variant>
        <vt:i4>48</vt:i4>
      </vt:variant>
      <vt:variant>
        <vt:i4>0</vt:i4>
      </vt:variant>
      <vt:variant>
        <vt:i4>5</vt:i4>
      </vt:variant>
      <vt:variant>
        <vt:lpwstr>https://eur-lex.europa.eu/legal-content/EN/TXT/?uri=celex:52025DC0310</vt:lpwstr>
      </vt:variant>
      <vt:variant>
        <vt:lpwstr/>
      </vt:variant>
      <vt:variant>
        <vt:i4>5963805</vt:i4>
      </vt:variant>
      <vt:variant>
        <vt:i4>45</vt:i4>
      </vt:variant>
      <vt:variant>
        <vt:i4>0</vt:i4>
      </vt:variant>
      <vt:variant>
        <vt:i4>5</vt:i4>
      </vt:variant>
      <vt:variant>
        <vt:lpwstr>https://eur-lex.europa.eu/legal-content/EN/TXT/?uri=COM%3A2026%3A200%3AFIN&amp;qid=1780494235578</vt:lpwstr>
      </vt:variant>
      <vt:variant>
        <vt:lpwstr/>
      </vt:variant>
      <vt:variant>
        <vt:i4>3276818</vt:i4>
      </vt:variant>
      <vt:variant>
        <vt:i4>42</vt:i4>
      </vt:variant>
      <vt:variant>
        <vt:i4>0</vt:i4>
      </vt:variant>
      <vt:variant>
        <vt:i4>5</vt:i4>
      </vt:variant>
      <vt:variant>
        <vt:lpwstr>https://ec.europa.eu/economy_finance/recovery-and-resilience-scoreboard/index.html</vt:lpwstr>
      </vt:variant>
      <vt:variant>
        <vt:lpwstr/>
      </vt:variant>
      <vt:variant>
        <vt:i4>3997766</vt:i4>
      </vt:variant>
      <vt:variant>
        <vt:i4>39</vt:i4>
      </vt:variant>
      <vt:variant>
        <vt:i4>0</vt:i4>
      </vt:variant>
      <vt:variant>
        <vt:i4>5</vt:i4>
      </vt:variant>
      <vt:variant>
        <vt:lpwstr>https://international-partnerships.ec.europa.eu/policies/global-gateway/africaconnect4-sub-saharan-africa_en</vt:lpwstr>
      </vt:variant>
      <vt:variant>
        <vt:lpwstr/>
      </vt:variant>
      <vt:variant>
        <vt:i4>5308456</vt:i4>
      </vt:variant>
      <vt:variant>
        <vt:i4>36</vt:i4>
      </vt:variant>
      <vt:variant>
        <vt:i4>0</vt:i4>
      </vt:variant>
      <vt:variant>
        <vt:i4>5</vt:i4>
      </vt:variant>
      <vt:variant>
        <vt:lpwstr>https://international-partnerships.ec.europa.eu/policies/global-gateway/building-wash-facilities-schools-uganda_en</vt:lpwstr>
      </vt:variant>
      <vt:variant>
        <vt:lpwstr/>
      </vt:variant>
      <vt:variant>
        <vt:i4>1114226</vt:i4>
      </vt:variant>
      <vt:variant>
        <vt:i4>33</vt:i4>
      </vt:variant>
      <vt:variant>
        <vt:i4>0</vt:i4>
      </vt:variant>
      <vt:variant>
        <vt:i4>5</vt:i4>
      </vt:variant>
      <vt:variant>
        <vt:lpwstr>https://north-africa-middle-east-gulf.ec.europa.eu/commission-implementing-decision-financing-special-measure-favour-syria-2025_en</vt:lpwstr>
      </vt:variant>
      <vt:variant>
        <vt:lpwstr/>
      </vt:variant>
      <vt:variant>
        <vt:i4>4653082</vt:i4>
      </vt:variant>
      <vt:variant>
        <vt:i4>30</vt:i4>
      </vt:variant>
      <vt:variant>
        <vt:i4>0</vt:i4>
      </vt:variant>
      <vt:variant>
        <vt:i4>5</vt:i4>
      </vt:variant>
      <vt:variant>
        <vt:lpwstr>http://data.europa.eu/eli/reg/2026/467/oj</vt:lpwstr>
      </vt:variant>
      <vt:variant>
        <vt:lpwstr/>
      </vt:variant>
      <vt:variant>
        <vt:i4>4194366</vt:i4>
      </vt:variant>
      <vt:variant>
        <vt:i4>27</vt:i4>
      </vt:variant>
      <vt:variant>
        <vt:i4>0</vt:i4>
      </vt:variant>
      <vt:variant>
        <vt:i4>5</vt:i4>
      </vt:variant>
      <vt:variant>
        <vt:lpwstr>https://joint-research-centre.ec.europa.eu/jrc-news-and-updates/2025-was-eus-most-destructive-wildfire-season-record-2026-03-31_en</vt:lpwstr>
      </vt:variant>
      <vt:variant>
        <vt:lpwstr/>
      </vt:variant>
      <vt:variant>
        <vt:i4>7602223</vt:i4>
      </vt:variant>
      <vt:variant>
        <vt:i4>24</vt:i4>
      </vt:variant>
      <vt:variant>
        <vt:i4>0</vt:i4>
      </vt:variant>
      <vt:variant>
        <vt:i4>5</vt:i4>
      </vt:variant>
      <vt:variant>
        <vt:lpwstr>https://cohesiondata.ec.europa.eu/funds/emfaf/21-27</vt:lpwstr>
      </vt:variant>
      <vt:variant>
        <vt:lpwstr>achievements</vt:lpwstr>
      </vt:variant>
      <vt:variant>
        <vt:i4>524299</vt:i4>
      </vt:variant>
      <vt:variant>
        <vt:i4>21</vt:i4>
      </vt:variant>
      <vt:variant>
        <vt:i4>0</vt:i4>
      </vt:variant>
      <vt:variant>
        <vt:i4>5</vt:i4>
      </vt:variant>
      <vt:variant>
        <vt:lpwstr>https://eur-lex.europa.eu/legal-content/EN/TXT/?uri=CELEX%3A52025DC0421&amp;qid=1778335917845</vt:lpwstr>
      </vt:variant>
      <vt:variant>
        <vt:lpwstr/>
      </vt:variant>
      <vt:variant>
        <vt:i4>7667735</vt:i4>
      </vt:variant>
      <vt:variant>
        <vt:i4>18</vt:i4>
      </vt:variant>
      <vt:variant>
        <vt:i4>0</vt:i4>
      </vt:variant>
      <vt:variant>
        <vt:i4>5</vt:i4>
      </vt:variant>
      <vt:variant>
        <vt:lpwstr>https://strategic-technologies.europa.eu/about/step-documents_en</vt:lpwstr>
      </vt:variant>
      <vt:variant>
        <vt:lpwstr/>
      </vt:variant>
      <vt:variant>
        <vt:i4>1966189</vt:i4>
      </vt:variant>
      <vt:variant>
        <vt:i4>15</vt:i4>
      </vt:variant>
      <vt:variant>
        <vt:i4>0</vt:i4>
      </vt:variant>
      <vt:variant>
        <vt:i4>5</vt:i4>
      </vt:variant>
      <vt:variant>
        <vt:lpwstr>https://strategic-technologies.europa.eu/index_en</vt:lpwstr>
      </vt:variant>
      <vt:variant>
        <vt:lpwstr/>
      </vt:variant>
      <vt:variant>
        <vt:i4>5963805</vt:i4>
      </vt:variant>
      <vt:variant>
        <vt:i4>12</vt:i4>
      </vt:variant>
      <vt:variant>
        <vt:i4>0</vt:i4>
      </vt:variant>
      <vt:variant>
        <vt:i4>5</vt:i4>
      </vt:variant>
      <vt:variant>
        <vt:lpwstr>https://eur-lex.europa.eu/legal-content/EN/TXT/?uri=COM%3A2026%3A200%3AFIN&amp;qid=1780494235578</vt:lpwstr>
      </vt:variant>
      <vt:variant>
        <vt:lpwstr/>
      </vt:variant>
      <vt:variant>
        <vt:i4>196625</vt:i4>
      </vt:variant>
      <vt:variant>
        <vt:i4>9</vt:i4>
      </vt:variant>
      <vt:variant>
        <vt:i4>0</vt:i4>
      </vt:variant>
      <vt:variant>
        <vt:i4>5</vt:i4>
      </vt:variant>
      <vt:variant>
        <vt:lpwstr>https://eur-lex.europa.eu/legal-content/EN/TXT/?uri=CELEX:52025DC0030</vt:lpwstr>
      </vt:variant>
      <vt:variant>
        <vt:lpwstr/>
      </vt:variant>
      <vt:variant>
        <vt:i4>7209056</vt:i4>
      </vt:variant>
      <vt:variant>
        <vt:i4>6</vt:i4>
      </vt:variant>
      <vt:variant>
        <vt:i4>0</vt:i4>
      </vt:variant>
      <vt:variant>
        <vt:i4>5</vt:i4>
      </vt:variant>
      <vt:variant>
        <vt:lpwstr>http://data.europa.eu/eli/reg/2024/2509/oj</vt:lpwstr>
      </vt:variant>
      <vt:variant>
        <vt:lpwstr/>
      </vt:variant>
      <vt:variant>
        <vt:i4>3407999</vt:i4>
      </vt:variant>
      <vt:variant>
        <vt:i4>3</vt:i4>
      </vt:variant>
      <vt:variant>
        <vt:i4>0</vt:i4>
      </vt:variant>
      <vt:variant>
        <vt:i4>5</vt:i4>
      </vt:variant>
      <vt:variant>
        <vt:lpwstr>http://data.europa.eu/eli/treaty/tfeu_2016/art_318/oj</vt:lpwstr>
      </vt:variant>
      <vt:variant>
        <vt:lpwstr/>
      </vt:variant>
      <vt:variant>
        <vt:i4>4456551</vt:i4>
      </vt:variant>
      <vt:variant>
        <vt:i4>0</vt:i4>
      </vt:variant>
      <vt:variant>
        <vt:i4>0</vt:i4>
      </vt:variant>
      <vt:variant>
        <vt:i4>5</vt:i4>
      </vt:variant>
      <vt:variant>
        <vt:lpwstr>https://commission.europa.eu/strategy-and-policy/eu-budget/how-it-works/annual-lifecycle/assessment/discharge-procedure_en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17</cp:revision>
  <cp:lastPrinted>2026-05-04T17:35:00Z</cp:lastPrinted>
  <dcterms:created xsi:type="dcterms:W3CDTF">2026-06-18T12:21:00Z</dcterms:created>
  <dcterms:modified xsi:type="dcterms:W3CDTF">2026-08-20T06:50:00Z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2026-03-16T08:35:50Z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0357c241-c76e-4532-9d89-65c46dfad6c8</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_LW_INVALIDATED_EurolookVersion">
    <vt:lpwstr>10.0</vt:lpwstr>
  </property>
  <property fmtid="{D5CDD505-2E9C-101B-9397-08002B2CF9AE}" pid="12" name="Part">
    <vt:lpwstr>1</vt:lpwstr>
  </property>
  <property fmtid="{D5CDD505-2E9C-101B-9397-08002B2CF9AE}" pid="13" name="Total parts">
    <vt:lpwstr>1</vt:lpwstr>
  </property>
  <property fmtid="{D5CDD505-2E9C-101B-9397-08002B2CF9AE}" pid="14" name="DocStatus">
    <vt:lpwstr>Green</vt:lpwstr>
  </property>
  <property fmtid="{D5CDD505-2E9C-101B-9397-08002B2CF9AE}" pid="15" name="CPTemplateID">
    <vt:lpwstr>CP-003</vt:lpwstr>
  </property>
  <property fmtid="{D5CDD505-2E9C-101B-9397-08002B2CF9AE}" pid="16" name="Last edited using">
    <vt:lpwstr>LW 9.2, Build 20250828</vt:lpwstr>
  </property>
  <property fmtid="{D5CDD505-2E9C-101B-9397-08002B2CF9AE}" pid="17" name="Created using">
    <vt:lpwstr>LW 9.2, Build 20250828</vt:lpwstr>
  </property>
  <property fmtid="{D5CDD505-2E9C-101B-9397-08002B2CF9AE}" pid="18" name="ContentTypeId">
    <vt:lpwstr>0x0101002A9ECA2606335F4BA5305B32386134E00063A1563B14B2C349B8DD161C5ADC9DBB</vt:lpwstr>
  </property>
</Properties>
</file>